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6B0A4E0">
      <w:pPr>
        <w:pStyle w:val="9"/>
        <w:ind w:left="0" w:leftChars="0" w:firstLine="0" w:firstLineChars="0"/>
        <w:rPr>
          <w:rFonts w:hint="eastAsia" w:eastAsia="宋体"/>
          <w:color w:val="000000" w:themeColor="text1"/>
          <w:lang w:eastAsia="zh-CN"/>
          <w14:textFill>
            <w14:solidFill>
              <w14:schemeClr w14:val="tx1"/>
            </w14:solidFill>
          </w14:textFill>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color w:val="000000" w:themeColor="text1"/>
          <w14:textFill>
            <w14:solidFill>
              <w14:schemeClr w14:val="tx1"/>
            </w14:solidFill>
          </w14:textFill>
        </w:rPr>
        <w:drawing>
          <wp:inline distT="0" distB="0" distL="114300" distR="114300">
            <wp:extent cx="5591175" cy="7877175"/>
            <wp:effectExtent l="0" t="0" r="9525" b="9525"/>
            <wp:docPr id="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
                    <pic:cNvPicPr>
                      <a:picLocks noChangeAspect="1"/>
                    </pic:cNvPicPr>
                  </pic:nvPicPr>
                  <pic:blipFill>
                    <a:blip r:embed="rId8"/>
                    <a:stretch>
                      <a:fillRect/>
                    </a:stretch>
                  </pic:blipFill>
                  <pic:spPr>
                    <a:xfrm>
                      <a:off x="0" y="0"/>
                      <a:ext cx="5591175" cy="7877175"/>
                    </a:xfrm>
                    <a:prstGeom prst="rect">
                      <a:avLst/>
                    </a:prstGeom>
                    <a:noFill/>
                    <a:ln>
                      <a:noFill/>
                    </a:ln>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596255" cy="7914005"/>
            <wp:effectExtent l="0" t="0" r="4445" b="10795"/>
            <wp:docPr id="71" name="图片 71" descr="资质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资质页"/>
                    <pic:cNvPicPr>
                      <a:picLocks noChangeAspect="1"/>
                    </pic:cNvPicPr>
                  </pic:nvPicPr>
                  <pic:blipFill>
                    <a:blip r:embed="rId9"/>
                    <a:stretch>
                      <a:fillRect/>
                    </a:stretch>
                  </pic:blipFill>
                  <pic:spPr>
                    <a:xfrm>
                      <a:off x="0" y="0"/>
                      <a:ext cx="5596255" cy="7914005"/>
                    </a:xfrm>
                    <a:prstGeom prst="rect">
                      <a:avLst/>
                    </a:prstGeom>
                  </pic:spPr>
                </pic:pic>
              </a:graphicData>
            </a:graphic>
          </wp:inline>
        </w:drawing>
      </w:r>
      <w:r>
        <w:rPr>
          <w:color w:val="000000" w:themeColor="text1"/>
          <w14:textFill>
            <w14:solidFill>
              <w14:schemeClr w14:val="tx1"/>
            </w14:solidFill>
          </w14:textFill>
        </w:rPr>
        <w:drawing>
          <wp:inline distT="0" distB="0" distL="114300" distR="114300">
            <wp:extent cx="5622925" cy="7977505"/>
            <wp:effectExtent l="0" t="0" r="15875" b="4445"/>
            <wp:docPr id="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
                    <pic:cNvPicPr>
                      <a:picLocks noChangeAspect="1"/>
                    </pic:cNvPicPr>
                  </pic:nvPicPr>
                  <pic:blipFill>
                    <a:blip r:embed="rId10"/>
                    <a:stretch>
                      <a:fillRect/>
                    </a:stretch>
                  </pic:blipFill>
                  <pic:spPr>
                    <a:xfrm>
                      <a:off x="0" y="0"/>
                      <a:ext cx="5622925" cy="797750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589270" cy="7945755"/>
            <wp:effectExtent l="0" t="0" r="11430" b="17145"/>
            <wp:docPr id="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
                    <pic:cNvPicPr>
                      <a:picLocks noChangeAspect="1"/>
                    </pic:cNvPicPr>
                  </pic:nvPicPr>
                  <pic:blipFill>
                    <a:blip r:embed="rId11"/>
                    <a:stretch>
                      <a:fillRect/>
                    </a:stretch>
                  </pic:blipFill>
                  <pic:spPr>
                    <a:xfrm>
                      <a:off x="0" y="0"/>
                      <a:ext cx="5589270" cy="7945755"/>
                    </a:xfrm>
                    <a:prstGeom prst="rect">
                      <a:avLst/>
                    </a:prstGeom>
                    <a:noFill/>
                    <a:ln>
                      <a:noFill/>
                    </a:ln>
                  </pic:spPr>
                </pic:pic>
              </a:graphicData>
            </a:graphic>
          </wp:inline>
        </w:drawing>
      </w:r>
    </w:p>
    <w:p w14:paraId="255E6DD8">
      <w:pPr>
        <w:pStyle w:val="20"/>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firstLine="0" w:firstLineChars="0"/>
        <w:jc w:val="center"/>
        <w:textAlignment w:val="auto"/>
        <w:outlineLvl w:val="0"/>
        <w:rPr>
          <w:rFonts w:ascii="Times New Roman" w:hAnsi="Times New Roman" w:eastAsia="黑体" w:cs="Times New Roman"/>
          <w:snapToGrid w:val="0"/>
          <w:color w:val="000000" w:themeColor="text1"/>
          <w:sz w:val="30"/>
          <w:szCs w:val="30"/>
          <w:highlight w:val="none"/>
          <w14:textFill>
            <w14:solidFill>
              <w14:schemeClr w14:val="tx1"/>
            </w14:solidFill>
          </w14:textFill>
        </w:rPr>
      </w:pPr>
      <w:r>
        <w:rPr>
          <w:rFonts w:ascii="Times New Roman" w:hAnsi="Times New Roman" w:eastAsia="黑体" w:cs="Times New Roman"/>
          <w:snapToGrid w:val="0"/>
          <w:color w:val="000000" w:themeColor="text1"/>
          <w:sz w:val="30"/>
          <w:szCs w:val="30"/>
          <w:highlight w:val="none"/>
          <w14:textFill>
            <w14:solidFill>
              <w14:schemeClr w14:val="tx1"/>
            </w14:solidFill>
          </w14:textFill>
        </w:rPr>
        <w:t>一、建设项目基本情况</w:t>
      </w:r>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843"/>
        <w:gridCol w:w="2829"/>
        <w:gridCol w:w="1996"/>
        <w:gridCol w:w="3202"/>
      </w:tblGrid>
      <w:tr w14:paraId="401CE3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843" w:type="dxa"/>
            <w:noWrap w:val="0"/>
            <w:tcMar>
              <w:top w:w="16" w:type="dxa"/>
              <w:left w:w="16" w:type="dxa"/>
              <w:right w:w="16" w:type="dxa"/>
            </w:tcMar>
            <w:vAlign w:val="center"/>
          </w:tcPr>
          <w:p w14:paraId="2582C9A6">
            <w:pPr>
              <w:adjustRightInd w:val="0"/>
              <w:snapToGrid w:val="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建设项目名称</w:t>
            </w:r>
          </w:p>
        </w:tc>
        <w:tc>
          <w:tcPr>
            <w:tcW w:w="8027" w:type="dxa"/>
            <w:gridSpan w:val="3"/>
            <w:noWrap w:val="0"/>
            <w:vAlign w:val="center"/>
          </w:tcPr>
          <w:p w14:paraId="66C78384">
            <w:pPr>
              <w:keepNext w:val="0"/>
              <w:keepLines w:val="0"/>
              <w:widowControl/>
              <w:suppressLineNumbers w:val="0"/>
              <w:jc w:val="center"/>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5"/>
                <w:szCs w:val="25"/>
                <w:highlight w:val="none"/>
                <w:lang w:val="en-US" w:eastAsia="zh-CN" w:bidi="ar"/>
                <w14:textFill>
                  <w14:solidFill>
                    <w14:schemeClr w14:val="tx1"/>
                  </w14:solidFill>
                </w14:textFill>
              </w:rPr>
              <w:t>内蒙古伊东东晟公司年产20万吨煤矸石煅烧高岭土项目</w:t>
            </w:r>
          </w:p>
        </w:tc>
      </w:tr>
      <w:tr w14:paraId="127D5A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92" w:hRule="atLeast"/>
          <w:jc w:val="center"/>
        </w:trPr>
        <w:tc>
          <w:tcPr>
            <w:tcW w:w="843" w:type="dxa"/>
            <w:noWrap w:val="0"/>
            <w:tcMar>
              <w:top w:w="16" w:type="dxa"/>
              <w:left w:w="16" w:type="dxa"/>
              <w:right w:w="16" w:type="dxa"/>
            </w:tcMar>
            <w:vAlign w:val="center"/>
          </w:tcPr>
          <w:p w14:paraId="32B22C9A">
            <w:pPr>
              <w:adjustRightInd w:val="0"/>
              <w:snapToGrid w:val="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项目</w:t>
            </w:r>
          </w:p>
          <w:p w14:paraId="475AAD52">
            <w:pPr>
              <w:adjustRightInd w:val="0"/>
              <w:snapToGrid w:val="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代码</w:t>
            </w:r>
          </w:p>
        </w:tc>
        <w:tc>
          <w:tcPr>
            <w:tcW w:w="8027" w:type="dxa"/>
            <w:gridSpan w:val="3"/>
            <w:noWrap w:val="0"/>
            <w:vAlign w:val="center"/>
          </w:tcPr>
          <w:p w14:paraId="6133A41A">
            <w:pPr>
              <w:adjustRightInd w:val="0"/>
              <w:snapToGrid w:val="0"/>
              <w:jc w:val="center"/>
              <w:rPr>
                <w:rFonts w:hint="default" w:ascii="Times New Roman" w:hAnsi="Times New Roman" w:eastAsia="宋体" w:cs="Times New Roman"/>
                <w:color w:val="000000" w:themeColor="text1"/>
                <w:sz w:val="24"/>
                <w:highlight w:val="none"/>
                <w:lang w:val="en-US"/>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2509-150622-04-05-154090</w:t>
            </w:r>
          </w:p>
        </w:tc>
      </w:tr>
      <w:tr w14:paraId="08C2D1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51" w:hRule="atLeast"/>
          <w:jc w:val="center"/>
        </w:trPr>
        <w:tc>
          <w:tcPr>
            <w:tcW w:w="843" w:type="dxa"/>
            <w:noWrap w:val="0"/>
            <w:tcMar>
              <w:top w:w="16" w:type="dxa"/>
              <w:left w:w="16" w:type="dxa"/>
              <w:right w:w="16" w:type="dxa"/>
            </w:tcMar>
            <w:vAlign w:val="center"/>
          </w:tcPr>
          <w:p w14:paraId="3E000E08">
            <w:pPr>
              <w:adjustRightInd w:val="0"/>
              <w:snapToGrid w:val="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建设单位联系人</w:t>
            </w:r>
          </w:p>
        </w:tc>
        <w:tc>
          <w:tcPr>
            <w:tcW w:w="2829" w:type="dxa"/>
            <w:noWrap w:val="0"/>
            <w:vAlign w:val="center"/>
          </w:tcPr>
          <w:p w14:paraId="32DA9C30">
            <w:pPr>
              <w:adjustRightInd w:val="0"/>
              <w:snapToGrid w:val="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付杰</w:t>
            </w:r>
          </w:p>
        </w:tc>
        <w:tc>
          <w:tcPr>
            <w:tcW w:w="1996" w:type="dxa"/>
            <w:noWrap w:val="0"/>
            <w:vAlign w:val="center"/>
          </w:tcPr>
          <w:p w14:paraId="78CBD5DB">
            <w:pPr>
              <w:adjustRightInd w:val="0"/>
              <w:snapToGrid w:val="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联系方式</w:t>
            </w:r>
          </w:p>
        </w:tc>
        <w:tc>
          <w:tcPr>
            <w:tcW w:w="3202" w:type="dxa"/>
            <w:noWrap w:val="0"/>
            <w:vAlign w:val="center"/>
          </w:tcPr>
          <w:p w14:paraId="700B6CDC">
            <w:pPr>
              <w:adjustRightInd w:val="0"/>
              <w:snapToGrid w:val="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18647713886</w:t>
            </w:r>
          </w:p>
        </w:tc>
      </w:tr>
      <w:tr w14:paraId="77237D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843" w:type="dxa"/>
            <w:noWrap w:val="0"/>
            <w:tcMar>
              <w:top w:w="16" w:type="dxa"/>
              <w:left w:w="16" w:type="dxa"/>
              <w:right w:w="16" w:type="dxa"/>
            </w:tcMar>
            <w:vAlign w:val="center"/>
          </w:tcPr>
          <w:p w14:paraId="0208459C">
            <w:pPr>
              <w:adjustRightInd w:val="0"/>
              <w:snapToGrid w:val="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建设</w:t>
            </w:r>
          </w:p>
          <w:p w14:paraId="209B5BC6">
            <w:pPr>
              <w:adjustRightInd w:val="0"/>
              <w:snapToGrid w:val="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地点</w:t>
            </w:r>
          </w:p>
        </w:tc>
        <w:tc>
          <w:tcPr>
            <w:tcW w:w="8027" w:type="dxa"/>
            <w:gridSpan w:val="3"/>
            <w:noWrap w:val="0"/>
            <w:vAlign w:val="center"/>
          </w:tcPr>
          <w:p w14:paraId="69B1DB6A">
            <w:pPr>
              <w:keepNext w:val="0"/>
              <w:keepLines w:val="0"/>
              <w:widowControl/>
              <w:suppressLineNumbers w:val="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kern w:val="0"/>
                <w:sz w:val="25"/>
                <w:szCs w:val="25"/>
                <w:highlight w:val="none"/>
                <w:lang w:val="en-US" w:eastAsia="zh-CN" w:bidi="ar"/>
                <w14:textFill>
                  <w14:solidFill>
                    <w14:schemeClr w14:val="tx1"/>
                  </w14:solidFill>
                </w14:textFill>
              </w:rPr>
              <w:t>内蒙古鄂尔多斯准格尔经济开发区准格尔产业园</w:t>
            </w:r>
          </w:p>
        </w:tc>
      </w:tr>
      <w:tr w14:paraId="00B939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17" w:hRule="atLeast"/>
          <w:jc w:val="center"/>
        </w:trPr>
        <w:tc>
          <w:tcPr>
            <w:tcW w:w="843" w:type="dxa"/>
            <w:noWrap w:val="0"/>
            <w:tcMar>
              <w:top w:w="16" w:type="dxa"/>
              <w:left w:w="16" w:type="dxa"/>
              <w:right w:w="16" w:type="dxa"/>
            </w:tcMar>
            <w:vAlign w:val="center"/>
          </w:tcPr>
          <w:p w14:paraId="2BD4EEF3">
            <w:pPr>
              <w:adjustRightInd w:val="0"/>
              <w:snapToGrid w:val="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地理</w:t>
            </w:r>
          </w:p>
          <w:p w14:paraId="2568459E">
            <w:pPr>
              <w:adjustRightInd w:val="0"/>
              <w:snapToGrid w:val="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坐标</w:t>
            </w:r>
          </w:p>
        </w:tc>
        <w:tc>
          <w:tcPr>
            <w:tcW w:w="8027" w:type="dxa"/>
            <w:gridSpan w:val="3"/>
            <w:noWrap w:val="0"/>
            <w:vAlign w:val="center"/>
          </w:tcPr>
          <w:p w14:paraId="2A57A51A">
            <w:pPr>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eastAsia" w:ascii="宋体" w:hAnsi="宋体" w:eastAsia="宋体" w:cs="宋体"/>
                <w:color w:val="000000" w:themeColor="text1"/>
                <w:sz w:val="24"/>
                <w:highlight w:val="none"/>
                <w:lang w:val="en-US" w:eastAsia="zh-CN"/>
                <w14:textFill>
                  <w14:solidFill>
                    <w14:schemeClr w14:val="tx1"/>
                  </w14:solidFill>
                </w14:textFill>
              </w:rPr>
              <w:t>中心坐标</w:t>
            </w:r>
            <w:r>
              <w:rPr>
                <w:rFonts w:hint="eastAsia" w:ascii="宋体" w:hAnsi="宋体" w:eastAsia="宋体" w:cs="宋体"/>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u w:val="single"/>
                <w14:textFill>
                  <w14:solidFill>
                    <w14:schemeClr w14:val="tx1"/>
                  </w14:solidFill>
                </w14:textFill>
              </w:rPr>
              <w:t>1</w:t>
            </w:r>
            <w:r>
              <w:rPr>
                <w:rFonts w:hint="default" w:ascii="Times New Roman" w:hAnsi="Times New Roman" w:eastAsia="宋体" w:cs="Times New Roman"/>
                <w:color w:val="000000" w:themeColor="text1"/>
                <w:sz w:val="24"/>
                <w:highlight w:val="none"/>
                <w:u w:val="single"/>
                <w:lang w:val="en-US" w:eastAsia="zh-CN"/>
                <w14:textFill>
                  <w14:solidFill>
                    <w14:schemeClr w14:val="tx1"/>
                  </w14:solidFill>
                </w14:textFill>
              </w:rPr>
              <w:t>10</w:t>
            </w:r>
            <w:r>
              <w:rPr>
                <w:rFonts w:hint="default" w:ascii="Times New Roman" w:hAnsi="Times New Roman" w:eastAsia="宋体" w:cs="Times New Roman"/>
                <w:color w:val="000000" w:themeColor="text1"/>
                <w:sz w:val="24"/>
                <w:highlight w:val="none"/>
                <w14:textFill>
                  <w14:solidFill>
                    <w14:schemeClr w14:val="tx1"/>
                  </w14:solidFill>
                </w14:textFill>
              </w:rPr>
              <w:t>度</w:t>
            </w:r>
            <w:r>
              <w:rPr>
                <w:rFonts w:hint="default" w:ascii="Times New Roman" w:hAnsi="Times New Roman" w:eastAsia="宋体" w:cs="Times New Roman"/>
                <w:color w:val="000000" w:themeColor="text1"/>
                <w:sz w:val="24"/>
                <w:highlight w:val="none"/>
                <w:u w:val="single"/>
                <w14:textFill>
                  <w14:solidFill>
                    <w14:schemeClr w14:val="tx1"/>
                  </w14:solidFill>
                </w14:textFill>
              </w:rPr>
              <w:t>51</w:t>
            </w:r>
            <w:r>
              <w:rPr>
                <w:rFonts w:hint="default" w:ascii="Times New Roman" w:hAnsi="Times New Roman" w:eastAsia="宋体" w:cs="Times New Roman"/>
                <w:color w:val="000000" w:themeColor="text1"/>
                <w:sz w:val="24"/>
                <w:highlight w:val="none"/>
                <w14:textFill>
                  <w14:solidFill>
                    <w14:schemeClr w14:val="tx1"/>
                  </w14:solidFill>
                </w14:textFill>
              </w:rPr>
              <w:t>分</w:t>
            </w:r>
            <w:r>
              <w:rPr>
                <w:rFonts w:hint="default" w:ascii="Times New Roman" w:hAnsi="Times New Roman" w:eastAsia="宋体" w:cs="Times New Roman"/>
                <w:color w:val="000000" w:themeColor="text1"/>
                <w:sz w:val="24"/>
                <w:highlight w:val="none"/>
                <w:u w:val="single"/>
                <w:lang w:val="en-US" w:eastAsia="zh-CN"/>
                <w14:textFill>
                  <w14:solidFill>
                    <w14:schemeClr w14:val="tx1"/>
                  </w14:solidFill>
                </w14:textFill>
              </w:rPr>
              <w:t>52.82</w:t>
            </w:r>
            <w:r>
              <w:rPr>
                <w:rFonts w:hint="default" w:ascii="Times New Roman" w:hAnsi="Times New Roman" w:eastAsia="宋体" w:cs="Times New Roman"/>
                <w:color w:val="000000" w:themeColor="text1"/>
                <w:sz w:val="24"/>
                <w:highlight w:val="none"/>
                <w14:textFill>
                  <w14:solidFill>
                    <w14:schemeClr w14:val="tx1"/>
                  </w14:solidFill>
                </w14:textFill>
              </w:rPr>
              <w:t>秒，</w:t>
            </w:r>
            <w:r>
              <w:rPr>
                <w:rFonts w:hint="default" w:ascii="Times New Roman" w:hAnsi="Times New Roman" w:eastAsia="宋体" w:cs="Times New Roman"/>
                <w:color w:val="000000" w:themeColor="text1"/>
                <w:sz w:val="24"/>
                <w:highlight w:val="none"/>
                <w:u w:val="single"/>
                <w14:textFill>
                  <w14:solidFill>
                    <w14:schemeClr w14:val="tx1"/>
                  </w14:solidFill>
                </w14:textFill>
              </w:rPr>
              <w:t>39</w:t>
            </w:r>
            <w:r>
              <w:rPr>
                <w:rFonts w:hint="default" w:ascii="Times New Roman" w:hAnsi="Times New Roman" w:eastAsia="宋体" w:cs="Times New Roman"/>
                <w:color w:val="000000" w:themeColor="text1"/>
                <w:sz w:val="24"/>
                <w:highlight w:val="none"/>
                <w14:textFill>
                  <w14:solidFill>
                    <w14:schemeClr w14:val="tx1"/>
                  </w14:solidFill>
                </w14:textFill>
              </w:rPr>
              <w:t>度</w:t>
            </w:r>
            <w:r>
              <w:rPr>
                <w:rFonts w:hint="default" w:ascii="Times New Roman" w:hAnsi="Times New Roman" w:eastAsia="宋体" w:cs="Times New Roman"/>
                <w:color w:val="000000" w:themeColor="text1"/>
                <w:sz w:val="24"/>
                <w:highlight w:val="none"/>
                <w:u w:val="single"/>
                <w14:textFill>
                  <w14:solidFill>
                    <w14:schemeClr w14:val="tx1"/>
                  </w14:solidFill>
                </w14:textFill>
              </w:rPr>
              <w:t>4</w:t>
            </w:r>
            <w:r>
              <w:rPr>
                <w:rFonts w:hint="default" w:ascii="Times New Roman" w:hAnsi="Times New Roman" w:eastAsia="宋体" w:cs="Times New Roman"/>
                <w:color w:val="000000" w:themeColor="text1"/>
                <w:sz w:val="24"/>
                <w:highlight w:val="none"/>
                <w:u w:val="single"/>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14:textFill>
                  <w14:solidFill>
                    <w14:schemeClr w14:val="tx1"/>
                  </w14:solidFill>
                </w14:textFill>
              </w:rPr>
              <w:t>分</w:t>
            </w:r>
            <w:r>
              <w:rPr>
                <w:rFonts w:hint="default" w:ascii="Times New Roman" w:hAnsi="Times New Roman" w:eastAsia="宋体" w:cs="Times New Roman"/>
                <w:color w:val="000000" w:themeColor="text1"/>
                <w:sz w:val="24"/>
                <w:highlight w:val="none"/>
                <w:u w:val="single"/>
                <w:lang w:val="en-US" w:eastAsia="zh-CN"/>
                <w14:textFill>
                  <w14:solidFill>
                    <w14:schemeClr w14:val="tx1"/>
                  </w14:solidFill>
                </w14:textFill>
              </w:rPr>
              <w:t>9.31</w:t>
            </w:r>
            <w:r>
              <w:rPr>
                <w:rFonts w:hint="default" w:ascii="Times New Roman" w:hAnsi="Times New Roman" w:eastAsia="宋体" w:cs="Times New Roman"/>
                <w:color w:val="000000" w:themeColor="text1"/>
                <w:sz w:val="24"/>
                <w:highlight w:val="none"/>
                <w14:textFill>
                  <w14:solidFill>
                    <w14:schemeClr w14:val="tx1"/>
                  </w14:solidFill>
                </w14:textFill>
              </w:rPr>
              <w:t>秒</w:t>
            </w:r>
          </w:p>
        </w:tc>
      </w:tr>
      <w:tr w14:paraId="6C5CEB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9" w:hRule="atLeast"/>
          <w:jc w:val="center"/>
        </w:trPr>
        <w:tc>
          <w:tcPr>
            <w:tcW w:w="843" w:type="dxa"/>
            <w:noWrap w:val="0"/>
            <w:tcMar>
              <w:top w:w="16" w:type="dxa"/>
              <w:left w:w="16" w:type="dxa"/>
              <w:right w:w="16" w:type="dxa"/>
            </w:tcMar>
            <w:vAlign w:val="center"/>
          </w:tcPr>
          <w:p w14:paraId="0A686FD2">
            <w:pPr>
              <w:adjustRightInd w:val="0"/>
              <w:snapToGrid w:val="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国民经济行业类别</w:t>
            </w:r>
          </w:p>
        </w:tc>
        <w:tc>
          <w:tcPr>
            <w:tcW w:w="2829" w:type="dxa"/>
            <w:noWrap w:val="0"/>
            <w:vAlign w:val="center"/>
          </w:tcPr>
          <w:p w14:paraId="77034EF6">
            <w:pPr>
              <w:keepNext w:val="0"/>
              <w:keepLines w:val="0"/>
              <w:widowControl/>
              <w:suppressLineNumbers w:val="0"/>
              <w:jc w:val="left"/>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C30</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z w:val="24"/>
                <w:highlight w:val="none"/>
                <w14:textFill>
                  <w14:solidFill>
                    <w14:schemeClr w14:val="tx1"/>
                  </w14:solidFill>
                </w14:textFill>
              </w:rPr>
              <w:t>9</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耐火陶瓷制品及</w:t>
            </w:r>
            <w:r>
              <w:rPr>
                <w:rFonts w:hint="default" w:ascii="Times New Roman" w:hAnsi="Times New Roman" w:eastAsia="宋体" w:cs="Times New Roman"/>
                <w:color w:val="000000" w:themeColor="text1"/>
                <w:sz w:val="24"/>
                <w:highlight w:val="none"/>
                <w14:textFill>
                  <w14:solidFill>
                    <w14:schemeClr w14:val="tx1"/>
                  </w14:solidFill>
                </w14:textFill>
              </w:rPr>
              <w:t>其他</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耐火材料</w:t>
            </w:r>
            <w:r>
              <w:rPr>
                <w:rFonts w:hint="default" w:ascii="Times New Roman" w:hAnsi="Times New Roman" w:eastAsia="宋体" w:cs="Times New Roman"/>
                <w:color w:val="000000" w:themeColor="text1"/>
                <w:sz w:val="24"/>
                <w:highlight w:val="none"/>
                <w14:textFill>
                  <w14:solidFill>
                    <w14:schemeClr w14:val="tx1"/>
                  </w14:solidFill>
                </w14:textFill>
              </w:rPr>
              <w:t>制造</w:t>
            </w:r>
            <w:r>
              <w:rPr>
                <w:rFonts w:hint="eastAsia"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N7723</w:t>
            </w: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固体废物治理</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D</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4430热力生产和供应</w:t>
            </w:r>
          </w:p>
        </w:tc>
        <w:tc>
          <w:tcPr>
            <w:tcW w:w="1996" w:type="dxa"/>
            <w:noWrap w:val="0"/>
            <w:vAlign w:val="center"/>
          </w:tcPr>
          <w:p w14:paraId="07E9AA61">
            <w:pPr>
              <w:adjustRightInd w:val="0"/>
              <w:snapToGrid w:val="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bookmarkStart w:id="0" w:name="_Hlk49843745"/>
            <w:r>
              <w:rPr>
                <w:rFonts w:hint="default" w:ascii="Times New Roman" w:hAnsi="Times New Roman" w:eastAsia="宋体" w:cs="Times New Roman"/>
                <w:b/>
                <w:bCs/>
                <w:color w:val="000000" w:themeColor="text1"/>
                <w:sz w:val="24"/>
                <w:highlight w:val="none"/>
                <w14:textFill>
                  <w14:solidFill>
                    <w14:schemeClr w14:val="tx1"/>
                  </w14:solidFill>
                </w14:textFill>
              </w:rPr>
              <w:t>建设项目</w:t>
            </w:r>
          </w:p>
          <w:p w14:paraId="0084EA9F">
            <w:pPr>
              <w:adjustRightInd w:val="0"/>
              <w:snapToGrid w:val="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行业类别</w:t>
            </w:r>
            <w:bookmarkEnd w:id="0"/>
          </w:p>
        </w:tc>
        <w:tc>
          <w:tcPr>
            <w:tcW w:w="3202" w:type="dxa"/>
            <w:noWrap w:val="0"/>
            <w:vAlign w:val="center"/>
          </w:tcPr>
          <w:p w14:paraId="780E8828">
            <w:pPr>
              <w:keepNext w:val="0"/>
              <w:keepLines w:val="0"/>
              <w:widowControl/>
              <w:suppressLineNumbers w:val="0"/>
              <w:jc w:val="left"/>
              <w:rPr>
                <w:rFonts w:hint="default" w:ascii="Times New Roman" w:hAnsi="Times New Roman" w:eastAsia="宋体" w:cs="Times New Roman"/>
                <w:color w:val="000000" w:themeColor="text1"/>
                <w:sz w:val="24"/>
                <w:highlight w:val="none"/>
                <w14:textFill>
                  <w14:solidFill>
                    <w14:schemeClr w14:val="tx1"/>
                  </w14:solidFill>
                </w14:textFill>
              </w:rPr>
            </w:pP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四十七、生态保护和环境治理业</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103</w:t>
            </w: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一般工业固体废物（含污水处理污泥）、建筑施工废弃物处置及综合利用（其他）四十一、电力、热力生产和供应业91、热力生产和供应工程（包括建设单位自建自用的供热工程）</w:t>
            </w:r>
          </w:p>
        </w:tc>
      </w:tr>
      <w:tr w14:paraId="4629D2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42" w:hRule="atLeast"/>
          <w:jc w:val="center"/>
        </w:trPr>
        <w:tc>
          <w:tcPr>
            <w:tcW w:w="843" w:type="dxa"/>
            <w:noWrap w:val="0"/>
            <w:tcMar>
              <w:top w:w="16" w:type="dxa"/>
              <w:left w:w="16" w:type="dxa"/>
              <w:right w:w="16" w:type="dxa"/>
            </w:tcMar>
            <w:vAlign w:val="center"/>
          </w:tcPr>
          <w:p w14:paraId="1BF75D47">
            <w:pPr>
              <w:adjustRightInd w:val="0"/>
              <w:snapToGrid w:val="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建设</w:t>
            </w:r>
          </w:p>
          <w:p w14:paraId="0865B45A">
            <w:pPr>
              <w:adjustRightInd w:val="0"/>
              <w:snapToGrid w:val="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性质</w:t>
            </w:r>
          </w:p>
        </w:tc>
        <w:tc>
          <w:tcPr>
            <w:tcW w:w="2829" w:type="dxa"/>
            <w:noWrap w:val="0"/>
            <w:vAlign w:val="center"/>
          </w:tcPr>
          <w:p w14:paraId="03E3C5E5">
            <w:pPr>
              <w:jc w:val="left"/>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新建（迁建）</w:t>
            </w:r>
          </w:p>
          <w:p w14:paraId="7A5B10EC">
            <w:pPr>
              <w:jc w:val="left"/>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改建</w:t>
            </w:r>
          </w:p>
          <w:p w14:paraId="54DF6A28">
            <w:pPr>
              <w:jc w:val="left"/>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扩建</w:t>
            </w:r>
          </w:p>
          <w:p w14:paraId="69216161">
            <w:pPr>
              <w:jc w:val="left"/>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技术改造</w:t>
            </w:r>
          </w:p>
        </w:tc>
        <w:tc>
          <w:tcPr>
            <w:tcW w:w="1996" w:type="dxa"/>
            <w:noWrap w:val="0"/>
            <w:vAlign w:val="center"/>
          </w:tcPr>
          <w:p w14:paraId="13A3A27F">
            <w:pPr>
              <w:adjustRightInd w:val="0"/>
              <w:snapToGrid w:val="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建设项目</w:t>
            </w:r>
          </w:p>
          <w:p w14:paraId="1B39E46B">
            <w:pPr>
              <w:adjustRightInd w:val="0"/>
              <w:snapToGrid w:val="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申报情形</w:t>
            </w:r>
          </w:p>
        </w:tc>
        <w:tc>
          <w:tcPr>
            <w:tcW w:w="3202" w:type="dxa"/>
            <w:noWrap w:val="0"/>
            <w:vAlign w:val="center"/>
          </w:tcPr>
          <w:p w14:paraId="701A5751">
            <w:pPr>
              <w:jc w:val="left"/>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4"/>
                <w:highlight w:val="none"/>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首次申报项目</w:t>
            </w:r>
          </w:p>
          <w:p w14:paraId="47608D09">
            <w:pPr>
              <w:jc w:val="left"/>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不予批准后再次申报项目</w:t>
            </w:r>
          </w:p>
          <w:p w14:paraId="330BB8B7">
            <w:pPr>
              <w:jc w:val="left"/>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超五年重新审核项目</w:t>
            </w:r>
          </w:p>
          <w:p w14:paraId="6504470A">
            <w:pPr>
              <w:jc w:val="left"/>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重大变动重新报批项目</w:t>
            </w:r>
          </w:p>
        </w:tc>
      </w:tr>
      <w:tr w14:paraId="1A74F1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37" w:hRule="atLeast"/>
          <w:jc w:val="center"/>
        </w:trPr>
        <w:tc>
          <w:tcPr>
            <w:tcW w:w="843" w:type="dxa"/>
            <w:noWrap w:val="0"/>
            <w:tcMar>
              <w:top w:w="16" w:type="dxa"/>
              <w:left w:w="16" w:type="dxa"/>
              <w:right w:w="16" w:type="dxa"/>
            </w:tcMar>
            <w:vAlign w:val="center"/>
          </w:tcPr>
          <w:p w14:paraId="63AD7FBB">
            <w:pPr>
              <w:adjustRightInd w:val="0"/>
              <w:snapToGrid w:val="0"/>
              <w:spacing w:line="240" w:lineRule="exact"/>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项目审批（核准/备案）部门</w:t>
            </w:r>
          </w:p>
          <w:p w14:paraId="3EE61B7F">
            <w:pPr>
              <w:adjustRightInd w:val="0"/>
              <w:snapToGrid w:val="0"/>
              <w:spacing w:line="240" w:lineRule="exact"/>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（选填）</w:t>
            </w:r>
          </w:p>
        </w:tc>
        <w:tc>
          <w:tcPr>
            <w:tcW w:w="2829" w:type="dxa"/>
            <w:noWrap w:val="0"/>
            <w:vAlign w:val="center"/>
          </w:tcPr>
          <w:p w14:paraId="30880E49">
            <w:pPr>
              <w:adjustRightInd w:val="0"/>
              <w:snapToGrid w:val="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准格尔旗</w:t>
            </w:r>
            <w:r>
              <w:rPr>
                <w:rFonts w:hint="default" w:ascii="Times New Roman" w:hAnsi="Times New Roman" w:eastAsia="宋体" w:cs="Times New Roman"/>
                <w:color w:val="000000" w:themeColor="text1"/>
                <w:sz w:val="24"/>
                <w:highlight w:val="none"/>
                <w14:textFill>
                  <w14:solidFill>
                    <w14:schemeClr w14:val="tx1"/>
                  </w14:solidFill>
                </w14:textFill>
              </w:rPr>
              <w:t>发展</w:t>
            </w:r>
          </w:p>
          <w:p w14:paraId="618DBD92">
            <w:pPr>
              <w:adjustRightInd w:val="0"/>
              <w:snapToGrid w:val="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和改革委员会</w:t>
            </w:r>
          </w:p>
        </w:tc>
        <w:tc>
          <w:tcPr>
            <w:tcW w:w="1996" w:type="dxa"/>
            <w:noWrap w:val="0"/>
            <w:vAlign w:val="center"/>
          </w:tcPr>
          <w:p w14:paraId="0450916C">
            <w:pPr>
              <w:adjustRightInd w:val="0"/>
              <w:snapToGrid w:val="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项目审批（核准/</w:t>
            </w:r>
          </w:p>
          <w:p w14:paraId="46530B17">
            <w:pPr>
              <w:adjustRightInd w:val="0"/>
              <w:snapToGrid w:val="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备案）文号（选填）</w:t>
            </w:r>
          </w:p>
        </w:tc>
        <w:tc>
          <w:tcPr>
            <w:tcW w:w="3202" w:type="dxa"/>
            <w:noWrap w:val="0"/>
            <w:vAlign w:val="center"/>
          </w:tcPr>
          <w:p w14:paraId="7CE1F294">
            <w:pPr>
              <w:adjustRightInd w:val="0"/>
              <w:snapToGrid w:val="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2509-150622-04-05-154090</w:t>
            </w:r>
          </w:p>
        </w:tc>
      </w:tr>
      <w:tr w14:paraId="3A4033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843" w:type="dxa"/>
            <w:noWrap w:val="0"/>
            <w:tcMar>
              <w:top w:w="16" w:type="dxa"/>
              <w:left w:w="16" w:type="dxa"/>
              <w:right w:w="16" w:type="dxa"/>
            </w:tcMar>
            <w:vAlign w:val="center"/>
          </w:tcPr>
          <w:p w14:paraId="0D078221">
            <w:pPr>
              <w:adjustRightInd w:val="0"/>
              <w:snapToGrid w:val="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总投资（万元）</w:t>
            </w:r>
          </w:p>
        </w:tc>
        <w:tc>
          <w:tcPr>
            <w:tcW w:w="2829" w:type="dxa"/>
            <w:noWrap w:val="0"/>
            <w:vAlign w:val="center"/>
          </w:tcPr>
          <w:p w14:paraId="2BE120E5">
            <w:pPr>
              <w:adjustRightInd w:val="0"/>
              <w:snapToGrid w:val="0"/>
              <w:jc w:val="center"/>
              <w:rPr>
                <w:rFonts w:hint="default" w:ascii="Times New Roman" w:hAnsi="Times New Roman" w:eastAsia="宋体" w:cs="Times New Roman"/>
                <w:color w:val="000000" w:themeColor="text1"/>
                <w:sz w:val="24"/>
                <w:highlight w:val="none"/>
                <w:lang w:val="en-US"/>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13014.3</w:t>
            </w:r>
          </w:p>
        </w:tc>
        <w:tc>
          <w:tcPr>
            <w:tcW w:w="1996" w:type="dxa"/>
            <w:noWrap w:val="0"/>
            <w:tcMar>
              <w:top w:w="16" w:type="dxa"/>
              <w:left w:w="16" w:type="dxa"/>
              <w:right w:w="16" w:type="dxa"/>
            </w:tcMar>
            <w:vAlign w:val="center"/>
          </w:tcPr>
          <w:p w14:paraId="1E651C29">
            <w:pPr>
              <w:adjustRightInd w:val="0"/>
              <w:snapToGrid w:val="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环保投资（万元）</w:t>
            </w:r>
          </w:p>
        </w:tc>
        <w:tc>
          <w:tcPr>
            <w:tcW w:w="3202" w:type="dxa"/>
            <w:noWrap w:val="0"/>
            <w:vAlign w:val="center"/>
          </w:tcPr>
          <w:p w14:paraId="48AA0E0B">
            <w:pPr>
              <w:adjustRightInd w:val="0"/>
              <w:snapToGrid w:val="0"/>
              <w:jc w:val="cente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655.5</w:t>
            </w:r>
          </w:p>
        </w:tc>
      </w:tr>
      <w:tr w14:paraId="5D51FE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00" w:hRule="atLeast"/>
          <w:jc w:val="center"/>
        </w:trPr>
        <w:tc>
          <w:tcPr>
            <w:tcW w:w="843" w:type="dxa"/>
            <w:noWrap w:val="0"/>
            <w:tcMar>
              <w:top w:w="16" w:type="dxa"/>
              <w:left w:w="16" w:type="dxa"/>
              <w:right w:w="16" w:type="dxa"/>
            </w:tcMar>
            <w:vAlign w:val="center"/>
          </w:tcPr>
          <w:p w14:paraId="7CDB8C91">
            <w:pPr>
              <w:adjustRightInd w:val="0"/>
              <w:snapToGrid w:val="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环保投资占比（%）</w:t>
            </w:r>
          </w:p>
        </w:tc>
        <w:tc>
          <w:tcPr>
            <w:tcW w:w="2829" w:type="dxa"/>
            <w:noWrap w:val="0"/>
            <w:vAlign w:val="center"/>
          </w:tcPr>
          <w:p w14:paraId="629323C8">
            <w:pPr>
              <w:adjustRightInd w:val="0"/>
              <w:snapToGrid w:val="0"/>
              <w:jc w:val="cente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5.04</w:t>
            </w:r>
          </w:p>
        </w:tc>
        <w:tc>
          <w:tcPr>
            <w:tcW w:w="1996" w:type="dxa"/>
            <w:noWrap w:val="0"/>
            <w:tcMar>
              <w:top w:w="16" w:type="dxa"/>
              <w:left w:w="16" w:type="dxa"/>
              <w:right w:w="16" w:type="dxa"/>
            </w:tcMar>
            <w:vAlign w:val="center"/>
          </w:tcPr>
          <w:p w14:paraId="1529A5E7">
            <w:pPr>
              <w:adjustRightInd w:val="0"/>
              <w:snapToGrid w:val="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施工工期</w:t>
            </w:r>
          </w:p>
        </w:tc>
        <w:tc>
          <w:tcPr>
            <w:tcW w:w="3202" w:type="dxa"/>
            <w:noWrap w:val="0"/>
            <w:vAlign w:val="center"/>
          </w:tcPr>
          <w:p w14:paraId="48F491EB">
            <w:pPr>
              <w:adjustRightInd w:val="0"/>
              <w:snapToGrid w:val="0"/>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24</w:t>
            </w:r>
            <w:r>
              <w:rPr>
                <w:rFonts w:hint="default" w:ascii="Times New Roman" w:hAnsi="Times New Roman" w:eastAsia="宋体" w:cs="Times New Roman"/>
                <w:color w:val="000000" w:themeColor="text1"/>
                <w:sz w:val="24"/>
                <w:highlight w:val="none"/>
                <w14:textFill>
                  <w14:solidFill>
                    <w14:schemeClr w14:val="tx1"/>
                  </w14:solidFill>
                </w14:textFill>
              </w:rPr>
              <w:t>个月</w:t>
            </w:r>
          </w:p>
        </w:tc>
      </w:tr>
      <w:tr w14:paraId="59D366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08" w:hRule="atLeast"/>
          <w:jc w:val="center"/>
        </w:trPr>
        <w:tc>
          <w:tcPr>
            <w:tcW w:w="843" w:type="dxa"/>
            <w:noWrap w:val="0"/>
            <w:tcMar>
              <w:top w:w="16" w:type="dxa"/>
              <w:left w:w="16" w:type="dxa"/>
              <w:right w:w="16" w:type="dxa"/>
            </w:tcMar>
            <w:vAlign w:val="center"/>
          </w:tcPr>
          <w:p w14:paraId="188BC55F">
            <w:pPr>
              <w:adjustRightInd w:val="0"/>
              <w:snapToGrid w:val="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是否开工建设</w:t>
            </w:r>
          </w:p>
        </w:tc>
        <w:tc>
          <w:tcPr>
            <w:tcW w:w="2829" w:type="dxa"/>
            <w:noWrap w:val="0"/>
            <w:vAlign w:val="center"/>
          </w:tcPr>
          <w:p w14:paraId="2819E57F">
            <w:pPr>
              <w:adjustRightInd w:val="0"/>
              <w:snapToGrid w:val="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否</w:t>
            </w:r>
          </w:p>
          <w:p w14:paraId="49D9D7E6">
            <w:pPr>
              <w:adjustRightInd w:val="0"/>
              <w:snapToGrid w:val="0"/>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□是：</w:t>
            </w:r>
          </w:p>
        </w:tc>
        <w:tc>
          <w:tcPr>
            <w:tcW w:w="1996" w:type="dxa"/>
            <w:noWrap w:val="0"/>
            <w:tcMar>
              <w:top w:w="16" w:type="dxa"/>
              <w:left w:w="16" w:type="dxa"/>
              <w:right w:w="16" w:type="dxa"/>
            </w:tcMar>
            <w:vAlign w:val="center"/>
          </w:tcPr>
          <w:p w14:paraId="5452E649">
            <w:pPr>
              <w:adjustRightInd w:val="0"/>
              <w:snapToGrid w:val="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用地（用海）</w:t>
            </w:r>
          </w:p>
          <w:p w14:paraId="410C74CF">
            <w:pPr>
              <w:adjustRightInd w:val="0"/>
              <w:snapToGrid w:val="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面积（</w:t>
            </w: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h</w:t>
            </w:r>
            <w:r>
              <w:rPr>
                <w:rFonts w:hint="default" w:ascii="Times New Roman" w:hAnsi="Times New Roman" w:eastAsia="宋体" w:cs="Times New Roman"/>
                <w:b/>
                <w:bCs/>
                <w:color w:val="000000" w:themeColor="text1"/>
                <w:sz w:val="24"/>
                <w:highlight w:val="none"/>
                <w14:textFill>
                  <w14:solidFill>
                    <w14:schemeClr w14:val="tx1"/>
                  </w14:solidFill>
                </w14:textFill>
              </w:rPr>
              <w:t>m</w:t>
            </w:r>
            <w:r>
              <w:rPr>
                <w:rFonts w:hint="default" w:ascii="Times New Roman" w:hAnsi="Times New Roman" w:eastAsia="宋体" w:cs="Times New Roman"/>
                <w:b/>
                <w:bCs/>
                <w:color w:val="000000" w:themeColor="text1"/>
                <w:sz w:val="24"/>
                <w:highlight w:val="none"/>
                <w:vertAlign w:val="superscript"/>
                <w14:textFill>
                  <w14:solidFill>
                    <w14:schemeClr w14:val="tx1"/>
                  </w14:solidFill>
                </w14:textFill>
              </w:rPr>
              <w:t>2</w:t>
            </w:r>
            <w:r>
              <w:rPr>
                <w:rFonts w:hint="default" w:ascii="Times New Roman" w:hAnsi="Times New Roman" w:eastAsia="宋体" w:cs="Times New Roman"/>
                <w:b/>
                <w:bCs/>
                <w:color w:val="000000" w:themeColor="text1"/>
                <w:sz w:val="24"/>
                <w:highlight w:val="none"/>
                <w14:textFill>
                  <w14:solidFill>
                    <w14:schemeClr w14:val="tx1"/>
                  </w14:solidFill>
                </w14:textFill>
              </w:rPr>
              <w:t>）</w:t>
            </w:r>
          </w:p>
        </w:tc>
        <w:tc>
          <w:tcPr>
            <w:tcW w:w="3202" w:type="dxa"/>
            <w:noWrap w:val="0"/>
            <w:vAlign w:val="center"/>
          </w:tcPr>
          <w:p w14:paraId="368F9B1C">
            <w:pPr>
              <w:adjustRightInd w:val="0"/>
              <w:snapToGrid w:val="0"/>
              <w:jc w:val="cente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kern w:val="0"/>
                <w:sz w:val="24"/>
                <w:highlight w:val="none"/>
                <w:lang w:val="en-US" w:eastAsia="zh-CN"/>
                <w14:textFill>
                  <w14:solidFill>
                    <w14:schemeClr w14:val="tx1"/>
                  </w14:solidFill>
                </w14:textFill>
              </w:rPr>
              <w:t>32352.14</w:t>
            </w:r>
          </w:p>
        </w:tc>
      </w:tr>
      <w:tr w14:paraId="366EC1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8" w:hRule="atLeast"/>
          <w:jc w:val="center"/>
        </w:trPr>
        <w:tc>
          <w:tcPr>
            <w:tcW w:w="843" w:type="dxa"/>
            <w:noWrap w:val="0"/>
            <w:vAlign w:val="center"/>
          </w:tcPr>
          <w:p w14:paraId="67E6F690">
            <w:pPr>
              <w:autoSpaceDE w:val="0"/>
              <w:autoSpaceDN w:val="0"/>
              <w:adjustRightInd w:val="0"/>
              <w:snapToGrid w:val="0"/>
              <w:jc w:val="center"/>
              <w:rPr>
                <w:rFonts w:hint="default" w:ascii="Times New Roman" w:hAnsi="Times New Roman" w:eastAsia="宋体" w:cs="Times New Roman"/>
                <w:b/>
                <w:bCs/>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专项评价</w:t>
            </w:r>
          </w:p>
          <w:p w14:paraId="717A5EC4">
            <w:pPr>
              <w:autoSpaceDE w:val="0"/>
              <w:autoSpaceDN w:val="0"/>
              <w:adjustRightInd w:val="0"/>
              <w:snapToGrid w:val="0"/>
              <w:jc w:val="center"/>
              <w:rPr>
                <w:rFonts w:hint="default" w:ascii="Times New Roman" w:hAnsi="Times New Roman" w:eastAsia="宋体" w:cs="Times New Roman"/>
                <w:b/>
                <w:bCs/>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设置情况</w:t>
            </w:r>
          </w:p>
        </w:tc>
        <w:tc>
          <w:tcPr>
            <w:tcW w:w="8027" w:type="dxa"/>
            <w:gridSpan w:val="3"/>
            <w:noWrap w:val="0"/>
            <w:vAlign w:val="center"/>
          </w:tcPr>
          <w:p w14:paraId="3B3972B4">
            <w:pPr>
              <w:keepNext w:val="0"/>
              <w:keepLines w:val="0"/>
              <w:pageBreakBefore w:val="0"/>
              <w:widowControl w:val="0"/>
              <w:kinsoku/>
              <w:wordWrap/>
              <w:overflowPunct/>
              <w:topLinePunct w:val="0"/>
              <w:autoSpaceDE w:val="0"/>
              <w:autoSpaceDN w:val="0"/>
              <w:bidi w:val="0"/>
              <w:adjustRightInd w:val="0"/>
              <w:snapToGrid w:val="0"/>
              <w:spacing w:line="360" w:lineRule="auto"/>
              <w:ind w:firstLine="476"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1"/>
                <w:sz w:val="24"/>
                <w:szCs w:val="24"/>
                <w:highlight w:val="none"/>
                <w14:textFill>
                  <w14:solidFill>
                    <w14:schemeClr w14:val="tx1"/>
                  </w14:solidFill>
                </w14:textFill>
              </w:rPr>
              <w:t>根据《建设项目环境影响报告表编制指南</w:t>
            </w:r>
            <w:r>
              <w:rPr>
                <w:rFonts w:hint="default" w:ascii="Times New Roman" w:hAnsi="Times New Roman" w:eastAsia="宋体" w:cs="Times New Roman"/>
                <w:color w:val="000000" w:themeColor="text1"/>
                <w:spacing w:val="-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1"/>
                <w:sz w:val="24"/>
                <w:szCs w:val="24"/>
                <w:highlight w:val="none"/>
                <w14:textFill>
                  <w14:solidFill>
                    <w14:schemeClr w14:val="tx1"/>
                  </w14:solidFill>
                </w14:textFill>
              </w:rPr>
              <w:t>污染影响类</w:t>
            </w:r>
            <w:r>
              <w:rPr>
                <w:rFonts w:hint="default" w:ascii="Times New Roman" w:hAnsi="Times New Roman" w:eastAsia="宋体" w:cs="Times New Roman"/>
                <w:color w:val="000000" w:themeColor="text1"/>
                <w:spacing w:val="-1"/>
                <w:sz w:val="24"/>
                <w:szCs w:val="24"/>
                <w:highlight w:val="none"/>
                <w:lang w:eastAsia="zh-CN"/>
                <w14:textFill>
                  <w14:solidFill>
                    <w14:schemeClr w14:val="tx1"/>
                  </w14:solidFill>
                </w14:textFill>
              </w:rPr>
              <w:t>）</w:t>
            </w:r>
            <w:r>
              <w:rPr>
                <w:rFonts w:hint="eastAsia" w:ascii="Times New Roman" w:hAnsi="Times New Roman" w:eastAsia="宋体" w:cs="Times New Roman"/>
                <w:color w:val="000000" w:themeColor="text1"/>
                <w:spacing w:val="-1"/>
                <w:sz w:val="24"/>
                <w:szCs w:val="24"/>
                <w:highlight w:val="none"/>
                <w:lang w:eastAsia="zh-CN"/>
                <w14:textFill>
                  <w14:solidFill>
                    <w14:schemeClr w14:val="tx1"/>
                  </w14:solidFill>
                </w14:textFill>
              </w:rPr>
              <w:t>（试行）》</w:t>
            </w:r>
            <w:r>
              <w:rPr>
                <w:rFonts w:hint="default" w:ascii="Times New Roman" w:hAnsi="Times New Roman" w:eastAsia="宋体" w:cs="Times New Roman"/>
                <w:color w:val="000000" w:themeColor="text1"/>
                <w:sz w:val="24"/>
                <w:szCs w:val="24"/>
                <w:highlight w:val="none"/>
                <w14:textFill>
                  <w14:solidFill>
                    <w14:schemeClr w14:val="tx1"/>
                  </w14:solidFill>
                </w14:textFill>
              </w:rPr>
              <w:t>表1专项评价设置原则表，本项目无需编制专项评价。</w:t>
            </w:r>
          </w:p>
          <w:p w14:paraId="658BDA6F">
            <w:pPr>
              <w:autoSpaceDE w:val="0"/>
              <w:autoSpaceDN w:val="0"/>
              <w:adjustRightInd w:val="0"/>
              <w:snapToGrid w:val="0"/>
              <w:jc w:val="center"/>
              <w:rPr>
                <w:rFonts w:hint="default" w:ascii="Times New Roman" w:hAnsi="Times New Roman" w:eastAsia="宋体" w:cs="Times New Roman"/>
                <w:b/>
                <w:bCs/>
                <w:color w:val="000000" w:themeColor="text1"/>
                <w:spacing w:val="-3"/>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pacing w:val="-3"/>
                <w:sz w:val="24"/>
                <w:szCs w:val="24"/>
                <w:highlight w:val="none"/>
                <w14:textFill>
                  <w14:solidFill>
                    <w14:schemeClr w14:val="tx1"/>
                  </w14:solidFill>
                </w14:textFill>
              </w:rPr>
              <w:t>表1专项设置原则表</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6"/>
              <w:gridCol w:w="3075"/>
              <w:gridCol w:w="2922"/>
              <w:gridCol w:w="665"/>
            </w:tblGrid>
            <w:tr w14:paraId="2AC0F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pct"/>
                  <w:noWrap w:val="0"/>
                  <w:vAlign w:val="center"/>
                </w:tcPr>
                <w:p w14:paraId="36763272">
                  <w:pPr>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专项评价的类别</w:t>
                  </w:r>
                </w:p>
              </w:tc>
              <w:tc>
                <w:tcPr>
                  <w:tcW w:w="1971" w:type="pct"/>
                  <w:noWrap w:val="0"/>
                  <w:vAlign w:val="center"/>
                </w:tcPr>
                <w:p w14:paraId="0FFD3A2A">
                  <w:pPr>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设置原则</w:t>
                  </w:r>
                </w:p>
              </w:tc>
              <w:tc>
                <w:tcPr>
                  <w:tcW w:w="1873" w:type="pct"/>
                  <w:noWrap w:val="0"/>
                  <w:vAlign w:val="center"/>
                </w:tcPr>
                <w:p w14:paraId="2D270F3C">
                  <w:pPr>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本项目</w:t>
                  </w:r>
                </w:p>
              </w:tc>
              <w:tc>
                <w:tcPr>
                  <w:tcW w:w="426" w:type="pct"/>
                  <w:noWrap w:val="0"/>
                  <w:vAlign w:val="center"/>
                </w:tcPr>
                <w:p w14:paraId="099F37BC">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bCs/>
                      <w:color w:val="000000" w:themeColor="text1"/>
                      <w:spacing w:val="-3"/>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情况判定</w:t>
                  </w:r>
                </w:p>
              </w:tc>
            </w:tr>
            <w:tr w14:paraId="3D335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pct"/>
                  <w:noWrap w:val="0"/>
                  <w:vAlign w:val="center"/>
                </w:tcPr>
                <w:p w14:paraId="62F820CD">
                  <w:pPr>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大气</w:t>
                  </w:r>
                </w:p>
              </w:tc>
              <w:tc>
                <w:tcPr>
                  <w:tcW w:w="1971" w:type="pct"/>
                  <w:noWrap w:val="0"/>
                  <w:vAlign w:val="center"/>
                </w:tcPr>
                <w:p w14:paraId="3FEB9CED">
                  <w:pPr>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排放废气含有毒有害污染物、二噁英、苯并[a]芘、氰化物、氯气且厂界外500</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m</w:t>
                  </w:r>
                  <w:r>
                    <w:rPr>
                      <w:rFonts w:hint="default" w:ascii="Times New Roman" w:hAnsi="Times New Roman" w:eastAsia="宋体" w:cs="Times New Roman"/>
                      <w:color w:val="000000" w:themeColor="text1"/>
                      <w:sz w:val="21"/>
                      <w:szCs w:val="21"/>
                      <w:highlight w:val="none"/>
                      <w14:textFill>
                        <w14:solidFill>
                          <w14:schemeClr w14:val="tx1"/>
                        </w14:solidFill>
                      </w14:textFill>
                    </w:rPr>
                    <w:t>范围内有环境空气保护目标的建设项目。</w:t>
                  </w:r>
                </w:p>
              </w:tc>
              <w:tc>
                <w:tcPr>
                  <w:tcW w:w="1873" w:type="pct"/>
                  <w:noWrap w:val="0"/>
                  <w:vAlign w:val="center"/>
                </w:tcPr>
                <w:p w14:paraId="47A3A8FD">
                  <w:pPr>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本项目废气中不含所述毒有害污染物，</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且</w:t>
                  </w:r>
                  <w:r>
                    <w:rPr>
                      <w:rFonts w:hint="default" w:ascii="Times New Roman" w:hAnsi="Times New Roman" w:eastAsia="宋体" w:cs="Times New Roman"/>
                      <w:color w:val="000000" w:themeColor="text1"/>
                      <w:sz w:val="21"/>
                      <w:szCs w:val="21"/>
                      <w:highlight w:val="none"/>
                      <w14:textFill>
                        <w14:solidFill>
                          <w14:schemeClr w14:val="tx1"/>
                        </w14:solidFill>
                      </w14:textFill>
                    </w:rPr>
                    <w:t>厂界外500m范围内无大气环境保护目标。</w:t>
                  </w:r>
                </w:p>
              </w:tc>
              <w:tc>
                <w:tcPr>
                  <w:tcW w:w="426" w:type="pct"/>
                  <w:noWrap w:val="0"/>
                  <w:vAlign w:val="center"/>
                </w:tcPr>
                <w:p w14:paraId="40E5C7EB">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bCs/>
                      <w:color w:val="000000" w:themeColor="text1"/>
                      <w:spacing w:val="-3"/>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不涉及</w:t>
                  </w:r>
                </w:p>
              </w:tc>
            </w:tr>
            <w:tr w14:paraId="468A0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pct"/>
                  <w:noWrap w:val="0"/>
                  <w:vAlign w:val="center"/>
                </w:tcPr>
                <w:p w14:paraId="5C2BA0CA">
                  <w:pPr>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地表水</w:t>
                  </w:r>
                </w:p>
              </w:tc>
              <w:tc>
                <w:tcPr>
                  <w:tcW w:w="1971" w:type="pct"/>
                  <w:noWrap w:val="0"/>
                  <w:vAlign w:val="center"/>
                </w:tcPr>
                <w:p w14:paraId="171857A5">
                  <w:pPr>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新增工业废水直排建设项目</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槽罐车外送污水处理厂的除外</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新增废水直排的污水集中处理厂。</w:t>
                  </w:r>
                </w:p>
              </w:tc>
              <w:tc>
                <w:tcPr>
                  <w:tcW w:w="1873" w:type="pct"/>
                  <w:noWrap w:val="0"/>
                  <w:vAlign w:val="center"/>
                </w:tcPr>
                <w:p w14:paraId="35442235">
                  <w:pPr>
                    <w:adjustRightInd w:val="0"/>
                    <w:snapToGrid w:val="0"/>
                    <w:jc w:val="both"/>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本项目脱硫废水经三联箱装置处理后</w:t>
                  </w:r>
                  <w:r>
                    <w:rPr>
                      <w:rFonts w:hint="eastAsia" w:cs="Times New Roman"/>
                      <w:color w:val="000000" w:themeColor="text1"/>
                      <w:sz w:val="21"/>
                      <w:szCs w:val="21"/>
                      <w:highlight w:val="none"/>
                      <w:lang w:val="en-US" w:eastAsia="zh-CN"/>
                      <w14:textFill>
                        <w14:solidFill>
                          <w14:schemeClr w14:val="tx1"/>
                        </w14:solidFill>
                      </w14:textFill>
                    </w:rPr>
                    <w:t>回用</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脱硫浆液制备用水</w:t>
                  </w:r>
                  <w:r>
                    <w:rPr>
                      <w:rFonts w:hint="eastAsia" w:cs="Times New Roman"/>
                      <w:color w:val="000000" w:themeColor="text1"/>
                      <w:sz w:val="21"/>
                      <w:szCs w:val="21"/>
                      <w:highlight w:val="none"/>
                      <w:lang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锅炉排水和软水制备排水</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罐车拉运</w:t>
                  </w:r>
                  <w:r>
                    <w:rPr>
                      <w:rFonts w:hint="default" w:ascii="宋体" w:hAnsi="宋体" w:eastAsia="宋体" w:cs="宋体"/>
                      <w:color w:val="000000" w:themeColor="text1"/>
                      <w:kern w:val="0"/>
                      <w:sz w:val="21"/>
                      <w:szCs w:val="21"/>
                      <w:highlight w:val="none"/>
                      <w:lang w:val="en-US" w:eastAsia="zh-CN" w:bidi="ar"/>
                      <w14:textFill>
                        <w14:solidFill>
                          <w14:schemeClr w14:val="tx1"/>
                        </w14:solidFill>
                      </w14:textFill>
                    </w:rPr>
                    <w:t>至园区生产废水处理厂处理</w:t>
                  </w:r>
                  <w:r>
                    <w:rPr>
                      <w:rFonts w:hint="default" w:ascii="Times New Roman" w:hAnsi="Times New Roman" w:eastAsia="宋体" w:cs="Times New Roman"/>
                      <w:color w:val="000000" w:themeColor="text1"/>
                      <w:sz w:val="21"/>
                      <w:szCs w:val="21"/>
                      <w:highlight w:val="none"/>
                      <w14:textFill>
                        <w14:solidFill>
                          <w14:schemeClr w14:val="tx1"/>
                        </w14:solidFill>
                      </w14:textFill>
                    </w:rPr>
                    <w:t>；生活污水经厂区</w:t>
                  </w:r>
                  <w:r>
                    <w:rPr>
                      <w:rFonts w:hint="eastAsia" w:cs="Times New Roman"/>
                      <w:color w:val="000000" w:themeColor="text1"/>
                      <w:sz w:val="21"/>
                      <w:szCs w:val="21"/>
                      <w:highlight w:val="none"/>
                      <w:lang w:val="en-US" w:eastAsia="zh-CN"/>
                      <w14:textFill>
                        <w14:solidFill>
                          <w14:schemeClr w14:val="tx1"/>
                        </w14:solidFill>
                      </w14:textFill>
                    </w:rPr>
                    <w:t>防渗漏</w:t>
                  </w:r>
                  <w:r>
                    <w:rPr>
                      <w:rFonts w:hint="default" w:ascii="Times New Roman" w:hAnsi="Times New Roman" w:eastAsia="宋体" w:cs="Times New Roman"/>
                      <w:color w:val="000000" w:themeColor="text1"/>
                      <w:sz w:val="21"/>
                      <w:szCs w:val="21"/>
                      <w:highlight w:val="none"/>
                      <w14:textFill>
                        <w14:solidFill>
                          <w14:schemeClr w14:val="tx1"/>
                        </w14:solidFill>
                      </w14:textFill>
                    </w:rPr>
                    <w:t>化粪池处理后排入产业园污水处理厂处理，不外排。</w:t>
                  </w:r>
                </w:p>
              </w:tc>
              <w:tc>
                <w:tcPr>
                  <w:tcW w:w="426" w:type="pct"/>
                  <w:noWrap w:val="0"/>
                  <w:vAlign w:val="center"/>
                </w:tcPr>
                <w:p w14:paraId="73D83562">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bCs/>
                      <w:color w:val="000000" w:themeColor="text1"/>
                      <w:spacing w:val="-3"/>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不涉及</w:t>
                  </w:r>
                </w:p>
              </w:tc>
            </w:tr>
            <w:tr w14:paraId="4F84F0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pct"/>
                  <w:noWrap w:val="0"/>
                  <w:vAlign w:val="center"/>
                </w:tcPr>
                <w:p w14:paraId="1CB87A65">
                  <w:pPr>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环境风险</w:t>
                  </w:r>
                </w:p>
              </w:tc>
              <w:tc>
                <w:tcPr>
                  <w:tcW w:w="1971" w:type="pct"/>
                  <w:noWrap w:val="0"/>
                  <w:vAlign w:val="center"/>
                </w:tcPr>
                <w:p w14:paraId="6E2982B3">
                  <w:pPr>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有毒有害和易燃易爆危险物质存储量超过临界量的建设项目。</w:t>
                  </w:r>
                </w:p>
              </w:tc>
              <w:tc>
                <w:tcPr>
                  <w:tcW w:w="1873" w:type="pct"/>
                  <w:noWrap w:val="0"/>
                  <w:vAlign w:val="center"/>
                </w:tcPr>
                <w:p w14:paraId="2745ABD3">
                  <w:pPr>
                    <w:keepNext w:val="0"/>
                    <w:keepLines w:val="0"/>
                    <w:widowControl/>
                    <w:suppressLineNumbers w:val="0"/>
                    <w:jc w:val="both"/>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本项目生产过</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程中</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产生的有毒有害和易燃易爆危险物质不超过临界量</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426" w:type="pct"/>
                  <w:noWrap w:val="0"/>
                  <w:vAlign w:val="center"/>
                </w:tcPr>
                <w:p w14:paraId="35E7B2D4">
                  <w:pPr>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不涉及</w:t>
                  </w:r>
                </w:p>
              </w:tc>
            </w:tr>
            <w:tr w14:paraId="3F20B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pct"/>
                  <w:noWrap w:val="0"/>
                  <w:vAlign w:val="center"/>
                </w:tcPr>
                <w:p w14:paraId="12D12773">
                  <w:pPr>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生态</w:t>
                  </w:r>
                </w:p>
              </w:tc>
              <w:tc>
                <w:tcPr>
                  <w:tcW w:w="1971" w:type="pct"/>
                  <w:noWrap w:val="0"/>
                  <w:vAlign w:val="center"/>
                </w:tcPr>
                <w:p w14:paraId="52C2AD8E">
                  <w:pPr>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取水口下游500</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m</w:t>
                  </w:r>
                  <w:r>
                    <w:rPr>
                      <w:rFonts w:hint="default" w:ascii="Times New Roman" w:hAnsi="Times New Roman" w:eastAsia="宋体" w:cs="Times New Roman"/>
                      <w:color w:val="000000" w:themeColor="text1"/>
                      <w:sz w:val="21"/>
                      <w:szCs w:val="21"/>
                      <w:highlight w:val="none"/>
                      <w14:textFill>
                        <w14:solidFill>
                          <w14:schemeClr w14:val="tx1"/>
                        </w14:solidFill>
                      </w14:textFill>
                    </w:rPr>
                    <w:t>范围内有重要水生生物的自然产卵场、索饵场、越冬场和洄游通道的新增河道取水的污染类建设项目。</w:t>
                  </w:r>
                </w:p>
              </w:tc>
              <w:tc>
                <w:tcPr>
                  <w:tcW w:w="1873" w:type="pct"/>
                  <w:noWrap w:val="0"/>
                  <w:vAlign w:val="center"/>
                </w:tcPr>
                <w:p w14:paraId="54958A7F">
                  <w:pPr>
                    <w:keepNext w:val="0"/>
                    <w:keepLines w:val="0"/>
                    <w:widowControl/>
                    <w:suppressLineNumbers w:val="0"/>
                    <w:jc w:val="both"/>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本项目生产、生活用水均由园区集中供给，不涉及取水工程。</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无河道取水。</w:t>
                  </w:r>
                </w:p>
              </w:tc>
              <w:tc>
                <w:tcPr>
                  <w:tcW w:w="426" w:type="pct"/>
                  <w:noWrap w:val="0"/>
                  <w:vAlign w:val="center"/>
                </w:tcPr>
                <w:p w14:paraId="0BA0C7DC">
                  <w:pPr>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不涉及</w:t>
                  </w:r>
                </w:p>
              </w:tc>
            </w:tr>
            <w:tr w14:paraId="2C0B9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9" w:type="pct"/>
                  <w:noWrap w:val="0"/>
                  <w:vAlign w:val="center"/>
                </w:tcPr>
                <w:p w14:paraId="59BA2AD5">
                  <w:pPr>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海洋</w:t>
                  </w:r>
                </w:p>
              </w:tc>
              <w:tc>
                <w:tcPr>
                  <w:tcW w:w="1971" w:type="pct"/>
                  <w:noWrap w:val="0"/>
                  <w:vAlign w:val="center"/>
                </w:tcPr>
                <w:p w14:paraId="3CB2C43C">
                  <w:pPr>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直接向海排放污染物的海洋工程建设项目。</w:t>
                  </w:r>
                </w:p>
              </w:tc>
              <w:tc>
                <w:tcPr>
                  <w:tcW w:w="1873" w:type="pct"/>
                  <w:noWrap w:val="0"/>
                  <w:vAlign w:val="center"/>
                </w:tcPr>
                <w:p w14:paraId="2A899BBF">
                  <w:pPr>
                    <w:adjustRightInd w:val="0"/>
                    <w:snapToGrid w:val="0"/>
                    <w:jc w:val="both"/>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本项目周边无海洋。</w:t>
                  </w:r>
                </w:p>
              </w:tc>
              <w:tc>
                <w:tcPr>
                  <w:tcW w:w="426" w:type="pct"/>
                  <w:noWrap w:val="0"/>
                  <w:vAlign w:val="center"/>
                </w:tcPr>
                <w:p w14:paraId="58FE2EB1">
                  <w:pPr>
                    <w:adjustRightInd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不涉及</w:t>
                  </w:r>
                </w:p>
              </w:tc>
            </w:tr>
          </w:tbl>
          <w:p w14:paraId="7EBE94A6">
            <w:pPr>
              <w:autoSpaceDE w:val="0"/>
              <w:autoSpaceDN w:val="0"/>
              <w:adjustRightInd w:val="0"/>
              <w:snapToGrid w:val="0"/>
              <w:jc w:val="center"/>
              <w:rPr>
                <w:rFonts w:hint="default" w:ascii="Times New Roman" w:hAnsi="Times New Roman" w:eastAsia="宋体" w:cs="Times New Roman"/>
                <w:b/>
                <w:bCs/>
                <w:color w:val="000000" w:themeColor="text1"/>
                <w:spacing w:val="-3"/>
                <w:sz w:val="24"/>
                <w:szCs w:val="24"/>
                <w:highlight w:val="none"/>
                <w14:textFill>
                  <w14:solidFill>
                    <w14:schemeClr w14:val="tx1"/>
                  </w14:solidFill>
                </w14:textFill>
              </w:rPr>
            </w:pPr>
          </w:p>
        </w:tc>
      </w:tr>
      <w:tr w14:paraId="1DFFE5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843" w:type="dxa"/>
            <w:noWrap w:val="0"/>
            <w:vAlign w:val="center"/>
          </w:tcPr>
          <w:p w14:paraId="63D6E97F">
            <w:pPr>
              <w:autoSpaceDE w:val="0"/>
              <w:autoSpaceDN w:val="0"/>
              <w:adjustRightInd w:val="0"/>
              <w:snapToGrid w:val="0"/>
              <w:jc w:val="center"/>
              <w:rPr>
                <w:rFonts w:hint="default" w:ascii="Times New Roman" w:hAnsi="Times New Roman" w:eastAsia="宋体" w:cs="Times New Roman"/>
                <w:b/>
                <w:bCs/>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规划情况</w:t>
            </w:r>
          </w:p>
        </w:tc>
        <w:tc>
          <w:tcPr>
            <w:tcW w:w="8027" w:type="dxa"/>
            <w:gridSpan w:val="3"/>
            <w:noWrap w:val="0"/>
            <w:vAlign w:val="center"/>
          </w:tcPr>
          <w:p w14:paraId="1D70EE4D">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2008年2月，鄂尔多斯市人民政府向自治区人民政府就《内蒙古自治区准格尔经济开发区总体规划（2007-2020）》</w:t>
            </w:r>
            <w:r>
              <w:rPr>
                <w:rFonts w:hint="eastAsia" w:cs="Times New Roman"/>
                <w:color w:val="000000" w:themeColor="text1"/>
                <w:kern w:val="0"/>
                <w:sz w:val="24"/>
                <w:szCs w:val="24"/>
                <w:highlight w:val="none"/>
                <w:lang w:val="en-US" w:eastAsia="zh-CN" w:bidi="ar"/>
                <w14:textFill>
                  <w14:solidFill>
                    <w14:schemeClr w14:val="tx1"/>
                  </w14:solidFill>
                </w14:textFill>
              </w:rPr>
              <w:t>作</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了请示（鄂府字</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〔2008〕9号</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）；2008年3月，内蒙古</w:t>
            </w:r>
            <w:r>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t>自治区</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建设厅作了批复，同意了该总体规划（内建规</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〔2008〕87号</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）；2014年，内蒙古准格尔经济开发区管委会组织编制了</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《内蒙古准格尔经济开发区总体规划（2015—2030年）》</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。2020年4月，内蒙古准格尔经济开发区编制了《内蒙古准格尔经济开发区产业发展规划（2020-2030）》，响应国家和自治区“十四五”能耗双控政策，对开发区的产业规模和重大工程进行了规划调整。</w:t>
            </w:r>
          </w:p>
          <w:p w14:paraId="1E7193F3">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color w:val="000000" w:themeColor="text1"/>
                <w:highlight w:val="none"/>
                <w:lang w:val="en-US"/>
                <w14:textFill>
                  <w14:solidFill>
                    <w14:schemeClr w14:val="tx1"/>
                  </w14:solidFill>
                </w14:textFill>
              </w:rPr>
            </w:pPr>
            <w:r>
              <w:rPr>
                <w:rFonts w:hint="eastAsia" w:cs="Times New Roman"/>
                <w:color w:val="000000" w:themeColor="text1"/>
                <w:kern w:val="0"/>
                <w:sz w:val="24"/>
                <w:szCs w:val="24"/>
                <w:highlight w:val="none"/>
                <w:lang w:val="en-US" w:eastAsia="zh-CN" w:bidi="ar"/>
                <w14:textFill>
                  <w14:solidFill>
                    <w14:schemeClr w14:val="tx1"/>
                  </w14:solidFill>
                </w14:textFill>
              </w:rPr>
              <w:t>2023年4月5日，准格尔旗人民政府批复《准格尔经济开发区准格尔产业园控制性详细规划（过渡期）》（准政函〔2023〕352号）。</w:t>
            </w:r>
          </w:p>
        </w:tc>
      </w:tr>
      <w:tr w14:paraId="03FA44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843" w:type="dxa"/>
            <w:noWrap w:val="0"/>
            <w:vAlign w:val="center"/>
          </w:tcPr>
          <w:p w14:paraId="0ECD1500">
            <w:pPr>
              <w:adjustRightInd w:val="0"/>
              <w:snapToGrid w:val="0"/>
              <w:jc w:val="center"/>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规划环境影响评价情况</w:t>
            </w:r>
          </w:p>
        </w:tc>
        <w:tc>
          <w:tcPr>
            <w:tcW w:w="8027" w:type="dxa"/>
            <w:gridSpan w:val="3"/>
            <w:noWrap w:val="0"/>
            <w:vAlign w:val="center"/>
          </w:tcPr>
          <w:p w14:paraId="6AE36804">
            <w:pPr>
              <w:keepNext w:val="0"/>
              <w:keepLines w:val="0"/>
              <w:pageBreakBefore w:val="0"/>
              <w:widowControl w:val="0"/>
              <w:kinsoku/>
              <w:wordWrap/>
              <w:overflowPunct/>
              <w:topLinePunct w:val="0"/>
              <w:autoSpaceDE w:val="0"/>
              <w:autoSpaceDN w:val="0"/>
              <w:bidi w:val="0"/>
              <w:adjustRightInd w:val="0"/>
              <w:snapToGrid w:val="0"/>
              <w:spacing w:line="360" w:lineRule="auto"/>
              <w:jc w:val="both"/>
              <w:textAlignment w:val="auto"/>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规划环境影响评价文件名称：</w:t>
            </w: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内蒙古鄂尔多斯准格尔经济开发区准格尔产业园总体规划（2022-2030）</w:t>
            </w:r>
            <w:r>
              <w:rPr>
                <w:rFonts w:hint="default" w:ascii="Times New Roman" w:hAnsi="Times New Roman" w:eastAsia="宋体" w:cs="Times New Roman"/>
                <w:color w:val="000000" w:themeColor="text1"/>
                <w:sz w:val="24"/>
                <w:highlight w:val="none"/>
                <w14:textFill>
                  <w14:solidFill>
                    <w14:schemeClr w14:val="tx1"/>
                  </w14:solidFill>
                </w14:textFill>
              </w:rPr>
              <w:t>环境影响报告书》；</w:t>
            </w:r>
          </w:p>
          <w:p w14:paraId="61B38002">
            <w:pPr>
              <w:autoSpaceDE w:val="0"/>
              <w:autoSpaceDN w:val="0"/>
              <w:adjustRightInd w:val="0"/>
              <w:snapToGrid w:val="0"/>
              <w:spacing w:line="360" w:lineRule="auto"/>
              <w:jc w:val="both"/>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审批机关：</w:t>
            </w:r>
            <w:r>
              <w:rPr>
                <w:rFonts w:hint="default" w:ascii="Times New Roman" w:hAnsi="Times New Roman" w:eastAsia="宋体" w:cs="Times New Roman"/>
                <w:color w:val="000000" w:themeColor="text1"/>
                <w:kern w:val="0"/>
                <w:sz w:val="24"/>
                <w:highlight w:val="none"/>
                <w14:textFill>
                  <w14:solidFill>
                    <w14:schemeClr w14:val="tx1"/>
                  </w14:solidFill>
                </w14:textFill>
              </w:rPr>
              <w:t>内蒙古自治区</w:t>
            </w:r>
            <w:r>
              <w:rPr>
                <w:rFonts w:hint="eastAsia" w:cs="Times New Roman"/>
                <w:color w:val="000000" w:themeColor="text1"/>
                <w:kern w:val="0"/>
                <w:sz w:val="24"/>
                <w:highlight w:val="none"/>
                <w:lang w:val="en-US" w:eastAsia="zh-CN"/>
                <w14:textFill>
                  <w14:solidFill>
                    <w14:schemeClr w14:val="tx1"/>
                  </w14:solidFill>
                </w14:textFill>
              </w:rPr>
              <w:t>生态环境</w:t>
            </w:r>
            <w:r>
              <w:rPr>
                <w:rFonts w:hint="default" w:ascii="Times New Roman" w:hAnsi="Times New Roman" w:eastAsia="宋体" w:cs="Times New Roman"/>
                <w:color w:val="000000" w:themeColor="text1"/>
                <w:kern w:val="0"/>
                <w:sz w:val="24"/>
                <w:highlight w:val="none"/>
                <w14:textFill>
                  <w14:solidFill>
                    <w14:schemeClr w14:val="tx1"/>
                  </w14:solidFill>
                </w14:textFill>
              </w:rPr>
              <w:t>厅</w:t>
            </w:r>
            <w:r>
              <w:rPr>
                <w:rFonts w:hint="eastAsia" w:cs="Times New Roman"/>
                <w:color w:val="000000" w:themeColor="text1"/>
                <w:kern w:val="0"/>
                <w:sz w:val="24"/>
                <w:highlight w:val="none"/>
                <w:lang w:eastAsia="zh-CN"/>
                <w14:textFill>
                  <w14:solidFill>
                    <w14:schemeClr w14:val="tx1"/>
                  </w14:solidFill>
                </w14:textFill>
              </w:rPr>
              <w:t>（</w:t>
            </w:r>
            <w:r>
              <w:rPr>
                <w:rFonts w:hint="eastAsia" w:cs="Times New Roman"/>
                <w:color w:val="000000" w:themeColor="text1"/>
                <w:kern w:val="0"/>
                <w:sz w:val="24"/>
                <w:highlight w:val="none"/>
                <w:lang w:val="en-US" w:eastAsia="zh-CN"/>
                <w14:textFill>
                  <w14:solidFill>
                    <w14:schemeClr w14:val="tx1"/>
                  </w14:solidFill>
                </w14:textFill>
              </w:rPr>
              <w:t>原</w:t>
            </w:r>
            <w:r>
              <w:rPr>
                <w:rFonts w:hint="default" w:ascii="Times New Roman" w:hAnsi="Times New Roman" w:eastAsia="宋体" w:cs="Times New Roman"/>
                <w:color w:val="000000" w:themeColor="text1"/>
                <w:kern w:val="0"/>
                <w:sz w:val="24"/>
                <w:highlight w:val="none"/>
                <w14:textFill>
                  <w14:solidFill>
                    <w14:schemeClr w14:val="tx1"/>
                  </w14:solidFill>
                </w14:textFill>
              </w:rPr>
              <w:t>内蒙古自治区环境保护厅</w:t>
            </w:r>
            <w:r>
              <w:rPr>
                <w:rFonts w:hint="eastAsia" w:cs="Times New Roman"/>
                <w:color w:val="000000" w:themeColor="text1"/>
                <w:kern w:val="0"/>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highlight w:val="none"/>
                <w14:textFill>
                  <w14:solidFill>
                    <w14:schemeClr w14:val="tx1"/>
                  </w14:solidFill>
                </w14:textFill>
              </w:rPr>
              <w:t>；</w:t>
            </w:r>
          </w:p>
          <w:p w14:paraId="65FE8EB1">
            <w:pPr>
              <w:autoSpaceDE w:val="0"/>
              <w:autoSpaceDN w:val="0"/>
              <w:adjustRightInd w:val="0"/>
              <w:snapToGrid w:val="0"/>
              <w:spacing w:line="360" w:lineRule="auto"/>
              <w:jc w:val="both"/>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审查文件名称及文号：</w:t>
            </w:r>
            <w:r>
              <w:rPr>
                <w:rFonts w:hint="default" w:ascii="Times New Roman" w:hAnsi="Times New Roman" w:eastAsia="宋体" w:cs="Times New Roman"/>
                <w:color w:val="000000" w:themeColor="text1"/>
                <w:kern w:val="0"/>
                <w:sz w:val="24"/>
                <w:highlight w:val="none"/>
                <w14:textFill>
                  <w14:solidFill>
                    <w14:schemeClr w14:val="tx1"/>
                  </w14:solidFill>
                </w14:textFill>
              </w:rPr>
              <w:t>《内蒙古自治区环境保护厅关于</w:t>
            </w:r>
            <w:r>
              <w:rPr>
                <w:rFonts w:hint="default" w:ascii="Times New Roman" w:hAnsi="Times New Roman" w:eastAsia="宋体" w:cs="Times New Roman"/>
                <w:color w:val="000000" w:themeColor="text1"/>
                <w:kern w:val="0"/>
                <w:sz w:val="24"/>
                <w:highlight w:val="none"/>
                <w:lang w:val="en-US" w:eastAsia="zh-CN"/>
                <w14:textFill>
                  <w14:solidFill>
                    <w14:schemeClr w14:val="tx1"/>
                  </w14:solidFill>
                </w14:textFill>
              </w:rPr>
              <w:t>内蒙古鄂尔多斯准格尔经济开发区准格尔产业园总体规划（2022-2030）</w:t>
            </w:r>
            <w:r>
              <w:rPr>
                <w:rFonts w:hint="default" w:ascii="Times New Roman" w:hAnsi="Times New Roman" w:eastAsia="宋体" w:cs="Times New Roman"/>
                <w:color w:val="000000" w:themeColor="text1"/>
                <w:kern w:val="0"/>
                <w:sz w:val="24"/>
                <w:highlight w:val="none"/>
                <w14:textFill>
                  <w14:solidFill>
                    <w14:schemeClr w14:val="tx1"/>
                  </w14:solidFill>
                </w14:textFill>
              </w:rPr>
              <w:t>环境影响报告书的审查意见》（</w:t>
            </w:r>
            <w:r>
              <w:rPr>
                <w:rFonts w:hint="default" w:ascii="Times New Roman" w:hAnsi="Times New Roman" w:eastAsia="宋体" w:cs="Times New Roman"/>
                <w:snapToGrid w:val="0"/>
                <w:color w:val="000000" w:themeColor="text1"/>
                <w:kern w:val="0"/>
                <w:sz w:val="24"/>
                <w:highlight w:val="none"/>
                <w14:textFill>
                  <w14:solidFill>
                    <w14:schemeClr w14:val="tx1"/>
                  </w14:solidFill>
                </w14:textFill>
              </w:rPr>
              <w:t>内环字</w:t>
            </w:r>
            <w:r>
              <w:rPr>
                <w:rFonts w:hint="eastAsia" w:ascii="Times New Roman" w:hAnsi="Times New Roman" w:eastAsia="宋体" w:cs="Times New Roman"/>
                <w:snapToGrid w:val="0"/>
                <w:color w:val="000000" w:themeColor="text1"/>
                <w:kern w:val="0"/>
                <w:sz w:val="24"/>
                <w:highlight w:val="none"/>
                <w:lang w:eastAsia="zh-CN"/>
                <w14:textFill>
                  <w14:solidFill>
                    <w14:schemeClr w14:val="tx1"/>
                  </w14:solidFill>
                </w14:textFill>
              </w:rPr>
              <w:t>〔2022〕25号</w:t>
            </w:r>
            <w:r>
              <w:rPr>
                <w:rFonts w:hint="default" w:ascii="Times New Roman" w:hAnsi="Times New Roman" w:eastAsia="宋体" w:cs="Times New Roman"/>
                <w:color w:val="000000" w:themeColor="text1"/>
                <w:kern w:val="0"/>
                <w:sz w:val="24"/>
                <w:highlight w:val="none"/>
                <w14:textFill>
                  <w14:solidFill>
                    <w14:schemeClr w14:val="tx1"/>
                  </w14:solidFill>
                </w14:textFill>
              </w:rPr>
              <w:t>）。</w:t>
            </w:r>
          </w:p>
        </w:tc>
      </w:tr>
      <w:tr w14:paraId="1423A4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4" w:hRule="atLeast"/>
          <w:jc w:val="center"/>
        </w:trPr>
        <w:tc>
          <w:tcPr>
            <w:tcW w:w="843" w:type="dxa"/>
            <w:noWrap w:val="0"/>
            <w:vAlign w:val="center"/>
          </w:tcPr>
          <w:p w14:paraId="1926E769">
            <w:pPr>
              <w:autoSpaceDE w:val="0"/>
              <w:autoSpaceDN w:val="0"/>
              <w:adjustRightInd w:val="0"/>
              <w:snapToGrid w:val="0"/>
              <w:jc w:val="center"/>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规划及规划环境影响评价符合性分析</w:t>
            </w:r>
          </w:p>
        </w:tc>
        <w:tc>
          <w:tcPr>
            <w:tcW w:w="8027" w:type="dxa"/>
            <w:gridSpan w:val="3"/>
            <w:noWrap w:val="0"/>
            <w:vAlign w:val="center"/>
          </w:tcPr>
          <w:p w14:paraId="4E287DE4">
            <w:pPr>
              <w:pStyle w:val="103"/>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cs="Times New Roman"/>
                <w:color w:val="000000" w:themeColor="text1"/>
                <w:szCs w:val="24"/>
                <w:highlight w:val="none"/>
                <w:lang w:val="en-US" w:eastAsia="zh-CN"/>
                <w14:textFill>
                  <w14:solidFill>
                    <w14:schemeClr w14:val="tx1"/>
                  </w14:solidFill>
                </w14:textFill>
              </w:rPr>
            </w:pPr>
            <w:r>
              <w:rPr>
                <w:rFonts w:hint="eastAsia" w:cs="Times New Roman"/>
                <w:color w:val="000000" w:themeColor="text1"/>
                <w:szCs w:val="24"/>
                <w:highlight w:val="none"/>
                <w:lang w:val="en-US" w:eastAsia="zh-CN"/>
                <w14:textFill>
                  <w14:solidFill>
                    <w14:schemeClr w14:val="tx1"/>
                  </w14:solidFill>
                </w14:textFill>
              </w:rPr>
              <w:t>1.规划布局符合性</w:t>
            </w:r>
          </w:p>
          <w:p w14:paraId="3374A927">
            <w:pPr>
              <w:pStyle w:val="103"/>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根据《内蒙古鄂尔多斯准格尔经济开发区准格尔产业园总体规划（2020－2030）环境影响报告书》，准格尔产业园区以“低阶煤综合利用产业和无机非金属材料产业</w:t>
            </w:r>
            <w:r>
              <w:rPr>
                <w:rFonts w:hint="eastAsia" w:cs="Times New Roman"/>
                <w:color w:val="000000" w:themeColor="text1"/>
                <w:szCs w:val="24"/>
                <w:highlight w:val="none"/>
                <w:lang w:val="en-US" w:eastAsia="zh-CN"/>
                <w14:textFill>
                  <w14:solidFill>
                    <w14:schemeClr w14:val="tx1"/>
                  </w14:solidFill>
                </w14:textFill>
              </w:rPr>
              <w:t>”两</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大产业为主导产业，以废物综合利用、新材料新技术和轻工等产业为主要相关配套产业</w:t>
            </w:r>
            <w:r>
              <w:rPr>
                <w:rFonts w:hint="eastAsia" w:cs="Times New Roman"/>
                <w:color w:val="000000" w:themeColor="text1"/>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形成低阶煤综合利用产业链和无机非金属材料产业链两大产业链”。</w:t>
            </w:r>
          </w:p>
          <w:p w14:paraId="3DF3234A">
            <w:pPr>
              <w:pStyle w:val="103"/>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园区用地规划布局：园区发展方向为“北进、南控、东扩、西优”。在空间布局上可以划分为“一轴、五带、三区”。</w:t>
            </w:r>
          </w:p>
          <w:p w14:paraId="6B3246AD">
            <w:pPr>
              <w:pStyle w:val="103"/>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①一轴：依托纳林川水体形成的生态景观轴线。</w:t>
            </w:r>
          </w:p>
          <w:p w14:paraId="2954BAF8">
            <w:pPr>
              <w:pStyle w:val="103"/>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②五带：结合过境交通及沟壑、水体形成的三条横向生态绿化隔离带，以及依托贯穿园区南北的道路两侧绿化带、防护隔离带形成的两条纵向绿化隔离带。</w:t>
            </w:r>
          </w:p>
          <w:p w14:paraId="2A299654">
            <w:pPr>
              <w:pStyle w:val="103"/>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③三区：根据园区核定边界，划定为I区、Ⅱ区、Ш区。</w:t>
            </w:r>
          </w:p>
          <w:p w14:paraId="7AF457F4">
            <w:pPr>
              <w:pStyle w:val="103"/>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园区分三大块区域，总规划面积为</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1620.20hm</w:t>
            </w:r>
            <w:r>
              <w:rPr>
                <w:rFonts w:hint="default" w:ascii="Times New Roman" w:hAnsi="Times New Roman" w:eastAsia="宋体" w:cs="Times New Roman"/>
                <w:color w:val="000000" w:themeColor="text1"/>
                <w:szCs w:val="24"/>
                <w:highlight w:val="none"/>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。其中，</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I</w:t>
            </w: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区规划面积</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1123.48hm</w:t>
            </w:r>
            <w:r>
              <w:rPr>
                <w:rFonts w:hint="default" w:ascii="Times New Roman" w:hAnsi="Times New Roman" w:eastAsia="宋体" w:cs="Times New Roman"/>
                <w:color w:val="000000" w:themeColor="text1"/>
                <w:szCs w:val="24"/>
                <w:highlight w:val="none"/>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，规划范围北至荣乌高速公路，东至壕羊公路，南至公益盖沟，西至创业大道；Ⅱ区面积</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297.09hm</w:t>
            </w:r>
            <w:r>
              <w:rPr>
                <w:rFonts w:hint="default" w:ascii="Times New Roman" w:hAnsi="Times New Roman" w:eastAsia="宋体" w:cs="Times New Roman"/>
                <w:color w:val="000000" w:themeColor="text1"/>
                <w:szCs w:val="24"/>
                <w:highlight w:val="none"/>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，规划</w:t>
            </w:r>
            <w:r>
              <w:rPr>
                <w:rFonts w:hint="eastAsia" w:cs="Times New Roman"/>
                <w:color w:val="000000" w:themeColor="text1"/>
                <w:szCs w:val="24"/>
                <w:highlight w:val="none"/>
                <w:lang w:val="en-US" w:eastAsia="zh-CN"/>
                <w14:textFill>
                  <w14:solidFill>
                    <w14:schemeClr w14:val="tx1"/>
                  </w14:solidFill>
                </w14:textFill>
              </w:rPr>
              <w:t>范围</w:t>
            </w: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北至布尔洞沟，东至灰渣固化处置场，南至荣乌高速公路，西至纳林川</w:t>
            </w:r>
            <w:r>
              <w:rPr>
                <w:rFonts w:hint="eastAsia" w:cs="Times New Roman"/>
                <w:color w:val="000000" w:themeColor="text1"/>
                <w:szCs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Ⅲ区面积</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199.63hm</w:t>
            </w:r>
            <w:r>
              <w:rPr>
                <w:rFonts w:hint="default" w:ascii="Times New Roman" w:hAnsi="Times New Roman" w:eastAsia="宋体" w:cs="Times New Roman"/>
                <w:color w:val="000000" w:themeColor="text1"/>
                <w:szCs w:val="24"/>
                <w:highlight w:val="none"/>
                <w:vertAlign w:val="superscript"/>
                <w:lang w:val="en-US" w:eastAsia="zh-CN"/>
                <w14:textFill>
                  <w14:solidFill>
                    <w14:schemeClr w14:val="tx1"/>
                  </w14:solidFill>
                </w14:textFill>
              </w:rPr>
              <w:t>2</w:t>
            </w: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，规划范围北至公益盖沟，东至壕羊公路，南至壕羊公路，西至学校坡。</w:t>
            </w:r>
          </w:p>
          <w:p w14:paraId="269B4D60">
            <w:pPr>
              <w:pStyle w:val="103"/>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产业定位：主导产业为无机非金属材料和低阶煤综合利用。</w:t>
            </w:r>
          </w:p>
          <w:p w14:paraId="5F088F38">
            <w:pPr>
              <w:pStyle w:val="103"/>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I区：以兴业路为界，分为化工产业区和无机非金属材料产业区两个功能分区。I区东侧为化工产业区，重点发展煤炭深加工产业及下游产业链，配套发展固废综合利用产业、机械制造、建材、轻工、光伏制氢及新材料新技术产业；I区为无机非金属材料产业一区</w:t>
            </w:r>
            <w:r>
              <w:rPr>
                <w:rFonts w:hint="eastAsia" w:cs="Times New Roman"/>
                <w:color w:val="000000" w:themeColor="text1"/>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重点发展利用高岭土、石英砂等无机非金属材料生产陶瓷、耐火材料等产业，配套发展固废综合利用产业及新材料新技术产业。</w:t>
            </w:r>
          </w:p>
          <w:p w14:paraId="308FCD16">
            <w:pPr>
              <w:pStyle w:val="103"/>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Ⅱ区：为无机非金属材料产业二区，重点发展利用高岭土、石英砂等无机非金属材料和固废资源生产陶瓷产品、耐火材料、玻璃制品等产业，配套发展新材料新技术产业。</w:t>
            </w:r>
          </w:p>
          <w:p w14:paraId="3FD6D78E">
            <w:pPr>
              <w:pStyle w:val="103"/>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Ⅲ区：为新兴产业区，重点发展特种玻璃、光伏制造、光伏太阳能组件等新兴产业。</w:t>
            </w:r>
          </w:p>
          <w:p w14:paraId="02438B14">
            <w:pPr>
              <w:pStyle w:val="103"/>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其中无机非金属材料产业链为：充分利用当地丰富的煤系高岭土、长石、石灰石、粘土和石英砂等无机非金属材料，制造多用途的高岭土标准化粉体材料和陶瓷原料、日用陶瓷、建筑陶瓷等功能性陶瓷产品，人工合成晶体、复合型新材料、电子级高新硅基材料、莫来石、焦宝石等耐火材料、铸造砂，以及特种玻璃等。下游延伸可发展太阳能光伏组件、光伏制氢等。</w:t>
            </w:r>
          </w:p>
          <w:p w14:paraId="7EA2F82A">
            <w:pPr>
              <w:pStyle w:val="103"/>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pPr>
            <w:r>
              <w:rPr>
                <w:rFonts w:hint="eastAsia" w:cs="Times New Roman"/>
                <w:color w:val="000000" w:themeColor="text1"/>
                <w:szCs w:val="24"/>
                <w:highlight w:val="none"/>
                <w:lang w:val="en-US" w:eastAsia="zh-CN"/>
                <w14:textFill>
                  <w14:solidFill>
                    <w14:schemeClr w14:val="tx1"/>
                  </w14:solidFill>
                </w14:textFill>
              </w:rPr>
              <w:t>本项目为新建项目，属于无机非金属材料产业，</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属于无机非金属材料产业链项目，符合准格尔经济开发区准格尔产业园规划。</w:t>
            </w:r>
          </w:p>
          <w:p w14:paraId="7DF34268">
            <w:pPr>
              <w:pStyle w:val="103"/>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本项目位于园区规划的I区</w:t>
            </w:r>
            <w:r>
              <w:rPr>
                <w:rFonts w:hint="eastAsia" w:cs="Times New Roman"/>
                <w:color w:val="000000" w:themeColor="text1"/>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无机非金属材料产</w:t>
            </w:r>
            <w:r>
              <w:rPr>
                <w:rFonts w:hint="eastAsia" w:cs="Times New Roman"/>
                <w:color w:val="000000" w:themeColor="text1"/>
                <w:szCs w:val="24"/>
                <w:highlight w:val="none"/>
                <w:lang w:val="en-US" w:eastAsia="zh-CN"/>
                <w14:textFill>
                  <w14:solidFill>
                    <w14:schemeClr w14:val="tx1"/>
                  </w14:solidFill>
                </w14:textFill>
              </w:rPr>
              <w:t>业园）中南部</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，在三类工业用地范围内</w:t>
            </w:r>
            <w:r>
              <w:rPr>
                <w:rFonts w:hint="eastAsia" w:cs="Times New Roman"/>
                <w:color w:val="000000" w:themeColor="text1"/>
                <w:szCs w:val="24"/>
                <w:highlight w:val="none"/>
                <w:lang w:val="en-US" w:eastAsia="zh-CN"/>
                <w14:textFill>
                  <w14:solidFill>
                    <w14:schemeClr w14:val="tx1"/>
                  </w14:solidFill>
                </w14:textFill>
              </w:rPr>
              <w:t>，已取得用地手续（见附件）</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，该区域配套发展固废综合利用产业及新材料新技术产业，故项目符合产业片区定位。本项目符合内蒙古准格尔经济开发区总体规划的要求。</w:t>
            </w:r>
          </w:p>
          <w:p w14:paraId="649F820C">
            <w:pPr>
              <w:pStyle w:val="103"/>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pPr>
            <w:r>
              <w:rPr>
                <w:rFonts w:hint="eastAsia" w:cs="Times New Roman"/>
                <w:color w:val="000000" w:themeColor="text1"/>
                <w:szCs w:val="24"/>
                <w:highlight w:val="none"/>
                <w:lang w:val="en-US" w:eastAsia="zh-CN"/>
                <w14:textFill>
                  <w14:solidFill>
                    <w14:schemeClr w14:val="tx1"/>
                  </w14:solidFill>
                </w14:textFill>
              </w:rPr>
              <w:t>具体位置</w:t>
            </w: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见下图。</w:t>
            </w:r>
          </w:p>
          <w:p w14:paraId="76DE4C6D">
            <w:pPr>
              <w:pStyle w:val="103"/>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pPr>
            <w:r>
              <w:rPr>
                <w:rFonts w:hint="eastAsia" w:cs="Times New Roman"/>
                <w:color w:val="000000" w:themeColor="text1"/>
                <w:szCs w:val="24"/>
                <w:highlight w:val="none"/>
                <w:lang w:val="en-US" w:eastAsia="zh-CN"/>
                <w14:textFill>
                  <w14:solidFill>
                    <w14:schemeClr w14:val="tx1"/>
                  </w14:solidFill>
                </w14:textFill>
              </w:rPr>
              <w:t>2.</w:t>
            </w: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规划规模符合性</w:t>
            </w:r>
          </w:p>
          <w:p w14:paraId="3CB62AF3">
            <w:pPr>
              <w:pStyle w:val="103"/>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根据《内蒙古准格尔经济开发区总体规划（</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2020-2030</w:t>
            </w: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）环境影响报告书》内容</w:t>
            </w:r>
            <w:r>
              <w:rPr>
                <w:rFonts w:hint="eastAsia" w:cs="Times New Roman"/>
                <w:color w:val="000000" w:themeColor="text1"/>
                <w:szCs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高岭土标准化粉体材料规划新增规模，近期</w:t>
            </w:r>
            <w:r>
              <w:rPr>
                <w:rFonts w:hint="eastAsia" w:cs="Times New Roman"/>
                <w:color w:val="000000" w:themeColor="text1"/>
                <w:szCs w:val="24"/>
                <w:highlight w:val="none"/>
                <w:lang w:val="en-US" w:eastAsia="zh-CN"/>
                <w14:textFill>
                  <w14:solidFill>
                    <w14:schemeClr w14:val="tx1"/>
                  </w14:solidFill>
                </w14:textFill>
              </w:rPr>
              <w:t>90万吨，远期13</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0</w:t>
            </w: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万吨。目前在建高岭土标准化粉体项目</w:t>
            </w:r>
            <w:r>
              <w:rPr>
                <w:rFonts w:hint="eastAsia" w:cs="Times New Roman"/>
                <w:color w:val="000000" w:themeColor="text1"/>
                <w:szCs w:val="24"/>
                <w:highlight w:val="none"/>
                <w:lang w:val="en-US" w:eastAsia="zh-CN"/>
                <w14:textFill>
                  <w14:solidFill>
                    <w14:schemeClr w14:val="tx1"/>
                  </w14:solidFill>
                </w14:textFill>
              </w:rPr>
              <w:t>60万吨</w:t>
            </w: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，本项目建设年产</w:t>
            </w:r>
            <w:r>
              <w:rPr>
                <w:rFonts w:hint="eastAsia" w:cs="Times New Roman"/>
                <w:color w:val="000000" w:themeColor="text1"/>
                <w:szCs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0</w:t>
            </w: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万吨，符合近期规划</w:t>
            </w:r>
            <w:r>
              <w:rPr>
                <w:rFonts w:hint="eastAsia" w:cs="Times New Roman"/>
                <w:color w:val="000000" w:themeColor="text1"/>
                <w:szCs w:val="24"/>
                <w:highlight w:val="none"/>
                <w:lang w:val="en-US" w:eastAsia="zh-CN"/>
                <w14:textFill>
                  <w14:solidFill>
                    <w14:schemeClr w14:val="tx1"/>
                  </w14:solidFill>
                </w14:textFill>
              </w:rPr>
              <w:t>13</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0</w:t>
            </w: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万吨要求。</w:t>
            </w:r>
          </w:p>
          <w:p w14:paraId="685B3C20">
            <w:pPr>
              <w:pStyle w:val="103"/>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000000" w:themeColor="text1"/>
                <w:szCs w:val="24"/>
                <w:highlight w:val="none"/>
                <w:lang w:val="en-US" w:eastAsia="zh-CN"/>
                <w14:textFill>
                  <w14:solidFill>
                    <w14:schemeClr w14:val="tx1"/>
                  </w14:solidFill>
                </w14:textFill>
              </w:rPr>
            </w:pPr>
            <w:r>
              <w:rPr>
                <w:rFonts w:hint="eastAsia" w:cs="Times New Roman"/>
                <w:color w:val="000000" w:themeColor="text1"/>
                <w:szCs w:val="24"/>
                <w:highlight w:val="none"/>
                <w:lang w:val="en-US" w:eastAsia="zh-CN"/>
                <w14:textFill>
                  <w14:solidFill>
                    <w14:schemeClr w14:val="tx1"/>
                  </w14:solidFill>
                </w14:textFill>
              </w:rPr>
              <w:t>3.排放量及容量符合性分析</w:t>
            </w:r>
          </w:p>
          <w:p w14:paraId="3581D3C1">
            <w:pPr>
              <w:pStyle w:val="103"/>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000000" w:themeColor="text1"/>
                <w:szCs w:val="24"/>
                <w:highlight w:val="none"/>
                <w:lang w:val="en-US" w:eastAsia="zh-CN"/>
                <w14:textFill>
                  <w14:solidFill>
                    <w14:schemeClr w14:val="tx1"/>
                  </w14:solidFill>
                </w14:textFill>
              </w:rPr>
            </w:pPr>
            <w:r>
              <w:rPr>
                <w:rFonts w:hint="eastAsia" w:cs="Times New Roman"/>
                <w:color w:val="000000" w:themeColor="text1"/>
                <w:szCs w:val="24"/>
                <w:highlight w:val="none"/>
                <w:lang w:val="en-US" w:eastAsia="zh-CN"/>
                <w14:textFill>
                  <w14:solidFill>
                    <w14:schemeClr w14:val="tx1"/>
                  </w14:solidFill>
                </w14:textFill>
              </w:rPr>
              <w:t>根据《内蒙古准格尔经济开发区总体规划（2020-2030）环境影响报告书》，园区2021合计SO</w:t>
            </w:r>
            <w:r>
              <w:rPr>
                <w:rFonts w:hint="eastAsia" w:cs="Times New Roman"/>
                <w:color w:val="000000" w:themeColor="text1"/>
                <w:szCs w:val="24"/>
                <w:highlight w:val="none"/>
                <w:vertAlign w:val="subscript"/>
                <w:lang w:val="en-US" w:eastAsia="zh-CN"/>
                <w14:textFill>
                  <w14:solidFill>
                    <w14:schemeClr w14:val="tx1"/>
                  </w14:solidFill>
                </w14:textFill>
              </w:rPr>
              <w:t>2</w:t>
            </w:r>
            <w:r>
              <w:rPr>
                <w:rFonts w:hint="eastAsia" w:cs="Times New Roman"/>
                <w:color w:val="000000" w:themeColor="text1"/>
                <w:szCs w:val="24"/>
                <w:highlight w:val="none"/>
                <w:lang w:val="en-US" w:eastAsia="zh-CN"/>
                <w14:textFill>
                  <w14:solidFill>
                    <w14:schemeClr w14:val="tx1"/>
                  </w14:solidFill>
                </w14:textFill>
              </w:rPr>
              <w:t>排放量453.4t/a，NOx排放量1035.4t/a，颗粒物排放量609.2t/a。</w:t>
            </w:r>
          </w:p>
          <w:p w14:paraId="570D1B3B">
            <w:pPr>
              <w:pStyle w:val="103"/>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000000" w:themeColor="text1"/>
                <w:szCs w:val="24"/>
                <w:highlight w:val="none"/>
                <w:lang w:val="en-US" w:eastAsia="zh-CN"/>
                <w14:textFill>
                  <w14:solidFill>
                    <w14:schemeClr w14:val="tx1"/>
                  </w14:solidFill>
                </w14:textFill>
              </w:rPr>
            </w:pPr>
            <w:r>
              <w:rPr>
                <w:rFonts w:hint="eastAsia" w:cs="Times New Roman"/>
                <w:color w:val="000000" w:themeColor="text1"/>
                <w:szCs w:val="24"/>
                <w:highlight w:val="none"/>
                <w:lang w:val="en-US" w:eastAsia="zh-CN"/>
                <w14:textFill>
                  <w14:solidFill>
                    <w14:schemeClr w14:val="tx1"/>
                  </w14:solidFill>
                </w14:textFill>
              </w:rPr>
              <w:t>近期情景下（2025年），近期新增项目（包括在建、拟建）SO</w:t>
            </w:r>
            <w:r>
              <w:rPr>
                <w:rFonts w:hint="eastAsia" w:cs="Times New Roman"/>
                <w:color w:val="000000" w:themeColor="text1"/>
                <w:szCs w:val="24"/>
                <w:highlight w:val="none"/>
                <w:vertAlign w:val="subscript"/>
                <w:lang w:val="en-US" w:eastAsia="zh-CN"/>
                <w14:textFill>
                  <w14:solidFill>
                    <w14:schemeClr w14:val="tx1"/>
                  </w14:solidFill>
                </w14:textFill>
              </w:rPr>
              <w:t>2</w:t>
            </w:r>
            <w:r>
              <w:rPr>
                <w:rFonts w:hint="eastAsia" w:cs="Times New Roman"/>
                <w:color w:val="000000" w:themeColor="text1"/>
                <w:szCs w:val="24"/>
                <w:highlight w:val="none"/>
                <w:lang w:val="en-US" w:eastAsia="zh-CN"/>
                <w14:textFill>
                  <w14:solidFill>
                    <w14:schemeClr w14:val="tx1"/>
                  </w14:solidFill>
                </w14:textFill>
              </w:rPr>
              <w:t>、NOx、PM</w:t>
            </w:r>
            <w:r>
              <w:rPr>
                <w:rFonts w:hint="eastAsia" w:cs="Times New Roman"/>
                <w:color w:val="000000" w:themeColor="text1"/>
                <w:szCs w:val="24"/>
                <w:highlight w:val="none"/>
                <w:vertAlign w:val="subscript"/>
                <w:lang w:val="en-US" w:eastAsia="zh-CN"/>
                <w14:textFill>
                  <w14:solidFill>
                    <w14:schemeClr w14:val="tx1"/>
                  </w14:solidFill>
                </w14:textFill>
              </w:rPr>
              <w:t>10</w:t>
            </w:r>
            <w:r>
              <w:rPr>
                <w:rFonts w:hint="eastAsia" w:cs="Times New Roman"/>
                <w:color w:val="000000" w:themeColor="text1"/>
                <w:szCs w:val="24"/>
                <w:highlight w:val="none"/>
                <w:lang w:val="en-US" w:eastAsia="zh-CN"/>
                <w14:textFill>
                  <w14:solidFill>
                    <w14:schemeClr w14:val="tx1"/>
                  </w14:solidFill>
                </w14:textFill>
              </w:rPr>
              <w:t>、PM</w:t>
            </w:r>
            <w:r>
              <w:rPr>
                <w:rFonts w:hint="eastAsia" w:cs="Times New Roman"/>
                <w:color w:val="000000" w:themeColor="text1"/>
                <w:szCs w:val="24"/>
                <w:highlight w:val="none"/>
                <w:vertAlign w:val="subscript"/>
                <w:lang w:val="en-US" w:eastAsia="zh-CN"/>
                <w14:textFill>
                  <w14:solidFill>
                    <w14:schemeClr w14:val="tx1"/>
                  </w14:solidFill>
                </w14:textFill>
              </w:rPr>
              <w:t>2.5</w:t>
            </w:r>
            <w:r>
              <w:rPr>
                <w:rFonts w:hint="eastAsia" w:cs="Times New Roman"/>
                <w:color w:val="000000" w:themeColor="text1"/>
                <w:szCs w:val="24"/>
                <w:highlight w:val="none"/>
                <w:lang w:val="en-US" w:eastAsia="zh-CN"/>
                <w14:textFill>
                  <w14:solidFill>
                    <w14:schemeClr w14:val="tx1"/>
                  </w14:solidFill>
                </w14:textFill>
              </w:rPr>
              <w:t>排放量分别为579.62t/a、1179.89t/a、334.84t/a、167.42t/a；停产复产项目SO</w:t>
            </w:r>
            <w:r>
              <w:rPr>
                <w:rFonts w:hint="eastAsia" w:cs="Times New Roman"/>
                <w:color w:val="000000" w:themeColor="text1"/>
                <w:szCs w:val="24"/>
                <w:highlight w:val="none"/>
                <w:vertAlign w:val="subscript"/>
                <w:lang w:val="en-US" w:eastAsia="zh-CN"/>
                <w14:textFill>
                  <w14:solidFill>
                    <w14:schemeClr w14:val="tx1"/>
                  </w14:solidFill>
                </w14:textFill>
              </w:rPr>
              <w:t>2</w:t>
            </w:r>
            <w:r>
              <w:rPr>
                <w:rFonts w:hint="eastAsia" w:cs="Times New Roman"/>
                <w:color w:val="000000" w:themeColor="text1"/>
                <w:szCs w:val="24"/>
                <w:highlight w:val="none"/>
                <w:lang w:val="en-US" w:eastAsia="zh-CN"/>
                <w14:textFill>
                  <w14:solidFill>
                    <w14:schemeClr w14:val="tx1"/>
                  </w14:solidFill>
                </w14:textFill>
              </w:rPr>
              <w:t>、NOx、PM</w:t>
            </w:r>
            <w:r>
              <w:rPr>
                <w:rFonts w:hint="eastAsia" w:cs="Times New Roman"/>
                <w:color w:val="000000" w:themeColor="text1"/>
                <w:szCs w:val="24"/>
                <w:highlight w:val="none"/>
                <w:vertAlign w:val="subscript"/>
                <w:lang w:val="en-US" w:eastAsia="zh-CN"/>
                <w14:textFill>
                  <w14:solidFill>
                    <w14:schemeClr w14:val="tx1"/>
                  </w14:solidFill>
                </w14:textFill>
              </w:rPr>
              <w:t>10</w:t>
            </w:r>
            <w:r>
              <w:rPr>
                <w:rFonts w:hint="eastAsia" w:cs="Times New Roman"/>
                <w:color w:val="000000" w:themeColor="text1"/>
                <w:szCs w:val="24"/>
                <w:highlight w:val="none"/>
                <w:lang w:val="en-US" w:eastAsia="zh-CN"/>
                <w14:textFill>
                  <w14:solidFill>
                    <w14:schemeClr w14:val="tx1"/>
                  </w14:solidFill>
                </w14:textFill>
              </w:rPr>
              <w:t>、PM</w:t>
            </w:r>
            <w:r>
              <w:rPr>
                <w:rFonts w:hint="eastAsia" w:cs="Times New Roman"/>
                <w:color w:val="000000" w:themeColor="text1"/>
                <w:szCs w:val="24"/>
                <w:highlight w:val="none"/>
                <w:vertAlign w:val="subscript"/>
                <w:lang w:val="en-US" w:eastAsia="zh-CN"/>
                <w14:textFill>
                  <w14:solidFill>
                    <w14:schemeClr w14:val="tx1"/>
                  </w14:solidFill>
                </w14:textFill>
              </w:rPr>
              <w:t>2.5</w:t>
            </w:r>
            <w:r>
              <w:rPr>
                <w:rFonts w:hint="eastAsia" w:cs="Times New Roman"/>
                <w:color w:val="000000" w:themeColor="text1"/>
                <w:szCs w:val="24"/>
                <w:highlight w:val="none"/>
                <w:lang w:val="en-US" w:eastAsia="zh-CN"/>
                <w14:textFill>
                  <w14:solidFill>
                    <w14:schemeClr w14:val="tx1"/>
                  </w14:solidFill>
                </w14:textFill>
              </w:rPr>
              <w:t>排放量分别为0.07t/a、42.71t/a、23.77t/a、11.89t/a。园区削减源共减少SO</w:t>
            </w:r>
            <w:r>
              <w:rPr>
                <w:rFonts w:hint="eastAsia" w:cs="Times New Roman"/>
                <w:color w:val="000000" w:themeColor="text1"/>
                <w:szCs w:val="24"/>
                <w:highlight w:val="none"/>
                <w:vertAlign w:val="subscript"/>
                <w:lang w:val="en-US" w:eastAsia="zh-CN"/>
                <w14:textFill>
                  <w14:solidFill>
                    <w14:schemeClr w14:val="tx1"/>
                  </w14:solidFill>
                </w14:textFill>
              </w:rPr>
              <w:t>2</w:t>
            </w:r>
            <w:r>
              <w:rPr>
                <w:rFonts w:hint="eastAsia" w:cs="Times New Roman"/>
                <w:color w:val="000000" w:themeColor="text1"/>
                <w:szCs w:val="24"/>
                <w:highlight w:val="none"/>
                <w:lang w:val="en-US" w:eastAsia="zh-CN"/>
                <w14:textFill>
                  <w14:solidFill>
                    <w14:schemeClr w14:val="tx1"/>
                  </w14:solidFill>
                </w14:textFill>
              </w:rPr>
              <w:t>、NOx、PM</w:t>
            </w:r>
            <w:r>
              <w:rPr>
                <w:rFonts w:hint="eastAsia" w:cs="Times New Roman"/>
                <w:color w:val="000000" w:themeColor="text1"/>
                <w:szCs w:val="24"/>
                <w:highlight w:val="none"/>
                <w:vertAlign w:val="subscript"/>
                <w:lang w:val="en-US" w:eastAsia="zh-CN"/>
                <w14:textFill>
                  <w14:solidFill>
                    <w14:schemeClr w14:val="tx1"/>
                  </w14:solidFill>
                </w14:textFill>
              </w:rPr>
              <w:t>10</w:t>
            </w:r>
            <w:r>
              <w:rPr>
                <w:rFonts w:hint="eastAsia" w:cs="Times New Roman"/>
                <w:color w:val="000000" w:themeColor="text1"/>
                <w:szCs w:val="24"/>
                <w:highlight w:val="none"/>
                <w:lang w:val="en-US" w:eastAsia="zh-CN"/>
                <w14:textFill>
                  <w14:solidFill>
                    <w14:schemeClr w14:val="tx1"/>
                  </w14:solidFill>
                </w14:textFill>
              </w:rPr>
              <w:t>、PM</w:t>
            </w:r>
            <w:r>
              <w:rPr>
                <w:rFonts w:hint="eastAsia" w:cs="Times New Roman"/>
                <w:color w:val="000000" w:themeColor="text1"/>
                <w:szCs w:val="24"/>
                <w:highlight w:val="none"/>
                <w:vertAlign w:val="subscript"/>
                <w:lang w:val="en-US" w:eastAsia="zh-CN"/>
                <w14:textFill>
                  <w14:solidFill>
                    <w14:schemeClr w14:val="tx1"/>
                  </w14:solidFill>
                </w14:textFill>
              </w:rPr>
              <w:t>2.5</w:t>
            </w:r>
            <w:r>
              <w:rPr>
                <w:rFonts w:hint="eastAsia" w:cs="Times New Roman"/>
                <w:color w:val="000000" w:themeColor="text1"/>
                <w:szCs w:val="24"/>
                <w:highlight w:val="none"/>
                <w:lang w:val="en-US" w:eastAsia="zh-CN"/>
                <w14:textFill>
                  <w14:solidFill>
                    <w14:schemeClr w14:val="tx1"/>
                  </w14:solidFill>
                </w14:textFill>
              </w:rPr>
              <w:t>排放量分别为66.2t/a、311.1t/a、258.8t/a、129.4t/a。叠加现状正常生产企业排放量，到2025年园区企业大气污染物排放量合计分别为SO</w:t>
            </w:r>
            <w:r>
              <w:rPr>
                <w:rFonts w:hint="eastAsia" w:cs="Times New Roman"/>
                <w:color w:val="000000" w:themeColor="text1"/>
                <w:szCs w:val="24"/>
                <w:highlight w:val="none"/>
                <w:vertAlign w:val="subscript"/>
                <w:lang w:val="en-US" w:eastAsia="zh-CN"/>
                <w14:textFill>
                  <w14:solidFill>
                    <w14:schemeClr w14:val="tx1"/>
                  </w14:solidFill>
                </w14:textFill>
              </w:rPr>
              <w:t>2</w:t>
            </w:r>
            <w:r>
              <w:rPr>
                <w:rFonts w:hint="eastAsia" w:cs="Times New Roman"/>
                <w:color w:val="000000" w:themeColor="text1"/>
                <w:szCs w:val="24"/>
                <w:highlight w:val="none"/>
                <w:lang w:val="en-US" w:eastAsia="zh-CN"/>
                <w14:textFill>
                  <w14:solidFill>
                    <w14:schemeClr w14:val="tx1"/>
                  </w14:solidFill>
                </w14:textFill>
              </w:rPr>
              <w:t>966.9t/a、NOx1946.9t/a、PM</w:t>
            </w:r>
            <w:r>
              <w:rPr>
                <w:rFonts w:hint="eastAsia" w:cs="Times New Roman"/>
                <w:color w:val="000000" w:themeColor="text1"/>
                <w:szCs w:val="24"/>
                <w:highlight w:val="none"/>
                <w:vertAlign w:val="subscript"/>
                <w:lang w:val="en-US" w:eastAsia="zh-CN"/>
                <w14:textFill>
                  <w14:solidFill>
                    <w14:schemeClr w14:val="tx1"/>
                  </w14:solidFill>
                </w14:textFill>
              </w:rPr>
              <w:t>10</w:t>
            </w:r>
            <w:r>
              <w:rPr>
                <w:rFonts w:hint="eastAsia" w:cs="Times New Roman"/>
                <w:color w:val="000000" w:themeColor="text1"/>
                <w:szCs w:val="24"/>
                <w:highlight w:val="none"/>
                <w:lang w:val="en-US" w:eastAsia="zh-CN"/>
                <w14:textFill>
                  <w14:solidFill>
                    <w14:schemeClr w14:val="tx1"/>
                  </w14:solidFill>
                </w14:textFill>
              </w:rPr>
              <w:t>709t/a、PM</w:t>
            </w:r>
            <w:r>
              <w:rPr>
                <w:rFonts w:hint="eastAsia" w:cs="Times New Roman"/>
                <w:color w:val="000000" w:themeColor="text1"/>
                <w:szCs w:val="24"/>
                <w:highlight w:val="none"/>
                <w:vertAlign w:val="subscript"/>
                <w:lang w:val="en-US" w:eastAsia="zh-CN"/>
                <w14:textFill>
                  <w14:solidFill>
                    <w14:schemeClr w14:val="tx1"/>
                  </w14:solidFill>
                </w14:textFill>
              </w:rPr>
              <w:t>2.5</w:t>
            </w:r>
            <w:r>
              <w:rPr>
                <w:rFonts w:hint="eastAsia" w:cs="Times New Roman"/>
                <w:color w:val="000000" w:themeColor="text1"/>
                <w:szCs w:val="24"/>
                <w:highlight w:val="none"/>
                <w:lang w:val="en-US" w:eastAsia="zh-CN"/>
                <w14:textFill>
                  <w14:solidFill>
                    <w14:schemeClr w14:val="tx1"/>
                  </w14:solidFill>
                </w14:textFill>
              </w:rPr>
              <w:t>354.5t/a、VOCs67.7t/a。</w:t>
            </w:r>
          </w:p>
          <w:p w14:paraId="6FFEF788">
            <w:pPr>
              <w:pStyle w:val="103"/>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000000" w:themeColor="text1"/>
                <w:szCs w:val="24"/>
                <w:highlight w:val="none"/>
                <w:lang w:val="en-US" w:eastAsia="zh-CN"/>
                <w14:textFill>
                  <w14:solidFill>
                    <w14:schemeClr w14:val="tx1"/>
                  </w14:solidFill>
                </w14:textFill>
              </w:rPr>
            </w:pP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远期规划情景下，远期新增项目（包括在建、拟建）</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SO</w:t>
            </w:r>
            <w:r>
              <w:rPr>
                <w:rFonts w:hint="default" w:ascii="Times New Roman" w:hAnsi="Times New Roman" w:eastAsia="宋体" w:cs="Times New Roman"/>
                <w:color w:val="000000" w:themeColor="text1"/>
                <w:kern w:val="0"/>
                <w:sz w:val="16"/>
                <w:szCs w:val="16"/>
                <w:highlight w:val="none"/>
                <w:lang w:val="en-US" w:eastAsia="zh-CN" w:bidi="ar"/>
                <w14:textFill>
                  <w14:solidFill>
                    <w14:schemeClr w14:val="tx1"/>
                  </w14:solidFill>
                </w14:textFill>
              </w:rPr>
              <w:t>2</w:t>
            </w: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NO</w:t>
            </w:r>
            <w:r>
              <w:rPr>
                <w:rFonts w:hint="default" w:ascii="Times New Roman" w:hAnsi="Times New Roman" w:eastAsia="宋体" w:cs="Times New Roman"/>
                <w:color w:val="000000" w:themeColor="text1"/>
                <w:kern w:val="0"/>
                <w:sz w:val="16"/>
                <w:szCs w:val="16"/>
                <w:highlight w:val="none"/>
                <w:lang w:val="en-US" w:eastAsia="zh-CN" w:bidi="ar"/>
                <w14:textFill>
                  <w14:solidFill>
                    <w14:schemeClr w14:val="tx1"/>
                  </w14:solidFill>
                </w14:textFill>
              </w:rPr>
              <w:t>x</w:t>
            </w: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PM</w:t>
            </w:r>
            <w:r>
              <w:rPr>
                <w:rFonts w:hint="default" w:ascii="Times New Roman" w:hAnsi="Times New Roman" w:eastAsia="宋体" w:cs="Times New Roman"/>
                <w:color w:val="000000" w:themeColor="text1"/>
                <w:kern w:val="0"/>
                <w:sz w:val="16"/>
                <w:szCs w:val="16"/>
                <w:highlight w:val="none"/>
                <w:lang w:val="en-US" w:eastAsia="zh-CN" w:bidi="ar"/>
                <w14:textFill>
                  <w14:solidFill>
                    <w14:schemeClr w14:val="tx1"/>
                  </w14:solidFill>
                </w14:textFill>
              </w:rPr>
              <w:t>10</w:t>
            </w: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PM</w:t>
            </w:r>
            <w:r>
              <w:rPr>
                <w:rFonts w:hint="default" w:ascii="Times New Roman" w:hAnsi="Times New Roman" w:eastAsia="宋体" w:cs="Times New Roman"/>
                <w:color w:val="000000" w:themeColor="text1"/>
                <w:kern w:val="0"/>
                <w:sz w:val="16"/>
                <w:szCs w:val="16"/>
                <w:highlight w:val="none"/>
                <w:lang w:val="en-US" w:eastAsia="zh-CN" w:bidi="ar"/>
                <w14:textFill>
                  <w14:solidFill>
                    <w14:schemeClr w14:val="tx1"/>
                  </w14:solidFill>
                </w14:textFill>
              </w:rPr>
              <w:t>2.5</w:t>
            </w:r>
            <w:r>
              <w:rPr>
                <w:rFonts w:hint="eastAsia" w:cs="Times New Roman"/>
                <w:color w:val="000000" w:themeColor="text1"/>
                <w:szCs w:val="24"/>
                <w:highlight w:val="none"/>
                <w:lang w:val="en-US" w:eastAsia="zh-CN"/>
                <w14:textFill>
                  <w14:solidFill>
                    <w14:schemeClr w14:val="tx1"/>
                  </w14:solidFill>
                </w14:textFill>
              </w:rPr>
              <w:t>和VOCs排放量分别为980.91t/a、2215.02t/a、513.1t/a、256.6t/a和21.75t/a，停产复产项目SO</w:t>
            </w:r>
            <w:r>
              <w:rPr>
                <w:rFonts w:hint="eastAsia" w:cs="Times New Roman"/>
                <w:color w:val="000000" w:themeColor="text1"/>
                <w:szCs w:val="24"/>
                <w:highlight w:val="none"/>
                <w:vertAlign w:val="subscript"/>
                <w:lang w:val="en-US" w:eastAsia="zh-CN"/>
                <w14:textFill>
                  <w14:solidFill>
                    <w14:schemeClr w14:val="tx1"/>
                  </w14:solidFill>
                </w14:textFill>
              </w:rPr>
              <w:t>2</w:t>
            </w:r>
            <w:r>
              <w:rPr>
                <w:rFonts w:hint="eastAsia" w:cs="Times New Roman"/>
                <w:color w:val="000000" w:themeColor="text1"/>
                <w:szCs w:val="24"/>
                <w:highlight w:val="none"/>
                <w:lang w:val="en-US" w:eastAsia="zh-CN"/>
                <w14:textFill>
                  <w14:solidFill>
                    <w14:schemeClr w14:val="tx1"/>
                  </w14:solidFill>
                </w14:textFill>
              </w:rPr>
              <w:t>、NOx、PM</w:t>
            </w:r>
            <w:r>
              <w:rPr>
                <w:rFonts w:hint="eastAsia" w:cs="Times New Roman"/>
                <w:color w:val="000000" w:themeColor="text1"/>
                <w:szCs w:val="24"/>
                <w:highlight w:val="none"/>
                <w:vertAlign w:val="subscript"/>
                <w:lang w:val="en-US" w:eastAsia="zh-CN"/>
                <w14:textFill>
                  <w14:solidFill>
                    <w14:schemeClr w14:val="tx1"/>
                  </w14:solidFill>
                </w14:textFill>
              </w:rPr>
              <w:t>10</w:t>
            </w:r>
            <w:r>
              <w:rPr>
                <w:rFonts w:hint="eastAsia" w:cs="Times New Roman"/>
                <w:color w:val="000000" w:themeColor="text1"/>
                <w:szCs w:val="24"/>
                <w:highlight w:val="none"/>
                <w:lang w:val="en-US" w:eastAsia="zh-CN"/>
                <w14:textFill>
                  <w14:solidFill>
                    <w14:schemeClr w14:val="tx1"/>
                  </w14:solidFill>
                </w14:textFill>
              </w:rPr>
              <w:t>、PM</w:t>
            </w:r>
            <w:r>
              <w:rPr>
                <w:rFonts w:hint="eastAsia" w:cs="Times New Roman"/>
                <w:color w:val="000000" w:themeColor="text1"/>
                <w:szCs w:val="24"/>
                <w:highlight w:val="none"/>
                <w:vertAlign w:val="subscript"/>
                <w:lang w:val="en-US" w:eastAsia="zh-CN"/>
                <w14:textFill>
                  <w14:solidFill>
                    <w14:schemeClr w14:val="tx1"/>
                  </w14:solidFill>
                </w14:textFill>
              </w:rPr>
              <w:t>2.5</w:t>
            </w:r>
            <w:r>
              <w:rPr>
                <w:rFonts w:hint="eastAsia" w:cs="Times New Roman"/>
                <w:color w:val="000000" w:themeColor="text1"/>
                <w:szCs w:val="24"/>
                <w:highlight w:val="none"/>
                <w:lang w:val="en-US" w:eastAsia="zh-CN"/>
                <w14:textFill>
                  <w14:solidFill>
                    <w14:schemeClr w14:val="tx1"/>
                  </w14:solidFill>
                </w14:textFill>
              </w:rPr>
              <w:t>和VOCs排放量分别为0.07t/a、42.71t/a、23.77t/a、11.89t/a和3.24t/a。园区削减源共减少SO</w:t>
            </w:r>
            <w:r>
              <w:rPr>
                <w:rFonts w:hint="eastAsia" w:cs="Times New Roman"/>
                <w:color w:val="000000" w:themeColor="text1"/>
                <w:szCs w:val="24"/>
                <w:highlight w:val="none"/>
                <w:vertAlign w:val="subscript"/>
                <w:lang w:val="en-US" w:eastAsia="zh-CN"/>
                <w14:textFill>
                  <w14:solidFill>
                    <w14:schemeClr w14:val="tx1"/>
                  </w14:solidFill>
                </w14:textFill>
              </w:rPr>
              <w:t>2</w:t>
            </w:r>
            <w:r>
              <w:rPr>
                <w:rFonts w:hint="eastAsia" w:cs="Times New Roman"/>
                <w:color w:val="000000" w:themeColor="text1"/>
                <w:szCs w:val="24"/>
                <w:highlight w:val="none"/>
                <w:lang w:val="en-US" w:eastAsia="zh-CN"/>
                <w14:textFill>
                  <w14:solidFill>
                    <w14:schemeClr w14:val="tx1"/>
                  </w14:solidFill>
                </w14:textFill>
              </w:rPr>
              <w:t>、NOx、PM</w:t>
            </w:r>
            <w:r>
              <w:rPr>
                <w:rFonts w:hint="eastAsia" w:cs="Times New Roman"/>
                <w:color w:val="000000" w:themeColor="text1"/>
                <w:szCs w:val="24"/>
                <w:highlight w:val="none"/>
                <w:vertAlign w:val="subscript"/>
                <w:lang w:val="en-US" w:eastAsia="zh-CN"/>
                <w14:textFill>
                  <w14:solidFill>
                    <w14:schemeClr w14:val="tx1"/>
                  </w14:solidFill>
                </w14:textFill>
              </w:rPr>
              <w:t>10</w:t>
            </w:r>
            <w:r>
              <w:rPr>
                <w:rFonts w:hint="eastAsia" w:cs="Times New Roman"/>
                <w:color w:val="000000" w:themeColor="text1"/>
                <w:szCs w:val="24"/>
                <w:highlight w:val="none"/>
                <w:lang w:val="en-US" w:eastAsia="zh-CN"/>
                <w14:textFill>
                  <w14:solidFill>
                    <w14:schemeClr w14:val="tx1"/>
                  </w14:solidFill>
                </w14:textFill>
              </w:rPr>
              <w:t>、PM</w:t>
            </w:r>
            <w:r>
              <w:rPr>
                <w:rFonts w:hint="eastAsia" w:cs="Times New Roman"/>
                <w:color w:val="000000" w:themeColor="text1"/>
                <w:szCs w:val="24"/>
                <w:highlight w:val="none"/>
                <w:vertAlign w:val="subscript"/>
                <w:lang w:val="en-US" w:eastAsia="zh-CN"/>
                <w14:textFill>
                  <w14:solidFill>
                    <w14:schemeClr w14:val="tx1"/>
                  </w14:solidFill>
                </w14:textFill>
              </w:rPr>
              <w:t>2.5</w:t>
            </w:r>
            <w:r>
              <w:rPr>
                <w:rFonts w:hint="eastAsia" w:cs="Times New Roman"/>
                <w:color w:val="000000" w:themeColor="text1"/>
                <w:szCs w:val="24"/>
                <w:highlight w:val="none"/>
                <w:lang w:val="en-US" w:eastAsia="zh-CN"/>
                <w14:textFill>
                  <w14:solidFill>
                    <w14:schemeClr w14:val="tx1"/>
                  </w14:solidFill>
                </w14:textFill>
              </w:rPr>
              <w:t>排放量分别为66.2t/a、311.1t/a、258.8t/a、129.4t/a。叠加现状正常生产企业排放量，到2030年园区企业大气污染物排放量合计分别为SO</w:t>
            </w:r>
            <w:r>
              <w:rPr>
                <w:rFonts w:hint="eastAsia" w:cs="Times New Roman"/>
                <w:color w:val="000000" w:themeColor="text1"/>
                <w:szCs w:val="24"/>
                <w:highlight w:val="none"/>
                <w:vertAlign w:val="subscript"/>
                <w:lang w:val="en-US" w:eastAsia="zh-CN"/>
                <w14:textFill>
                  <w14:solidFill>
                    <w14:schemeClr w14:val="tx1"/>
                  </w14:solidFill>
                </w14:textFill>
              </w:rPr>
              <w:t>2</w:t>
            </w:r>
            <w:r>
              <w:rPr>
                <w:rFonts w:hint="eastAsia" w:cs="Times New Roman"/>
                <w:color w:val="000000" w:themeColor="text1"/>
                <w:szCs w:val="24"/>
                <w:highlight w:val="none"/>
                <w:lang w:val="en-US" w:eastAsia="zh-CN"/>
                <w14:textFill>
                  <w14:solidFill>
                    <w14:schemeClr w14:val="tx1"/>
                  </w14:solidFill>
                </w14:textFill>
              </w:rPr>
              <w:t>1368.19t/a、NOx3080.83t/a、PM</w:t>
            </w:r>
            <w:r>
              <w:rPr>
                <w:rFonts w:hint="eastAsia" w:cs="Times New Roman"/>
                <w:color w:val="000000" w:themeColor="text1"/>
                <w:szCs w:val="24"/>
                <w:highlight w:val="none"/>
                <w:vertAlign w:val="subscript"/>
                <w:lang w:val="en-US" w:eastAsia="zh-CN"/>
                <w14:textFill>
                  <w14:solidFill>
                    <w14:schemeClr w14:val="tx1"/>
                  </w14:solidFill>
                </w14:textFill>
              </w:rPr>
              <w:t>10</w:t>
            </w:r>
            <w:r>
              <w:rPr>
                <w:rFonts w:hint="eastAsia" w:cs="Times New Roman"/>
                <w:color w:val="000000" w:themeColor="text1"/>
                <w:szCs w:val="24"/>
                <w:highlight w:val="none"/>
                <w:lang w:val="en-US" w:eastAsia="zh-CN"/>
                <w14:textFill>
                  <w14:solidFill>
                    <w14:schemeClr w14:val="tx1"/>
                  </w14:solidFill>
                </w14:textFill>
              </w:rPr>
              <w:t>887.26t/a、PM</w:t>
            </w:r>
            <w:r>
              <w:rPr>
                <w:rFonts w:hint="eastAsia" w:cs="Times New Roman"/>
                <w:color w:val="000000" w:themeColor="text1"/>
                <w:szCs w:val="24"/>
                <w:highlight w:val="none"/>
                <w:vertAlign w:val="subscript"/>
                <w:lang w:val="en-US" w:eastAsia="zh-CN"/>
                <w14:textFill>
                  <w14:solidFill>
                    <w14:schemeClr w14:val="tx1"/>
                  </w14:solidFill>
                </w14:textFill>
              </w:rPr>
              <w:t>2.5</w:t>
            </w:r>
            <w:r>
              <w:rPr>
                <w:rFonts w:hint="eastAsia" w:cs="Times New Roman"/>
                <w:color w:val="000000" w:themeColor="text1"/>
                <w:szCs w:val="24"/>
                <w:highlight w:val="none"/>
                <w:lang w:val="en-US" w:eastAsia="zh-CN"/>
                <w14:textFill>
                  <w14:solidFill>
                    <w14:schemeClr w14:val="tx1"/>
                  </w14:solidFill>
                </w14:textFill>
              </w:rPr>
              <w:t>443.63t/a、VOCs77.74t/a。</w:t>
            </w:r>
          </w:p>
          <w:p w14:paraId="12F77D0C">
            <w:pPr>
              <w:pStyle w:val="103"/>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000000" w:themeColor="text1"/>
                <w:szCs w:val="24"/>
                <w:highlight w:val="none"/>
                <w:lang w:val="en-US" w:eastAsia="zh-CN"/>
                <w14:textFill>
                  <w14:solidFill>
                    <w14:schemeClr w14:val="tx1"/>
                  </w14:solidFill>
                </w14:textFill>
              </w:rPr>
            </w:pPr>
            <w:r>
              <w:rPr>
                <w:rFonts w:hint="eastAsia" w:cs="Times New Roman"/>
                <w:color w:val="000000" w:themeColor="text1"/>
                <w:szCs w:val="24"/>
                <w:highlight w:val="none"/>
                <w:lang w:val="en-US" w:eastAsia="zh-CN"/>
                <w14:textFill>
                  <w14:solidFill>
                    <w14:schemeClr w14:val="tx1"/>
                  </w14:solidFill>
                </w14:textFill>
              </w:rPr>
              <w:t>远期优化情景下，远期新增项目（包括在建、拟建）SO</w:t>
            </w:r>
            <w:r>
              <w:rPr>
                <w:rFonts w:hint="eastAsia" w:cs="Times New Roman"/>
                <w:color w:val="000000" w:themeColor="text1"/>
                <w:szCs w:val="24"/>
                <w:highlight w:val="none"/>
                <w:vertAlign w:val="subscript"/>
                <w:lang w:val="en-US" w:eastAsia="zh-CN"/>
                <w14:textFill>
                  <w14:solidFill>
                    <w14:schemeClr w14:val="tx1"/>
                  </w14:solidFill>
                </w14:textFill>
              </w:rPr>
              <w:t>2</w:t>
            </w:r>
            <w:r>
              <w:rPr>
                <w:rFonts w:hint="eastAsia" w:cs="Times New Roman"/>
                <w:color w:val="000000" w:themeColor="text1"/>
                <w:szCs w:val="24"/>
                <w:highlight w:val="none"/>
                <w:lang w:val="en-US" w:eastAsia="zh-CN"/>
                <w14:textFill>
                  <w14:solidFill>
                    <w14:schemeClr w14:val="tx1"/>
                  </w14:solidFill>
                </w14:textFill>
              </w:rPr>
              <w:t>、NOx、烟（粉）尘、PM</w:t>
            </w:r>
            <w:r>
              <w:rPr>
                <w:rFonts w:hint="eastAsia" w:cs="Times New Roman"/>
                <w:color w:val="000000" w:themeColor="text1"/>
                <w:szCs w:val="24"/>
                <w:highlight w:val="none"/>
                <w:vertAlign w:val="subscript"/>
                <w:lang w:val="en-US" w:eastAsia="zh-CN"/>
                <w14:textFill>
                  <w14:solidFill>
                    <w14:schemeClr w14:val="tx1"/>
                  </w14:solidFill>
                </w14:textFill>
              </w:rPr>
              <w:t>2.5</w:t>
            </w:r>
            <w:r>
              <w:rPr>
                <w:rFonts w:hint="eastAsia" w:cs="Times New Roman"/>
                <w:color w:val="000000" w:themeColor="text1"/>
                <w:szCs w:val="24"/>
                <w:highlight w:val="none"/>
                <w:lang w:val="en-US" w:eastAsia="zh-CN"/>
                <w14:textFill>
                  <w14:solidFill>
                    <w14:schemeClr w14:val="tx1"/>
                  </w14:solidFill>
                </w14:textFill>
              </w:rPr>
              <w:t>和VOCs排放量分别为579.62t/a、1179.89t/a、340.05t/a、170.03t/a和13.09t/a，停产复产项目SO</w:t>
            </w:r>
            <w:r>
              <w:rPr>
                <w:rFonts w:hint="eastAsia" w:cs="Times New Roman"/>
                <w:color w:val="000000" w:themeColor="text1"/>
                <w:szCs w:val="24"/>
                <w:highlight w:val="none"/>
                <w:vertAlign w:val="subscript"/>
                <w:lang w:val="en-US" w:eastAsia="zh-CN"/>
                <w14:textFill>
                  <w14:solidFill>
                    <w14:schemeClr w14:val="tx1"/>
                  </w14:solidFill>
                </w14:textFill>
              </w:rPr>
              <w:t>2</w:t>
            </w:r>
            <w:r>
              <w:rPr>
                <w:rFonts w:hint="eastAsia" w:cs="Times New Roman"/>
                <w:color w:val="000000" w:themeColor="text1"/>
                <w:szCs w:val="24"/>
                <w:highlight w:val="none"/>
                <w:lang w:val="en-US" w:eastAsia="zh-CN"/>
                <w14:textFill>
                  <w14:solidFill>
                    <w14:schemeClr w14:val="tx1"/>
                  </w14:solidFill>
                </w14:textFill>
              </w:rPr>
              <w:t>、NOx、PM</w:t>
            </w:r>
            <w:r>
              <w:rPr>
                <w:rFonts w:hint="eastAsia" w:cs="Times New Roman"/>
                <w:color w:val="000000" w:themeColor="text1"/>
                <w:szCs w:val="24"/>
                <w:highlight w:val="none"/>
                <w:vertAlign w:val="subscript"/>
                <w:lang w:val="en-US" w:eastAsia="zh-CN"/>
                <w14:textFill>
                  <w14:solidFill>
                    <w14:schemeClr w14:val="tx1"/>
                  </w14:solidFill>
                </w14:textFill>
              </w:rPr>
              <w:t>10</w:t>
            </w:r>
            <w:r>
              <w:rPr>
                <w:rFonts w:hint="eastAsia" w:cs="Times New Roman"/>
                <w:color w:val="000000" w:themeColor="text1"/>
                <w:szCs w:val="24"/>
                <w:highlight w:val="none"/>
                <w:lang w:val="en-US" w:eastAsia="zh-CN"/>
                <w14:textFill>
                  <w14:solidFill>
                    <w14:schemeClr w14:val="tx1"/>
                  </w14:solidFill>
                </w14:textFill>
              </w:rPr>
              <w:t>、PM</w:t>
            </w:r>
            <w:r>
              <w:rPr>
                <w:rFonts w:hint="eastAsia" w:cs="Times New Roman"/>
                <w:color w:val="000000" w:themeColor="text1"/>
                <w:szCs w:val="24"/>
                <w:highlight w:val="none"/>
                <w:vertAlign w:val="subscript"/>
                <w:lang w:val="en-US" w:eastAsia="zh-CN"/>
                <w14:textFill>
                  <w14:solidFill>
                    <w14:schemeClr w14:val="tx1"/>
                  </w14:solidFill>
                </w14:textFill>
              </w:rPr>
              <w:t>2.5</w:t>
            </w:r>
            <w:r>
              <w:rPr>
                <w:rFonts w:hint="eastAsia" w:cs="Times New Roman"/>
                <w:color w:val="000000" w:themeColor="text1"/>
                <w:szCs w:val="24"/>
                <w:highlight w:val="none"/>
                <w:lang w:val="en-US" w:eastAsia="zh-CN"/>
                <w14:textFill>
                  <w14:solidFill>
                    <w14:schemeClr w14:val="tx1"/>
                  </w14:solidFill>
                </w14:textFill>
              </w:rPr>
              <w:t>和VOCs排放量分别为0.07t/a、42.71t/a、23.77t/a、11.89t/a和3.24t/a。园区削减源共减少SO</w:t>
            </w:r>
            <w:r>
              <w:rPr>
                <w:rFonts w:hint="eastAsia" w:cs="Times New Roman"/>
                <w:color w:val="000000" w:themeColor="text1"/>
                <w:szCs w:val="24"/>
                <w:highlight w:val="none"/>
                <w:vertAlign w:val="subscript"/>
                <w:lang w:val="en-US" w:eastAsia="zh-CN"/>
                <w14:textFill>
                  <w14:solidFill>
                    <w14:schemeClr w14:val="tx1"/>
                  </w14:solidFill>
                </w14:textFill>
              </w:rPr>
              <w:t>2</w:t>
            </w:r>
            <w:r>
              <w:rPr>
                <w:rFonts w:hint="eastAsia" w:cs="Times New Roman"/>
                <w:color w:val="000000" w:themeColor="text1"/>
                <w:szCs w:val="24"/>
                <w:highlight w:val="none"/>
                <w:lang w:val="en-US" w:eastAsia="zh-CN"/>
                <w14:textFill>
                  <w14:solidFill>
                    <w14:schemeClr w14:val="tx1"/>
                  </w14:solidFill>
                </w14:textFill>
              </w:rPr>
              <w:t>、NOx、PM</w:t>
            </w:r>
            <w:r>
              <w:rPr>
                <w:rFonts w:hint="eastAsia" w:cs="Times New Roman"/>
                <w:color w:val="000000" w:themeColor="text1"/>
                <w:szCs w:val="24"/>
                <w:highlight w:val="none"/>
                <w:vertAlign w:val="subscript"/>
                <w:lang w:val="en-US" w:eastAsia="zh-CN"/>
                <w14:textFill>
                  <w14:solidFill>
                    <w14:schemeClr w14:val="tx1"/>
                  </w14:solidFill>
                </w14:textFill>
              </w:rPr>
              <w:t>10</w:t>
            </w:r>
            <w:r>
              <w:rPr>
                <w:rFonts w:hint="eastAsia" w:cs="Times New Roman"/>
                <w:color w:val="000000" w:themeColor="text1"/>
                <w:szCs w:val="24"/>
                <w:highlight w:val="none"/>
                <w:lang w:val="en-US" w:eastAsia="zh-CN"/>
                <w14:textFill>
                  <w14:solidFill>
                    <w14:schemeClr w14:val="tx1"/>
                  </w14:solidFill>
                </w14:textFill>
              </w:rPr>
              <w:t>、PM</w:t>
            </w:r>
            <w:r>
              <w:rPr>
                <w:rFonts w:hint="eastAsia" w:cs="Times New Roman"/>
                <w:color w:val="000000" w:themeColor="text1"/>
                <w:szCs w:val="24"/>
                <w:highlight w:val="none"/>
                <w:vertAlign w:val="subscript"/>
                <w:lang w:val="en-US" w:eastAsia="zh-CN"/>
                <w14:textFill>
                  <w14:solidFill>
                    <w14:schemeClr w14:val="tx1"/>
                  </w14:solidFill>
                </w14:textFill>
              </w:rPr>
              <w:t>2.5</w:t>
            </w:r>
            <w:r>
              <w:rPr>
                <w:rFonts w:hint="eastAsia" w:cs="Times New Roman"/>
                <w:color w:val="000000" w:themeColor="text1"/>
                <w:szCs w:val="24"/>
                <w:highlight w:val="none"/>
                <w:lang w:val="en-US" w:eastAsia="zh-CN"/>
                <w14:textFill>
                  <w14:solidFill>
                    <w14:schemeClr w14:val="tx1"/>
                  </w14:solidFill>
                </w14:textFill>
              </w:rPr>
              <w:t>排放量分别为66.2t/a、311.1t/a、258.8t/a、129.4t/a。叠加现状正常生产企业排放量，到2030年园区企业大气污染物排放量合计分别为SO</w:t>
            </w:r>
            <w:r>
              <w:rPr>
                <w:rFonts w:hint="eastAsia" w:cs="Times New Roman"/>
                <w:color w:val="000000" w:themeColor="text1"/>
                <w:szCs w:val="24"/>
                <w:highlight w:val="none"/>
                <w:vertAlign w:val="subscript"/>
                <w:lang w:val="en-US" w:eastAsia="zh-CN"/>
                <w14:textFill>
                  <w14:solidFill>
                    <w14:schemeClr w14:val="tx1"/>
                  </w14:solidFill>
                </w14:textFill>
              </w:rPr>
              <w:t>2</w:t>
            </w:r>
            <w:r>
              <w:rPr>
                <w:rFonts w:hint="eastAsia" w:cs="Times New Roman"/>
                <w:color w:val="000000" w:themeColor="text1"/>
                <w:szCs w:val="24"/>
                <w:highlight w:val="none"/>
                <w:lang w:val="en-US" w:eastAsia="zh-CN"/>
                <w14:textFill>
                  <w14:solidFill>
                    <w14:schemeClr w14:val="tx1"/>
                  </w14:solidFill>
                </w14:textFill>
              </w:rPr>
              <w:t>966.9t/a、NOx1946.9t/a、PM</w:t>
            </w:r>
            <w:r>
              <w:rPr>
                <w:rFonts w:hint="eastAsia" w:cs="Times New Roman"/>
                <w:color w:val="000000" w:themeColor="text1"/>
                <w:szCs w:val="24"/>
                <w:highlight w:val="none"/>
                <w:vertAlign w:val="subscript"/>
                <w:lang w:val="en-US" w:eastAsia="zh-CN"/>
                <w14:textFill>
                  <w14:solidFill>
                    <w14:schemeClr w14:val="tx1"/>
                  </w14:solidFill>
                </w14:textFill>
              </w:rPr>
              <w:t>10</w:t>
            </w:r>
            <w:r>
              <w:rPr>
                <w:rFonts w:hint="eastAsia" w:cs="Times New Roman"/>
                <w:color w:val="000000" w:themeColor="text1"/>
                <w:szCs w:val="24"/>
                <w:highlight w:val="none"/>
                <w:lang w:val="en-US" w:eastAsia="zh-CN"/>
                <w14:textFill>
                  <w14:solidFill>
                    <w14:schemeClr w14:val="tx1"/>
                  </w14:solidFill>
                </w14:textFill>
              </w:rPr>
              <w:t>714.2t/a、PM</w:t>
            </w:r>
            <w:r>
              <w:rPr>
                <w:rFonts w:hint="eastAsia" w:cs="Times New Roman"/>
                <w:color w:val="000000" w:themeColor="text1"/>
                <w:szCs w:val="24"/>
                <w:highlight w:val="none"/>
                <w:vertAlign w:val="subscript"/>
                <w:lang w:val="en-US" w:eastAsia="zh-CN"/>
                <w14:textFill>
                  <w14:solidFill>
                    <w14:schemeClr w14:val="tx1"/>
                  </w14:solidFill>
                </w14:textFill>
              </w:rPr>
              <w:t>2.5</w:t>
            </w:r>
            <w:r>
              <w:rPr>
                <w:rFonts w:hint="eastAsia" w:cs="Times New Roman"/>
                <w:color w:val="000000" w:themeColor="text1"/>
                <w:szCs w:val="24"/>
                <w:highlight w:val="none"/>
                <w:lang w:val="en-US" w:eastAsia="zh-CN"/>
                <w14:textFill>
                  <w14:solidFill>
                    <w14:schemeClr w14:val="tx1"/>
                  </w14:solidFill>
                </w14:textFill>
              </w:rPr>
              <w:t>357.1t/a、VOCs69.08t/a。</w:t>
            </w:r>
          </w:p>
          <w:p w14:paraId="567B63C5">
            <w:pPr>
              <w:pStyle w:val="103"/>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000000" w:themeColor="text1"/>
                <w:szCs w:val="24"/>
                <w:highlight w:val="none"/>
                <w:lang w:val="en-US" w:eastAsia="zh-CN"/>
                <w14:textFill>
                  <w14:solidFill>
                    <w14:schemeClr w14:val="tx1"/>
                  </w14:solidFill>
                </w14:textFill>
              </w:rPr>
            </w:pPr>
            <w:r>
              <w:rPr>
                <w:rFonts w:hint="eastAsia" w:cs="Times New Roman"/>
                <w:color w:val="000000" w:themeColor="text1"/>
                <w:szCs w:val="24"/>
                <w:highlight w:val="none"/>
                <w:lang w:val="en-US" w:eastAsia="zh-CN"/>
                <w14:textFill>
                  <w14:solidFill>
                    <w14:schemeClr w14:val="tx1"/>
                  </w14:solidFill>
                </w14:textFill>
              </w:rPr>
              <w:t>目前本项目污染物排放总量正在办理相关手续。规划环评中未对园区容量作出说明和计算，仅对园区排放量作出计算。容量＞排放量，若本项目排放量小于园区容量，则满足容量要求。本项目NOx排放94t/a，SO</w:t>
            </w:r>
            <w:r>
              <w:rPr>
                <w:rFonts w:hint="eastAsia" w:cs="Times New Roman"/>
                <w:color w:val="000000" w:themeColor="text1"/>
                <w:szCs w:val="24"/>
                <w:highlight w:val="none"/>
                <w:vertAlign w:val="subscript"/>
                <w:lang w:val="en-US" w:eastAsia="zh-CN"/>
                <w14:textFill>
                  <w14:solidFill>
                    <w14:schemeClr w14:val="tx1"/>
                  </w14:solidFill>
                </w14:textFill>
              </w:rPr>
              <w:t>2</w:t>
            </w:r>
            <w:r>
              <w:rPr>
                <w:rFonts w:hint="eastAsia" w:cs="Times New Roman"/>
                <w:color w:val="000000" w:themeColor="text1"/>
                <w:szCs w:val="24"/>
                <w:highlight w:val="none"/>
                <w:lang w:val="en-US" w:eastAsia="zh-CN"/>
                <w14:textFill>
                  <w14:solidFill>
                    <w14:schemeClr w14:val="tx1"/>
                  </w14:solidFill>
                </w14:textFill>
              </w:rPr>
              <w:t>排放39.44t/a，颗粒物排放11.052t/a，小于园区至2030年可新增排放量，满足排放量及容量要求。</w:t>
            </w:r>
          </w:p>
          <w:p w14:paraId="6B15E077">
            <w:pPr>
              <w:pStyle w:val="103"/>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cs="Times New Roman"/>
                <w:color w:val="000000" w:themeColor="text1"/>
                <w:szCs w:val="24"/>
                <w:highlight w:val="none"/>
                <w:lang w:val="en-US" w:eastAsia="zh-CN"/>
                <w14:textFill>
                  <w14:solidFill>
                    <w14:schemeClr w14:val="tx1"/>
                  </w14:solidFill>
                </w14:textFill>
              </w:rPr>
            </w:pPr>
          </w:p>
          <w:p w14:paraId="4C06A02F">
            <w:pPr>
              <w:pStyle w:val="103"/>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4733290" cy="5171440"/>
                  <wp:effectExtent l="0" t="0" r="3810" b="10160"/>
                  <wp:docPr id="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
                          <pic:cNvPicPr>
                            <a:picLocks noChangeAspect="1"/>
                          </pic:cNvPicPr>
                        </pic:nvPicPr>
                        <pic:blipFill>
                          <a:blip r:embed="rId12"/>
                          <a:stretch>
                            <a:fillRect/>
                          </a:stretch>
                        </pic:blipFill>
                        <pic:spPr>
                          <a:xfrm>
                            <a:off x="0" y="0"/>
                            <a:ext cx="4733290" cy="5171440"/>
                          </a:xfrm>
                          <a:prstGeom prst="rect">
                            <a:avLst/>
                          </a:prstGeom>
                          <a:noFill/>
                          <a:ln>
                            <a:noFill/>
                          </a:ln>
                        </pic:spPr>
                      </pic:pic>
                    </a:graphicData>
                  </a:graphic>
                </wp:inline>
              </w:drawing>
            </w:r>
          </w:p>
          <w:p w14:paraId="0463B470">
            <w:pPr>
              <w:keepNext w:val="0"/>
              <w:keepLines w:val="0"/>
              <w:widowControl/>
              <w:suppressLineNumbers w:val="0"/>
              <w:spacing w:line="360" w:lineRule="auto"/>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图1-1项目与规划布局符合性</w:t>
            </w:r>
          </w:p>
          <w:p w14:paraId="784781EF">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本项目与规划环评审查意见符合性分析见下表</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w:t>
            </w:r>
          </w:p>
          <w:p w14:paraId="797CFBD1">
            <w:pPr>
              <w:keepNext w:val="0"/>
              <w:keepLines w:val="0"/>
              <w:widowControl/>
              <w:suppressLineNumbers w:val="0"/>
              <w:spacing w:line="240" w:lineRule="auto"/>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表1-2本项目与规划环评审查意见符合性分析表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7"/>
              <w:gridCol w:w="4305"/>
              <w:gridCol w:w="2152"/>
              <w:gridCol w:w="754"/>
            </w:tblGrid>
            <w:tr w14:paraId="698E1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6" w:type="pct"/>
                  <w:noWrap w:val="0"/>
                  <w:vAlign w:val="center"/>
                </w:tcPr>
                <w:p w14:paraId="6129F74C">
                  <w:pPr>
                    <w:pStyle w:val="10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序号</w:t>
                  </w:r>
                </w:p>
              </w:tc>
              <w:tc>
                <w:tcPr>
                  <w:tcW w:w="2760" w:type="pct"/>
                  <w:noWrap w:val="0"/>
                  <w:vAlign w:val="center"/>
                </w:tcPr>
                <w:p w14:paraId="3B667E0E">
                  <w:pPr>
                    <w:pStyle w:val="10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规划环评审查意见情况</w:t>
                  </w:r>
                </w:p>
              </w:tc>
              <w:tc>
                <w:tcPr>
                  <w:tcW w:w="1379" w:type="pct"/>
                  <w:noWrap w:val="0"/>
                  <w:vAlign w:val="center"/>
                </w:tcPr>
                <w:p w14:paraId="35324E08">
                  <w:pPr>
                    <w:pStyle w:val="10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本项目情况</w:t>
                  </w:r>
                </w:p>
              </w:tc>
              <w:tc>
                <w:tcPr>
                  <w:tcW w:w="483" w:type="pct"/>
                  <w:noWrap w:val="0"/>
                  <w:vAlign w:val="center"/>
                </w:tcPr>
                <w:p w14:paraId="2CB32707">
                  <w:pPr>
                    <w:pStyle w:val="10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符合性</w:t>
                  </w:r>
                </w:p>
              </w:tc>
            </w:tr>
            <w:tr w14:paraId="0637B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6" w:type="pct"/>
                  <w:noWrap w:val="0"/>
                  <w:vAlign w:val="center"/>
                </w:tcPr>
                <w:p w14:paraId="691F8C05">
                  <w:pPr>
                    <w:pStyle w:val="10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w:t>
                  </w:r>
                </w:p>
              </w:tc>
              <w:tc>
                <w:tcPr>
                  <w:tcW w:w="2760" w:type="pct"/>
                  <w:noWrap w:val="0"/>
                  <w:vAlign w:val="center"/>
                </w:tcPr>
                <w:p w14:paraId="24C8205A">
                  <w:pPr>
                    <w:keepNext w:val="0"/>
                    <w:keepLines w:val="0"/>
                    <w:pageBreakBefore w:val="0"/>
                    <w:widowControl w:val="0"/>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严格生态环境准入，推动高质量发展。园区应结合区域资源禀赋、生态敏感特征、生态功能保护、自治区及鄂尔多斯市“十四五”能耗双控、区域及行业碳达峰目标约束等要求，坚持循环经济和能源高效利用理念，合理发展无机非金属材料、新兴产业等主导产业，重点发展</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延链补链强链</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产业，提升园区产业发展质量和效益。严格按照园区规划、规划环评和产业政策要求管理新入园项目，不得引进污染影响大、环境风险高的非主导产业项目。严控“两高”项目及生产工艺，确需建设的，应全面执行国家和自治区关于“两高”项目准入的各项规定。全面落实“四水四定”要求，审慎引进高耗水行业。</w:t>
                  </w:r>
                </w:p>
              </w:tc>
              <w:tc>
                <w:tcPr>
                  <w:tcW w:w="1379" w:type="pct"/>
                  <w:noWrap w:val="0"/>
                  <w:vAlign w:val="center"/>
                </w:tcPr>
                <w:p w14:paraId="3F68A9BE">
                  <w:pPr>
                    <w:keepNext w:val="0"/>
                    <w:keepLines w:val="0"/>
                    <w:pageBreakBefore w:val="0"/>
                    <w:widowControl w:val="0"/>
                    <w:suppressLineNumbers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本项目位于I区中</w:t>
                  </w:r>
                  <w:r>
                    <w:rPr>
                      <w:rFonts w:hint="eastAsia" w:cs="Times New Roman"/>
                      <w:color w:val="000000" w:themeColor="text1"/>
                      <w:kern w:val="0"/>
                      <w:sz w:val="21"/>
                      <w:szCs w:val="21"/>
                      <w:highlight w:val="none"/>
                      <w:lang w:val="en-US" w:eastAsia="zh-CN" w:bidi="ar"/>
                      <w14:textFill>
                        <w14:solidFill>
                          <w14:schemeClr w14:val="tx1"/>
                        </w14:solidFill>
                      </w14:textFill>
                    </w:rPr>
                    <w:t>南</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部，属于无机非金属材料产业，属于无机非金属材料产业链项目，符合园区产业规划。本项目不是污染影响大、环境风险高的非主导产业项目，也不是“两高”项目。本项目年消耗水量为</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157</w:t>
                  </w: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698</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m</w:t>
                  </w:r>
                  <w:r>
                    <w:rPr>
                      <w:rFonts w:hint="default" w:ascii="Times New Roman" w:hAnsi="Times New Roman" w:eastAsia="宋体" w:cs="Times New Roman"/>
                      <w:color w:val="000000" w:themeColor="text1"/>
                      <w:kern w:val="0"/>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，不属于高耗水项目。</w:t>
                  </w:r>
                </w:p>
                <w:p w14:paraId="4828A721">
                  <w:pPr>
                    <w:pStyle w:val="10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483" w:type="pct"/>
                  <w:noWrap w:val="0"/>
                  <w:vAlign w:val="center"/>
                </w:tcPr>
                <w:p w14:paraId="45BDBC30">
                  <w:pPr>
                    <w:pStyle w:val="10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r w14:paraId="7488C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6" w:type="pct"/>
                  <w:noWrap w:val="0"/>
                  <w:vAlign w:val="center"/>
                </w:tcPr>
                <w:p w14:paraId="72EDA3A9">
                  <w:pPr>
                    <w:pStyle w:val="10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w:t>
                  </w:r>
                </w:p>
              </w:tc>
              <w:tc>
                <w:tcPr>
                  <w:tcW w:w="2760" w:type="pct"/>
                  <w:noWrap w:val="0"/>
                  <w:vAlign w:val="center"/>
                </w:tcPr>
                <w:p w14:paraId="03E8D083">
                  <w:pPr>
                    <w:keepNext w:val="0"/>
                    <w:keepLines w:val="0"/>
                    <w:pageBreakBefore w:val="0"/>
                    <w:widowControl w:val="0"/>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严格空间管控，优化产业布局。按照“东重西轻”原则，做好园区规划控制和防护带建设，确保园区产业布局与生态环境、人居环境相协调。园区与沙垃堵镇区等环境敏感区之间应设置足够的绿化隔离防护带。</w:t>
                  </w:r>
                </w:p>
                <w:p w14:paraId="024CA2AF">
                  <w:pPr>
                    <w:keepNext w:val="0"/>
                    <w:keepLines w:val="0"/>
                    <w:pageBreakBefore w:val="0"/>
                    <w:widowControl w:val="0"/>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禁止在园区内新建居民点、医院、学校等敏感目标，现有零散居民应在规划近期全部搬迁完毕。劳动密集型非化工企业不得与化工企业位于同一产业片区。清退园区内长期停产且无复产可能的项目，提高土地利用价值。</w:t>
                  </w:r>
                </w:p>
              </w:tc>
              <w:tc>
                <w:tcPr>
                  <w:tcW w:w="1379" w:type="pct"/>
                  <w:noWrap w:val="0"/>
                  <w:vAlign w:val="center"/>
                </w:tcPr>
                <w:p w14:paraId="05D11445">
                  <w:pPr>
                    <w:keepNext w:val="0"/>
                    <w:keepLines w:val="0"/>
                    <w:pageBreakBefore w:val="0"/>
                    <w:widowControl w:val="0"/>
                    <w:suppressLineNumbers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本项目位于园区内，附近没有常住居民居住，且本项目符合园区产业布局。</w:t>
                  </w:r>
                </w:p>
                <w:p w14:paraId="4ACBD1A4">
                  <w:pPr>
                    <w:pStyle w:val="10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483" w:type="pct"/>
                  <w:noWrap w:val="0"/>
                  <w:vAlign w:val="center"/>
                </w:tcPr>
                <w:p w14:paraId="512AD0F1">
                  <w:pPr>
                    <w:pStyle w:val="10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r w14:paraId="1AC48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6" w:type="pct"/>
                  <w:noWrap w:val="0"/>
                  <w:vAlign w:val="center"/>
                </w:tcPr>
                <w:p w14:paraId="41D12593">
                  <w:pPr>
                    <w:pStyle w:val="10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3</w:t>
                  </w:r>
                </w:p>
              </w:tc>
              <w:tc>
                <w:tcPr>
                  <w:tcW w:w="2760" w:type="pct"/>
                  <w:noWrap w:val="0"/>
                  <w:vAlign w:val="center"/>
                </w:tcPr>
                <w:p w14:paraId="15A60C43">
                  <w:pPr>
                    <w:keepNext w:val="0"/>
                    <w:keepLines w:val="0"/>
                    <w:pageBreakBefore w:val="0"/>
                    <w:widowControl w:val="0"/>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严守环境质量底线，强化污染物排放总量管控。根据国家、自治区和鄂尔多斯市关于大气、水、土壤污染防治相关要求和区域“三线一单”成果，落实污染物区域削减方案，积极推进重点行业按照大气污染物超低排放或特别排放限值进行升级改造，持续减少主要污染物、特征污染物排放量，保障区域环境质量改善。园区内禁止新建35蒸吨/小时以下燃煤锅炉，2022年底前完成园区内10蒸吨/小时及以下燃煤小锅炉取缔工作。</w:t>
                  </w:r>
                </w:p>
              </w:tc>
              <w:tc>
                <w:tcPr>
                  <w:tcW w:w="1379" w:type="pct"/>
                  <w:noWrap w:val="0"/>
                  <w:vAlign w:val="center"/>
                </w:tcPr>
                <w:p w14:paraId="7F5AB418">
                  <w:pPr>
                    <w:keepNext w:val="0"/>
                    <w:keepLines w:val="0"/>
                    <w:pageBreakBefore w:val="0"/>
                    <w:widowControl w:val="0"/>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项目所在区域为达标区，严格执行污染物排放总量管控要求。且项目不涉及新增</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燃煤</w:t>
                  </w:r>
                  <w:r>
                    <w:rPr>
                      <w:rFonts w:hint="eastAsia" w:cs="Times New Roman"/>
                      <w:color w:val="000000" w:themeColor="text1"/>
                      <w:kern w:val="0"/>
                      <w:sz w:val="21"/>
                      <w:szCs w:val="21"/>
                      <w:highlight w:val="none"/>
                      <w:lang w:val="en-US" w:eastAsia="zh-CN" w:bidi="ar"/>
                      <w14:textFill>
                        <w14:solidFill>
                          <w14:schemeClr w14:val="tx1"/>
                        </w14:solidFill>
                      </w14:textFill>
                    </w:rPr>
                    <w:t>锅炉</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p>
                <w:p w14:paraId="0731EEC4">
                  <w:pPr>
                    <w:pStyle w:val="10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483" w:type="pct"/>
                  <w:noWrap w:val="0"/>
                  <w:vAlign w:val="center"/>
                </w:tcPr>
                <w:p w14:paraId="1AE81B34">
                  <w:pPr>
                    <w:pStyle w:val="10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r w14:paraId="7AB8D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6" w:type="pct"/>
                  <w:noWrap w:val="0"/>
                  <w:vAlign w:val="center"/>
                </w:tcPr>
                <w:p w14:paraId="6E769F49">
                  <w:pPr>
                    <w:pStyle w:val="10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4</w:t>
                  </w:r>
                </w:p>
              </w:tc>
              <w:tc>
                <w:tcPr>
                  <w:tcW w:w="2760" w:type="pct"/>
                  <w:noWrap w:val="0"/>
                  <w:vAlign w:val="center"/>
                </w:tcPr>
                <w:p w14:paraId="6342A801">
                  <w:pPr>
                    <w:keepNext w:val="0"/>
                    <w:keepLines w:val="0"/>
                    <w:pageBreakBefore w:val="0"/>
                    <w:widowControl w:val="0"/>
                    <w:suppressLineNumbers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加强环境基础设施建设，推进污染集中治理。合理规划园区污水处理方案，实现园区内生产废水全部纳管收集、集中处理和中水回用。优化园区供水结构，充分利用</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当地</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水资源</w:t>
                  </w:r>
                  <w:r>
                    <w:rPr>
                      <w:rFonts w:hint="eastAsia" w:cs="Times New Roman"/>
                      <w:color w:val="000000" w:themeColor="text1"/>
                      <w:kern w:val="0"/>
                      <w:sz w:val="21"/>
                      <w:szCs w:val="21"/>
                      <w:highlight w:val="none"/>
                      <w:lang w:val="en-US" w:eastAsia="zh-CN" w:bidi="ar"/>
                      <w14:textFill>
                        <w14:solidFill>
                          <w14:schemeClr w14:val="tx1"/>
                        </w14:solidFill>
                      </w14:textFill>
                    </w:rPr>
                    <w:t>，最大</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程度减少生产用新鲜水取水量。建设</w:t>
                  </w:r>
                  <w:r>
                    <w:rPr>
                      <w:rFonts w:hint="eastAsia" w:cs="Times New Roman"/>
                      <w:color w:val="000000" w:themeColor="text1"/>
                      <w:kern w:val="0"/>
                      <w:sz w:val="21"/>
                      <w:szCs w:val="21"/>
                      <w:highlight w:val="none"/>
                      <w:lang w:val="en-US" w:eastAsia="zh-CN" w:bidi="ar"/>
                      <w14:textFill>
                        <w14:solidFill>
                          <w14:schemeClr w14:val="tx1"/>
                        </w14:solidFill>
                      </w14:textFill>
                    </w:rPr>
                    <w:t>具有足够</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处理能力的园区高盐水处置工程，2023年底前完成晾晒池存水治理及晾晒池改园区事故水池相关工作</w:t>
                  </w:r>
                  <w:r>
                    <w:rPr>
                      <w:rFonts w:hint="eastAsia" w:cs="Times New Roman"/>
                      <w:color w:val="000000" w:themeColor="text1"/>
                      <w:kern w:val="0"/>
                      <w:sz w:val="21"/>
                      <w:szCs w:val="21"/>
                      <w:highlight w:val="none"/>
                      <w:lang w:val="en-US" w:eastAsia="zh-CN" w:bidi="ar"/>
                      <w14:textFill>
                        <w14:solidFill>
                          <w14:schemeClr w14:val="tx1"/>
                        </w14:solidFill>
                      </w14:textFill>
                    </w:rPr>
                    <w:t>。因地制宜</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利用集中供热或清洁能源实现供热、供汽。强化企业的危险废物鉴别主体责任，对园区各类危险废物实施严格监管和严密监控，实现全过程安全妥善处置。优化固体废物、危险废物处置方式，积极拓展资源化利用途径，提高综合利用率。规范建设固体废物贮存场及填埋场并严格管理。</w:t>
                  </w:r>
                </w:p>
                <w:p w14:paraId="6EA18F45">
                  <w:pPr>
                    <w:keepNext w:val="0"/>
                    <w:keepLines w:val="0"/>
                    <w:pageBreakBefore w:val="0"/>
                    <w:widowControl w:val="0"/>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推进大宗货物及其他货物公路运输转铁路运输，园区内及周边中短途汽车运输优先采用新能源汽车。</w:t>
                  </w:r>
                </w:p>
              </w:tc>
              <w:tc>
                <w:tcPr>
                  <w:tcW w:w="1379" w:type="pct"/>
                  <w:noWrap w:val="0"/>
                  <w:vAlign w:val="center"/>
                </w:tcPr>
                <w:p w14:paraId="6540360E">
                  <w:pPr>
                    <w:keepNext w:val="0"/>
                    <w:keepLines w:val="0"/>
                    <w:pageBreakBefore w:val="0"/>
                    <w:widowControl w:val="0"/>
                    <w:suppressLineNumbers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本项目</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用水资源</w:t>
                  </w:r>
                  <w:r>
                    <w:rPr>
                      <w:rFonts w:hint="eastAsia" w:cs="Times New Roman"/>
                      <w:color w:val="000000" w:themeColor="text1"/>
                      <w:kern w:val="0"/>
                      <w:sz w:val="21"/>
                      <w:szCs w:val="21"/>
                      <w:highlight w:val="none"/>
                      <w:lang w:val="en-US" w:eastAsia="zh-CN" w:bidi="ar"/>
                      <w14:textFill>
                        <w14:solidFill>
                          <w14:schemeClr w14:val="tx1"/>
                        </w14:solidFill>
                      </w14:textFill>
                    </w:rPr>
                    <w:t>主要为中水</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eastAsia" w:cs="Times New Roman"/>
                      <w:color w:val="000000" w:themeColor="text1"/>
                      <w:kern w:val="0"/>
                      <w:sz w:val="21"/>
                      <w:szCs w:val="21"/>
                      <w:highlight w:val="none"/>
                      <w:lang w:val="en-US" w:eastAsia="zh-CN" w:bidi="ar"/>
                      <w14:textFill>
                        <w14:solidFill>
                          <w14:schemeClr w14:val="tx1"/>
                        </w14:solidFill>
                      </w14:textFill>
                    </w:rPr>
                    <w:t>脱硫废水</w:t>
                  </w:r>
                  <w:r>
                    <w:rPr>
                      <w:rFonts w:hint="default" w:ascii="宋体" w:hAnsi="宋体" w:eastAsia="宋体" w:cs="宋体"/>
                      <w:color w:val="000000" w:themeColor="text1"/>
                      <w:kern w:val="0"/>
                      <w:sz w:val="21"/>
                      <w:szCs w:val="21"/>
                      <w:highlight w:val="none"/>
                      <w:lang w:val="en-US" w:eastAsia="zh-CN" w:bidi="ar"/>
                      <w14:textFill>
                        <w14:solidFill>
                          <w14:schemeClr w14:val="tx1"/>
                        </w14:solidFill>
                      </w14:textFill>
                    </w:rPr>
                    <w:t>经三联箱装置处理后回用于脱硫浆液制备用水</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;锅炉排水和软水制备废水</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罐车拉运</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至园区生产废水处理厂处理；本项目为固体废物资源化利用项目，新建1座危废暂存库，按照《危险废物贮存污染控制标准》（GB18597-2023）</w:t>
                  </w:r>
                </w:p>
                <w:p w14:paraId="78A7772C">
                  <w:pPr>
                    <w:keepNext w:val="0"/>
                    <w:keepLines w:val="0"/>
                    <w:pageBreakBefore w:val="0"/>
                    <w:widowControl w:val="0"/>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规范建设和维护</w:t>
                  </w:r>
                  <w:r>
                    <w:rPr>
                      <w:rFonts w:hint="eastAsia" w:cs="Times New Roman"/>
                      <w:color w:val="000000" w:themeColor="text1"/>
                      <w:kern w:val="0"/>
                      <w:sz w:val="21"/>
                      <w:szCs w:val="21"/>
                      <w:highlight w:val="none"/>
                      <w:lang w:val="en-US" w:eastAsia="zh-CN" w:bidi="ar"/>
                      <w14:textFill>
                        <w14:solidFill>
                          <w14:schemeClr w14:val="tx1"/>
                        </w14:solidFill>
                      </w14:textFill>
                    </w:rPr>
                    <w:t>使用</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，危险废物全过程安全妥善处置。</w:t>
                  </w:r>
                </w:p>
                <w:p w14:paraId="1F68DE99">
                  <w:pPr>
                    <w:keepNext w:val="0"/>
                    <w:keepLines w:val="0"/>
                    <w:pageBreakBefore w:val="0"/>
                    <w:widowControl w:val="0"/>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项目大宗原料来源为厂区外临近的</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内蒙古伊东新材料有限责任公司</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气力输送。</w:t>
                  </w:r>
                </w:p>
              </w:tc>
              <w:tc>
                <w:tcPr>
                  <w:tcW w:w="483" w:type="pct"/>
                  <w:noWrap w:val="0"/>
                  <w:vAlign w:val="center"/>
                </w:tcPr>
                <w:p w14:paraId="78AE2892">
                  <w:pPr>
                    <w:pStyle w:val="10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r w14:paraId="180D4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4" w:hRule="atLeast"/>
                <w:jc w:val="center"/>
              </w:trPr>
              <w:tc>
                <w:tcPr>
                  <w:tcW w:w="376" w:type="pct"/>
                  <w:noWrap w:val="0"/>
                  <w:vAlign w:val="center"/>
                </w:tcPr>
                <w:p w14:paraId="6062D028">
                  <w:pPr>
                    <w:pStyle w:val="10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5</w:t>
                  </w:r>
                </w:p>
              </w:tc>
              <w:tc>
                <w:tcPr>
                  <w:tcW w:w="2760" w:type="pct"/>
                  <w:noWrap w:val="0"/>
                  <w:vAlign w:val="center"/>
                </w:tcPr>
                <w:p w14:paraId="45FC7A3E">
                  <w:pPr>
                    <w:keepNext w:val="0"/>
                    <w:keepLines w:val="0"/>
                    <w:pageBreakBefore w:val="0"/>
                    <w:widowControl w:val="0"/>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强化源头防控，有效防范环境污染和事故风险。加强突发环境事件应急处置能力建设，建立完善的环境风险防控和应急监测体系，强化应急演练和应急物资储备，不断提升应急响应能力，保障区域环境安全。入园企业按要求设置事故水池，并与园区事故水池联通形成综合调控系统，确保任何情况下园区事故废水不进入外环境。</w:t>
                  </w:r>
                </w:p>
              </w:tc>
              <w:tc>
                <w:tcPr>
                  <w:tcW w:w="1379" w:type="pct"/>
                  <w:noWrap w:val="0"/>
                  <w:vAlign w:val="center"/>
                </w:tcPr>
                <w:p w14:paraId="11BBBB49">
                  <w:pPr>
                    <w:keepNext w:val="0"/>
                    <w:keepLines w:val="0"/>
                    <w:pageBreakBefore w:val="0"/>
                    <w:widowControl w:val="0"/>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本次环评要求企业在后续运营过程中按要求将本项目纳入《内蒙古伊东东晟新材料有限公司突发环境事件应急预案》，并按要求完成备案。</w:t>
                  </w:r>
                </w:p>
              </w:tc>
              <w:tc>
                <w:tcPr>
                  <w:tcW w:w="483" w:type="pct"/>
                  <w:noWrap w:val="0"/>
                  <w:vAlign w:val="center"/>
                </w:tcPr>
                <w:p w14:paraId="3FBB5119">
                  <w:pPr>
                    <w:pStyle w:val="10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r w14:paraId="628B8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6" w:type="pct"/>
                  <w:noWrap w:val="0"/>
                  <w:vAlign w:val="center"/>
                </w:tcPr>
                <w:p w14:paraId="2BE3AF30">
                  <w:pPr>
                    <w:pStyle w:val="10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6</w:t>
                  </w:r>
                </w:p>
              </w:tc>
              <w:tc>
                <w:tcPr>
                  <w:tcW w:w="2760" w:type="pct"/>
                  <w:noWrap w:val="0"/>
                  <w:vAlign w:val="center"/>
                </w:tcPr>
                <w:p w14:paraId="6D8FADCA">
                  <w:pPr>
                    <w:keepNext w:val="0"/>
                    <w:keepLines w:val="0"/>
                    <w:pageBreakBefore w:val="0"/>
                    <w:widowControl w:val="0"/>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加强环境监管及日常环境质量监测。建立包括常规污染物和特征污染物在内的环境空气、地表水、地下水、土壤等环境质量监测体系，做好长期跟踪监测与管理。按要求设置园区环境空气质量监测站点。重点企业排污口要设置在线监测系统并与生态环境部门联网。加强土壤污染重点企业监管，强化腾退企业遗留场地的土壤环境调查和风险评估，合理确定土地利用方式。</w:t>
                  </w:r>
                </w:p>
              </w:tc>
              <w:tc>
                <w:tcPr>
                  <w:tcW w:w="1379" w:type="pct"/>
                  <w:noWrap w:val="0"/>
                  <w:vAlign w:val="center"/>
                </w:tcPr>
                <w:p w14:paraId="7C21069E">
                  <w:pPr>
                    <w:keepNext w:val="0"/>
                    <w:keepLines w:val="0"/>
                    <w:pageBreakBefore w:val="0"/>
                    <w:widowControl w:val="0"/>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要求</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本项目</w:t>
                  </w:r>
                  <w:r>
                    <w:rPr>
                      <w:rFonts w:hint="eastAsia" w:cs="Times New Roman"/>
                      <w:color w:val="000000" w:themeColor="text1"/>
                      <w:kern w:val="0"/>
                      <w:sz w:val="21"/>
                      <w:szCs w:val="21"/>
                      <w:highlight w:val="none"/>
                      <w:lang w:val="en-US" w:eastAsia="zh-CN" w:bidi="ar"/>
                      <w14:textFill>
                        <w14:solidFill>
                          <w14:schemeClr w14:val="tx1"/>
                        </w14:solidFill>
                      </w14:textFill>
                    </w:rPr>
                    <w:t>部分</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排污口设置在线监测系统并与生态环境部门联网。</w:t>
                  </w:r>
                </w:p>
              </w:tc>
              <w:tc>
                <w:tcPr>
                  <w:tcW w:w="483" w:type="pct"/>
                  <w:noWrap w:val="0"/>
                  <w:vAlign w:val="center"/>
                </w:tcPr>
                <w:p w14:paraId="4CBA32F0">
                  <w:pPr>
                    <w:pStyle w:val="10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r w14:paraId="36785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76" w:type="pct"/>
                  <w:noWrap w:val="0"/>
                  <w:vAlign w:val="center"/>
                </w:tcPr>
                <w:p w14:paraId="4FEA3DAE">
                  <w:pPr>
                    <w:pStyle w:val="10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7</w:t>
                  </w:r>
                </w:p>
              </w:tc>
              <w:tc>
                <w:tcPr>
                  <w:tcW w:w="2760" w:type="pct"/>
                  <w:noWrap w:val="0"/>
                  <w:vAlign w:val="center"/>
                </w:tcPr>
                <w:p w14:paraId="75662681">
                  <w:pPr>
                    <w:keepNext w:val="0"/>
                    <w:keepLines w:val="0"/>
                    <w:pageBreakBefore w:val="0"/>
                    <w:widowControl w:val="0"/>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总体规划实施对环境产生重大影响时，应当及时组织环境影响的跟踪评价。对规划所包含的建设项目，在开展环境影响评价时，应重点分析污染防治措施和环境风险防控措施的可行性、可靠性，规划协调性分析、环境现状等工作内容可适当简化。</w:t>
                  </w:r>
                </w:p>
              </w:tc>
              <w:tc>
                <w:tcPr>
                  <w:tcW w:w="1379" w:type="pct"/>
                  <w:noWrap w:val="0"/>
                  <w:vAlign w:val="center"/>
                </w:tcPr>
                <w:p w14:paraId="2126CED7">
                  <w:pPr>
                    <w:keepNext w:val="0"/>
                    <w:keepLines w:val="0"/>
                    <w:pageBreakBefore w:val="0"/>
                    <w:widowControl w:val="0"/>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本项目</w:t>
                  </w:r>
                  <w:r>
                    <w:rPr>
                      <w:rFonts w:hint="eastAsia" w:cs="Times New Roman"/>
                      <w:color w:val="000000" w:themeColor="text1"/>
                      <w:kern w:val="0"/>
                      <w:sz w:val="21"/>
                      <w:szCs w:val="21"/>
                      <w:highlight w:val="none"/>
                      <w:lang w:val="en-US" w:eastAsia="zh-CN" w:bidi="ar"/>
                      <w14:textFill>
                        <w14:solidFill>
                          <w14:schemeClr w14:val="tx1"/>
                        </w14:solidFill>
                      </w14:textFill>
                    </w:rPr>
                    <w:t>不属于规划项目</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p>
              </w:tc>
              <w:tc>
                <w:tcPr>
                  <w:tcW w:w="483" w:type="pct"/>
                  <w:noWrap w:val="0"/>
                  <w:vAlign w:val="center"/>
                </w:tcPr>
                <w:p w14:paraId="3DE17997">
                  <w:pPr>
                    <w:pStyle w:val="103"/>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符合</w:t>
                  </w:r>
                </w:p>
              </w:tc>
            </w:tr>
          </w:tbl>
          <w:p w14:paraId="6F248F03">
            <w:pPr>
              <w:pStyle w:val="103"/>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000000" w:themeColor="text1"/>
                <w:highlight w:val="none"/>
                <w:lang w:val="en-US" w:eastAsia="zh-CN"/>
                <w14:textFill>
                  <w14:solidFill>
                    <w14:schemeClr w14:val="tx1"/>
                  </w14:solidFill>
                </w14:textFill>
              </w:rPr>
            </w:pPr>
          </w:p>
        </w:tc>
      </w:tr>
      <w:tr w14:paraId="12681D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03" w:hRule="atLeast"/>
          <w:jc w:val="center"/>
        </w:trPr>
        <w:tc>
          <w:tcPr>
            <w:tcW w:w="843" w:type="dxa"/>
            <w:noWrap w:val="0"/>
            <w:vAlign w:val="center"/>
          </w:tcPr>
          <w:p w14:paraId="69DA13BA">
            <w:pPr>
              <w:autoSpaceDE w:val="0"/>
              <w:autoSpaceDN w:val="0"/>
              <w:adjustRightInd w:val="0"/>
              <w:snapToGrid w:val="0"/>
              <w:jc w:val="center"/>
              <w:rPr>
                <w:rFonts w:hint="default" w:ascii="Times New Roman" w:hAnsi="Times New Roman" w:eastAsia="宋体" w:cs="Times New Roman"/>
                <w:b/>
                <w:bCs/>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其他</w:t>
            </w:r>
          </w:p>
          <w:p w14:paraId="44B6D9FF">
            <w:pPr>
              <w:autoSpaceDE w:val="0"/>
              <w:autoSpaceDN w:val="0"/>
              <w:adjustRightInd w:val="0"/>
              <w:snapToGrid w:val="0"/>
              <w:jc w:val="center"/>
              <w:rPr>
                <w:rFonts w:hint="default" w:ascii="Times New Roman" w:hAnsi="Times New Roman" w:eastAsia="宋体" w:cs="Times New Roman"/>
                <w:b/>
                <w:bCs/>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符合性</w:t>
            </w:r>
          </w:p>
          <w:p w14:paraId="18E02FF0">
            <w:pPr>
              <w:autoSpaceDE w:val="0"/>
              <w:autoSpaceDN w:val="0"/>
              <w:adjustRightInd w:val="0"/>
              <w:snapToGrid w:val="0"/>
              <w:jc w:val="center"/>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分析</w:t>
            </w:r>
          </w:p>
        </w:tc>
        <w:tc>
          <w:tcPr>
            <w:tcW w:w="8027" w:type="dxa"/>
            <w:gridSpan w:val="3"/>
            <w:noWrap w:val="0"/>
            <w:vAlign w:val="center"/>
          </w:tcPr>
          <w:p w14:paraId="62CAB78D">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t>1.</w:t>
            </w: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本项目与</w:t>
            </w:r>
            <w:r>
              <w:rPr>
                <w:rFonts w:hint="eastAsia" w:cs="Times New Roman"/>
                <w:b/>
                <w:bCs/>
                <w:color w:val="000000" w:themeColor="text1"/>
                <w:sz w:val="24"/>
                <w:highlight w:val="none"/>
                <w:lang w:val="en-US" w:eastAsia="zh-CN"/>
                <w14:textFill>
                  <w14:solidFill>
                    <w14:schemeClr w14:val="tx1"/>
                  </w14:solidFill>
                </w14:textFill>
              </w:rPr>
              <w:t>“生态环境分区</w:t>
            </w: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管控</w:t>
            </w:r>
            <w:r>
              <w:rPr>
                <w:rFonts w:hint="eastAsia" w:cs="Times New Roman"/>
                <w:b/>
                <w:bCs/>
                <w:color w:val="000000" w:themeColor="text1"/>
                <w:sz w:val="24"/>
                <w:highlight w:val="none"/>
                <w:lang w:val="en-US" w:eastAsia="zh-CN"/>
                <w14:textFill>
                  <w14:solidFill>
                    <w14:schemeClr w14:val="tx1"/>
                  </w14:solidFill>
                </w14:textFill>
              </w:rPr>
              <w:t>要求”</w:t>
            </w: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的</w:t>
            </w:r>
            <w:r>
              <w:rPr>
                <w:rFonts w:hint="eastAsia" w:cs="Times New Roman"/>
                <w:b/>
                <w:bCs/>
                <w:color w:val="000000" w:themeColor="text1"/>
                <w:sz w:val="24"/>
                <w:highlight w:val="none"/>
                <w:lang w:eastAsia="zh-CN"/>
                <w14:textFill>
                  <w14:solidFill>
                    <w14:schemeClr w14:val="tx1"/>
                  </w14:solidFill>
                </w14:textFill>
              </w:rPr>
              <w:t>符合</w:t>
            </w:r>
            <w:r>
              <w:rPr>
                <w:rFonts w:hint="default" w:ascii="Times New Roman" w:hAnsi="Times New Roman" w:eastAsia="宋体" w:cs="Times New Roman"/>
                <w:b/>
                <w:bCs/>
                <w:color w:val="000000" w:themeColor="text1"/>
                <w:sz w:val="24"/>
                <w:highlight w:val="none"/>
                <w14:textFill>
                  <w14:solidFill>
                    <w14:schemeClr w14:val="tx1"/>
                  </w14:solidFill>
                </w14:textFill>
              </w:rPr>
              <w:t>性分析</w:t>
            </w:r>
          </w:p>
          <w:p w14:paraId="3CCCE8A2">
            <w:pPr>
              <w:pStyle w:val="103"/>
              <w:keepNext w:val="0"/>
              <w:keepLines w:val="0"/>
              <w:pageBreakBefore w:val="0"/>
              <w:widowControl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根据鄂尔多斯市生态环境分区管控动态更新成果（2023年版）文件要求，本项目所在地</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内蒙古鄂尔多斯</w:t>
            </w:r>
            <w:r>
              <w:rPr>
                <w:rFonts w:hint="eastAsia" w:cs="Times New Roman"/>
                <w:color w:val="000000" w:themeColor="text1"/>
                <w:sz w:val="24"/>
                <w:highlight w:val="none"/>
                <w:lang w:val="en-US" w:eastAsia="zh-CN"/>
                <w14:textFill>
                  <w14:solidFill>
                    <w14:schemeClr w14:val="tx1"/>
                  </w14:solidFill>
                </w14:textFill>
              </w:rPr>
              <w:t>市</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准格尔经济开发区准格尔产业园</w:t>
            </w:r>
            <w:r>
              <w:rPr>
                <w:rFonts w:hint="default" w:ascii="Times New Roman" w:hAnsi="Times New Roman" w:eastAsia="宋体" w:cs="Times New Roman"/>
                <w:color w:val="000000" w:themeColor="text1"/>
                <w:szCs w:val="24"/>
                <w:highlight w:val="none"/>
                <w14:textFill>
                  <w14:solidFill>
                    <w14:schemeClr w14:val="tx1"/>
                  </w14:solidFill>
                </w14:textFill>
              </w:rPr>
              <w:t>属于重点管控单元，该区域应不断提升资源利用效率，有针对性地加强污染物排放控制和环境风险防控，解决生态环境质量不达标、生态环境风险高等问题。因此</w:t>
            </w:r>
            <w:r>
              <w:rPr>
                <w:rFonts w:hint="eastAsia" w:cs="Times New Roman"/>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4"/>
                <w:highlight w:val="none"/>
                <w14:textFill>
                  <w14:solidFill>
                    <w14:schemeClr w14:val="tx1"/>
                  </w14:solidFill>
                </w14:textFill>
              </w:rPr>
              <w:t>关于“</w:t>
            </w:r>
            <w:r>
              <w:rPr>
                <w:rFonts w:hint="eastAsia" w:cs="Times New Roman"/>
                <w:color w:val="000000" w:themeColor="text1"/>
                <w:szCs w:val="24"/>
                <w:highlight w:val="none"/>
                <w:lang w:val="en-US" w:eastAsia="zh-CN"/>
                <w14:textFill>
                  <w14:solidFill>
                    <w14:schemeClr w14:val="tx1"/>
                  </w14:solidFill>
                </w14:textFill>
              </w:rPr>
              <w:t>生态环境分区管控</w:t>
            </w:r>
            <w:r>
              <w:rPr>
                <w:rFonts w:hint="default" w:ascii="Times New Roman" w:hAnsi="Times New Roman" w:eastAsia="宋体" w:cs="Times New Roman"/>
                <w:color w:val="000000" w:themeColor="text1"/>
                <w:szCs w:val="24"/>
                <w:highlight w:val="none"/>
                <w14:textFill>
                  <w14:solidFill>
                    <w14:schemeClr w14:val="tx1"/>
                  </w14:solidFill>
                </w14:textFill>
              </w:rPr>
              <w:t>”的符合性分析按照生态保护红线、环境质量底线、资源利用</w:t>
            </w:r>
            <w:r>
              <w:rPr>
                <w:rFonts w:hint="default" w:ascii="Times New Roman" w:hAnsi="Times New Roman" w:eastAsia="宋体" w:cs="Times New Roman"/>
                <w:color w:val="000000" w:themeColor="text1"/>
                <w:szCs w:val="24"/>
                <w:highlight w:val="none"/>
                <w:lang w:eastAsia="zh-CN"/>
                <w14:textFill>
                  <w14:solidFill>
                    <w14:schemeClr w14:val="tx1"/>
                  </w14:solidFill>
                </w14:textFill>
              </w:rPr>
              <w:t>上限</w:t>
            </w:r>
            <w:r>
              <w:rPr>
                <w:rFonts w:hint="default" w:ascii="Times New Roman" w:hAnsi="Times New Roman" w:eastAsia="宋体" w:cs="Times New Roman"/>
                <w:color w:val="000000" w:themeColor="text1"/>
                <w:szCs w:val="24"/>
                <w:highlight w:val="none"/>
                <w14:textFill>
                  <w14:solidFill>
                    <w14:schemeClr w14:val="tx1"/>
                  </w14:solidFill>
                </w14:textFill>
              </w:rPr>
              <w:t>及准入清单</w:t>
            </w: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等</w:t>
            </w:r>
            <w:r>
              <w:rPr>
                <w:rFonts w:hint="default" w:ascii="Times New Roman" w:hAnsi="Times New Roman" w:eastAsia="宋体" w:cs="Times New Roman"/>
                <w:color w:val="000000" w:themeColor="text1"/>
                <w:szCs w:val="24"/>
                <w:highlight w:val="none"/>
                <w14:textFill>
                  <w14:solidFill>
                    <w14:schemeClr w14:val="tx1"/>
                  </w14:solidFill>
                </w14:textFill>
              </w:rPr>
              <w:t>方面进行分析。</w:t>
            </w:r>
          </w:p>
          <w:p w14:paraId="681A55AE">
            <w:pPr>
              <w:pStyle w:val="103"/>
              <w:keepNext w:val="0"/>
              <w:keepLines w:val="0"/>
              <w:pageBreakBefore w:val="0"/>
              <w:widowControl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（1）生态保护红线</w:t>
            </w:r>
          </w:p>
          <w:p w14:paraId="6942943F">
            <w:pPr>
              <w:pStyle w:val="103"/>
              <w:keepNext w:val="0"/>
              <w:keepLines w:val="0"/>
              <w:pageBreakBefore w:val="0"/>
              <w:widowControl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鄂尔多斯市生态保护红线面积为22900.81km</w:t>
            </w:r>
            <w:r>
              <w:rPr>
                <w:rFonts w:hint="default" w:ascii="Times New Roman" w:hAnsi="Times New Roman" w:eastAsia="宋体" w:cs="Times New Roman"/>
                <w:color w:val="000000" w:themeColor="text1"/>
                <w:szCs w:val="24"/>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Cs w:val="24"/>
                <w:highlight w:val="none"/>
                <w14:textFill>
                  <w14:solidFill>
                    <w14:schemeClr w14:val="tx1"/>
                  </w14:solidFill>
                </w14:textFill>
              </w:rPr>
              <w:t>，占全市面积的26.36%。本项目选址位于</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内蒙古鄂尔多斯</w:t>
            </w:r>
            <w:r>
              <w:rPr>
                <w:rFonts w:hint="eastAsia" w:cs="Times New Roman"/>
                <w:color w:val="000000" w:themeColor="text1"/>
                <w:sz w:val="24"/>
                <w:highlight w:val="none"/>
                <w:lang w:val="en-US" w:eastAsia="zh-CN"/>
                <w14:textFill>
                  <w14:solidFill>
                    <w14:schemeClr w14:val="tx1"/>
                  </w14:solidFill>
                </w14:textFill>
              </w:rPr>
              <w:t>市</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准格尔经济开发区准格尔产业园</w:t>
            </w:r>
            <w:r>
              <w:rPr>
                <w:rFonts w:hint="default" w:ascii="Times New Roman" w:hAnsi="Times New Roman" w:eastAsia="宋体" w:cs="Times New Roman"/>
                <w:color w:val="000000" w:themeColor="text1"/>
                <w:szCs w:val="24"/>
                <w:highlight w:val="none"/>
                <w14:textFill>
                  <w14:solidFill>
                    <w14:schemeClr w14:val="tx1"/>
                  </w14:solidFill>
                </w14:textFill>
              </w:rPr>
              <w:t>，不在内蒙古自治区和鄂尔多斯市生态保护红线范围内，即本项目与生态红线不冲突，符合其保护要求。</w:t>
            </w:r>
          </w:p>
          <w:p w14:paraId="386D1298">
            <w:pPr>
              <w:pStyle w:val="103"/>
              <w:keepNext w:val="0"/>
              <w:keepLines w:val="0"/>
              <w:pageBreakBefore w:val="0"/>
              <w:widowControl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（2）环境质量底线</w:t>
            </w:r>
          </w:p>
          <w:p w14:paraId="49549CA4">
            <w:pPr>
              <w:pStyle w:val="103"/>
              <w:keepNext w:val="0"/>
              <w:keepLines w:val="0"/>
              <w:pageBreakBefore w:val="0"/>
              <w:widowControl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根据《2024年内蒙古自治区生态环境状况公报》中鄂尔多斯市地区的环境空气质量监测数据</w:t>
            </w:r>
            <w:r>
              <w:rPr>
                <w:rFonts w:hint="eastAsia" w:cs="Times New Roman"/>
                <w:color w:val="000000" w:themeColor="text1"/>
                <w:szCs w:val="24"/>
                <w:highlight w:val="none"/>
                <w:lang w:eastAsia="zh-CN"/>
                <w14:textFill>
                  <w14:solidFill>
                    <w14:schemeClr w14:val="tx1"/>
                  </w14:solidFill>
                </w14:textFill>
              </w:rPr>
              <w:t>，项目</w:t>
            </w:r>
            <w:r>
              <w:rPr>
                <w:rFonts w:hint="default" w:ascii="Times New Roman" w:hAnsi="Times New Roman" w:eastAsia="宋体" w:cs="Times New Roman"/>
                <w:color w:val="000000" w:themeColor="text1"/>
                <w:szCs w:val="24"/>
                <w:highlight w:val="none"/>
                <w14:textFill>
                  <w14:solidFill>
                    <w14:schemeClr w14:val="tx1"/>
                  </w14:solidFill>
                </w14:textFill>
              </w:rPr>
              <w:t>所在区域为环境空气质量达标区域</w:t>
            </w:r>
            <w:r>
              <w:rPr>
                <w:rFonts w:hint="eastAsia" w:cs="Times New Roman"/>
                <w:color w:val="000000" w:themeColor="text1"/>
                <w:szCs w:val="24"/>
                <w:highlight w:val="none"/>
                <w:lang w:eastAsia="zh-CN"/>
                <w14:textFill>
                  <w14:solidFill>
                    <w14:schemeClr w14:val="tx1"/>
                  </w14:solidFill>
                </w14:textFill>
              </w:rPr>
              <w:t>，</w:t>
            </w:r>
            <w:r>
              <w:rPr>
                <w:rFonts w:hint="eastAsia" w:cs="Times New Roman"/>
                <w:color w:val="000000" w:themeColor="text1"/>
                <w:szCs w:val="24"/>
                <w:highlight w:val="none"/>
                <w:lang w:val="en-US" w:eastAsia="zh-CN"/>
                <w14:textFill>
                  <w14:solidFill>
                    <w14:schemeClr w14:val="tx1"/>
                  </w14:solidFill>
                </w14:textFill>
              </w:rPr>
              <w:t>且对照</w:t>
            </w:r>
            <w:r>
              <w:rPr>
                <w:rFonts w:hint="default" w:ascii="Times New Roman" w:hAnsi="Times New Roman" w:eastAsia="宋体" w:cs="Times New Roman"/>
                <w:color w:val="000000" w:themeColor="text1"/>
                <w:szCs w:val="24"/>
                <w:highlight w:val="none"/>
                <w14:textFill>
                  <w14:solidFill>
                    <w14:schemeClr w14:val="tx1"/>
                  </w14:solidFill>
                </w14:textFill>
              </w:rPr>
              <w:t>《环境空气质量标准》（GB3095-20</w:t>
            </w:r>
            <w:r>
              <w:rPr>
                <w:rFonts w:hint="eastAsia" w:cs="Times New Roman"/>
                <w:color w:val="000000" w:themeColor="text1"/>
                <w:szCs w:val="24"/>
                <w:highlight w:val="none"/>
                <w:lang w:val="en-US" w:eastAsia="zh-CN"/>
                <w14:textFill>
                  <w14:solidFill>
                    <w14:schemeClr w14:val="tx1"/>
                  </w14:solidFill>
                </w14:textFill>
              </w:rPr>
              <w:t>26</w:t>
            </w:r>
            <w:r>
              <w:rPr>
                <w:rFonts w:hint="default" w:ascii="Times New Roman" w:hAnsi="Times New Roman" w:eastAsia="宋体" w:cs="Times New Roman"/>
                <w:color w:val="000000" w:themeColor="text1"/>
                <w:szCs w:val="24"/>
                <w:highlight w:val="none"/>
                <w14:textFill>
                  <w14:solidFill>
                    <w14:schemeClr w14:val="tx1"/>
                  </w14:solidFill>
                </w14:textFill>
              </w:rPr>
              <w:t>）</w:t>
            </w:r>
            <w:r>
              <w:rPr>
                <w:rFonts w:hint="eastAsia" w:ascii="Times New Roman" w:hAnsi="Times New Roman" w:eastAsia="宋体" w:cs="Times New Roman"/>
                <w:color w:val="000000" w:themeColor="text1"/>
                <w:szCs w:val="24"/>
                <w:highlight w:val="none"/>
                <w:lang w:eastAsia="zh-CN"/>
                <w14:textFill>
                  <w14:solidFill>
                    <w14:schemeClr w14:val="tx1"/>
                  </w14:solidFill>
                </w14:textFill>
              </w:rPr>
              <w:t>，</w:t>
            </w: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2024年</w:t>
            </w:r>
            <w:r>
              <w:rPr>
                <w:rFonts w:hint="default" w:ascii="Times New Roman" w:hAnsi="Times New Roman" w:eastAsia="宋体" w:cs="Times New Roman"/>
                <w:color w:val="000000" w:themeColor="text1"/>
                <w:szCs w:val="24"/>
                <w:highlight w:val="none"/>
                <w14:textFill>
                  <w14:solidFill>
                    <w14:schemeClr w14:val="tx1"/>
                  </w14:solidFill>
                </w14:textFill>
              </w:rPr>
              <w:t>鄂尔多斯市地区的环境空气质量监测数据</w:t>
            </w:r>
            <w:r>
              <w:rPr>
                <w:rFonts w:hint="eastAsia" w:cs="Times New Roman"/>
                <w:color w:val="000000" w:themeColor="text1"/>
                <w:szCs w:val="24"/>
                <w:highlight w:val="none"/>
                <w:lang w:eastAsia="zh-CN"/>
                <w14:textFill>
                  <w14:solidFill>
                    <w14:schemeClr w14:val="tx1"/>
                  </w14:solidFill>
                </w14:textFill>
              </w:rPr>
              <w:t>项目</w:t>
            </w:r>
            <w:r>
              <w:rPr>
                <w:rFonts w:hint="default" w:ascii="Times New Roman" w:hAnsi="Times New Roman" w:eastAsia="宋体" w:cs="Times New Roman"/>
                <w:color w:val="000000" w:themeColor="text1"/>
                <w:szCs w:val="24"/>
                <w:highlight w:val="none"/>
                <w14:textFill>
                  <w14:solidFill>
                    <w14:schemeClr w14:val="tx1"/>
                  </w14:solidFill>
                </w14:textFill>
              </w:rPr>
              <w:t>所在区域为环境空气质量达标区域。另外，根据</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现状监测</w:t>
            </w:r>
            <w:r>
              <w:rPr>
                <w:rFonts w:hint="default" w:ascii="Times New Roman" w:hAnsi="Times New Roman" w:eastAsia="宋体" w:cs="Times New Roman"/>
                <w:color w:val="000000" w:themeColor="text1"/>
                <w:szCs w:val="24"/>
                <w:highlight w:val="none"/>
                <w14:textFill>
                  <w14:solidFill>
                    <w14:schemeClr w14:val="tx1"/>
                  </w14:solidFill>
                </w14:textFill>
              </w:rPr>
              <w:t>数据结果，评价区域内监测点的TSP的浓度满足《环境空气质量标准》（GB3095-2012）</w:t>
            </w:r>
            <w:r>
              <w:rPr>
                <w:rFonts w:hint="eastAsia" w:ascii="Times New Roman" w:hAnsi="Times New Roman" w:eastAsia="宋体" w:cs="Times New Roman"/>
                <w:color w:val="000000" w:themeColor="text1"/>
                <w:szCs w:val="24"/>
                <w:highlight w:val="none"/>
                <w:lang w:val="en-US" w:eastAsia="zh-CN"/>
                <w14:textFill>
                  <w14:solidFill>
                    <w14:schemeClr w14:val="tx1"/>
                  </w14:solidFill>
                </w14:textFill>
              </w:rPr>
              <w:t>及其修改单的</w:t>
            </w:r>
            <w:r>
              <w:rPr>
                <w:rFonts w:hint="default" w:ascii="Times New Roman" w:hAnsi="Times New Roman" w:eastAsia="宋体" w:cs="Times New Roman"/>
                <w:color w:val="000000" w:themeColor="text1"/>
                <w:szCs w:val="24"/>
                <w:highlight w:val="none"/>
                <w14:textFill>
                  <w14:solidFill>
                    <w14:schemeClr w14:val="tx1"/>
                  </w14:solidFill>
                </w14:textFill>
              </w:rPr>
              <w:t>二类标准要求</w:t>
            </w:r>
            <w:r>
              <w:rPr>
                <w:rFonts w:hint="eastAsia" w:cs="Times New Roman"/>
                <w:color w:val="000000" w:themeColor="text1"/>
                <w:szCs w:val="24"/>
                <w:highlight w:val="none"/>
                <w:lang w:eastAsia="zh-CN"/>
                <w14:textFill>
                  <w14:solidFill>
                    <w14:schemeClr w14:val="tx1"/>
                  </w14:solidFill>
                </w14:textFill>
              </w:rPr>
              <w:t>，</w:t>
            </w:r>
            <w:r>
              <w:rPr>
                <w:rFonts w:hint="eastAsia" w:cs="Times New Roman"/>
                <w:color w:val="000000" w:themeColor="text1"/>
                <w:szCs w:val="24"/>
                <w:highlight w:val="none"/>
                <w:lang w:val="en-US" w:eastAsia="zh-CN"/>
                <w14:textFill>
                  <w14:solidFill>
                    <w14:schemeClr w14:val="tx1"/>
                  </w14:solidFill>
                </w14:textFill>
              </w:rPr>
              <w:t>同时满足</w:t>
            </w:r>
            <w:r>
              <w:rPr>
                <w:rFonts w:hint="default" w:ascii="Times New Roman" w:hAnsi="Times New Roman" w:eastAsia="宋体" w:cs="Times New Roman"/>
                <w:color w:val="000000" w:themeColor="text1"/>
                <w:szCs w:val="24"/>
                <w:highlight w:val="none"/>
                <w14:textFill>
                  <w14:solidFill>
                    <w14:schemeClr w14:val="tx1"/>
                  </w14:solidFill>
                </w14:textFill>
              </w:rPr>
              <w:t>《环境空气质量标准》（GB3095-20</w:t>
            </w:r>
            <w:r>
              <w:rPr>
                <w:rFonts w:hint="eastAsia" w:cs="Times New Roman"/>
                <w:color w:val="000000" w:themeColor="text1"/>
                <w:szCs w:val="24"/>
                <w:highlight w:val="none"/>
                <w:lang w:val="en-US" w:eastAsia="zh-CN"/>
                <w14:textFill>
                  <w14:solidFill>
                    <w14:schemeClr w14:val="tx1"/>
                  </w14:solidFill>
                </w14:textFill>
              </w:rPr>
              <w:t>26</w:t>
            </w:r>
            <w:r>
              <w:rPr>
                <w:rFonts w:hint="default" w:ascii="Times New Roman" w:hAnsi="Times New Roman" w:eastAsia="宋体" w:cs="Times New Roman"/>
                <w:color w:val="000000" w:themeColor="text1"/>
                <w:szCs w:val="24"/>
                <w:highlight w:val="none"/>
                <w14:textFill>
                  <w14:solidFill>
                    <w14:schemeClr w14:val="tx1"/>
                  </w14:solidFill>
                </w14:textFill>
              </w:rPr>
              <w:t>）</w:t>
            </w:r>
            <w:r>
              <w:rPr>
                <w:rFonts w:hint="eastAsia" w:cs="Times New Roman"/>
                <w:color w:val="000000" w:themeColor="text1"/>
                <w:szCs w:val="24"/>
                <w:highlight w:val="none"/>
                <w:lang w:val="en-US" w:eastAsia="zh-CN"/>
                <w14:textFill>
                  <w14:solidFill>
                    <w14:schemeClr w14:val="tx1"/>
                  </w14:solidFill>
                </w14:textFill>
              </w:rPr>
              <w:t>表2的</w:t>
            </w:r>
            <w:r>
              <w:rPr>
                <w:rFonts w:hint="default" w:ascii="Times New Roman" w:hAnsi="Times New Roman" w:eastAsia="宋体" w:cs="Times New Roman"/>
                <w:color w:val="000000" w:themeColor="text1"/>
                <w:szCs w:val="24"/>
                <w:highlight w:val="none"/>
                <w14:textFill>
                  <w14:solidFill>
                    <w14:schemeClr w14:val="tx1"/>
                  </w14:solidFill>
                </w14:textFill>
              </w:rPr>
              <w:t>二类标准要求</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Cs w:val="24"/>
                <w:highlight w:val="none"/>
                <w:lang w:eastAsia="zh-CN"/>
                <w14:textFill>
                  <w14:solidFill>
                    <w14:schemeClr w14:val="tx1"/>
                  </w14:solidFill>
                </w14:textFill>
              </w:rPr>
              <w:t>具</w:t>
            </w:r>
            <w:r>
              <w:rPr>
                <w:rFonts w:hint="default" w:ascii="Times New Roman" w:hAnsi="Times New Roman" w:eastAsia="宋体" w:cs="Times New Roman"/>
                <w:color w:val="000000" w:themeColor="text1"/>
                <w:szCs w:val="24"/>
                <w:highlight w:val="none"/>
                <w14:textFill>
                  <w14:solidFill>
                    <w14:schemeClr w14:val="tx1"/>
                  </w14:solidFill>
                </w14:textFill>
              </w:rPr>
              <w:t>有一定的环境容量；同时项目建设完成后</w:t>
            </w:r>
            <w:r>
              <w:rPr>
                <w:rFonts w:hint="eastAsia" w:ascii="Times New Roman" w:hAnsi="Times New Roman" w:eastAsia="宋体" w:cs="Times New Roman"/>
                <w:color w:val="000000" w:themeColor="text1"/>
                <w:szCs w:val="24"/>
                <w:highlight w:val="none"/>
                <w:lang w:eastAsia="zh-CN"/>
                <w14:textFill>
                  <w14:solidFill>
                    <w14:schemeClr w14:val="tx1"/>
                  </w14:solidFill>
                </w14:textFill>
              </w:rPr>
              <w:t>对</w:t>
            </w:r>
            <w:r>
              <w:rPr>
                <w:rFonts w:hint="default" w:ascii="Times New Roman" w:hAnsi="Times New Roman" w:eastAsia="宋体" w:cs="Times New Roman"/>
                <w:color w:val="000000" w:themeColor="text1"/>
                <w:szCs w:val="24"/>
                <w:highlight w:val="none"/>
                <w14:textFill>
                  <w14:solidFill>
                    <w14:schemeClr w14:val="tx1"/>
                  </w14:solidFill>
                </w14:textFill>
              </w:rPr>
              <w:t>产生的污染物采取相应的环保治理措施后，污染物均能实现达标排放，且污染物排放量小，因此，项目建设符合环境质量底线的要求。</w:t>
            </w:r>
          </w:p>
          <w:p w14:paraId="783C6F7E">
            <w:pPr>
              <w:pStyle w:val="103"/>
              <w:keepNext w:val="0"/>
              <w:keepLines w:val="0"/>
              <w:pageBreakBefore w:val="0"/>
              <w:widowControl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（3）资源利用上线</w:t>
            </w:r>
          </w:p>
          <w:p w14:paraId="32F3FED9">
            <w:pPr>
              <w:pStyle w:val="103"/>
              <w:keepNext w:val="0"/>
              <w:keepLines w:val="0"/>
              <w:pageBreakBefore w:val="0"/>
              <w:widowControl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本项目</w:t>
            </w:r>
            <w:r>
              <w:rPr>
                <w:rFonts w:hint="eastAsia" w:cs="Times New Roman"/>
                <w:color w:val="000000" w:themeColor="text1"/>
                <w:szCs w:val="24"/>
                <w:highlight w:val="none"/>
                <w:lang w:val="en-US" w:eastAsia="zh-CN"/>
                <w14:textFill>
                  <w14:solidFill>
                    <w14:schemeClr w14:val="tx1"/>
                  </w14:solidFill>
                </w14:textFill>
              </w:rPr>
              <w:t>位于</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内蒙古鄂尔多斯</w:t>
            </w:r>
            <w:r>
              <w:rPr>
                <w:rFonts w:hint="eastAsia" w:cs="Times New Roman"/>
                <w:color w:val="000000" w:themeColor="text1"/>
                <w:sz w:val="24"/>
                <w:highlight w:val="none"/>
                <w:lang w:val="en-US" w:eastAsia="zh-CN"/>
                <w14:textFill>
                  <w14:solidFill>
                    <w14:schemeClr w14:val="tx1"/>
                  </w14:solidFill>
                </w14:textFill>
              </w:rPr>
              <w:t>市</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准格尔经济开发区准格尔产业园</w:t>
            </w:r>
            <w:r>
              <w:rPr>
                <w:rFonts w:hint="eastAsia" w:cs="Times New Roman"/>
                <w:color w:val="000000" w:themeColor="text1"/>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Cs w:val="24"/>
                <w:highlight w:val="none"/>
                <w14:textFill>
                  <w14:solidFill>
                    <w14:schemeClr w14:val="tx1"/>
                  </w14:solidFill>
                </w14:textFill>
              </w:rPr>
              <w:t>生产用水由</w:t>
            </w:r>
            <w: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t>准格尔旗国资燃气热力有限责任公司污水处理厂供给</w:t>
            </w:r>
            <w:r>
              <w:rPr>
                <w:rFonts w:hint="eastAsia" w:cs="Times New Roman"/>
                <w:color w:val="000000" w:themeColor="text1"/>
                <w:szCs w:val="24"/>
                <w:highlight w:val="none"/>
                <w:lang w:val="en-US" w:eastAsia="zh-CN"/>
                <w14:textFill>
                  <w14:solidFill>
                    <w14:schemeClr w14:val="tx1"/>
                  </w14:solidFill>
                </w14:textFill>
              </w:rPr>
              <w:t>中水</w:t>
            </w:r>
            <w:r>
              <w:rPr>
                <w:rFonts w:hint="default" w:ascii="Times New Roman" w:hAnsi="Times New Roman" w:eastAsia="宋体" w:cs="Times New Roman"/>
                <w:color w:val="000000" w:themeColor="text1"/>
                <w:szCs w:val="24"/>
                <w:highlight w:val="none"/>
                <w14:textFill>
                  <w14:solidFill>
                    <w14:schemeClr w14:val="tx1"/>
                  </w14:solidFill>
                </w14:textFill>
              </w:rPr>
              <w:t>，项目区</w:t>
            </w:r>
            <w:r>
              <w:rPr>
                <w:rFonts w:hint="default" w:ascii="Times New Roman" w:hAnsi="Times New Roman" w:eastAsia="宋体" w:cs="Times New Roman"/>
                <w:color w:val="000000" w:themeColor="text1"/>
                <w:szCs w:val="24"/>
                <w:highlight w:val="none"/>
                <w:lang w:eastAsia="zh-CN"/>
                <w14:textFill>
                  <w14:solidFill>
                    <w14:schemeClr w14:val="tx1"/>
                  </w14:solidFill>
                </w14:textFill>
              </w:rPr>
              <w:t>供水</w:t>
            </w:r>
            <w:r>
              <w:rPr>
                <w:rFonts w:hint="default" w:ascii="Times New Roman" w:hAnsi="Times New Roman" w:eastAsia="宋体" w:cs="Times New Roman"/>
                <w:color w:val="000000" w:themeColor="text1"/>
                <w:sz w:val="24"/>
                <w:highlight w:val="none"/>
                <w14:textFill>
                  <w14:solidFill>
                    <w14:schemeClr w14:val="tx1"/>
                  </w14:solidFill>
                </w14:textFill>
              </w:rPr>
              <w:t>能力、供水水质、供水压力均能满足项目需要。</w:t>
            </w:r>
            <w:r>
              <w:rPr>
                <w:rFonts w:hint="eastAsia" w:cs="Times New Roman"/>
                <w:color w:val="000000" w:themeColor="text1"/>
                <w:sz w:val="24"/>
                <w:highlight w:val="none"/>
                <w:lang w:val="en-US" w:eastAsia="zh-CN"/>
                <w14:textFill>
                  <w14:solidFill>
                    <w14:schemeClr w14:val="tx1"/>
                  </w14:solidFill>
                </w14:textFill>
              </w:rPr>
              <w:t>项目原料来自0.2km范围内的临近项目厂区内，减少了运输消耗；项目燃料为园区内项目附近的内蒙古伊东东方能源公司；</w:t>
            </w:r>
            <w:r>
              <w:rPr>
                <w:rFonts w:hint="default" w:ascii="Times New Roman" w:hAnsi="Times New Roman" w:eastAsia="宋体" w:cs="Times New Roman"/>
                <w:color w:val="000000" w:themeColor="text1"/>
                <w:sz w:val="24"/>
                <w:highlight w:val="none"/>
                <w14:textFill>
                  <w14:solidFill>
                    <w14:schemeClr w14:val="tx1"/>
                  </w14:solidFill>
                </w14:textFill>
              </w:rPr>
              <w:t>本项目位于</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内蒙古鄂尔多斯</w:t>
            </w:r>
            <w:r>
              <w:rPr>
                <w:rFonts w:hint="eastAsia" w:cs="Times New Roman"/>
                <w:color w:val="000000" w:themeColor="text1"/>
                <w:sz w:val="24"/>
                <w:highlight w:val="none"/>
                <w:lang w:val="en-US" w:eastAsia="zh-CN"/>
                <w14:textFill>
                  <w14:solidFill>
                    <w14:schemeClr w14:val="tx1"/>
                  </w14:solidFill>
                </w14:textFill>
              </w:rPr>
              <w:t>市</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准格尔经济开发区准格尔产业园，</w:t>
            </w:r>
            <w:r>
              <w:rPr>
                <w:rFonts w:hint="default" w:ascii="Times New Roman" w:hAnsi="Times New Roman" w:eastAsia="宋体" w:cs="Times New Roman"/>
                <w:color w:val="000000" w:themeColor="text1"/>
                <w:sz w:val="24"/>
                <w:highlight w:val="none"/>
                <w14:textFill>
                  <w14:solidFill>
                    <w14:schemeClr w14:val="tx1"/>
                  </w14:solidFill>
                </w14:textFill>
              </w:rPr>
              <w:t>土地性质为工业用地，土地资源消耗符合要求。因此整体符合资源利用上线要求。</w:t>
            </w:r>
          </w:p>
          <w:p w14:paraId="75EB201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生态环境准入清单</w:t>
            </w:r>
          </w:p>
          <w:p w14:paraId="68AAAF4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生态环境准入清单指基于环境管控单元，统筹考虑生态保护红线、环境质量底线、资源利用上线的管控要求，提出的空间布局、污染物排放、环境风险、资源开发利用等方面禁止和</w:t>
            </w:r>
            <w:r>
              <w:rPr>
                <w:rFonts w:hint="eastAsia" w:cs="Times New Roman"/>
                <w:color w:val="000000" w:themeColor="text1"/>
                <w:sz w:val="24"/>
                <w:highlight w:val="none"/>
                <w:lang w:eastAsia="zh-CN"/>
                <w14:textFill>
                  <w14:solidFill>
                    <w14:schemeClr w14:val="tx1"/>
                  </w14:solidFill>
                </w14:textFill>
              </w:rPr>
              <w:t>限值</w:t>
            </w:r>
            <w:r>
              <w:rPr>
                <w:rFonts w:hint="default" w:ascii="Times New Roman" w:hAnsi="Times New Roman" w:eastAsia="宋体" w:cs="Times New Roman"/>
                <w:color w:val="000000" w:themeColor="text1"/>
                <w:sz w:val="24"/>
                <w:highlight w:val="none"/>
                <w14:textFill>
                  <w14:solidFill>
                    <w14:schemeClr w14:val="tx1"/>
                  </w14:solidFill>
                </w14:textFill>
              </w:rPr>
              <w:t>的环境准入要求。</w:t>
            </w:r>
          </w:p>
          <w:p w14:paraId="58F6582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根据</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鄂尔多斯市生态环境分区管控动态更新成果（2023年版）</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基于生态保护红线、环境质量底线、资源利用上线，充分吸纳整合已有相关规划、功能区划、行动计划等要求，从空间布局约束、污染物排放管控、环境风险防控和资源利用效率等方面明确生态环境准入要求，建立两级生态环境准入清单管控体系（即1个鄂尔多斯市总体准入清单、171个环境管控单元准入清单）。根据《鄂尔多斯市生态环境准入清单》内容，</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内蒙古鄂尔多斯</w:t>
            </w:r>
            <w:r>
              <w:rPr>
                <w:rFonts w:hint="eastAsia" w:cs="Times New Roman"/>
                <w:color w:val="000000" w:themeColor="text1"/>
                <w:sz w:val="24"/>
                <w:highlight w:val="none"/>
                <w:lang w:val="en-US" w:eastAsia="zh-CN"/>
                <w14:textFill>
                  <w14:solidFill>
                    <w14:schemeClr w14:val="tx1"/>
                  </w14:solidFill>
                </w14:textFill>
              </w:rPr>
              <w:t>市</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准格尔经济开发区准格尔产业园</w:t>
            </w:r>
            <w:r>
              <w:rPr>
                <w:rFonts w:hint="default" w:ascii="Times New Roman" w:hAnsi="Times New Roman" w:eastAsia="宋体" w:cs="Times New Roman"/>
                <w:color w:val="000000" w:themeColor="text1"/>
                <w:sz w:val="24"/>
                <w:highlight w:val="none"/>
                <w14:textFill>
                  <w14:solidFill>
                    <w14:schemeClr w14:val="tx1"/>
                  </w14:solidFill>
                </w14:textFill>
              </w:rPr>
              <w:t>属于重点管控单元，环境管控单元编码为</w:t>
            </w:r>
            <w:bookmarkStart w:id="1" w:name="_Hlk171068381"/>
            <w:r>
              <w:rPr>
                <w:rFonts w:hint="default" w:ascii="Times New Roman" w:hAnsi="Times New Roman" w:eastAsia="宋体" w:cs="Times New Roman"/>
                <w:color w:val="000000" w:themeColor="text1"/>
                <w:sz w:val="24"/>
                <w:highlight w:val="none"/>
                <w14:textFill>
                  <w14:solidFill>
                    <w14:schemeClr w14:val="tx1"/>
                  </w14:solidFill>
                </w14:textFill>
              </w:rPr>
              <w:t>ZH15062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14:textFill>
                  <w14:solidFill>
                    <w14:schemeClr w14:val="tx1"/>
                  </w14:solidFill>
                </w14:textFill>
              </w:rPr>
              <w:t>2000</w:t>
            </w:r>
            <w:bookmarkEnd w:id="1"/>
            <w:r>
              <w:rPr>
                <w:rFonts w:hint="eastAsia" w:cs="Times New Roman"/>
                <w:color w:val="000000" w:themeColor="text1"/>
                <w:sz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内蒙古准格尔经济开发区</w:t>
            </w:r>
            <w:r>
              <w:rPr>
                <w:rFonts w:hint="default" w:ascii="Times New Roman" w:hAnsi="Times New Roman" w:eastAsia="宋体" w:cs="Times New Roman"/>
                <w:color w:val="000000" w:themeColor="text1"/>
                <w:sz w:val="24"/>
                <w:highlight w:val="none"/>
                <w14:textFill>
                  <w14:solidFill>
                    <w14:schemeClr w14:val="tx1"/>
                  </w14:solidFill>
                </w14:textFill>
              </w:rPr>
              <w:t>）。本项目与鄂尔多斯市生态环境准入清单要求对比。</w:t>
            </w:r>
          </w:p>
          <w:p w14:paraId="14E66264">
            <w:pPr>
              <w:pStyle w:val="103"/>
              <w:spacing w:line="360" w:lineRule="auto"/>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1"/>
                <w:highlight w:val="none"/>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3069590</wp:posOffset>
                      </wp:positionH>
                      <wp:positionV relativeFrom="paragraph">
                        <wp:posOffset>623570</wp:posOffset>
                      </wp:positionV>
                      <wp:extent cx="869315" cy="273050"/>
                      <wp:effectExtent l="4445" t="4445" r="21590" b="770255"/>
                      <wp:wrapNone/>
                      <wp:docPr id="23" name="自选图形 183"/>
                      <wp:cNvGraphicFramePr/>
                      <a:graphic xmlns:a="http://schemas.openxmlformats.org/drawingml/2006/main">
                        <a:graphicData uri="http://schemas.microsoft.com/office/word/2010/wordprocessingShape">
                          <wps:wsp>
                            <wps:cNvSpPr/>
                            <wps:spPr>
                              <a:xfrm>
                                <a:off x="0" y="0"/>
                                <a:ext cx="869315" cy="273050"/>
                              </a:xfrm>
                              <a:prstGeom prst="wedgeRectCallout">
                                <a:avLst>
                                  <a:gd name="adj1" fmla="val -10630"/>
                                  <a:gd name="adj2" fmla="val 317676"/>
                                </a:avLst>
                              </a:prstGeom>
                              <a:solidFill>
                                <a:srgbClr val="FFFFFF"/>
                              </a:solidFill>
                              <a:ln w="9525" cap="flat" cmpd="sng">
                                <a:solidFill>
                                  <a:srgbClr val="000000"/>
                                </a:solidFill>
                                <a:prstDash val="solid"/>
                                <a:miter/>
                                <a:headEnd type="none" w="med" len="med"/>
                                <a:tailEnd type="none" w="med" len="med"/>
                              </a:ln>
                            </wps:spPr>
                            <wps:txbx>
                              <w:txbxContent>
                                <w:p w14:paraId="000F7B6E">
                                  <w:pPr>
                                    <w:rPr>
                                      <w:rFonts w:hint="default" w:eastAsia="宋体"/>
                                      <w:lang w:val="en-US" w:eastAsia="zh-CN"/>
                                    </w:rPr>
                                  </w:pPr>
                                  <w:r>
                                    <w:rPr>
                                      <w:rFonts w:hint="eastAsia"/>
                                      <w:lang w:val="en-US" w:eastAsia="zh-CN"/>
                                    </w:rPr>
                                    <w:t>项目位置</w:t>
                                  </w:r>
                                </w:p>
                              </w:txbxContent>
                            </wps:txbx>
                            <wps:bodyPr upright="1"/>
                          </wps:wsp>
                        </a:graphicData>
                      </a:graphic>
                    </wp:anchor>
                  </w:drawing>
                </mc:Choice>
                <mc:Fallback>
                  <w:pict>
                    <v:shape id="自选图形 183" o:spid="_x0000_s1026" o:spt="61" type="#_x0000_t61" style="position:absolute;left:0pt;margin-left:241.7pt;margin-top:49.1pt;height:21.5pt;width:68.45pt;z-index:251680768;mso-width-relative:page;mso-height-relative:page;" fillcolor="#FFFFFF" filled="t" stroked="t" coordsize="21600,21600" o:gfxdata="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&#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F+D8ILZAAAACgEAAA8AAAAAAAAAAQAgAAAAIgAAAGRy&#10;cy9kb3ducmV2LnhtbFBLAQIUABQAAAAIAIdO4kBep1thPQIAAJAEAAAOAAAAAAAAAAEAIAAAACgB&#10;AABkcnMvZTJvRG9jLnhtbFBLBQYAAAAABgAGAFkBAADXBQAAAAA=&#10;" adj="8504,79418">
                      <v:fill on="t" focussize="0,0"/>
                      <v:stroke color="#000000" joinstyle="miter"/>
                      <v:imagedata o:title=""/>
                      <o:lock v:ext="edit" aspectratio="f"/>
                      <v:textbox>
                        <w:txbxContent>
                          <w:p w14:paraId="000F7B6E">
                            <w:pPr>
                              <w:rPr>
                                <w:rFonts w:hint="default" w:eastAsia="宋体"/>
                                <w:lang w:val="en-US" w:eastAsia="zh-CN"/>
                              </w:rPr>
                            </w:pPr>
                            <w:r>
                              <w:rPr>
                                <w:rFonts w:hint="eastAsia"/>
                                <w:lang w:val="en-US" w:eastAsia="zh-CN"/>
                              </w:rPr>
                              <w:t>项目位置</w:t>
                            </w:r>
                          </w:p>
                        </w:txbxContent>
                      </v:textbox>
                    </v:shape>
                  </w:pict>
                </mc:Fallback>
              </mc:AlternateContent>
            </w:r>
            <w:r>
              <w:rPr>
                <w:rFonts w:hint="default" w:ascii="Times New Roman" w:hAnsi="Times New Roman" w:eastAsia="宋体" w:cs="Times New Roman"/>
                <w:color w:val="000000" w:themeColor="text1"/>
                <w:highlight w:val="none"/>
                <w14:textFill>
                  <w14:solidFill>
                    <w14:schemeClr w14:val="tx1"/>
                  </w14:solidFill>
                </w14:textFill>
              </w:rPr>
              <w:drawing>
                <wp:inline distT="0" distB="0" distL="114300" distR="114300">
                  <wp:extent cx="4896485" cy="3459480"/>
                  <wp:effectExtent l="0" t="0" r="18415" b="7620"/>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pic:cNvPicPr>
                            <a:picLocks noChangeAspect="1"/>
                          </pic:cNvPicPr>
                        </pic:nvPicPr>
                        <pic:blipFill>
                          <a:blip r:embed="rId13"/>
                          <a:stretch>
                            <a:fillRect/>
                          </a:stretch>
                        </pic:blipFill>
                        <pic:spPr>
                          <a:xfrm>
                            <a:off x="0" y="0"/>
                            <a:ext cx="4896485" cy="3459480"/>
                          </a:xfrm>
                          <a:prstGeom prst="rect">
                            <a:avLst/>
                          </a:prstGeom>
                          <a:noFill/>
                          <a:ln>
                            <a:noFill/>
                          </a:ln>
                        </pic:spPr>
                      </pic:pic>
                    </a:graphicData>
                  </a:graphic>
                </wp:inline>
              </w:drawing>
            </w:r>
          </w:p>
          <w:p w14:paraId="795FC173">
            <w:pPr>
              <w:pStyle w:val="7"/>
              <w:numPr>
                <w:ilvl w:val="0"/>
                <w:numId w:val="0"/>
              </w:numPr>
              <w:bidi w:val="0"/>
              <w:ind w:left="0" w:leftChars="0" w:firstLine="0" w:firstLineChars="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b/>
                <w:color w:val="000000" w:themeColor="text1"/>
                <w:kern w:val="0"/>
                <w:sz w:val="21"/>
                <w:szCs w:val="20"/>
                <w:highlight w:val="none"/>
                <w:lang w:val="en-US" w:eastAsia="zh-CN" w:bidi="ar-SA"/>
                <w14:textFill>
                  <w14:solidFill>
                    <w14:schemeClr w14:val="tx1"/>
                  </w14:solidFill>
                </w14:textFill>
              </w:rPr>
              <w:t>图1-1</w:t>
            </w:r>
            <w:r>
              <w:rPr>
                <w:rFonts w:hint="default" w:ascii="Times New Roman" w:hAnsi="Times New Roman" w:eastAsia="宋体" w:cs="Times New Roman"/>
                <w:color w:val="000000" w:themeColor="text1"/>
                <w:highlight w:val="none"/>
                <w14:textFill>
                  <w14:solidFill>
                    <w14:schemeClr w14:val="tx1"/>
                  </w14:solidFill>
                </w14:textFill>
              </w:rPr>
              <w:t>项目</w:t>
            </w:r>
            <w:r>
              <w:rPr>
                <w:rFonts w:hint="default" w:ascii="Times New Roman" w:hAnsi="Times New Roman" w:eastAsia="宋体" w:cs="Times New Roman"/>
                <w:color w:val="000000" w:themeColor="text1"/>
                <w:highlight w:val="none"/>
                <w:lang w:val="en-US" w:eastAsia="zh-CN"/>
                <w14:textFill>
                  <w14:solidFill>
                    <w14:schemeClr w14:val="tx1"/>
                  </w14:solidFill>
                </w14:textFill>
              </w:rPr>
              <w:t>属于</w:t>
            </w:r>
            <w:r>
              <w:rPr>
                <w:rFonts w:hint="default" w:ascii="Times New Roman" w:hAnsi="Times New Roman" w:eastAsia="宋体" w:cs="Times New Roman"/>
                <w:color w:val="000000" w:themeColor="text1"/>
                <w:highlight w:val="none"/>
                <w14:textFill>
                  <w14:solidFill>
                    <w14:schemeClr w14:val="tx1"/>
                  </w14:solidFill>
                </w14:textFill>
              </w:rPr>
              <w:t>鄂尔多斯市环境管控单元图位置关系</w:t>
            </w:r>
          </w:p>
          <w:p w14:paraId="1368B308">
            <w:pPr>
              <w:pStyle w:val="7"/>
              <w:numPr>
                <w:ilvl w:val="0"/>
                <w:numId w:val="0"/>
              </w:numPr>
              <w:bidi w:val="0"/>
              <w:ind w:left="0" w:leftChars="0" w:firstLine="0" w:firstLineChars="0"/>
              <w:rPr>
                <w:rFonts w:hint="default" w:ascii="Times New Roman" w:hAnsi="Times New Roman" w:eastAsia="宋体" w:cs="Times New Roman"/>
                <w:b/>
                <w:color w:val="000000" w:themeColor="text1"/>
                <w:kern w:val="0"/>
                <w:sz w:val="21"/>
                <w:szCs w:val="20"/>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highlight w:val="none"/>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2660650</wp:posOffset>
                      </wp:positionH>
                      <wp:positionV relativeFrom="paragraph">
                        <wp:posOffset>709295</wp:posOffset>
                      </wp:positionV>
                      <wp:extent cx="869315" cy="273050"/>
                      <wp:effectExtent l="277495" t="4445" r="15240" b="484505"/>
                      <wp:wrapNone/>
                      <wp:docPr id="4" name="自选图形 144"/>
                      <wp:cNvGraphicFramePr/>
                      <a:graphic xmlns:a="http://schemas.openxmlformats.org/drawingml/2006/main">
                        <a:graphicData uri="http://schemas.microsoft.com/office/word/2010/wordprocessingShape">
                          <wps:wsp>
                            <wps:cNvSpPr/>
                            <wps:spPr>
                              <a:xfrm>
                                <a:off x="0" y="0"/>
                                <a:ext cx="869315" cy="273050"/>
                              </a:xfrm>
                              <a:prstGeom prst="wedgeRectCallout">
                                <a:avLst>
                                  <a:gd name="adj1" fmla="val -78630"/>
                                  <a:gd name="adj2" fmla="val 215116"/>
                                </a:avLst>
                              </a:prstGeom>
                              <a:solidFill>
                                <a:srgbClr val="FFFFFF"/>
                              </a:solidFill>
                              <a:ln w="9525" cap="flat" cmpd="sng">
                                <a:solidFill>
                                  <a:srgbClr val="000000"/>
                                </a:solidFill>
                                <a:prstDash val="solid"/>
                                <a:miter/>
                                <a:headEnd type="none" w="med" len="med"/>
                                <a:tailEnd type="none" w="med" len="med"/>
                              </a:ln>
                            </wps:spPr>
                            <wps:txbx>
                              <w:txbxContent>
                                <w:p w14:paraId="4527F2E1">
                                  <w:pPr>
                                    <w:rPr>
                                      <w:rFonts w:hint="default" w:eastAsia="宋体"/>
                                      <w:lang w:val="en-US" w:eastAsia="zh-CN"/>
                                    </w:rPr>
                                  </w:pPr>
                                  <w:r>
                                    <w:rPr>
                                      <w:rFonts w:hint="eastAsia"/>
                                      <w:lang w:val="en-US" w:eastAsia="zh-CN"/>
                                    </w:rPr>
                                    <w:t>项目位置</w:t>
                                  </w:r>
                                </w:p>
                              </w:txbxContent>
                            </wps:txbx>
                            <wps:bodyPr upright="1"/>
                          </wps:wsp>
                        </a:graphicData>
                      </a:graphic>
                    </wp:anchor>
                  </w:drawing>
                </mc:Choice>
                <mc:Fallback>
                  <w:pict>
                    <v:shape id="自选图形 144" o:spid="_x0000_s1026" o:spt="61" type="#_x0000_t61" style="position:absolute;left:0pt;margin-left:209.5pt;margin-top:55.85pt;height:21.5pt;width:68.45pt;z-index:251662336;mso-width-relative:page;mso-height-relative:page;" fillcolor="#FFFFFF" filled="t" stroked="t" coordsize="21600,21600" o:gfxdata="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6fE2K9sAAAALAQAADwAAAAAAAAABACAAAAAiAAAA&#10;ZHJzL2Rvd25yZXYueG1sUEsBAhQAFAAAAAgAh07iQFmeVjQ9AgAAjwQAAA4AAAAAAAAAAQAgAAAA&#10;KgEAAGRycy9lMm9Eb2MueG1sUEsFBgAAAAAGAAYAWQEAANkFAAAAAA==&#10;" adj="-6184,57265">
                      <v:fill on="t" focussize="0,0"/>
                      <v:stroke color="#000000" joinstyle="miter"/>
                      <v:imagedata o:title=""/>
                      <o:lock v:ext="edit" aspectratio="f"/>
                      <v:textbox>
                        <w:txbxContent>
                          <w:p w14:paraId="4527F2E1">
                            <w:pPr>
                              <w:rPr>
                                <w:rFonts w:hint="default" w:eastAsia="宋体"/>
                                <w:lang w:val="en-US" w:eastAsia="zh-CN"/>
                              </w:rPr>
                            </w:pPr>
                            <w:r>
                              <w:rPr>
                                <w:rFonts w:hint="eastAsia"/>
                                <w:lang w:val="en-US" w:eastAsia="zh-CN"/>
                              </w:rPr>
                              <w:t>项目位置</w:t>
                            </w:r>
                          </w:p>
                        </w:txbxContent>
                      </v:textbox>
                    </v:shape>
                  </w:pict>
                </mc:Fallback>
              </mc:AlternateContent>
            </w:r>
            <w:r>
              <w:rPr>
                <w:rFonts w:hint="default" w:ascii="Times New Roman" w:hAnsi="Times New Roman" w:eastAsia="宋体" w:cs="Times New Roman"/>
                <w:b/>
                <w:color w:val="000000" w:themeColor="text1"/>
                <w:kern w:val="0"/>
                <w:sz w:val="21"/>
                <w:szCs w:val="20"/>
                <w:highlight w:val="none"/>
                <w:lang w:val="en-US" w:eastAsia="zh-CN" w:bidi="ar-SA"/>
                <w14:textFill>
                  <w14:solidFill>
                    <w14:schemeClr w14:val="tx1"/>
                  </w14:solidFill>
                </w14:textFill>
              </w:rPr>
              <w:drawing>
                <wp:inline distT="0" distB="0" distL="114300" distR="114300">
                  <wp:extent cx="5033645" cy="2941955"/>
                  <wp:effectExtent l="0" t="0" r="14605" b="10795"/>
                  <wp:docPr id="41" name="图片 3" descr="管控单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descr="管控单元"/>
                          <pic:cNvPicPr>
                            <a:picLocks noChangeAspect="1"/>
                          </pic:cNvPicPr>
                        </pic:nvPicPr>
                        <pic:blipFill>
                          <a:blip r:embed="rId14"/>
                          <a:stretch>
                            <a:fillRect/>
                          </a:stretch>
                        </pic:blipFill>
                        <pic:spPr>
                          <a:xfrm>
                            <a:off x="0" y="0"/>
                            <a:ext cx="5033645" cy="2941955"/>
                          </a:xfrm>
                          <a:prstGeom prst="rect">
                            <a:avLst/>
                          </a:prstGeom>
                          <a:noFill/>
                          <a:ln>
                            <a:noFill/>
                          </a:ln>
                        </pic:spPr>
                      </pic:pic>
                    </a:graphicData>
                  </a:graphic>
                </wp:inline>
              </w:drawing>
            </w:r>
          </w:p>
          <w:p w14:paraId="1D1318E4">
            <w:pPr>
              <w:pStyle w:val="7"/>
              <w:numPr>
                <w:ilvl w:val="0"/>
                <w:numId w:val="0"/>
              </w:numPr>
              <w:bidi w:val="0"/>
              <w:ind w:left="0" w:leftChars="0" w:firstLine="0" w:firstLineChars="0"/>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kern w:val="0"/>
                <w:sz w:val="21"/>
                <w:szCs w:val="20"/>
                <w:highlight w:val="none"/>
                <w:lang w:val="en-US" w:eastAsia="zh-CN" w:bidi="ar-SA"/>
                <w14:textFill>
                  <w14:solidFill>
                    <w14:schemeClr w14:val="tx1"/>
                  </w14:solidFill>
                </w14:textFill>
              </w:rPr>
              <w:t>图1-2</w:t>
            </w:r>
            <w:r>
              <w:rPr>
                <w:rFonts w:hint="default" w:ascii="Times New Roman" w:hAnsi="Times New Roman" w:eastAsia="宋体" w:cs="Times New Roman"/>
                <w:color w:val="000000" w:themeColor="text1"/>
                <w:highlight w:val="none"/>
                <w:lang w:val="en-US" w:eastAsia="zh-CN"/>
                <w14:textFill>
                  <w14:solidFill>
                    <w14:schemeClr w14:val="tx1"/>
                  </w14:solidFill>
                </w14:textFill>
              </w:rPr>
              <w:t>本项目环境管控单元位置查询结果</w:t>
            </w:r>
          </w:p>
          <w:p w14:paraId="4496D1B2">
            <w:pPr>
              <w:pStyle w:val="6"/>
              <w:numPr>
                <w:ilvl w:val="0"/>
                <w:numId w:val="0"/>
              </w:numPr>
              <w:bidi w:val="0"/>
              <w:ind w:left="0" w:leftChars="0" w:firstLine="402" w:firstLineChars="0"/>
              <w:rPr>
                <w:rFonts w:hint="default" w:ascii="Times New Roman" w:hAnsi="Times New Roman" w:eastAsia="宋体" w:cs="Times New Roman"/>
                <w:b/>
                <w:color w:val="000000" w:themeColor="text1"/>
                <w:kern w:val="0"/>
                <w:sz w:val="21"/>
                <w:szCs w:val="20"/>
                <w:highlight w:val="none"/>
                <w:lang w:val="en-US" w:eastAsia="zh-CN" w:bidi="ar-SA"/>
                <w14:textFill>
                  <w14:solidFill>
                    <w14:schemeClr w14:val="tx1"/>
                  </w14:solidFill>
                </w14:textFill>
              </w:rPr>
            </w:pPr>
          </w:p>
          <w:p w14:paraId="598BE897">
            <w:pPr>
              <w:pStyle w:val="6"/>
              <w:numPr>
                <w:ilvl w:val="0"/>
                <w:numId w:val="0"/>
              </w:numPr>
              <w:bidi w:val="0"/>
              <w:jc w:val="both"/>
              <w:rPr>
                <w:rFonts w:hint="default" w:ascii="Times New Roman" w:hAnsi="Times New Roman" w:eastAsia="宋体" w:cs="Times New Roman"/>
                <w:b/>
                <w:color w:val="000000" w:themeColor="text1"/>
                <w:kern w:val="0"/>
                <w:sz w:val="21"/>
                <w:szCs w:val="20"/>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4977765" cy="3502025"/>
                  <wp:effectExtent l="0" t="0" r="13335" b="3175"/>
                  <wp:docPr id="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
                          <pic:cNvPicPr>
                            <a:picLocks noChangeAspect="1"/>
                          </pic:cNvPicPr>
                        </pic:nvPicPr>
                        <pic:blipFill>
                          <a:blip r:embed="rId15"/>
                          <a:stretch>
                            <a:fillRect/>
                          </a:stretch>
                        </pic:blipFill>
                        <pic:spPr>
                          <a:xfrm>
                            <a:off x="0" y="0"/>
                            <a:ext cx="4977765" cy="3502025"/>
                          </a:xfrm>
                          <a:prstGeom prst="rect">
                            <a:avLst/>
                          </a:prstGeom>
                          <a:noFill/>
                          <a:ln>
                            <a:noFill/>
                          </a:ln>
                        </pic:spPr>
                      </pic:pic>
                    </a:graphicData>
                  </a:graphic>
                </wp:inline>
              </w:drawing>
            </w:r>
          </w:p>
          <w:p w14:paraId="0EEC7045">
            <w:pPr>
              <w:keepNext w:val="0"/>
              <w:keepLines w:val="0"/>
              <w:widowControl/>
              <w:suppressLineNumbers w:val="0"/>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图1-3本项目与鄂尔多斯市环境管控单元位置关系图</w:t>
            </w:r>
          </w:p>
          <w:p w14:paraId="35DEF739">
            <w:pPr>
              <w:pStyle w:val="6"/>
              <w:numPr>
                <w:ilvl w:val="0"/>
                <w:numId w:val="0"/>
              </w:numPr>
              <w:bidi w:val="0"/>
              <w:ind w:left="0" w:leftChars="0" w:firstLine="402" w:firstLineChars="0"/>
              <w:rPr>
                <w:rFonts w:hint="default" w:ascii="Times New Roman" w:hAnsi="Times New Roman" w:eastAsia="宋体" w:cs="Times New Roman"/>
                <w:color w:val="000000" w:themeColor="text1"/>
                <w:sz w:val="24"/>
                <w:szCs w:val="22"/>
                <w:highlight w:val="none"/>
                <w14:textFill>
                  <w14:solidFill>
                    <w14:schemeClr w14:val="tx1"/>
                  </w14:solidFill>
                </w14:textFill>
              </w:rPr>
            </w:pPr>
            <w:r>
              <w:rPr>
                <w:rFonts w:hint="default" w:ascii="Times New Roman" w:hAnsi="Times New Roman" w:eastAsia="宋体" w:cs="Times New Roman"/>
                <w:b/>
                <w:color w:val="000000" w:themeColor="text1"/>
                <w:kern w:val="0"/>
                <w:sz w:val="24"/>
                <w:szCs w:val="22"/>
                <w:highlight w:val="none"/>
                <w:lang w:val="en-US" w:eastAsia="zh-CN" w:bidi="ar-SA"/>
                <w14:textFill>
                  <w14:solidFill>
                    <w14:schemeClr w14:val="tx1"/>
                  </w14:solidFill>
                </w14:textFill>
              </w:rPr>
              <w:t>表1-1</w:t>
            </w:r>
            <w:r>
              <w:rPr>
                <w:rFonts w:hint="default" w:ascii="Times New Roman" w:hAnsi="Times New Roman" w:eastAsia="宋体" w:cs="Times New Roman"/>
                <w:color w:val="000000" w:themeColor="text1"/>
                <w:sz w:val="24"/>
                <w:szCs w:val="22"/>
                <w:highlight w:val="none"/>
                <w14:textFill>
                  <w14:solidFill>
                    <w14:schemeClr w14:val="tx1"/>
                  </w14:solidFill>
                </w14:textFill>
              </w:rPr>
              <w:t>与生态环境准入清单相符性</w:t>
            </w:r>
          </w:p>
          <w:tbl>
            <w:tblPr>
              <w:tblStyle w:val="24"/>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
              <w:gridCol w:w="863"/>
              <w:gridCol w:w="757"/>
              <w:gridCol w:w="677"/>
              <w:gridCol w:w="3000"/>
              <w:gridCol w:w="1623"/>
            </w:tblGrid>
            <w:tr w14:paraId="2399E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4" w:hRule="atLeast"/>
                <w:jc w:val="center"/>
              </w:trPr>
              <w:tc>
                <w:tcPr>
                  <w:tcW w:w="559" w:type="pct"/>
                  <w:noWrap w:val="0"/>
                  <w:vAlign w:val="center"/>
                </w:tcPr>
                <w:p w14:paraId="65C54633">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环境管控单元编码</w:t>
                  </w:r>
                </w:p>
              </w:tc>
              <w:tc>
                <w:tcPr>
                  <w:tcW w:w="553" w:type="pct"/>
                  <w:noWrap w:val="0"/>
                  <w:vAlign w:val="center"/>
                </w:tcPr>
                <w:p w14:paraId="7792FB16">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环境管控单元名称</w:t>
                  </w:r>
                </w:p>
              </w:tc>
              <w:tc>
                <w:tcPr>
                  <w:tcW w:w="485" w:type="pct"/>
                  <w:noWrap w:val="0"/>
                  <w:vAlign w:val="center"/>
                </w:tcPr>
                <w:p w14:paraId="6608A079">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管控单元类别</w:t>
                  </w:r>
                </w:p>
              </w:tc>
              <w:tc>
                <w:tcPr>
                  <w:tcW w:w="2359" w:type="pct"/>
                  <w:gridSpan w:val="2"/>
                  <w:noWrap w:val="0"/>
                  <w:vAlign w:val="center"/>
                </w:tcPr>
                <w:p w14:paraId="06981698">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管控要求</w:t>
                  </w:r>
                </w:p>
              </w:tc>
              <w:tc>
                <w:tcPr>
                  <w:tcW w:w="1041" w:type="pct"/>
                  <w:noWrap w:val="0"/>
                  <w:vAlign w:val="center"/>
                </w:tcPr>
                <w:p w14:paraId="5811D841">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本项目</w:t>
                  </w:r>
                </w:p>
              </w:tc>
            </w:tr>
            <w:tr w14:paraId="5D7B9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5" w:hRule="atLeast"/>
                <w:jc w:val="center"/>
              </w:trPr>
              <w:tc>
                <w:tcPr>
                  <w:tcW w:w="559" w:type="pct"/>
                  <w:vMerge w:val="restart"/>
                  <w:noWrap w:val="0"/>
                  <w:vAlign w:val="center"/>
                </w:tcPr>
                <w:p w14:paraId="57240F2F">
                  <w:pPr>
                    <w:keepNext w:val="0"/>
                    <w:keepLines w:val="0"/>
                    <w:widowControl/>
                    <w:suppressLineNumbers w:val="0"/>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YS1506222210002</w:t>
                  </w:r>
                </w:p>
              </w:tc>
              <w:tc>
                <w:tcPr>
                  <w:tcW w:w="553" w:type="pct"/>
                  <w:vMerge w:val="restart"/>
                  <w:noWrap w:val="0"/>
                  <w:vAlign w:val="center"/>
                </w:tcPr>
                <w:p w14:paraId="12C0CE30">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内蒙古准格尔经济开发区</w:t>
                  </w:r>
                </w:p>
              </w:tc>
              <w:tc>
                <w:tcPr>
                  <w:tcW w:w="485" w:type="pct"/>
                  <w:vMerge w:val="restart"/>
                  <w:noWrap w:val="0"/>
                  <w:vAlign w:val="center"/>
                </w:tcPr>
                <w:p w14:paraId="46654954">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工业污染重点管控区（水环境管控分区）</w:t>
                  </w:r>
                </w:p>
              </w:tc>
              <w:tc>
                <w:tcPr>
                  <w:tcW w:w="434" w:type="pct"/>
                  <w:noWrap w:val="0"/>
                  <w:vAlign w:val="center"/>
                </w:tcPr>
                <w:p w14:paraId="0BC16EE1">
                  <w:pPr>
                    <w:pStyle w:val="118"/>
                    <w:bidi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空间布局约束</w:t>
                  </w:r>
                </w:p>
              </w:tc>
              <w:tc>
                <w:tcPr>
                  <w:tcW w:w="1925" w:type="pct"/>
                  <w:noWrap w:val="0"/>
                  <w:vAlign w:val="center"/>
                </w:tcPr>
                <w:p w14:paraId="3263E473">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加快对工业园区的调整整合步伐，进一步做好园区产业规划和产业布局定位。沿黄重点地区应按照《关于“十四五”推进沿黄重点地区工业项目入园及严控高污染、高水、高耗能项目的通知》（发改办产业〔2021〕635号）要求严控高耗水项目。</w:t>
                  </w:r>
                </w:p>
                <w:p w14:paraId="753C4E2D">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科学规划建设工业园区，引导工业企业入驻工业园区，严格“以水定产业、以水定规模”，做好节水工作，按分质供水原则，合理进行水资源分配，优先使用中水，提高工业用水的重复利用率，优先引进清洁生产水平高、水耗指标先进的工业企业。</w:t>
                  </w:r>
                </w:p>
              </w:tc>
              <w:tc>
                <w:tcPr>
                  <w:tcW w:w="1041" w:type="pct"/>
                  <w:noWrap w:val="0"/>
                  <w:vAlign w:val="center"/>
                </w:tcPr>
                <w:p w14:paraId="666DADAC">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1.本项目符合园区产业规划和产业布局定位，本项目不属于高污染、高耗水、高耗能项目。</w:t>
                  </w:r>
                </w:p>
                <w:p w14:paraId="16C8D00B">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2.本项目严格按照“以水定产业、以水定规模”</w:t>
                  </w:r>
                  <w:r>
                    <w:rPr>
                      <w:rFonts w:hint="eastAsia" w:cs="Times New Roman"/>
                      <w:color w:val="000000" w:themeColor="text1"/>
                      <w:sz w:val="21"/>
                      <w:szCs w:val="21"/>
                      <w:highlight w:val="none"/>
                      <w:lang w:eastAsia="zh-CN"/>
                      <w14:textFill>
                        <w14:solidFill>
                          <w14:schemeClr w14:val="tx1"/>
                        </w14:solidFill>
                      </w14:textFill>
                    </w:rPr>
                    <w:t>的原则，</w:t>
                  </w:r>
                  <w:r>
                    <w:rPr>
                      <w:rFonts w:hint="default" w:ascii="Times New Roman" w:hAnsi="Times New Roman" w:eastAsia="宋体" w:cs="Times New Roman"/>
                      <w:color w:val="000000" w:themeColor="text1"/>
                      <w:sz w:val="21"/>
                      <w:szCs w:val="21"/>
                      <w:highlight w:val="none"/>
                      <w14:textFill>
                        <w14:solidFill>
                          <w14:schemeClr w14:val="tx1"/>
                        </w14:solidFill>
                      </w14:textFill>
                    </w:rPr>
                    <w:t>做好节水工作</w:t>
                  </w:r>
                  <w:r>
                    <w:rPr>
                      <w:rFonts w:hint="eastAsia"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本项目</w:t>
                  </w:r>
                  <w:r>
                    <w:rPr>
                      <w:rFonts w:hint="eastAsia" w:cs="Times New Roman"/>
                      <w:color w:val="000000" w:themeColor="text1"/>
                      <w:sz w:val="21"/>
                      <w:szCs w:val="21"/>
                      <w:highlight w:val="none"/>
                      <w:lang w:val="en-US" w:eastAsia="zh-CN"/>
                      <w14:textFill>
                        <w14:solidFill>
                          <w14:schemeClr w14:val="tx1"/>
                        </w14:solidFill>
                      </w14:textFill>
                    </w:rPr>
                    <w:t>生产用水使用园区由准格尔旗国资燃气热力有限责任公司污水处理厂供应的中水，</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用水满足</w:t>
                  </w:r>
                  <w:r>
                    <w:rPr>
                      <w:rFonts w:hint="eastAsia" w:cs="Times New Roman"/>
                      <w:color w:val="000000" w:themeColor="text1"/>
                      <w:sz w:val="21"/>
                      <w:szCs w:val="21"/>
                      <w:highlight w:val="none"/>
                      <w:lang w:val="en-US" w:eastAsia="zh-CN"/>
                      <w14:textFill>
                        <w14:solidFill>
                          <w14:schemeClr w14:val="tx1"/>
                        </w14:solidFill>
                      </w14:textFill>
                    </w:rPr>
                    <w:t>相关</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指标</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r>
            <w:tr w14:paraId="6C833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5" w:hRule="atLeast"/>
                <w:jc w:val="center"/>
              </w:trPr>
              <w:tc>
                <w:tcPr>
                  <w:tcW w:w="559" w:type="pct"/>
                  <w:vMerge w:val="continue"/>
                  <w:noWrap w:val="0"/>
                  <w:vAlign w:val="center"/>
                </w:tcPr>
                <w:p w14:paraId="4F874B46">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553" w:type="pct"/>
                  <w:vMerge w:val="continue"/>
                  <w:noWrap w:val="0"/>
                  <w:vAlign w:val="center"/>
                </w:tcPr>
                <w:p w14:paraId="109020FE">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85" w:type="pct"/>
                  <w:vMerge w:val="continue"/>
                  <w:noWrap w:val="0"/>
                  <w:vAlign w:val="center"/>
                </w:tcPr>
                <w:p w14:paraId="24468CB8">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34" w:type="pct"/>
                  <w:noWrap w:val="0"/>
                  <w:vAlign w:val="center"/>
                </w:tcPr>
                <w:p w14:paraId="05299B89">
                  <w:pPr>
                    <w:pStyle w:val="118"/>
                    <w:bidi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污染物排放管控</w:t>
                  </w:r>
                </w:p>
              </w:tc>
              <w:tc>
                <w:tcPr>
                  <w:tcW w:w="1925" w:type="pct"/>
                  <w:noWrap w:val="0"/>
                  <w:vAlign w:val="center"/>
                </w:tcPr>
                <w:p w14:paraId="28D716CE">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化工等重点行业及65蒸吨/小时及以上燃煤锅炉的现役企业和新建项目一律执行大气污染物特别排放限值。严控颗粒物无组织排放。重点行业粉状物料堆场实现全封闭，块状物料安装抑尘设施。推进特征污染物治理，化工等企业应建设有毒及恶臭气体收集、处理和应急处置设施。</w:t>
                  </w:r>
                </w:p>
                <w:p w14:paraId="1C27FE57">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2.推进高含盐水“零排放”，稳定运行高盐水深度处理和分盐结晶设施，完善配套设施、优化工艺技术，确保高盐水全部结晶处理，严禁排入晾晒池。加快现有晾晒池取缔或转变功能，禁止新建晾晒池、蒸发塘。</w:t>
                  </w:r>
                </w:p>
                <w:p w14:paraId="77AFA540">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3.园区应自建污水处理厂，污水应收尽收，确保中水综合利用。</w:t>
                  </w:r>
                </w:p>
                <w:p w14:paraId="2E665113">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4.采用集中供热或因地制宜利用清洁能源实现供热，禁止新建35蒸吨以下燃煤锅炉。</w:t>
                  </w:r>
                </w:p>
                <w:p w14:paraId="6FE6D96E">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5.优化固废危废处置方式，积极寻求高铝粉煤灰、结晶盐等集中处置和资源化利用途径。</w:t>
                  </w:r>
                </w:p>
                <w:p w14:paraId="10227F71">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6.工业园区污水应收尽收、全部回用；矿井水、中水回用率达到90%以上。实施石油石化、化工等高耗水企业废水深度处理回用工程。强化焦化废水深度处理，区域内焦化废水必须全收集、全处理、全回用。</w:t>
                  </w:r>
                </w:p>
              </w:tc>
              <w:tc>
                <w:tcPr>
                  <w:tcW w:w="1041" w:type="pct"/>
                  <w:noWrap w:val="0"/>
                  <w:vAlign w:val="center"/>
                </w:tcPr>
                <w:p w14:paraId="64A28140">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1.本项目不涉及燃煤锅炉，新建</w:t>
                  </w:r>
                  <w:r>
                    <w:rPr>
                      <w:rFonts w:hint="eastAsia" w:cs="Times New Roman"/>
                      <w:color w:val="000000" w:themeColor="text1"/>
                      <w:sz w:val="21"/>
                      <w:szCs w:val="21"/>
                      <w:highlight w:val="none"/>
                      <w:lang w:eastAsia="zh-CN"/>
                      <w14:textFill>
                        <w14:solidFill>
                          <w14:schemeClr w14:val="tx1"/>
                        </w14:solidFill>
                      </w14:textFill>
                    </w:rPr>
                    <w:t>回转窑</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煅烧废气中SO</w:t>
                  </w:r>
                  <w:r>
                    <w:rPr>
                      <w:rFonts w:hint="default" w:ascii="Times New Roman" w:hAnsi="Times New Roman" w:eastAsia="宋体" w:cs="Times New Roman"/>
                      <w:color w:val="000000" w:themeColor="text1"/>
                      <w:sz w:val="21"/>
                      <w:szCs w:val="21"/>
                      <w:highlight w:val="none"/>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、NO</w:t>
                  </w:r>
                  <w:r>
                    <w:rPr>
                      <w:rFonts w:hint="default" w:ascii="Times New Roman" w:hAnsi="Times New Roman" w:eastAsia="宋体" w:cs="Times New Roman"/>
                      <w:color w:val="000000" w:themeColor="text1"/>
                      <w:sz w:val="21"/>
                      <w:szCs w:val="21"/>
                      <w:highlight w:val="none"/>
                      <w:vertAlign w:val="subscript"/>
                      <w:lang w:val="en-US" w:eastAsia="zh-CN"/>
                      <w14:textFill>
                        <w14:solidFill>
                          <w14:schemeClr w14:val="tx1"/>
                        </w14:solidFill>
                      </w14:textFill>
                    </w:rPr>
                    <w:t>X</w:t>
                  </w:r>
                  <w:r>
                    <w:rPr>
                      <w:rFonts w:hint="eastAsia" w:ascii="Times New Roman" w:hAnsi="Times New Roman" w:eastAsia="宋体" w:cs="Times New Roman"/>
                      <w:color w:val="000000" w:themeColor="text1"/>
                      <w:sz w:val="21"/>
                      <w:szCs w:val="21"/>
                      <w:highlight w:val="none"/>
                      <w:vertAlign w:val="subscript"/>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颗粒物执行</w:t>
                  </w:r>
                  <w:r>
                    <w:rPr>
                      <w:rFonts w:hint="default" w:ascii="Times New Roman" w:hAnsi="Times New Roman" w:eastAsia="宋体" w:cs="Times New Roman"/>
                      <w:color w:val="000000" w:themeColor="text1"/>
                      <w:sz w:val="21"/>
                      <w:szCs w:val="21"/>
                      <w:highlight w:val="none"/>
                      <w14:textFill>
                        <w14:solidFill>
                          <w14:schemeClr w14:val="tx1"/>
                        </w14:solidFill>
                      </w14:textFill>
                    </w:rPr>
                    <w:t>《耐火材料工业大气污染物排放标准》（GB46790—2025）大气污染物排放限值。本项目粉状物料堆场实现全封闭，其他物料雾炮抑尘。</w:t>
                  </w:r>
                </w:p>
                <w:p w14:paraId="5E8DB825">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2.本项目</w:t>
                  </w:r>
                  <w:r>
                    <w:rPr>
                      <w:rFonts w:hint="default" w:ascii="宋体" w:hAnsi="宋体" w:eastAsia="宋体" w:cs="宋体"/>
                      <w:color w:val="000000" w:themeColor="text1"/>
                      <w:kern w:val="0"/>
                      <w:sz w:val="21"/>
                      <w:szCs w:val="21"/>
                      <w:highlight w:val="none"/>
                      <w:lang w:val="en-US" w:eastAsia="zh-CN" w:bidi="ar"/>
                      <w14:textFill>
                        <w14:solidFill>
                          <w14:schemeClr w14:val="tx1"/>
                        </w14:solidFill>
                      </w14:textFill>
                    </w:rPr>
                    <w:t>三联箱装置处理</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后的脱硫废水回用于脱硫浆液制备用水，</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软水排水、锅炉排水</w:t>
                  </w:r>
                  <w:r>
                    <w:rPr>
                      <w:rFonts w:hint="default" w:ascii="宋体" w:hAnsi="宋体" w:eastAsia="宋体" w:cs="宋体"/>
                      <w:color w:val="000000" w:themeColor="text1"/>
                      <w:kern w:val="0"/>
                      <w:sz w:val="21"/>
                      <w:szCs w:val="21"/>
                      <w:highlight w:val="none"/>
                      <w:lang w:val="en-US" w:eastAsia="zh-CN" w:bidi="ar"/>
                      <w14:textFill>
                        <w14:solidFill>
                          <w14:schemeClr w14:val="tx1"/>
                        </w14:solidFill>
                      </w14:textFill>
                    </w:rPr>
                    <w:t>经</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由</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罐车拉运</w:t>
                  </w:r>
                  <w:r>
                    <w:rPr>
                      <w:rFonts w:hint="default" w:ascii="宋体" w:hAnsi="宋体" w:eastAsia="宋体" w:cs="宋体"/>
                      <w:color w:val="000000" w:themeColor="text1"/>
                      <w:kern w:val="0"/>
                      <w:sz w:val="21"/>
                      <w:szCs w:val="21"/>
                      <w:highlight w:val="none"/>
                      <w:lang w:val="en-US" w:eastAsia="zh-CN" w:bidi="ar"/>
                      <w14:textFill>
                        <w14:solidFill>
                          <w14:schemeClr w14:val="tx1"/>
                        </w14:solidFill>
                      </w14:textFill>
                    </w:rPr>
                    <w:t>至园区生产废水处理厂处理</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，不涉及</w:t>
                  </w:r>
                  <w:r>
                    <w:rPr>
                      <w:rFonts w:hint="default" w:ascii="Times New Roman" w:hAnsi="Times New Roman" w:eastAsia="宋体" w:cs="Times New Roman"/>
                      <w:color w:val="000000" w:themeColor="text1"/>
                      <w:sz w:val="21"/>
                      <w:szCs w:val="21"/>
                      <w:highlight w:val="none"/>
                      <w14:textFill>
                        <w14:solidFill>
                          <w14:schemeClr w14:val="tx1"/>
                        </w14:solidFill>
                      </w14:textFill>
                    </w:rPr>
                    <w:t>高含盐水排放。</w:t>
                  </w:r>
                </w:p>
                <w:p w14:paraId="2B7A46C1">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3.本项目所在园区建有污水处理厂。</w:t>
                  </w:r>
                </w:p>
                <w:p w14:paraId="5AFBB580">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4.本项目</w:t>
                  </w:r>
                  <w:r>
                    <w:rPr>
                      <w:rFonts w:hint="eastAsia" w:cs="Times New Roman"/>
                      <w:color w:val="000000" w:themeColor="text1"/>
                      <w:sz w:val="21"/>
                      <w:szCs w:val="21"/>
                      <w:highlight w:val="none"/>
                      <w:lang w:val="en-US" w:eastAsia="zh-CN"/>
                      <w14:textFill>
                        <w14:solidFill>
                          <w14:schemeClr w14:val="tx1"/>
                        </w14:solidFill>
                      </w14:textFill>
                    </w:rPr>
                    <w:t>设置余热回收</w:t>
                  </w:r>
                  <w:r>
                    <w:rPr>
                      <w:rFonts w:hint="default" w:ascii="Times New Roman" w:hAnsi="Times New Roman" w:eastAsia="宋体" w:cs="Times New Roman"/>
                      <w:color w:val="000000" w:themeColor="text1"/>
                      <w:sz w:val="21"/>
                      <w:szCs w:val="21"/>
                      <w:highlight w:val="none"/>
                      <w14:textFill>
                        <w14:solidFill>
                          <w14:schemeClr w14:val="tx1"/>
                        </w14:solidFill>
                      </w14:textFill>
                    </w:rPr>
                    <w:t>供热。</w:t>
                  </w:r>
                </w:p>
                <w:p w14:paraId="6C960237">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5.本项目为固废综合利用项目。</w:t>
                  </w:r>
                </w:p>
                <w:p w14:paraId="07C03425">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6.本项目所在园区污水应收尽收，</w:t>
                  </w:r>
                  <w:r>
                    <w:rPr>
                      <w:rFonts w:hint="eastAsia" w:cs="Times New Roman"/>
                      <w:color w:val="000000" w:themeColor="text1"/>
                      <w:sz w:val="21"/>
                      <w:szCs w:val="21"/>
                      <w:highlight w:val="none"/>
                      <w:lang w:val="en-US" w:eastAsia="zh-CN"/>
                      <w14:textFill>
                        <w14:solidFill>
                          <w14:schemeClr w14:val="tx1"/>
                        </w14:solidFill>
                      </w14:textFill>
                    </w:rPr>
                    <w:t>未综合利用的送园区污水处理厂进一步处理。</w:t>
                  </w:r>
                </w:p>
              </w:tc>
            </w:tr>
            <w:tr w14:paraId="4B31A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59" w:type="pct"/>
                  <w:vMerge w:val="restart"/>
                  <w:noWrap w:val="0"/>
                  <w:vAlign w:val="center"/>
                </w:tcPr>
                <w:p w14:paraId="48206FF9">
                  <w:pPr>
                    <w:keepNext w:val="0"/>
                    <w:keepLines w:val="0"/>
                    <w:widowControl/>
                    <w:suppressLineNumbers w:val="0"/>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YS1506222310003</w:t>
                  </w:r>
                </w:p>
              </w:tc>
              <w:tc>
                <w:tcPr>
                  <w:tcW w:w="553" w:type="pct"/>
                  <w:vMerge w:val="restart"/>
                  <w:noWrap w:val="0"/>
                  <w:vAlign w:val="center"/>
                </w:tcPr>
                <w:p w14:paraId="17F3754A">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内蒙古准格尔经济开发区</w:t>
                  </w:r>
                </w:p>
              </w:tc>
              <w:tc>
                <w:tcPr>
                  <w:tcW w:w="485" w:type="pct"/>
                  <w:vMerge w:val="restart"/>
                  <w:noWrap w:val="0"/>
                  <w:vAlign w:val="center"/>
                </w:tcPr>
                <w:p w14:paraId="10F2432F">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高排</w:t>
                  </w:r>
                </w:p>
                <w:p w14:paraId="3DE23DE4">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放重</w:t>
                  </w:r>
                </w:p>
                <w:p w14:paraId="56E5C14A">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点管</w:t>
                  </w:r>
                </w:p>
                <w:p w14:paraId="1BEAA976">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控区</w:t>
                  </w:r>
                </w:p>
                <w:p w14:paraId="4D2CEBAB">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（大</w:t>
                  </w:r>
                </w:p>
                <w:p w14:paraId="1CC4BDF6">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气环</w:t>
                  </w:r>
                </w:p>
                <w:p w14:paraId="2B93F4D4">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境管</w:t>
                  </w:r>
                </w:p>
                <w:p w14:paraId="3C00D101">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控分</w:t>
                  </w:r>
                </w:p>
                <w:p w14:paraId="72C5AAFB">
                  <w:pPr>
                    <w:keepNext w:val="0"/>
                    <w:keepLines w:val="0"/>
                    <w:widowControl/>
                    <w:suppressLineNumbers w:val="0"/>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区）</w:t>
                  </w:r>
                </w:p>
              </w:tc>
              <w:tc>
                <w:tcPr>
                  <w:tcW w:w="434" w:type="pct"/>
                  <w:noWrap w:val="0"/>
                  <w:vAlign w:val="center"/>
                </w:tcPr>
                <w:p w14:paraId="0783EF90">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空间布局约束</w:t>
                  </w:r>
                </w:p>
              </w:tc>
              <w:tc>
                <w:tcPr>
                  <w:tcW w:w="1925" w:type="pct"/>
                  <w:noWrap w:val="0"/>
                  <w:vAlign w:val="center"/>
                </w:tcPr>
                <w:p w14:paraId="10CB9EF3">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严格执行环境准入门槛，依法落实工业园区规划环评。对不符合园区产业定位、规划环评等的项目一律不予批准。</w:t>
                  </w:r>
                </w:p>
              </w:tc>
              <w:tc>
                <w:tcPr>
                  <w:tcW w:w="1041" w:type="pct"/>
                  <w:noWrap w:val="0"/>
                  <w:vAlign w:val="center"/>
                </w:tcPr>
                <w:p w14:paraId="7C22B0B1">
                  <w:pPr>
                    <w:keepNext w:val="0"/>
                    <w:keepLines w:val="0"/>
                    <w:widowControl/>
                    <w:suppressLineNumbers w:val="0"/>
                    <w:jc w:val="left"/>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本项目符合园区规划环评产业定位。</w:t>
                  </w:r>
                </w:p>
              </w:tc>
            </w:tr>
            <w:tr w14:paraId="166AA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59" w:type="pct"/>
                  <w:vMerge w:val="continue"/>
                  <w:noWrap w:val="0"/>
                  <w:vAlign w:val="center"/>
                </w:tcPr>
                <w:p w14:paraId="11C433D3">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553" w:type="pct"/>
                  <w:vMerge w:val="continue"/>
                  <w:noWrap w:val="0"/>
                  <w:vAlign w:val="center"/>
                </w:tcPr>
                <w:p w14:paraId="7D464E56">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485" w:type="pct"/>
                  <w:vMerge w:val="continue"/>
                  <w:noWrap w:val="0"/>
                  <w:vAlign w:val="center"/>
                </w:tcPr>
                <w:p w14:paraId="73C4B98C">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434" w:type="pct"/>
                  <w:noWrap w:val="0"/>
                  <w:vAlign w:val="center"/>
                </w:tcPr>
                <w:p w14:paraId="7DAF6EF3">
                  <w:pPr>
                    <w:pStyle w:val="118"/>
                    <w:bidi w:val="0"/>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污染物排放管控</w:t>
                  </w:r>
                </w:p>
              </w:tc>
              <w:tc>
                <w:tcPr>
                  <w:tcW w:w="1925" w:type="pct"/>
                  <w:noWrap w:val="0"/>
                  <w:vAlign w:val="center"/>
                </w:tcPr>
                <w:p w14:paraId="2C507CA1">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严格落实污染物排放总量控制制度，把主要污染物排放总量指标作为环评审批的前</w:t>
                  </w:r>
                </w:p>
                <w:p w14:paraId="6115D18F">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置条件。对未完成上一年度主要污染物总量减排目标的地区或企业、环境质量未达</w:t>
                  </w:r>
                </w:p>
                <w:p w14:paraId="1A35097E">
                  <w:pPr>
                    <w:keepNext w:val="0"/>
                    <w:keepLines w:val="0"/>
                    <w:widowControl/>
                    <w:suppressLineNumbers w:val="0"/>
                    <w:jc w:val="both"/>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对</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环境功能区划要求、被实施区域限批的地区及未进行排污权交易的工业企业建设项目暂停新增主要污染物排放建设项目的总量审批。开展多污染物协同控制，建立PM</w:t>
                  </w:r>
                  <w:r>
                    <w:rPr>
                      <w:rFonts w:hint="default" w:ascii="Times New Roman" w:hAnsi="Times New Roman" w:eastAsia="宋体" w:cs="Times New Roman"/>
                      <w:color w:val="000000" w:themeColor="text1"/>
                      <w:kern w:val="0"/>
                      <w:sz w:val="21"/>
                      <w:szCs w:val="21"/>
                      <w:highlight w:val="none"/>
                      <w:vertAlign w:val="subscript"/>
                      <w:lang w:val="en-US" w:eastAsia="zh-CN" w:bidi="ar"/>
                      <w14:textFill>
                        <w14:solidFill>
                          <w14:schemeClr w14:val="tx1"/>
                        </w14:solidFill>
                      </w14:textFill>
                    </w:rPr>
                    <w:t>2.5</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和O</w:t>
                  </w:r>
                  <w:r>
                    <w:rPr>
                      <w:rFonts w:hint="default" w:ascii="Times New Roman" w:hAnsi="Times New Roman" w:eastAsia="宋体" w:cs="Times New Roman"/>
                      <w:color w:val="000000" w:themeColor="text1"/>
                      <w:kern w:val="0"/>
                      <w:sz w:val="21"/>
                      <w:szCs w:val="21"/>
                      <w:highlight w:val="none"/>
                      <w:vertAlign w:val="sub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污染协同防治机制，推进NOx和VOCs协同减排。新建“两高”项目应按照《关于加强重点行业建设项目区域削减措施监督管理的通知》要求，依据区域环境质量改善目标，制定配套区域污染物削减方案，采取有效的污染物区域削减措施，腾出足够的环境容量。新建、改扩建项目执行重点污染物特别排放限值，出台超低排放要求的“两高”行业建设项目应满足超低排放要求。</w:t>
                  </w:r>
                </w:p>
                <w:p w14:paraId="7870BD3B">
                  <w:pPr>
                    <w:keepNext w:val="0"/>
                    <w:keepLines w:val="0"/>
                    <w:widowControl/>
                    <w:suppressLineNumbers w:val="0"/>
                    <w:jc w:val="both"/>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现有项目通过提标升级改造，重点污染物逐步达到特别排放限值。推进重点行业污染治理升级改造。重点区域二氧化硫、氮氧化物、颗粒物、挥发性有机物（VOCs）</w:t>
                  </w:r>
                </w:p>
                <w:p w14:paraId="07764592">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全面执行大气污染物特别排放限值（执行大气污染物特别排放限值的地域范围、时</w:t>
                  </w:r>
                </w:p>
                <w:p w14:paraId="0E37C498">
                  <w:pPr>
                    <w:keepNext w:val="0"/>
                    <w:keepLines w:val="0"/>
                    <w:widowControl/>
                    <w:suppressLineNumbers w:val="0"/>
                    <w:jc w:val="left"/>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间，由国务院环境保护行政主管部门或者省级人民政府规定。石化、化工、包装印刷、工业涂装等行业建立完善源头、过程和末端的VOCs全过程控制体系，实施VOCs排放总量控制。重点加大煤化工（含化工、炼焦、合成氨等）、制药、农药、橡胶制品等VOCs综合治理力度，对易挥发有机液体储罐实施改造，对浮顶罐推广采用全接液浮盘和高效双重密封技术，对废水系统高浓度废气实施单独收集处理。推进源头减量与替代，严格落实国家挥发性有机物含量限值标准。到2025年，溶剂型工业涂料、油墨使用比例分别降低20个百分点、10个百分点，溶剂型</w:t>
                  </w:r>
                  <w:r>
                    <w:rPr>
                      <w:rFonts w:hint="eastAsia" w:cs="Times New Roman"/>
                      <w:color w:val="000000" w:themeColor="text1"/>
                      <w:kern w:val="0"/>
                      <w:sz w:val="21"/>
                      <w:szCs w:val="21"/>
                      <w:highlight w:val="none"/>
                      <w:lang w:val="en-US" w:eastAsia="zh-CN" w:bidi="ar"/>
                      <w14:textFill>
                        <w14:solidFill>
                          <w14:schemeClr w14:val="tx1"/>
                        </w14:solidFill>
                      </w14:textFill>
                    </w:rPr>
                    <w:t>胶黏剂</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使用量降低20%。完善油品储运监管，</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罐区、储运、油罐车排放废气应达到相应排放标准。全面完成火电、有色、建材、焦化、热力生产及供应等重点行业无组织排放治理任务。推进全市各类工业企业、煤矿、洗选煤厂、集装站粉状物料堆场</w:t>
                  </w:r>
                  <w:r>
                    <w:rPr>
                      <w:rFonts w:hint="eastAsia" w:cs="Times New Roman"/>
                      <w:color w:val="000000" w:themeColor="text1"/>
                      <w:sz w:val="21"/>
                      <w:szCs w:val="21"/>
                      <w:highlight w:val="none"/>
                      <w:lang w:val="en-US" w:eastAsia="zh-CN"/>
                      <w14:textFill>
                        <w14:solidFill>
                          <w14:schemeClr w14:val="tx1"/>
                        </w14:solidFill>
                      </w14:textFill>
                    </w:rPr>
                    <w:t>建设全封闭</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储存设施。全面推行绿色施工。坚决杜绝露天焚烧秸秆。2023年前所有燃煤火电机组全部实现超低排放改造，65蒸吨/小时以上燃煤锅炉和循环流化床锅炉全部完成超低排放改造。到2025年，完成焦化、钢铁、水泥等行业超低排放改造。</w:t>
                  </w:r>
                </w:p>
              </w:tc>
              <w:tc>
                <w:tcPr>
                  <w:tcW w:w="1041" w:type="pct"/>
                  <w:noWrap w:val="0"/>
                  <w:vAlign w:val="center"/>
                </w:tcPr>
                <w:p w14:paraId="5D2BADE1">
                  <w:pPr>
                    <w:keepNext w:val="0"/>
                    <w:keepLines w:val="0"/>
                    <w:widowControl/>
                    <w:suppressLineNumbers w:val="0"/>
                    <w:jc w:val="both"/>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本项目涉及总量控制污染物</w:t>
                  </w:r>
                  <w:r>
                    <w:rPr>
                      <w:rFonts w:hint="eastAsia" w:cs="Times New Roman"/>
                      <w:color w:val="000000" w:themeColor="text1"/>
                      <w:kern w:val="0"/>
                      <w:sz w:val="21"/>
                      <w:szCs w:val="21"/>
                      <w:highlight w:val="none"/>
                      <w:lang w:val="en-US" w:eastAsia="zh-CN" w:bidi="ar"/>
                      <w14:textFill>
                        <w14:solidFill>
                          <w14:schemeClr w14:val="tx1"/>
                        </w14:solidFill>
                      </w14:textFill>
                    </w:rPr>
                    <w:t>，已</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取得</w:t>
                  </w:r>
                  <w:r>
                    <w:rPr>
                      <w:rFonts w:hint="eastAsia"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鄂尔多斯市生态环境局</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&lt;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关于内蒙古伊东东晟公司年产20万吨煤矸石煅烧高岭土项目</w:t>
                  </w:r>
                  <w:r>
                    <w:rPr>
                      <w:rFonts w:hint="eastAsia" w:cs="Times New Roman"/>
                      <w:color w:val="000000" w:themeColor="text1"/>
                      <w:kern w:val="0"/>
                      <w:sz w:val="21"/>
                      <w:szCs w:val="21"/>
                      <w:highlight w:val="none"/>
                      <w:lang w:val="en-US" w:eastAsia="zh-CN" w:bidi="ar"/>
                      <w14:textFill>
                        <w14:solidFill>
                          <w14:schemeClr w14:val="tx1"/>
                        </w14:solidFill>
                      </w14:textFill>
                    </w:rPr>
                    <w:t>大气主要污染物排放总量指标确认意见的函&gt;》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总量申请的批复</w:t>
                  </w:r>
                  <w:r>
                    <w:rPr>
                      <w:rFonts w:hint="eastAsia" w:cs="Times New Roman"/>
                      <w:color w:val="000000" w:themeColor="text1"/>
                      <w:kern w:val="0"/>
                      <w:sz w:val="21"/>
                      <w:szCs w:val="21"/>
                      <w:highlight w:val="none"/>
                      <w:lang w:val="en-US" w:eastAsia="zh-CN" w:bidi="ar"/>
                      <w14:textFill>
                        <w14:solidFill>
                          <w14:schemeClr w14:val="tx1"/>
                        </w14:solidFill>
                      </w14:textFill>
                    </w:rPr>
                    <w:t>(附件10)</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；本项目不是“两高”项目；本项目不涉及VOCs排放；本项目粉状物料在全封闭车间内存放。</w:t>
                  </w:r>
                </w:p>
              </w:tc>
            </w:tr>
            <w:tr w14:paraId="4221A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59" w:type="pct"/>
                  <w:vMerge w:val="continue"/>
                  <w:noWrap w:val="0"/>
                  <w:vAlign w:val="center"/>
                </w:tcPr>
                <w:p w14:paraId="5E26B896">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553" w:type="pct"/>
                  <w:vMerge w:val="continue"/>
                  <w:noWrap w:val="0"/>
                  <w:vAlign w:val="center"/>
                </w:tcPr>
                <w:p w14:paraId="72C6F96C">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485" w:type="pct"/>
                  <w:vMerge w:val="continue"/>
                  <w:noWrap w:val="0"/>
                  <w:vAlign w:val="center"/>
                </w:tcPr>
                <w:p w14:paraId="74FB5FF4">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434" w:type="pct"/>
                  <w:noWrap w:val="0"/>
                  <w:vAlign w:val="center"/>
                </w:tcPr>
                <w:p w14:paraId="30262698">
                  <w:pPr>
                    <w:pStyle w:val="118"/>
                    <w:bidi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资源利用效率要求</w:t>
                  </w:r>
                </w:p>
              </w:tc>
              <w:tc>
                <w:tcPr>
                  <w:tcW w:w="1925" w:type="pct"/>
                  <w:noWrap w:val="0"/>
                  <w:vAlign w:val="center"/>
                </w:tcPr>
                <w:p w14:paraId="493F5BDD">
                  <w:pPr>
                    <w:keepNext w:val="0"/>
                    <w:keepLines w:val="0"/>
                    <w:widowControl/>
                    <w:suppressLineNumbers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绿色低碳发展要求：</w:t>
                  </w:r>
                </w:p>
                <w:p w14:paraId="52EF6A06">
                  <w:pPr>
                    <w:keepNext w:val="0"/>
                    <w:keepLines w:val="0"/>
                    <w:widowControl/>
                    <w:suppressLineNumbers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（1）严格产业准入条件。对标碳达峰碳中和与节能减排</w:t>
                  </w:r>
                  <w:r>
                    <w:rPr>
                      <w:rFonts w:hint="eastAsia" w:cs="Times New Roman"/>
                      <w:color w:val="000000" w:themeColor="text1"/>
                      <w:sz w:val="21"/>
                      <w:szCs w:val="21"/>
                      <w:highlight w:val="none"/>
                      <w:lang w:val="en-US" w:eastAsia="zh-CN"/>
                      <w14:textFill>
                        <w14:solidFill>
                          <w14:schemeClr w14:val="tx1"/>
                        </w14:solidFill>
                      </w14:textFill>
                    </w:rPr>
                    <w:t>要求</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，坚决遏制高耗能高排放项目盲目扩张，不再审批焦炭（兰炭）、电石、聚氯乙烯（PVC）、铁合金、电解铝等新增产能项目，确需建设的，须在区域内实施产能和能耗减量置换。</w:t>
                  </w:r>
                </w:p>
                <w:p w14:paraId="4BD0CBD4">
                  <w:pPr>
                    <w:keepNext w:val="0"/>
                    <w:keepLines w:val="0"/>
                    <w:widowControl/>
                    <w:suppressLineNumbers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优化发展结构。严格控制焦化新增产能，总体规模控制在“十三五”水平。到2023年底，全面完成焦化产业重组升级。继续淘汰落后产能，在2023年前全面淘汰炭化室高度4.3m的焦炉，新（改、扩）建捣固焦炉炭化室高度达到6.25m以上，同步配套下游化产链条、余热余气回收利用项目，促进两化融合，以化产水平的进步推动焦化产业转型升级。</w:t>
                  </w:r>
                </w:p>
                <w:p w14:paraId="0F089D59">
                  <w:pPr>
                    <w:keepNext w:val="0"/>
                    <w:keepLines w:val="0"/>
                    <w:widowControl/>
                    <w:suppressLineNumbers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优化产业结构。实行新（改、扩）建项目重点污染物排放等量或减量置换。城市主城区禁止建设环境高风险、高污染项目。严格项目审批，新上重化工项目必须入园，对布局在园区外的现有重化工企业，严禁在原址审批新增产能项目。控排温室气体，推进碳达峰碳中和进程：</w:t>
                  </w:r>
                </w:p>
                <w:p w14:paraId="11B4A2A3">
                  <w:pPr>
                    <w:keepNext w:val="0"/>
                    <w:keepLines w:val="0"/>
                    <w:widowControl/>
                    <w:suppressLineNumbers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1）力争煤电、钢铁、水泥、电解铝、传统化工等行业在2030年左右实现碳排放达峰。</w:t>
                  </w:r>
                </w:p>
                <w:p w14:paraId="2D55428C">
                  <w:pPr>
                    <w:keepNext w:val="0"/>
                    <w:keepLines w:val="0"/>
                    <w:widowControl/>
                    <w:suppressLineNumbers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2）实施以二氧化碳排放强度控制为主、二氧化碳排放总量控制为辅的制度。</w:t>
                  </w:r>
                </w:p>
                <w:p w14:paraId="57410B50">
                  <w:pPr>
                    <w:keepNext w:val="0"/>
                    <w:keepLines w:val="0"/>
                    <w:widowControl/>
                    <w:suppressLineNumbers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3）控制非二氧化碳温室气体排放。</w:t>
                  </w:r>
                </w:p>
              </w:tc>
              <w:tc>
                <w:tcPr>
                  <w:tcW w:w="1041" w:type="pct"/>
                  <w:noWrap w:val="0"/>
                  <w:vAlign w:val="center"/>
                </w:tcPr>
                <w:p w14:paraId="1FADE649">
                  <w:pPr>
                    <w:keepNext w:val="0"/>
                    <w:keepLines w:val="0"/>
                    <w:widowControl/>
                    <w:suppressLineNumbers w:val="0"/>
                    <w:jc w:val="both"/>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绿色低碳发展要求：</w:t>
                  </w:r>
                </w:p>
                <w:p w14:paraId="757693BF">
                  <w:pPr>
                    <w:keepNext w:val="0"/>
                    <w:keepLines w:val="0"/>
                    <w:widowControl/>
                    <w:suppressLineNumbers w:val="0"/>
                    <w:jc w:val="both"/>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（1）本项目符合园区产业定位，为煤矸石综合利用项目。</w:t>
                  </w:r>
                </w:p>
                <w:p w14:paraId="487902D1">
                  <w:pPr>
                    <w:keepNext w:val="0"/>
                    <w:keepLines w:val="0"/>
                    <w:widowControl/>
                    <w:suppressLineNumbers w:val="0"/>
                    <w:jc w:val="both"/>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（2）本项目不涉及焦化行业。</w:t>
                  </w:r>
                </w:p>
                <w:p w14:paraId="475F0D07">
                  <w:pPr>
                    <w:keepNext w:val="0"/>
                    <w:keepLines w:val="0"/>
                    <w:widowControl/>
                    <w:suppressLineNumbers w:val="0"/>
                    <w:jc w:val="both"/>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（3）本项目不涉及重点污染物排放等量或减量置换。控排温室气体，推进碳达峰碳中和进程：</w:t>
                  </w:r>
                </w:p>
                <w:p w14:paraId="66D84395">
                  <w:pPr>
                    <w:keepNext w:val="0"/>
                    <w:keepLines w:val="0"/>
                    <w:widowControl/>
                    <w:suppressLineNumbers w:val="0"/>
                    <w:jc w:val="both"/>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1）本项目不涉及煤电、钢铁、水泥、电解铝、传统化工等行业。</w:t>
                  </w:r>
                </w:p>
                <w:p w14:paraId="09461553">
                  <w:pPr>
                    <w:keepNext w:val="0"/>
                    <w:keepLines w:val="0"/>
                    <w:widowControl/>
                    <w:suppressLineNumbers w:val="0"/>
                    <w:jc w:val="both"/>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2）本项目</w:t>
                  </w:r>
                  <w:r>
                    <w:rPr>
                      <w:rFonts w:hint="eastAsia" w:cs="Times New Roman"/>
                      <w:color w:val="000000" w:themeColor="text1"/>
                      <w:kern w:val="0"/>
                      <w:sz w:val="21"/>
                      <w:szCs w:val="21"/>
                      <w:highlight w:val="none"/>
                      <w:lang w:val="en-US" w:eastAsia="zh-CN" w:bidi="ar"/>
                      <w14:textFill>
                        <w14:solidFill>
                          <w14:schemeClr w14:val="tx1"/>
                        </w14:solidFill>
                      </w14:textFill>
                    </w:rPr>
                    <w:t>不属于重化工项目，本项目属于建材行业，不在控排温室气体范围</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p>
                <w:p w14:paraId="7A2F218E">
                  <w:pPr>
                    <w:keepNext w:val="0"/>
                    <w:keepLines w:val="0"/>
                    <w:widowControl/>
                    <w:suppressLineNumbers w:val="0"/>
                    <w:jc w:val="both"/>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3）本项目</w:t>
                  </w:r>
                  <w:r>
                    <w:rPr>
                      <w:rFonts w:hint="eastAsia" w:cs="Times New Roman"/>
                      <w:color w:val="000000" w:themeColor="text1"/>
                      <w:kern w:val="0"/>
                      <w:sz w:val="21"/>
                      <w:szCs w:val="21"/>
                      <w:highlight w:val="none"/>
                      <w:lang w:val="en-US" w:eastAsia="zh-CN" w:bidi="ar"/>
                      <w14:textFill>
                        <w14:solidFill>
                          <w14:schemeClr w14:val="tx1"/>
                        </w14:solidFill>
                      </w14:textFill>
                    </w:rPr>
                    <w:t>所用设备属于“第一类、鼓励类－十二、建材1.悬浮沸腾煅烧熟料工艺技术的研发与应用”</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eastAsia" w:cs="Times New Roman"/>
                      <w:color w:val="000000" w:themeColor="text1"/>
                      <w:kern w:val="0"/>
                      <w:sz w:val="21"/>
                      <w:szCs w:val="21"/>
                      <w:highlight w:val="none"/>
                      <w:lang w:val="en-US" w:eastAsia="zh-CN" w:bidi="ar"/>
                      <w14:textFill>
                        <w14:solidFill>
                          <w14:schemeClr w14:val="tx1"/>
                        </w14:solidFill>
                      </w14:textFill>
                    </w:rPr>
                    <w:t>同时燃料</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使用</w:t>
                  </w: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脱硫除杂后的</w:t>
                  </w:r>
                  <w:r>
                    <w:rPr>
                      <w:rFonts w:hint="eastAsia" w:cs="Times New Roman"/>
                      <w:color w:val="000000" w:themeColor="text1"/>
                      <w:kern w:val="0"/>
                      <w:sz w:val="21"/>
                      <w:szCs w:val="21"/>
                      <w:highlight w:val="none"/>
                      <w:lang w:val="en-US" w:eastAsia="zh-CN" w:bidi="ar"/>
                      <w14:textFill>
                        <w14:solidFill>
                          <w14:schemeClr w14:val="tx1"/>
                        </w14:solidFill>
                      </w14:textFill>
                    </w:rPr>
                    <w:t>煤气</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，项目厂区绿化面积为</w:t>
                  </w:r>
                  <w:r>
                    <w:rPr>
                      <w:rFonts w:hint="eastAsia" w:cs="Times New Roman"/>
                      <w:color w:val="000000" w:themeColor="text1"/>
                      <w:kern w:val="0"/>
                      <w:sz w:val="21"/>
                      <w:szCs w:val="21"/>
                      <w:highlight w:val="none"/>
                      <w:lang w:val="en-US" w:eastAsia="zh-CN" w:bidi="ar"/>
                      <w14:textFill>
                        <w14:solidFill>
                          <w14:schemeClr w14:val="tx1"/>
                        </w14:solidFill>
                      </w14:textFill>
                    </w:rPr>
                    <w:t>800</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m</w:t>
                  </w:r>
                  <w:r>
                    <w:rPr>
                      <w:rFonts w:hint="default" w:ascii="Times New Roman" w:hAnsi="Times New Roman" w:eastAsia="宋体" w:cs="Times New Roman"/>
                      <w:color w:val="000000" w:themeColor="text1"/>
                      <w:kern w:val="0"/>
                      <w:sz w:val="21"/>
                      <w:szCs w:val="21"/>
                      <w:highlight w:val="none"/>
                      <w:vertAlign w:val="super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，可以起到控排温室气体的作用。</w:t>
                  </w:r>
                </w:p>
              </w:tc>
            </w:tr>
            <w:tr w14:paraId="79529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59" w:type="pct"/>
                  <w:vMerge w:val="restart"/>
                  <w:noWrap w:val="0"/>
                  <w:vAlign w:val="center"/>
                </w:tcPr>
                <w:p w14:paraId="46085BFB">
                  <w:pPr>
                    <w:keepNext w:val="0"/>
                    <w:keepLines w:val="0"/>
                    <w:widowControl/>
                    <w:suppressLineNumbers w:val="0"/>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YS1506222340001</w:t>
                  </w:r>
                </w:p>
              </w:tc>
              <w:tc>
                <w:tcPr>
                  <w:tcW w:w="553" w:type="pct"/>
                  <w:vMerge w:val="restart"/>
                  <w:noWrap w:val="0"/>
                  <w:vAlign w:val="center"/>
                </w:tcPr>
                <w:p w14:paraId="2D579E5F">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准格尔旗城镇边界</w:t>
                  </w:r>
                </w:p>
              </w:tc>
              <w:tc>
                <w:tcPr>
                  <w:tcW w:w="485" w:type="pct"/>
                  <w:vMerge w:val="restart"/>
                  <w:noWrap w:val="0"/>
                  <w:vAlign w:val="center"/>
                </w:tcPr>
                <w:p w14:paraId="10E0CF9E">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受体敏感重点管控区（大气环境管控分区）</w:t>
                  </w:r>
                </w:p>
              </w:tc>
              <w:tc>
                <w:tcPr>
                  <w:tcW w:w="434" w:type="pct"/>
                  <w:noWrap w:val="0"/>
                  <w:vAlign w:val="center"/>
                </w:tcPr>
                <w:p w14:paraId="2469948B">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空间布局约束</w:t>
                  </w:r>
                </w:p>
              </w:tc>
              <w:tc>
                <w:tcPr>
                  <w:tcW w:w="1925" w:type="pct"/>
                  <w:noWrap w:val="0"/>
                  <w:vAlign w:val="center"/>
                </w:tcPr>
                <w:p w14:paraId="5017E88E">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1.严控新建、扩建高污染、高耗水、高耗能项目。</w:t>
                  </w:r>
                </w:p>
                <w:p w14:paraId="25A62201">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2.城市建成区禁止新建35蒸吨/小时以下燃煤锅炉。</w:t>
                  </w:r>
                </w:p>
                <w:p w14:paraId="3B37DAD0">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3.在集中供热管网覆盖区域内，禁止新建、扩建分散燃烧煤炭、重油、渣油的供热设施。</w:t>
                  </w:r>
                </w:p>
                <w:p w14:paraId="28EFD226">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4.禁止在居民区和学校、医院、疗养院、养老院等单位周边新建、改建、扩建可能造成土壤污染的建设项目。禁止在人口聚居区域内新（改、扩）建涉重金属及恶臭气体排放企业。</w:t>
                  </w:r>
                </w:p>
              </w:tc>
              <w:tc>
                <w:tcPr>
                  <w:tcW w:w="1041" w:type="pct"/>
                  <w:noWrap w:val="0"/>
                  <w:vAlign w:val="center"/>
                </w:tcPr>
                <w:p w14:paraId="2F82CD5B">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1.本项目不属于高污染、高耗水、高耗能项目。</w:t>
                  </w:r>
                </w:p>
                <w:p w14:paraId="225EC445">
                  <w:pPr>
                    <w:pStyle w:val="118"/>
                    <w:bidi w:val="0"/>
                    <w:jc w:val="both"/>
                    <w:rPr>
                      <w:rFonts w:hint="eastAsia"/>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2.本项目</w:t>
                  </w:r>
                  <w:r>
                    <w:rPr>
                      <w:rFonts w:hint="eastAsia" w:cs="Times New Roman"/>
                      <w:color w:val="000000" w:themeColor="text1"/>
                      <w:sz w:val="21"/>
                      <w:szCs w:val="21"/>
                      <w:highlight w:val="none"/>
                      <w:lang w:val="en-US" w:eastAsia="zh-CN"/>
                      <w14:textFill>
                        <w14:solidFill>
                          <w14:schemeClr w14:val="tx1"/>
                        </w14:solidFill>
                      </w14:textFill>
                    </w:rPr>
                    <w:t>生产产生的余热回收实现对外供气</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用户提供生产用汽（附近造纸厂和化肥厂），冬季，也可以为本厂及附近工厂（高新公司、东发公司等）提供供暖需要的蒸汽。</w:t>
                  </w:r>
                </w:p>
                <w:p w14:paraId="0A583734">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3.本项目不建设燃烧煤炭、重油、渣油的供热设施</w:t>
                  </w:r>
                  <w:r>
                    <w:rPr>
                      <w:rFonts w:hint="eastAsia" w:cs="Times New Roman"/>
                      <w:color w:val="000000" w:themeColor="text1"/>
                      <w:sz w:val="21"/>
                      <w:szCs w:val="21"/>
                      <w:highlight w:val="none"/>
                      <w:lang w:val="en-US" w:eastAsia="zh-CN"/>
                      <w14:textFill>
                        <w14:solidFill>
                          <w14:schemeClr w14:val="tx1"/>
                        </w14:solidFill>
                      </w14:textFill>
                    </w:rPr>
                    <w:t>，自建余热锅炉供热</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p w14:paraId="04C855DE">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4.本项目建设在工业园区内。</w:t>
                  </w:r>
                </w:p>
              </w:tc>
            </w:tr>
            <w:tr w14:paraId="32065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59" w:type="pct"/>
                  <w:vMerge w:val="continue"/>
                  <w:noWrap w:val="0"/>
                  <w:vAlign w:val="center"/>
                </w:tcPr>
                <w:p w14:paraId="169DA9EC">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53" w:type="pct"/>
                  <w:vMerge w:val="continue"/>
                  <w:noWrap w:val="0"/>
                  <w:vAlign w:val="center"/>
                </w:tcPr>
                <w:p w14:paraId="3CCB0ACA">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485" w:type="pct"/>
                  <w:vMerge w:val="continue"/>
                  <w:noWrap w:val="0"/>
                  <w:vAlign w:val="center"/>
                </w:tcPr>
                <w:p w14:paraId="711058E2">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34" w:type="pct"/>
                  <w:noWrap w:val="0"/>
                  <w:vAlign w:val="center"/>
                </w:tcPr>
                <w:p w14:paraId="609899F2">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污染物排放管控</w:t>
                  </w:r>
                </w:p>
              </w:tc>
              <w:tc>
                <w:tcPr>
                  <w:tcW w:w="1925" w:type="pct"/>
                  <w:noWrap w:val="0"/>
                  <w:vAlign w:val="center"/>
                </w:tcPr>
                <w:p w14:paraId="232B9DCB">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1.禁止在人口集中地区熔化或者焚烧沥青、油毡、橡胶、塑料、皮革以及其他产生有毒有害烟尘和恶臭气体的物质。</w:t>
                  </w:r>
                </w:p>
                <w:p w14:paraId="37F500F4">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2.65蒸吨及以上燃煤锅炉要执行大气污染物特别排放限值。</w:t>
                  </w:r>
                </w:p>
                <w:p w14:paraId="56199D38">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3.科学有序推进碳达峰碳中和。积极稳妥推进碳达峰碳中和“1+N+X”政策体系</w:t>
                  </w:r>
                </w:p>
                <w:p w14:paraId="0FF4E0D8">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落实，推动国家出台《新时期推进内蒙古绿色低碳高质量发展若干支持意见》，在落实碳达峰碳中和目标任务过程中锻造新的产业竞争优势。推动能源、工业、建筑、</w:t>
                  </w:r>
                </w:p>
                <w:p w14:paraId="2CCFEF9B">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交通等领域清洁低碳转型，建立健全碳排放统计核算制度，提升生态系统碳汇能力。</w:t>
                  </w:r>
                </w:p>
                <w:p w14:paraId="77A33315">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推动减污降碳协同增效。加快补齐环境基础设施短板。完善大气污染物与温室气体协同控制相关政策。建立减污降碳协同治理管理工作机制，统筹碳排放权交易和排污权交易管理，建立温室气体清单报告、重点企业温室气体排放报告、重点企业排污许可执行情况报告等制度。</w:t>
                  </w:r>
                </w:p>
                <w:p w14:paraId="4932A83A">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新建和改扩建冶炼项目严格落实项目备案、环境影响评价、节能审查等政策规定，符合行业规范条件、能耗限额标准先进值、清洁运输、污染物区域削减措施等要求，国家或地方已出台超低排放要求的，应满足超低排放要求，大气污染防治重点区域须同时符合重污染天气绩效分级A级、煤炭减量替代等要求。</w:t>
                  </w:r>
                </w:p>
              </w:tc>
              <w:tc>
                <w:tcPr>
                  <w:tcW w:w="1041" w:type="pct"/>
                  <w:noWrap w:val="0"/>
                  <w:vAlign w:val="center"/>
                </w:tcPr>
                <w:p w14:paraId="4C956173">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1.本项目不涉及在人口集中地区熔化或者焚烧沥青、油毡、橡胶、塑料、皮革以及其他产生有毒有害烟尘和恶臭气体的物质。</w:t>
                  </w:r>
                </w:p>
                <w:p w14:paraId="238FD3EF">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2.本项目不建设65蒸吨以上燃煤锅炉。</w:t>
                  </w:r>
                </w:p>
                <w:p w14:paraId="37857E45">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3.本项目物料</w:t>
                  </w:r>
                  <w:r>
                    <w:rPr>
                      <w:rFonts w:hint="eastAsia" w:cs="Times New Roman"/>
                      <w:color w:val="000000" w:themeColor="text1"/>
                      <w:sz w:val="21"/>
                      <w:szCs w:val="21"/>
                      <w:highlight w:val="none"/>
                      <w:lang w:val="en-US" w:eastAsia="zh-CN"/>
                      <w14:textFill>
                        <w14:solidFill>
                          <w14:schemeClr w14:val="tx1"/>
                        </w14:solidFill>
                      </w14:textFill>
                    </w:rPr>
                    <w:t>煅烧</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使用燃气热风炉，使用</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脱硫除杂后的</w:t>
                  </w:r>
                  <w:r>
                    <w:rPr>
                      <w:rFonts w:hint="eastAsia" w:cs="Times New Roman"/>
                      <w:color w:val="000000" w:themeColor="text1"/>
                      <w:sz w:val="21"/>
                      <w:szCs w:val="21"/>
                      <w:highlight w:val="none"/>
                      <w:lang w:val="en-US" w:eastAsia="zh-CN"/>
                      <w14:textFill>
                        <w14:solidFill>
                          <w14:schemeClr w14:val="tx1"/>
                        </w14:solidFill>
                      </w14:textFill>
                    </w:rPr>
                    <w:t>煤气</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，排放少量二氧化碳，项目厂区绿化面积为</w:t>
                  </w:r>
                  <w:r>
                    <w:rPr>
                      <w:rFonts w:hint="eastAsia" w:cs="Times New Roman"/>
                      <w:color w:val="000000" w:themeColor="text1"/>
                      <w:sz w:val="21"/>
                      <w:szCs w:val="21"/>
                      <w:highlight w:val="none"/>
                      <w:lang w:val="en-US" w:eastAsia="zh-CN"/>
                      <w14:textFill>
                        <w14:solidFill>
                          <w14:schemeClr w14:val="tx1"/>
                        </w14:solidFill>
                      </w14:textFill>
                    </w:rPr>
                    <w:t>800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，可以起到控排温室气体的作用。</w:t>
                  </w:r>
                </w:p>
                <w:p w14:paraId="2AD5AECB">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4.本项目所在园区积极推动减污降碳协同增效。</w:t>
                  </w:r>
                </w:p>
                <w:p w14:paraId="7953CD69">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5.本项目不是冶炼项目。</w:t>
                  </w:r>
                </w:p>
              </w:tc>
            </w:tr>
            <w:tr w14:paraId="543C3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59" w:type="pct"/>
                  <w:vMerge w:val="continue"/>
                  <w:noWrap w:val="0"/>
                  <w:vAlign w:val="center"/>
                </w:tcPr>
                <w:p w14:paraId="53EF43F8">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53" w:type="pct"/>
                  <w:vMerge w:val="continue"/>
                  <w:noWrap w:val="0"/>
                  <w:vAlign w:val="center"/>
                </w:tcPr>
                <w:p w14:paraId="07200618">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485" w:type="pct"/>
                  <w:vMerge w:val="continue"/>
                  <w:noWrap w:val="0"/>
                  <w:vAlign w:val="center"/>
                </w:tcPr>
                <w:p w14:paraId="5F9F9193">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34" w:type="pct"/>
                  <w:noWrap w:val="0"/>
                  <w:vAlign w:val="center"/>
                </w:tcPr>
                <w:p w14:paraId="73BAC1A2">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资</w:t>
                  </w:r>
                </w:p>
                <w:p w14:paraId="4793F0FB">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源开发效率</w:t>
                  </w:r>
                </w:p>
              </w:tc>
              <w:tc>
                <w:tcPr>
                  <w:tcW w:w="1925" w:type="pct"/>
                  <w:noWrap w:val="0"/>
                  <w:vAlign w:val="center"/>
                </w:tcPr>
                <w:p w14:paraId="28F7D961">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碳达峰碳中和要求：科学有序推进碳达峰碳中和。积极稳妥推进碳达峰碳中和“9+N+X”政策体系落实，推动国家出台《新时期推进内蒙古绿色低碳高质量发展若干支持意见》，在落实碳达峰碳中和目标任务过程中锻造新的产业竞争优势。推动能源、工业、建筑、交通等领域清洁低碳转型，建立健全碳排放统计核算制度，提升生态系统碳汇能力。推动减污降碳协同增效。加快补齐环境基础设施短板。完善大气污染物与温室气体协同控制相关政策。建立减污降碳协同治理管理工作机制，统筹碳排放权交易和排污权交易管理，建立温室气体清单报告、重点企业温室气体排放报告、重点企业排污许可执行情况报告等制度。新建和改扩建冶炼项目严格落实项目备案、环境影响评价、节能审查等政策规定，符合行业规范条件、能耗限额标准先进值、清洁运输、污染物区域削减措施等要求，国家或地方已出台超低排放要求的，应满足超低排放要求，大气污染防治重点区域须同时符合重污染天气绩效分级A级、煤炭减量替代等要求</w:t>
                  </w:r>
                </w:p>
              </w:tc>
              <w:tc>
                <w:tcPr>
                  <w:tcW w:w="1041" w:type="pct"/>
                  <w:noWrap w:val="0"/>
                  <w:vAlign w:val="center"/>
                </w:tcPr>
                <w:p w14:paraId="4DA2D2DE">
                  <w:pPr>
                    <w:pStyle w:val="103"/>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本项目为新建项目，属于无机非金属材料产业，</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属于无机非金属材料产业链项目，本项目热源使用</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脱硫除杂后的</w:t>
                  </w:r>
                  <w:r>
                    <w:rPr>
                      <w:rFonts w:hint="eastAsia" w:cs="Times New Roman"/>
                      <w:color w:val="000000" w:themeColor="text1"/>
                      <w:sz w:val="21"/>
                      <w:szCs w:val="21"/>
                      <w:highlight w:val="none"/>
                      <w:lang w:val="en-US" w:eastAsia="zh-CN"/>
                      <w14:textFill>
                        <w14:solidFill>
                          <w14:schemeClr w14:val="tx1"/>
                        </w14:solidFill>
                      </w14:textFill>
                    </w:rPr>
                    <w:t>煤气</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，排放少量二氧化碳，项目厂区绿化面积为</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800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，可以起到控排温室气体的作用。</w:t>
                  </w:r>
                </w:p>
              </w:tc>
            </w:tr>
            <w:tr w14:paraId="42ABF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59" w:type="pct"/>
                  <w:vMerge w:val="restart"/>
                  <w:noWrap w:val="0"/>
                  <w:vAlign w:val="center"/>
                </w:tcPr>
                <w:p w14:paraId="3EE1C14B">
                  <w:pPr>
                    <w:keepNext w:val="0"/>
                    <w:keepLines w:val="0"/>
                    <w:widowControl/>
                    <w:suppressLineNumbers w:val="0"/>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YS1506222530010</w:t>
                  </w:r>
                </w:p>
              </w:tc>
              <w:tc>
                <w:tcPr>
                  <w:tcW w:w="553" w:type="pct"/>
                  <w:vMerge w:val="restart"/>
                  <w:noWrap w:val="0"/>
                  <w:vAlign w:val="center"/>
                </w:tcPr>
                <w:p w14:paraId="4E3C7EB5">
                  <w:pPr>
                    <w:keepNext w:val="0"/>
                    <w:keepLines w:val="0"/>
                    <w:widowControl/>
                    <w:suppressLineNumbers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内蒙古准格尔经济</w:t>
                  </w:r>
                </w:p>
                <w:p w14:paraId="6CB21A8A">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开发区</w:t>
                  </w:r>
                </w:p>
              </w:tc>
              <w:tc>
                <w:tcPr>
                  <w:tcW w:w="485" w:type="pct"/>
                  <w:vMerge w:val="restart"/>
                  <w:noWrap w:val="0"/>
                  <w:vAlign w:val="center"/>
                </w:tcPr>
                <w:p w14:paraId="0480A79C">
                  <w:pPr>
                    <w:keepNext w:val="0"/>
                    <w:keepLines w:val="0"/>
                    <w:widowControl/>
                    <w:suppressLineNumbers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土地</w:t>
                  </w:r>
                </w:p>
                <w:p w14:paraId="30952D51">
                  <w:pPr>
                    <w:keepNext w:val="0"/>
                    <w:keepLines w:val="0"/>
                    <w:widowControl/>
                    <w:suppressLineNumbers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资源</w:t>
                  </w:r>
                </w:p>
                <w:p w14:paraId="56444EC2">
                  <w:pPr>
                    <w:keepNext w:val="0"/>
                    <w:keepLines w:val="0"/>
                    <w:widowControl/>
                    <w:suppressLineNumbers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重点</w:t>
                  </w:r>
                </w:p>
                <w:p w14:paraId="7E783BAC">
                  <w:pPr>
                    <w:keepNext w:val="0"/>
                    <w:keepLines w:val="0"/>
                    <w:widowControl/>
                    <w:suppressLineNumbers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管控</w:t>
                  </w:r>
                </w:p>
                <w:p w14:paraId="34DEBC24">
                  <w:pPr>
                    <w:keepNext w:val="0"/>
                    <w:keepLines w:val="0"/>
                    <w:widowControl/>
                    <w:suppressLineNumbers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区（自</w:t>
                  </w:r>
                </w:p>
                <w:p w14:paraId="456304C2">
                  <w:pPr>
                    <w:keepNext w:val="0"/>
                    <w:keepLines w:val="0"/>
                    <w:widowControl/>
                    <w:suppressLineNumbers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然资</w:t>
                  </w:r>
                </w:p>
                <w:p w14:paraId="14A963DB">
                  <w:pPr>
                    <w:keepNext w:val="0"/>
                    <w:keepLines w:val="0"/>
                    <w:widowControl/>
                    <w:suppressLineNumbers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源管</w:t>
                  </w:r>
                </w:p>
                <w:p w14:paraId="18F34F85">
                  <w:pPr>
                    <w:keepNext w:val="0"/>
                    <w:keepLines w:val="0"/>
                    <w:widowControl/>
                    <w:suppressLineNumbers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控分</w:t>
                  </w:r>
                </w:p>
                <w:p w14:paraId="6E2E1A95">
                  <w:pPr>
                    <w:keepNext w:val="0"/>
                    <w:keepLines w:val="0"/>
                    <w:widowControl/>
                    <w:suppressLineNumbers w:val="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区）</w:t>
                  </w:r>
                </w:p>
                <w:p w14:paraId="73DDFA84">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34" w:type="pct"/>
                  <w:noWrap w:val="0"/>
                  <w:vAlign w:val="center"/>
                </w:tcPr>
                <w:p w14:paraId="3D61B546">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空间布局约束</w:t>
                  </w:r>
                </w:p>
              </w:tc>
              <w:tc>
                <w:tcPr>
                  <w:tcW w:w="1925" w:type="pct"/>
                  <w:noWrap w:val="0"/>
                  <w:vAlign w:val="center"/>
                </w:tcPr>
                <w:p w14:paraId="3F4CAADA">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1.严格控制煤电、煤化工、电石等产业发展规模。按照“东重西轻”原则，优化产业布局。</w:t>
                  </w:r>
                </w:p>
                <w:p w14:paraId="263C02A3">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2.居住用地周边严控布局潜在污染扰民和环境风险</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突出</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城市规划的居住用地保持足够的缓冲距离。</w:t>
                  </w:r>
                </w:p>
                <w:p w14:paraId="428DE1E0">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3.禁止在黄河干支流岸线管控范围内（黄河干流鄂尔多斯段和本市行政区域内黄河支流）新建、扩建化工园区和化工项目。</w:t>
                  </w:r>
                </w:p>
                <w:p w14:paraId="62062CA4">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4.劳动密集型的非化工企业不得与化工企业混建在同一园区内。</w:t>
                  </w:r>
                </w:p>
              </w:tc>
              <w:tc>
                <w:tcPr>
                  <w:tcW w:w="1041" w:type="pct"/>
                  <w:noWrap w:val="0"/>
                  <w:vAlign w:val="center"/>
                </w:tcPr>
                <w:p w14:paraId="79EDFDF7">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1.本</w:t>
                  </w:r>
                  <w:r>
                    <w:rPr>
                      <w:rFonts w:hint="eastAsia" w:cs="Times New Roman"/>
                      <w:color w:val="000000" w:themeColor="text1"/>
                      <w:sz w:val="21"/>
                      <w:szCs w:val="21"/>
                      <w:highlight w:val="none"/>
                      <w:lang w:val="en-US" w:eastAsia="zh-CN"/>
                      <w14:textFill>
                        <w14:solidFill>
                          <w14:schemeClr w14:val="tx1"/>
                        </w14:solidFill>
                      </w14:textFill>
                    </w:rPr>
                    <w:t>项目不属于所列产业</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p w14:paraId="6A192406">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2.本项目建设位于工业园区内，厂界外500m范围内没有长期居住的居民。</w:t>
                  </w:r>
                </w:p>
                <w:p w14:paraId="27F89A32">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3.本项目所在园区已取得规划环评审查意见。</w:t>
                  </w:r>
                </w:p>
                <w:p w14:paraId="3702A97F">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4.本项目所在园区为已建成</w:t>
                  </w:r>
                  <w:r>
                    <w:rPr>
                      <w:rFonts w:hint="eastAsia" w:cs="Times New Roman"/>
                      <w:color w:val="000000" w:themeColor="text1"/>
                      <w:sz w:val="21"/>
                      <w:szCs w:val="21"/>
                      <w:highlight w:val="none"/>
                      <w:lang w:val="en-US" w:eastAsia="zh-CN"/>
                      <w14:textFill>
                        <w14:solidFill>
                          <w14:schemeClr w14:val="tx1"/>
                        </w14:solidFill>
                      </w14:textFill>
                    </w:rPr>
                    <w:t>非金属材料产业</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园区。</w:t>
                  </w:r>
                </w:p>
                <w:p w14:paraId="5562122B">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本项目符合园区规划定位，不涉及劳动密集型的非化工企业与化工企业混建问题。</w:t>
                  </w:r>
                </w:p>
              </w:tc>
            </w:tr>
            <w:tr w14:paraId="573C9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59" w:type="pct"/>
                  <w:vMerge w:val="continue"/>
                  <w:noWrap w:val="0"/>
                  <w:vAlign w:val="center"/>
                </w:tcPr>
                <w:p w14:paraId="1EF6B03F">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53" w:type="pct"/>
                  <w:vMerge w:val="continue"/>
                  <w:noWrap w:val="0"/>
                  <w:vAlign w:val="center"/>
                </w:tcPr>
                <w:p w14:paraId="05F23438">
                  <w:pPr>
                    <w:keepNext w:val="0"/>
                    <w:keepLines w:val="0"/>
                    <w:widowControl/>
                    <w:suppressLineNumbers w:val="0"/>
                    <w:jc w:val="left"/>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p>
              </w:tc>
              <w:tc>
                <w:tcPr>
                  <w:tcW w:w="485" w:type="pct"/>
                  <w:vMerge w:val="continue"/>
                  <w:noWrap w:val="0"/>
                  <w:vAlign w:val="center"/>
                </w:tcPr>
                <w:p w14:paraId="4DDC59A1">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34" w:type="pct"/>
                  <w:noWrap w:val="0"/>
                  <w:vAlign w:val="center"/>
                </w:tcPr>
                <w:p w14:paraId="3DB75EE4">
                  <w:pPr>
                    <w:pStyle w:val="118"/>
                    <w:bidi w:val="0"/>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污染物排放管控</w:t>
                  </w:r>
                </w:p>
              </w:tc>
              <w:tc>
                <w:tcPr>
                  <w:tcW w:w="1925" w:type="pct"/>
                  <w:noWrap w:val="0"/>
                  <w:vAlign w:val="center"/>
                </w:tcPr>
                <w:p w14:paraId="1AC50C6D">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1.化工等重点行业及65蒸吨/小时及以上燃煤锅炉的现役企业和新建项目一律执行大气污染物特别排放限值。严控颗粒物无组织排放。</w:t>
                  </w:r>
                </w:p>
                <w:p w14:paraId="6DF4BD27">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重点行业粉状物料堆场实现全封闭，块状物料安装抑尘设施。推进特征污染物治理，化工等企业应建设有毒及恶臭气体收集、处理和应急处置设施。</w:t>
                  </w:r>
                </w:p>
                <w:p w14:paraId="2448CCB0">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2.推进高含盐水“零排放”，稳定运行高盐水深度处理和分盐结晶设施，完善配套设施、优化工艺技术，确保高盐水全部结晶处理，严禁排入晾晒池。加快现有晾晒池取缔或转变功能，禁止新建晾晒池、蒸发塘。</w:t>
                  </w:r>
                </w:p>
                <w:p w14:paraId="7B502588">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3.园区应自建污水处理厂，污水应收尽收，确保中水综合利用。</w:t>
                  </w:r>
                </w:p>
                <w:p w14:paraId="3EAFF737">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4.采用集中供热或因地制宜利用清洁能源实现供热，禁止新建35蒸吨以下燃煤锅炉。</w:t>
                  </w:r>
                </w:p>
                <w:p w14:paraId="6D3842D5">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5.优化固废危废处置方式，积极寻求高铝粉煤灰、结晶盐等集中处置和资源化利用途径。</w:t>
                  </w:r>
                </w:p>
                <w:p w14:paraId="706CABB1">
                  <w:pPr>
                    <w:pStyle w:val="118"/>
                    <w:bidi w:val="0"/>
                    <w:ind w:firstLine="0" w:firstLineChars="0"/>
                    <w:jc w:val="both"/>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6.工业园区污水应收尽收、全部回用；矿井水、中水回用率达到90%以上。实施石油石化、化工等高耗水企业废水深度处理回用工程。强化焦化废水深度处理，区域内焦化废水必须全收集、全处理、全回用。</w:t>
                  </w:r>
                </w:p>
              </w:tc>
              <w:tc>
                <w:tcPr>
                  <w:tcW w:w="1041" w:type="pct"/>
                  <w:noWrap w:val="0"/>
                  <w:vAlign w:val="center"/>
                </w:tcPr>
                <w:p w14:paraId="2D194252">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1.本项目不涉及燃煤锅炉，新建</w:t>
                  </w:r>
                  <w:r>
                    <w:rPr>
                      <w:rFonts w:hint="eastAsia" w:cs="Times New Roman"/>
                      <w:color w:val="000000" w:themeColor="text1"/>
                      <w:sz w:val="21"/>
                      <w:szCs w:val="21"/>
                      <w:highlight w:val="none"/>
                      <w:lang w:val="en-US" w:eastAsia="zh-CN"/>
                      <w14:textFill>
                        <w14:solidFill>
                          <w14:schemeClr w14:val="tx1"/>
                        </w14:solidFill>
                      </w14:textFill>
                    </w:rPr>
                    <w:t>回转窑</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煅烧废气中SO</w:t>
                  </w:r>
                  <w:r>
                    <w:rPr>
                      <w:rFonts w:hint="eastAsia" w:ascii="Times New Roman" w:hAnsi="Times New Roman" w:eastAsia="宋体" w:cs="Times New Roman"/>
                      <w:color w:val="000000" w:themeColor="text1"/>
                      <w:sz w:val="21"/>
                      <w:szCs w:val="21"/>
                      <w:highlight w:val="none"/>
                      <w:vertAlign w:val="subscript"/>
                      <w:lang w:val="en-US" w:eastAsia="zh-CN"/>
                      <w14:textFill>
                        <w14:solidFill>
                          <w14:schemeClr w14:val="tx1"/>
                        </w14:solidFill>
                      </w14:textFill>
                    </w:rPr>
                    <w:t>2</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、NO</w:t>
                  </w:r>
                  <w:r>
                    <w:rPr>
                      <w:rFonts w:hint="eastAsia" w:ascii="Times New Roman" w:hAnsi="Times New Roman" w:eastAsia="宋体" w:cs="Times New Roman"/>
                      <w:color w:val="000000" w:themeColor="text1"/>
                      <w:sz w:val="21"/>
                      <w:szCs w:val="21"/>
                      <w:highlight w:val="none"/>
                      <w:vertAlign w:val="subscript"/>
                      <w:lang w:val="en-US" w:eastAsia="zh-CN"/>
                      <w14:textFill>
                        <w14:solidFill>
                          <w14:schemeClr w14:val="tx1"/>
                        </w14:solidFill>
                      </w14:textFill>
                    </w:rPr>
                    <w:t>X、</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颗粒物</w:t>
                  </w:r>
                  <w:r>
                    <w:rPr>
                      <w:rFonts w:hint="eastAsia" w:cs="Times New Roman"/>
                      <w:color w:val="000000" w:themeColor="text1"/>
                      <w:sz w:val="21"/>
                      <w:szCs w:val="21"/>
                      <w:highlight w:val="none"/>
                      <w:lang w:val="en-US" w:eastAsia="zh-CN"/>
                      <w14:textFill>
                        <w14:solidFill>
                          <w14:schemeClr w14:val="tx1"/>
                        </w14:solidFill>
                      </w14:textFill>
                    </w:rPr>
                    <w:t>等</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执行</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《耐火材料工业大气污染物排放标准》（GB46790—2025）</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表1</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大气污染物排放限值。本项目粉状物料堆场实现全封闭。</w:t>
                  </w:r>
                </w:p>
                <w:p w14:paraId="47A6E4A4">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2.本项目</w:t>
                  </w:r>
                  <w:r>
                    <w:rPr>
                      <w:rFonts w:hint="eastAsia" w:cs="Times New Roman"/>
                      <w:color w:val="000000" w:themeColor="text1"/>
                      <w:sz w:val="21"/>
                      <w:szCs w:val="21"/>
                      <w:highlight w:val="none"/>
                      <w:lang w:val="en-US" w:eastAsia="zh-CN"/>
                      <w14:textFill>
                        <w14:solidFill>
                          <w14:schemeClr w14:val="tx1"/>
                        </w14:solidFill>
                      </w14:textFill>
                    </w:rPr>
                    <w:t>脱硫废水</w:t>
                  </w:r>
                  <w:r>
                    <w:rPr>
                      <w:rFonts w:hint="default" w:ascii="宋体" w:hAnsi="宋体" w:eastAsia="宋体" w:cs="宋体"/>
                      <w:color w:val="000000" w:themeColor="text1"/>
                      <w:kern w:val="0"/>
                      <w:sz w:val="21"/>
                      <w:szCs w:val="21"/>
                      <w:highlight w:val="none"/>
                      <w:lang w:val="en-US" w:eastAsia="zh-CN" w:bidi="ar"/>
                      <w14:textFill>
                        <w14:solidFill>
                          <w14:schemeClr w14:val="tx1"/>
                        </w14:solidFill>
                      </w14:textFill>
                    </w:rPr>
                    <w:t>经三联箱装置处理后</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的</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脱</w:t>
                  </w:r>
                  <w:r>
                    <w:rPr>
                      <w:rFonts w:hint="default" w:ascii="宋体" w:hAnsi="宋体" w:eastAsia="宋体" w:cs="宋体"/>
                      <w:color w:val="000000" w:themeColor="text1"/>
                      <w:kern w:val="0"/>
                      <w:sz w:val="21"/>
                      <w:szCs w:val="21"/>
                      <w:highlight w:val="none"/>
                      <w:lang w:val="en-US" w:eastAsia="zh-CN" w:bidi="ar"/>
                      <w14:textFill>
                        <w14:solidFill>
                          <w14:schemeClr w14:val="tx1"/>
                        </w14:solidFill>
                      </w14:textFill>
                    </w:rPr>
                    <w:t>硫废水</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回用于脱硫浆液制备用水；</w:t>
                  </w:r>
                  <w:r>
                    <w:rPr>
                      <w:rFonts w:hint="default" w:ascii="宋体" w:hAnsi="宋体" w:eastAsia="宋体" w:cs="宋体"/>
                      <w:color w:val="000000" w:themeColor="text1"/>
                      <w:kern w:val="0"/>
                      <w:sz w:val="21"/>
                      <w:szCs w:val="21"/>
                      <w:highlight w:val="none"/>
                      <w:lang w:val="en-US" w:eastAsia="zh-CN" w:bidi="ar"/>
                      <w14:textFill>
                        <w14:solidFill>
                          <w14:schemeClr w14:val="tx1"/>
                        </w14:solidFill>
                      </w14:textFill>
                    </w:rPr>
                    <w:t>软水排水、锅炉排水</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罐车拉运</w:t>
                  </w:r>
                  <w:r>
                    <w:rPr>
                      <w:rFonts w:hint="default" w:ascii="宋体" w:hAnsi="宋体" w:eastAsia="宋体" w:cs="宋体"/>
                      <w:color w:val="000000" w:themeColor="text1"/>
                      <w:kern w:val="0"/>
                      <w:sz w:val="21"/>
                      <w:szCs w:val="21"/>
                      <w:highlight w:val="none"/>
                      <w:lang w:val="en-US" w:eastAsia="zh-CN" w:bidi="ar"/>
                      <w14:textFill>
                        <w14:solidFill>
                          <w14:schemeClr w14:val="tx1"/>
                        </w14:solidFill>
                      </w14:textFill>
                    </w:rPr>
                    <w:t>至园区生产废水处理厂处理</w:t>
                  </w:r>
                  <w:r>
                    <w:rPr>
                      <w:rFonts w:hint="eastAsia" w:cs="Times New Roman"/>
                      <w:color w:val="000000" w:themeColor="text1"/>
                      <w:sz w:val="21"/>
                      <w:szCs w:val="21"/>
                      <w:highlight w:val="none"/>
                      <w:lang w:val="en-US" w:eastAsia="zh-CN"/>
                      <w14:textFill>
                        <w14:solidFill>
                          <w14:schemeClr w14:val="tx1"/>
                        </w14:solidFill>
                      </w14:textFill>
                    </w:rPr>
                    <w:t>通过</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罐车拉运</w:t>
                  </w:r>
                  <w:r>
                    <w:rPr>
                      <w:rFonts w:hint="default" w:ascii="宋体" w:hAnsi="宋体" w:eastAsia="宋体" w:cs="宋体"/>
                      <w:color w:val="000000" w:themeColor="text1"/>
                      <w:kern w:val="0"/>
                      <w:sz w:val="21"/>
                      <w:szCs w:val="21"/>
                      <w:highlight w:val="none"/>
                      <w:lang w:val="en-US" w:eastAsia="zh-CN" w:bidi="ar"/>
                      <w14:textFill>
                        <w14:solidFill>
                          <w14:schemeClr w14:val="tx1"/>
                        </w14:solidFill>
                      </w14:textFill>
                    </w:rPr>
                    <w:t>至园区生产废水处理厂处理</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，不涉及高含盐水排放。</w:t>
                  </w:r>
                </w:p>
                <w:p w14:paraId="69207B6A">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3.本项目所在园区建有污水处理厂。</w:t>
                  </w:r>
                </w:p>
                <w:p w14:paraId="29194023">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4.本项目采用集中供热。</w:t>
                  </w:r>
                </w:p>
                <w:p w14:paraId="3984FDA5">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5.本项目为固废综合利用项目。</w:t>
                  </w:r>
                </w:p>
                <w:p w14:paraId="7B4FF324">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6.本项目所在园区污水应收尽收，全部回用。</w:t>
                  </w:r>
                </w:p>
              </w:tc>
            </w:tr>
            <w:tr w14:paraId="2B581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559" w:type="pct"/>
                  <w:vMerge w:val="restart"/>
                  <w:noWrap w:val="0"/>
                  <w:vAlign w:val="center"/>
                </w:tcPr>
                <w:p w14:paraId="7B50773C">
                  <w:pPr>
                    <w:pStyle w:val="118"/>
                    <w:bidi w:val="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ZH15062</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2000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w:t>
                  </w:r>
                </w:p>
              </w:tc>
              <w:tc>
                <w:tcPr>
                  <w:tcW w:w="553" w:type="pct"/>
                  <w:vMerge w:val="restart"/>
                  <w:noWrap w:val="0"/>
                  <w:vAlign w:val="center"/>
                </w:tcPr>
                <w:p w14:paraId="4E4AF9A4">
                  <w:pPr>
                    <w:keepNext w:val="0"/>
                    <w:keepLines w:val="0"/>
                    <w:widowControl/>
                    <w:suppressLineNumbers w:val="0"/>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内蒙古准格尔经济开发区</w:t>
                  </w:r>
                </w:p>
              </w:tc>
              <w:tc>
                <w:tcPr>
                  <w:tcW w:w="485" w:type="pct"/>
                  <w:vMerge w:val="restart"/>
                  <w:noWrap w:val="0"/>
                  <w:vAlign w:val="center"/>
                </w:tcPr>
                <w:p w14:paraId="59A6D762">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重点管控单元</w:t>
                  </w:r>
                </w:p>
              </w:tc>
              <w:tc>
                <w:tcPr>
                  <w:tcW w:w="434" w:type="pct"/>
                  <w:noWrap w:val="0"/>
                  <w:vAlign w:val="center"/>
                </w:tcPr>
                <w:p w14:paraId="4F915632">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空间布局约束</w:t>
                  </w:r>
                </w:p>
              </w:tc>
              <w:tc>
                <w:tcPr>
                  <w:tcW w:w="1925" w:type="pct"/>
                  <w:noWrap w:val="0"/>
                  <w:vAlign w:val="center"/>
                </w:tcPr>
                <w:p w14:paraId="1BCE7D60">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1.严格控制煤电、煤化工、电石等产业发展规模。按照“东重西轻”原则，优化产业布局。</w:t>
                  </w:r>
                </w:p>
                <w:p w14:paraId="2C5F10FD">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2.居住用地周边严控布局潜在污染扰民和环境风险</w:t>
                  </w:r>
                </w:p>
                <w:p w14:paraId="06D018E7">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突出的建设项目</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新（改、扩）建化工项目必须与居</w:t>
                  </w:r>
                </w:p>
                <w:p w14:paraId="07DE62A3">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民区或城市规划的居住用地保持足够的缓冲距离。</w:t>
                  </w:r>
                </w:p>
                <w:p w14:paraId="428C724E">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3.禁止在黄河干支流岸线管控范围内（黄河干流鄂尔多斯段和本市行政区域内黄河支流）新建、扩建化工园区和化工项目。</w:t>
                  </w:r>
                </w:p>
              </w:tc>
              <w:tc>
                <w:tcPr>
                  <w:tcW w:w="1041" w:type="pct"/>
                  <w:noWrap w:val="0"/>
                  <w:vAlign w:val="center"/>
                </w:tcPr>
                <w:p w14:paraId="21C3837F">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本项目</w:t>
                  </w:r>
                  <w:r>
                    <w:rPr>
                      <w:rFonts w:hint="eastAsia" w:cs="Times New Roman"/>
                      <w:color w:val="000000" w:themeColor="text1"/>
                      <w:sz w:val="21"/>
                      <w:szCs w:val="21"/>
                      <w:highlight w:val="none"/>
                      <w:lang w:val="en-US" w:eastAsia="zh-CN"/>
                      <w14:textFill>
                        <w14:solidFill>
                          <w14:schemeClr w14:val="tx1"/>
                        </w14:solidFill>
                      </w14:textFill>
                    </w:rPr>
                    <w:t>不属于所列范围</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。本项目已取得项目备案文件。</w:t>
                  </w:r>
                </w:p>
                <w:p w14:paraId="5352B099">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本项目周边500m范围内没有长期居住人群。</w:t>
                  </w:r>
                </w:p>
                <w:p w14:paraId="068F936C">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本项目所在园区为已建成</w:t>
                  </w:r>
                  <w:r>
                    <w:rPr>
                      <w:rFonts w:hint="eastAsia" w:cs="Times New Roman"/>
                      <w:color w:val="000000" w:themeColor="text1"/>
                      <w:sz w:val="21"/>
                      <w:szCs w:val="21"/>
                      <w:highlight w:val="none"/>
                      <w:lang w:val="en-US" w:eastAsia="zh-CN"/>
                      <w14:textFill>
                        <w14:solidFill>
                          <w14:schemeClr w14:val="tx1"/>
                        </w14:solidFill>
                      </w14:textFill>
                    </w:rPr>
                    <w:t>非金属材料产业</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园区。</w:t>
                  </w:r>
                </w:p>
              </w:tc>
            </w:tr>
            <w:tr w14:paraId="6F26E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559" w:type="pct"/>
                  <w:vMerge w:val="continue"/>
                  <w:noWrap w:val="0"/>
                  <w:vAlign w:val="center"/>
                </w:tcPr>
                <w:p w14:paraId="6F924B16">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53" w:type="pct"/>
                  <w:vMerge w:val="continue"/>
                  <w:noWrap w:val="0"/>
                  <w:vAlign w:val="center"/>
                </w:tcPr>
                <w:p w14:paraId="3EE5CAC0">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85" w:type="pct"/>
                  <w:vMerge w:val="continue"/>
                  <w:noWrap w:val="0"/>
                  <w:vAlign w:val="center"/>
                </w:tcPr>
                <w:p w14:paraId="3179B814">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34" w:type="pct"/>
                  <w:noWrap w:val="0"/>
                  <w:vAlign w:val="center"/>
                </w:tcPr>
                <w:p w14:paraId="0E321171">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污染物排放管控</w:t>
                  </w:r>
                </w:p>
              </w:tc>
              <w:tc>
                <w:tcPr>
                  <w:tcW w:w="1925" w:type="pct"/>
                  <w:noWrap w:val="0"/>
                  <w:vAlign w:val="center"/>
                </w:tcPr>
                <w:p w14:paraId="74AA8B4D">
                  <w:pPr>
                    <w:pStyle w:val="118"/>
                    <w:bidi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化工等重点行业及65蒸吨/小时及以上燃煤锅炉的现役企业和新建项目一律执行大气污染物特别排放限值。强化企业大气污染物排放精细化管理、无组织废气排放控制以及高效治污设施建设。重点行业粉状物料堆场实现全封闭，块状物料安装抑尘设施。</w:t>
                  </w:r>
                </w:p>
                <w:p w14:paraId="5D7543F2">
                  <w:pPr>
                    <w:pStyle w:val="118"/>
                    <w:bidi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积极推广集中供热，禁止新建35蒸吨以下燃煤锅炉。</w:t>
                  </w:r>
                </w:p>
                <w:p w14:paraId="634E8886">
                  <w:pPr>
                    <w:pStyle w:val="118"/>
                    <w:numPr>
                      <w:ilvl w:val="0"/>
                      <w:numId w:val="0"/>
                    </w:numPr>
                    <w:bidi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2.完善园区污水集中处理设施和配套管网。实行“清污分流、雨污分流”，污水应收尽收，全部回用，区内一律不得新建晾晒池、蒸发塘。</w:t>
                  </w:r>
                </w:p>
                <w:p w14:paraId="5A440C98">
                  <w:pPr>
                    <w:pStyle w:val="118"/>
                    <w:numPr>
                      <w:ilvl w:val="0"/>
                      <w:numId w:val="0"/>
                    </w:numPr>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3.园区应自建污水处理厂，污水应收尽收，确保中水综合利用。</w:t>
                  </w:r>
                </w:p>
                <w:p w14:paraId="4FA80B63">
                  <w:pPr>
                    <w:pStyle w:val="118"/>
                    <w:numPr>
                      <w:ilvl w:val="0"/>
                      <w:numId w:val="0"/>
                    </w:numPr>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4.采用集中供热或因地制宜利用清洁能源实现供热，禁止新建35蒸吨以下燃煤锅炉，</w:t>
                  </w:r>
                </w:p>
                <w:p w14:paraId="6C2E418C">
                  <w:pPr>
                    <w:pStyle w:val="118"/>
                    <w:numPr>
                      <w:ilvl w:val="0"/>
                      <w:numId w:val="0"/>
                    </w:numPr>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5.优化固废危废处置方式，积极寻求高铝粉煤灰、结晶盐等集中处置和资源化利用途径</w:t>
                  </w:r>
                  <w:r>
                    <w:rPr>
                      <w:rFonts w:hint="eastAsia" w:cs="Times New Roman"/>
                      <w:color w:val="000000" w:themeColor="text1"/>
                      <w:sz w:val="21"/>
                      <w:szCs w:val="21"/>
                      <w:highlight w:val="none"/>
                      <w:lang w:val="en-US" w:eastAsia="zh-CN"/>
                      <w14:textFill>
                        <w14:solidFill>
                          <w14:schemeClr w14:val="tx1"/>
                        </w14:solidFill>
                      </w14:textFill>
                    </w:rPr>
                    <w:t>。</w:t>
                  </w:r>
                </w:p>
                <w:p w14:paraId="24F7ACFA">
                  <w:pPr>
                    <w:pStyle w:val="118"/>
                    <w:numPr>
                      <w:ilvl w:val="0"/>
                      <w:numId w:val="0"/>
                    </w:numPr>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6.工业园区污水应收尽收、全部回用；矿井水、中水回用率达到90%以上。实施石油石化、化工等高耗水企业废水深度处理回用工程。强化焦化废水深度处理，区域内焦化废水必须全收集、全处理、全回用。</w:t>
                  </w:r>
                </w:p>
              </w:tc>
              <w:tc>
                <w:tcPr>
                  <w:tcW w:w="1041" w:type="pct"/>
                  <w:noWrap w:val="0"/>
                  <w:vAlign w:val="center"/>
                </w:tcPr>
                <w:p w14:paraId="4DF029F6">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w:t>
                  </w:r>
                  <w:r>
                    <w:rPr>
                      <w:rFonts w:hint="eastAsia" w:cs="Times New Roman"/>
                      <w:color w:val="000000" w:themeColor="text1"/>
                      <w:sz w:val="21"/>
                      <w:szCs w:val="21"/>
                      <w:highlight w:val="none"/>
                      <w:lang w:val="en-US" w:eastAsia="zh-CN"/>
                      <w14:textFill>
                        <w14:solidFill>
                          <w14:schemeClr w14:val="tx1"/>
                        </w14:solidFill>
                      </w14:textFill>
                    </w:rPr>
                    <w:t>本项目不涉及；</w:t>
                  </w:r>
                </w:p>
                <w:p w14:paraId="54A30E0F">
                  <w:pPr>
                    <w:pStyle w:val="118"/>
                    <w:bidi w:val="0"/>
                    <w:jc w:val="both"/>
                    <w:rPr>
                      <w:rFonts w:hint="eastAsia"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2.项目生活污水通过罐车送污水处理厂；</w:t>
                  </w:r>
                  <w:r>
                    <w:rPr>
                      <w:rFonts w:hint="eastAsia" w:cs="Times New Roman"/>
                      <w:b w:val="0"/>
                      <w:bCs w:val="0"/>
                      <w:color w:val="000000" w:themeColor="text1"/>
                      <w:sz w:val="21"/>
                      <w:szCs w:val="21"/>
                      <w:highlight w:val="none"/>
                      <w:lang w:eastAsia="zh-CN"/>
                      <w14:textFill>
                        <w14:solidFill>
                          <w14:schemeClr w14:val="tx1"/>
                        </w14:solidFill>
                      </w14:textFill>
                    </w:rPr>
                    <w:t>软水</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制备废水、余热锅炉废水</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通过罐车拉运至园区污水处理厂处理</w:t>
                  </w:r>
                  <w:r>
                    <w:rPr>
                      <w:rFonts w:hint="eastAsia" w:cs="Times New Roman"/>
                      <w:b w:val="0"/>
                      <w:bCs w:val="0"/>
                      <w:color w:val="000000" w:themeColor="text1"/>
                      <w:sz w:val="21"/>
                      <w:szCs w:val="21"/>
                      <w:highlight w:val="none"/>
                      <w:lang w:val="en-US" w:eastAsia="zh-CN"/>
                      <w14:textFill>
                        <w14:solidFill>
                          <w14:schemeClr w14:val="tx1"/>
                        </w14:solidFill>
                      </w14:textFill>
                    </w:rPr>
                    <w:t>；脱硫废水</w:t>
                  </w:r>
                  <w:r>
                    <w:rPr>
                      <w:rFonts w:hint="default" w:ascii="宋体" w:hAnsi="宋体" w:eastAsia="宋体" w:cs="宋体"/>
                      <w:color w:val="000000" w:themeColor="text1"/>
                      <w:kern w:val="0"/>
                      <w:sz w:val="21"/>
                      <w:szCs w:val="21"/>
                      <w:highlight w:val="none"/>
                      <w:lang w:val="en-US" w:eastAsia="zh-CN" w:bidi="ar"/>
                      <w14:textFill>
                        <w14:solidFill>
                          <w14:schemeClr w14:val="tx1"/>
                        </w14:solidFill>
                      </w14:textFill>
                    </w:rPr>
                    <w:t>经三联箱装置处理后回用于脱硫浆液制备用水</w:t>
                  </w:r>
                  <w:r>
                    <w:rPr>
                      <w:rFonts w:hint="eastAsia" w:cs="Times New Roman"/>
                      <w:color w:val="000000" w:themeColor="text1"/>
                      <w:sz w:val="21"/>
                      <w:szCs w:val="21"/>
                      <w:highlight w:val="none"/>
                      <w:lang w:val="en-US" w:eastAsia="zh-CN"/>
                      <w14:textFill>
                        <w14:solidFill>
                          <w14:schemeClr w14:val="tx1"/>
                        </w14:solidFill>
                      </w14:textFill>
                    </w:rPr>
                    <w:t>；</w:t>
                  </w:r>
                </w:p>
                <w:p w14:paraId="3324FE02">
                  <w:pPr>
                    <w:pStyle w:val="118"/>
                    <w:numPr>
                      <w:ilvl w:val="0"/>
                      <w:numId w:val="0"/>
                    </w:numPr>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3.园区污水处理厂</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污水应收尽收，确保中水综合利用。</w:t>
                  </w:r>
                </w:p>
                <w:p w14:paraId="3F83877C">
                  <w:pPr>
                    <w:pStyle w:val="118"/>
                    <w:bidi w:val="0"/>
                    <w:jc w:val="both"/>
                    <w:rPr>
                      <w:rFonts w:hint="eastAsia"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4.项目实现余热利用；</w:t>
                  </w:r>
                </w:p>
                <w:p w14:paraId="0F18400A">
                  <w:pPr>
                    <w:pStyle w:val="118"/>
                    <w:bidi w:val="0"/>
                    <w:jc w:val="both"/>
                    <w:rPr>
                      <w:rFonts w:hint="default"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5.项目为一般固废利用项目；</w:t>
                  </w:r>
                </w:p>
                <w:p w14:paraId="401D85FD">
                  <w:pPr>
                    <w:pStyle w:val="118"/>
                    <w:bidi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本项目按照“清污分流、雨污分流”的原则建设，本项目</w:t>
                  </w:r>
                  <w:r>
                    <w:rPr>
                      <w:rFonts w:hint="default" w:ascii="宋体" w:hAnsi="宋体" w:eastAsia="宋体" w:cs="宋体"/>
                      <w:color w:val="000000" w:themeColor="text1"/>
                      <w:kern w:val="0"/>
                      <w:sz w:val="21"/>
                      <w:szCs w:val="21"/>
                      <w:highlight w:val="none"/>
                      <w:lang w:val="en-US" w:eastAsia="zh-CN" w:bidi="ar"/>
                      <w14:textFill>
                        <w14:solidFill>
                          <w14:schemeClr w14:val="tx1"/>
                        </w14:solidFill>
                      </w14:textFill>
                    </w:rPr>
                    <w:t>经三联箱装置处理后</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脱硫</w:t>
                  </w:r>
                  <w:r>
                    <w:rPr>
                      <w:rFonts w:hint="eastAsia" w:cs="Times New Roman"/>
                      <w:color w:val="000000" w:themeColor="text1"/>
                      <w:sz w:val="21"/>
                      <w:szCs w:val="21"/>
                      <w:highlight w:val="none"/>
                      <w:lang w:val="en-US" w:eastAsia="zh-CN"/>
                      <w14:textFill>
                        <w14:solidFill>
                          <w14:schemeClr w14:val="tx1"/>
                        </w14:solidFill>
                      </w14:textFill>
                    </w:rPr>
                    <w:t>废水</w:t>
                  </w:r>
                  <w:r>
                    <w:rPr>
                      <w:rFonts w:hint="default" w:ascii="宋体" w:hAnsi="宋体" w:eastAsia="宋体" w:cs="宋体"/>
                      <w:color w:val="000000" w:themeColor="text1"/>
                      <w:kern w:val="0"/>
                      <w:sz w:val="21"/>
                      <w:szCs w:val="21"/>
                      <w:highlight w:val="none"/>
                      <w:lang w:val="en-US" w:eastAsia="zh-CN" w:bidi="ar"/>
                      <w14:textFill>
                        <w14:solidFill>
                          <w14:schemeClr w14:val="tx1"/>
                        </w14:solidFill>
                      </w14:textFill>
                    </w:rPr>
                    <w:t>后回用于脱硫浆液制备用水</w:t>
                  </w:r>
                  <w:r>
                    <w:rPr>
                      <w:rFonts w:hint="eastAsia"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软水排水、锅炉排水</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通过</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罐车拉运</w:t>
                  </w:r>
                  <w:r>
                    <w:rPr>
                      <w:rFonts w:hint="default" w:ascii="宋体" w:hAnsi="宋体" w:eastAsia="宋体" w:cs="宋体"/>
                      <w:color w:val="000000" w:themeColor="text1"/>
                      <w:kern w:val="0"/>
                      <w:sz w:val="21"/>
                      <w:szCs w:val="21"/>
                      <w:highlight w:val="none"/>
                      <w:lang w:val="en-US" w:eastAsia="zh-CN" w:bidi="ar"/>
                      <w14:textFill>
                        <w14:solidFill>
                          <w14:schemeClr w14:val="tx1"/>
                        </w14:solidFill>
                      </w14:textFill>
                    </w:rPr>
                    <w:t>至园区生产废水处理厂处理</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，不涉及高含盐水排放，生活废水经开发区污水处理厂处理达标后全部回用，不外排，废气污染主要为粉尘</w:t>
                  </w:r>
                  <w:r>
                    <w:rPr>
                      <w:rFonts w:hint="eastAsia" w:cs="Times New Roman"/>
                      <w:color w:val="000000" w:themeColor="text1"/>
                      <w:sz w:val="21"/>
                      <w:szCs w:val="21"/>
                      <w:highlight w:val="none"/>
                      <w:lang w:val="en-US" w:eastAsia="zh-CN"/>
                      <w14:textFill>
                        <w14:solidFill>
                          <w14:schemeClr w14:val="tx1"/>
                        </w14:solidFill>
                      </w14:textFill>
                    </w:rPr>
                    <w:t>、氮氧化物和二氧化硫</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，无有毒有害烟尘和恶臭气体产生，本项目原料堆场采用全封闭厂房并安装抑尘设施；</w:t>
                  </w:r>
                </w:p>
              </w:tc>
            </w:tr>
            <w:tr w14:paraId="3C168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559" w:type="pct"/>
                  <w:vMerge w:val="continue"/>
                  <w:noWrap w:val="0"/>
                  <w:vAlign w:val="center"/>
                </w:tcPr>
                <w:p w14:paraId="099CC77B">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53" w:type="pct"/>
                  <w:vMerge w:val="continue"/>
                  <w:noWrap w:val="0"/>
                  <w:vAlign w:val="center"/>
                </w:tcPr>
                <w:p w14:paraId="0545E6B9">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85" w:type="pct"/>
                  <w:vMerge w:val="continue"/>
                  <w:noWrap w:val="0"/>
                  <w:vAlign w:val="center"/>
                </w:tcPr>
                <w:p w14:paraId="320863E2">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34" w:type="pct"/>
                  <w:noWrap w:val="0"/>
                  <w:vAlign w:val="center"/>
                </w:tcPr>
                <w:p w14:paraId="7682E933">
                  <w:pPr>
                    <w:pStyle w:val="118"/>
                    <w:bidi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环境风险防控</w:t>
                  </w:r>
                </w:p>
              </w:tc>
              <w:tc>
                <w:tcPr>
                  <w:tcW w:w="1925" w:type="pct"/>
                  <w:noWrap w:val="0"/>
                  <w:vAlign w:val="center"/>
                </w:tcPr>
                <w:p w14:paraId="0CE9AE6D">
                  <w:pPr>
                    <w:pStyle w:val="118"/>
                    <w:bidi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1.园区应建立三级防控及应急救援体系，编制园区环境风险应急预案；园区应落实环境风险防范措施，做好风险防护距离的管理，防止发生环境污染事件。</w:t>
                  </w:r>
                </w:p>
                <w:p w14:paraId="41F3BB0F">
                  <w:pPr>
                    <w:pStyle w:val="118"/>
                    <w:bidi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建立重点风险源动态管理信息库、园区内外环境风险救援力量管理库以及应急监测小组，在发生风险环境</w:t>
                  </w:r>
                </w:p>
                <w:p w14:paraId="196A764A">
                  <w:pPr>
                    <w:pStyle w:val="118"/>
                    <w:bidi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污染事故时事故现场及周边区域实施应急监测。不断完善环境风险防范机制和应急体系，构建有效的区域</w:t>
                  </w:r>
                </w:p>
                <w:p w14:paraId="581EF56A">
                  <w:pPr>
                    <w:pStyle w:val="118"/>
                    <w:bidi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环境风险联防联控机制，最大限度降低环境风险。劳动密集型的非化工企业不得与化工企业混建在同一园区内。</w:t>
                  </w:r>
                </w:p>
                <w:p w14:paraId="0986086D">
                  <w:pPr>
                    <w:pStyle w:val="118"/>
                    <w:bidi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土壤污染重点监管单位应当严格控制有毒有害物质排放，并按年度向生态环境主管部门报告排放情况；建立土壤污染隐患排查制度，保证持续有效防止有毒有害物质渗漏、流失、扬散；制定、实施自行监测方案，并将监测数据报生态环境主管部门。</w:t>
                  </w:r>
                </w:p>
              </w:tc>
              <w:tc>
                <w:tcPr>
                  <w:tcW w:w="1041" w:type="pct"/>
                  <w:noWrap w:val="0"/>
                  <w:vAlign w:val="center"/>
                </w:tcPr>
                <w:p w14:paraId="3EEA2C57">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1.本项目所在园区已建立三级防控及应急救援体系，本项目也按照要求编制企业应急预案。</w:t>
                  </w:r>
                </w:p>
                <w:p w14:paraId="2581D409">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2.本项目不属于土壤污染重点监管单位。</w:t>
                  </w:r>
                </w:p>
              </w:tc>
            </w:tr>
            <w:tr w14:paraId="4B9848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559" w:type="pct"/>
                  <w:vMerge w:val="continue"/>
                  <w:noWrap w:val="0"/>
                  <w:vAlign w:val="center"/>
                </w:tcPr>
                <w:p w14:paraId="6E828C0A">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53" w:type="pct"/>
                  <w:vMerge w:val="continue"/>
                  <w:noWrap w:val="0"/>
                  <w:vAlign w:val="center"/>
                </w:tcPr>
                <w:p w14:paraId="37A706F5">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85" w:type="pct"/>
                  <w:vMerge w:val="continue"/>
                  <w:noWrap w:val="0"/>
                  <w:vAlign w:val="center"/>
                </w:tcPr>
                <w:p w14:paraId="7000BA04">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34" w:type="pct"/>
                  <w:noWrap w:val="0"/>
                  <w:vAlign w:val="center"/>
                </w:tcPr>
                <w:p w14:paraId="64917F36">
                  <w:pPr>
                    <w:pStyle w:val="118"/>
                    <w:bidi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资源利用效率要求</w:t>
                  </w:r>
                </w:p>
              </w:tc>
              <w:tc>
                <w:tcPr>
                  <w:tcW w:w="1925" w:type="pct"/>
                  <w:noWrap w:val="0"/>
                  <w:vAlign w:val="center"/>
                </w:tcPr>
                <w:p w14:paraId="56BCB396">
                  <w:pPr>
                    <w:pStyle w:val="118"/>
                    <w:bidi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1.坚持“以水定产业、以水定规模”，做好节水工作，按分质供水原则，合理进行水资源分配，优先使用中水。严控地下水超采。实行地下水“五控”制度。</w:t>
                  </w:r>
                </w:p>
                <w:p w14:paraId="46E895A9">
                  <w:pPr>
                    <w:pStyle w:val="118"/>
                    <w:bidi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“五控”即严格管控地下水开发利用总量、水位、用途、水质及机电井数量。</w:t>
                  </w:r>
                </w:p>
                <w:p w14:paraId="0D879977">
                  <w:pPr>
                    <w:pStyle w:val="118"/>
                    <w:bidi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2.推进能源梯级利用，提高能源利用效率，鼓励使用清洁燃料或可再生能源。</w:t>
                  </w:r>
                </w:p>
              </w:tc>
              <w:tc>
                <w:tcPr>
                  <w:tcW w:w="1041" w:type="pct"/>
                  <w:noWrap w:val="0"/>
                  <w:vAlign w:val="center"/>
                </w:tcPr>
                <w:p w14:paraId="3BB4C54D">
                  <w:pPr>
                    <w:pStyle w:val="118"/>
                    <w:bidi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1.本项目供水由园区统一供水，</w:t>
                  </w:r>
                  <w:r>
                    <w:rPr>
                      <w:rFonts w:hint="default" w:ascii="宋体" w:hAnsi="宋体" w:eastAsia="宋体" w:cs="宋体"/>
                      <w:color w:val="000000" w:themeColor="text1"/>
                      <w:kern w:val="0"/>
                      <w:sz w:val="21"/>
                      <w:szCs w:val="21"/>
                      <w:highlight w:val="none"/>
                      <w:lang w:val="en-US" w:eastAsia="zh-CN" w:bidi="ar"/>
                      <w14:textFill>
                        <w14:solidFill>
                          <w14:schemeClr w14:val="tx1"/>
                        </w14:solidFill>
                      </w14:textFill>
                    </w:rPr>
                    <w:t>经三联箱装置处理后</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脱硫废水</w:t>
                  </w:r>
                  <w:r>
                    <w:rPr>
                      <w:rFonts w:hint="default" w:ascii="宋体" w:hAnsi="宋体" w:eastAsia="宋体" w:cs="宋体"/>
                      <w:color w:val="000000" w:themeColor="text1"/>
                      <w:kern w:val="0"/>
                      <w:sz w:val="21"/>
                      <w:szCs w:val="21"/>
                      <w:highlight w:val="none"/>
                      <w:lang w:val="en-US" w:eastAsia="zh-CN" w:bidi="ar"/>
                      <w14:textFill>
                        <w14:solidFill>
                          <w14:schemeClr w14:val="tx1"/>
                        </w14:solidFill>
                      </w14:textFill>
                    </w:rPr>
                    <w:t>后回用于脱硫浆液制备用水</w:t>
                  </w:r>
                  <w:r>
                    <w:rPr>
                      <w:rFonts w:hint="eastAsia" w:cs="Times New Roman"/>
                      <w:color w:val="000000" w:themeColor="text1"/>
                      <w:sz w:val="21"/>
                      <w:szCs w:val="21"/>
                      <w:highlight w:val="none"/>
                      <w:lang w:val="en-US" w:eastAsia="zh-CN"/>
                      <w14:textFill>
                        <w14:solidFill>
                          <w14:schemeClr w14:val="tx1"/>
                        </w14:solidFill>
                      </w14:textFill>
                    </w:rPr>
                    <w:t>；锅炉排水、软水排水和</w:t>
                  </w:r>
                  <w:r>
                    <w:rPr>
                      <w:rFonts w:hint="default" w:ascii="宋体" w:hAnsi="宋体" w:eastAsia="宋体" w:cs="宋体"/>
                      <w:color w:val="000000" w:themeColor="text1"/>
                      <w:kern w:val="0"/>
                      <w:sz w:val="21"/>
                      <w:szCs w:val="21"/>
                      <w:highlight w:val="none"/>
                      <w:lang w:val="en-US" w:eastAsia="zh-CN" w:bidi="ar"/>
                      <w14:textFill>
                        <w14:solidFill>
                          <w14:schemeClr w14:val="tx1"/>
                        </w14:solidFill>
                      </w14:textFill>
                    </w:rPr>
                    <w:t>，</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通过</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罐车拉运</w:t>
                  </w:r>
                  <w:r>
                    <w:rPr>
                      <w:rFonts w:hint="default" w:ascii="宋体" w:hAnsi="宋体" w:eastAsia="宋体" w:cs="宋体"/>
                      <w:color w:val="000000" w:themeColor="text1"/>
                      <w:kern w:val="0"/>
                      <w:sz w:val="21"/>
                      <w:szCs w:val="21"/>
                      <w:highlight w:val="none"/>
                      <w:lang w:val="en-US" w:eastAsia="zh-CN" w:bidi="ar"/>
                      <w14:textFill>
                        <w14:solidFill>
                          <w14:schemeClr w14:val="tx1"/>
                        </w14:solidFill>
                      </w14:textFill>
                    </w:rPr>
                    <w:t>至园区生产废水处理厂处理</w:t>
                  </w:r>
                  <w:r>
                    <w:rPr>
                      <w:rFonts w:hint="eastAsia" w:cs="Times New Roman"/>
                      <w:color w:val="000000" w:themeColor="text1"/>
                      <w:sz w:val="21"/>
                      <w:szCs w:val="21"/>
                      <w:highlight w:val="none"/>
                      <w:lang w:val="en-US" w:eastAsia="zh-CN"/>
                      <w14:textFill>
                        <w14:solidFill>
                          <w14:schemeClr w14:val="tx1"/>
                        </w14:solidFill>
                      </w14:textFill>
                    </w:rPr>
                    <w:t>；生活</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污水经开发区污水处理厂处理达标后全部回用，不外排，本项目不使用地下水。</w:t>
                  </w:r>
                </w:p>
                <w:p w14:paraId="18799EC5">
                  <w:pPr>
                    <w:pStyle w:val="118"/>
                    <w:bidi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2.本项目使用</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脱硫除杂后清洁</w:t>
                  </w:r>
                  <w:r>
                    <w:rPr>
                      <w:rFonts w:hint="eastAsia" w:cs="Times New Roman"/>
                      <w:color w:val="000000" w:themeColor="text1"/>
                      <w:sz w:val="21"/>
                      <w:szCs w:val="21"/>
                      <w:highlight w:val="none"/>
                      <w:lang w:val="en-US" w:eastAsia="zh-CN"/>
                      <w14:textFill>
                        <w14:solidFill>
                          <w14:schemeClr w14:val="tx1"/>
                        </w14:solidFill>
                      </w14:textFill>
                    </w:rPr>
                    <w:t>煤气</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r>
          </w:tbl>
          <w:p w14:paraId="6F18BD17">
            <w:pPr>
              <w:pStyle w:val="103"/>
              <w:spacing w:line="360" w:lineRule="auto"/>
              <w:ind w:firstLine="480" w:firstLineChars="200"/>
              <w:jc w:val="left"/>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由以上分析可知，本项目符合国家和地方的“</w:t>
            </w:r>
            <w:r>
              <w:rPr>
                <w:rFonts w:hint="eastAsia" w:cs="Times New Roman"/>
                <w:color w:val="000000" w:themeColor="text1"/>
                <w:sz w:val="24"/>
                <w:highlight w:val="none"/>
                <w:lang w:val="en-US" w:eastAsia="zh-CN"/>
                <w14:textFill>
                  <w14:solidFill>
                    <w14:schemeClr w14:val="tx1"/>
                  </w14:solidFill>
                </w14:textFill>
              </w:rPr>
              <w:t>生态环境分区管控</w:t>
            </w:r>
            <w:r>
              <w:rPr>
                <w:rFonts w:hint="default" w:ascii="Times New Roman" w:hAnsi="Times New Roman" w:eastAsia="宋体" w:cs="Times New Roman"/>
                <w:color w:val="000000" w:themeColor="text1"/>
                <w:sz w:val="24"/>
                <w:highlight w:val="none"/>
                <w14:textFill>
                  <w14:solidFill>
                    <w14:schemeClr w14:val="tx1"/>
                  </w14:solidFill>
                </w14:textFill>
              </w:rPr>
              <w:t>”要求。</w:t>
            </w:r>
          </w:p>
          <w:p w14:paraId="2BDC481D">
            <w:pPr>
              <w:pStyle w:val="103"/>
              <w:spacing w:line="360" w:lineRule="auto"/>
              <w:ind w:firstLine="482" w:firstLineChars="200"/>
              <w:jc w:val="left"/>
              <w:rPr>
                <w:rFonts w:hint="default" w:ascii="Times New Roman" w:hAnsi="Times New Roman" w:eastAsia="宋体" w:cs="Times New Roman"/>
                <w:color w:val="000000" w:themeColor="text1"/>
                <w:szCs w:val="24"/>
                <w:highlight w:val="none"/>
                <w14:textFill>
                  <w14:solidFill>
                    <w14:schemeClr w14:val="tx1"/>
                  </w14:solidFill>
                </w14:textFill>
              </w:rPr>
            </w:pPr>
            <w:r>
              <w:rPr>
                <w:rFonts w:hint="eastAsia" w:ascii="Times New Roman" w:hAnsi="Times New Roman" w:eastAsia="宋体" w:cs="Times New Roman"/>
                <w:b/>
                <w:bCs/>
                <w:color w:val="000000" w:themeColor="text1"/>
                <w:szCs w:val="24"/>
                <w:highlight w:val="none"/>
                <w:lang w:val="en-US" w:eastAsia="zh-CN"/>
                <w14:textFill>
                  <w14:solidFill>
                    <w14:schemeClr w14:val="tx1"/>
                  </w14:solidFill>
                </w14:textFill>
              </w:rPr>
              <w:t>2.</w:t>
            </w:r>
            <w:r>
              <w:rPr>
                <w:rFonts w:hint="default" w:ascii="Times New Roman" w:hAnsi="Times New Roman" w:eastAsia="宋体" w:cs="Times New Roman"/>
                <w:b/>
                <w:bCs/>
                <w:color w:val="000000" w:themeColor="text1"/>
                <w:szCs w:val="24"/>
                <w:highlight w:val="none"/>
                <w14:textFill>
                  <w14:solidFill>
                    <w14:schemeClr w14:val="tx1"/>
                  </w14:solidFill>
                </w14:textFill>
              </w:rPr>
              <w:t>产业政策的符合性分析</w:t>
            </w:r>
          </w:p>
          <w:p w14:paraId="0945740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所属行业类别为《国民经济行业</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分类</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》（GB/T4754-2017）（</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2019修订版</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）中的N7723固体废物治理、C4430热力生产和供应。本项目工艺</w:t>
            </w:r>
            <w:r>
              <w:rPr>
                <w:rFonts w:hint="default" w:ascii="Times New Roman" w:hAnsi="Times New Roman" w:eastAsia="宋体" w:cs="Times New Roman"/>
                <w:color w:val="000000" w:themeColor="text1"/>
                <w:sz w:val="24"/>
                <w:szCs w:val="24"/>
                <w:highlight w:val="none"/>
                <w14:textFill>
                  <w14:solidFill>
                    <w14:schemeClr w14:val="tx1"/>
                  </w14:solidFill>
                </w14:textFill>
              </w:rPr>
              <w:t>属于《产业结构调整指导目录</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2024年本</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》中</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第一类、鼓励类</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十二、建材1.悬浮沸腾煅烧熟料工艺技术的研发与应用”“第一类、鼓励类</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－第</w:t>
            </w:r>
            <w:r>
              <w:rPr>
                <w:rFonts w:hint="eastAsia" w:cs="Times New Roman"/>
                <w:color w:val="000000" w:themeColor="text1"/>
                <w:sz w:val="24"/>
                <w:szCs w:val="24"/>
                <w:highlight w:val="none"/>
                <w:lang w:val="en-US" w:eastAsia="zh-CN"/>
                <w14:textFill>
                  <w14:solidFill>
                    <w14:schemeClr w14:val="tx1"/>
                  </w14:solidFill>
                </w14:textFill>
              </w:rPr>
              <w:t>四</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十二类</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、环境保护与资源节约综合利用8.废弃物循环利用</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煤矸石、粉煤灰、尾矿（共伴生矿）、冶炼渣、工业副产石膏、赤泥、建筑垃圾等工业废弃物循环利用”“第一类、鼓励类</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四十二、环境保护与资源节约综合利用11.节能技术开发应用</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节能、节水、节材环保及资源综合利用等技术开发、应用及设备制造”</w:t>
            </w:r>
            <w:r>
              <w:rPr>
                <w:rFonts w:hint="eastAsia"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pacing w:val="1"/>
                <w:sz w:val="24"/>
                <w:szCs w:val="24"/>
                <w:highlight w:val="none"/>
                <w14:textFill>
                  <w14:solidFill>
                    <w14:schemeClr w14:val="tx1"/>
                  </w14:solidFill>
                </w14:textFill>
              </w:rPr>
              <w:t>本项目</w:t>
            </w:r>
            <w:r>
              <w:rPr>
                <w:rFonts w:hint="default" w:ascii="Times New Roman" w:hAnsi="Times New Roman" w:eastAsia="宋体" w:cs="Times New Roman"/>
                <w:color w:val="000000" w:themeColor="text1"/>
                <w:spacing w:val="1"/>
                <w:sz w:val="24"/>
                <w:szCs w:val="24"/>
                <w:highlight w:val="none"/>
                <w:lang w:val="en-US" w:eastAsia="zh-CN"/>
                <w14:textFill>
                  <w14:solidFill>
                    <w14:schemeClr w14:val="tx1"/>
                  </w14:solidFill>
                </w14:textFill>
              </w:rPr>
              <w:t>所用设备</w:t>
            </w:r>
            <w:r>
              <w:rPr>
                <w:rFonts w:hint="eastAsia" w:cs="Times New Roman"/>
                <w:color w:val="000000" w:themeColor="text1"/>
                <w:spacing w:val="1"/>
                <w:sz w:val="24"/>
                <w:szCs w:val="24"/>
                <w:highlight w:val="none"/>
                <w:lang w:val="en-US" w:eastAsia="zh-CN"/>
                <w14:textFill>
                  <w14:solidFill>
                    <w14:schemeClr w14:val="tx1"/>
                  </w14:solidFill>
                </w14:textFill>
              </w:rPr>
              <w:t>不</w:t>
            </w:r>
            <w:r>
              <w:rPr>
                <w:rFonts w:hint="default" w:ascii="Times New Roman" w:hAnsi="Times New Roman" w:eastAsia="宋体" w:cs="Times New Roman"/>
                <w:color w:val="000000" w:themeColor="text1"/>
                <w:spacing w:val="1"/>
                <w:sz w:val="24"/>
                <w:szCs w:val="24"/>
                <w:highlight w:val="none"/>
                <w:lang w:val="en-US" w:eastAsia="zh-CN"/>
                <w14:textFill>
                  <w14:solidFill>
                    <w14:schemeClr w14:val="tx1"/>
                  </w14:solidFill>
                </w14:textFill>
              </w:rPr>
              <w:t>属于</w:t>
            </w:r>
            <w:r>
              <w:rPr>
                <w:rFonts w:hint="default" w:ascii="Times New Roman" w:hAnsi="Times New Roman" w:eastAsia="宋体" w:cs="Times New Roman"/>
                <w:color w:val="000000" w:themeColor="text1"/>
                <w:spacing w:val="1"/>
                <w:sz w:val="24"/>
                <w:szCs w:val="24"/>
                <w:highlight w:val="none"/>
                <w14:textFill>
                  <w14:solidFill>
                    <w14:schemeClr w14:val="tx1"/>
                  </w14:solidFill>
                </w14:textFill>
              </w:rPr>
              <w:t>《产业结构调整指导目录</w:t>
            </w:r>
            <w:r>
              <w:rPr>
                <w:rFonts w:hint="default" w:ascii="Times New Roman" w:hAnsi="Times New Roman" w:eastAsia="宋体" w:cs="Times New Roman"/>
                <w:color w:val="000000" w:themeColor="text1"/>
                <w:spacing w:val="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1"/>
                <w:sz w:val="24"/>
                <w:szCs w:val="24"/>
                <w:highlight w:val="none"/>
                <w14:textFill>
                  <w14:solidFill>
                    <w14:schemeClr w14:val="tx1"/>
                  </w14:solidFill>
                </w14:textFill>
              </w:rPr>
              <w:t>2024年本</w:t>
            </w:r>
            <w:r>
              <w:rPr>
                <w:rFonts w:hint="default" w:ascii="Times New Roman" w:hAnsi="Times New Roman" w:eastAsia="宋体" w:cs="Times New Roman"/>
                <w:color w:val="000000" w:themeColor="text1"/>
                <w:spacing w:val="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1"/>
                <w:sz w:val="24"/>
                <w:szCs w:val="24"/>
                <w:highlight w:val="none"/>
                <w14:textFill>
                  <w14:solidFill>
                    <w14:schemeClr w14:val="tx1"/>
                  </w14:solidFill>
                </w14:textFill>
              </w:rPr>
              <w:t>》</w:t>
            </w: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中第三类淘汰类</w:t>
            </w:r>
            <w:r>
              <w:rPr>
                <w:rFonts w:hint="eastAsia" w:ascii="宋体" w:hAnsi="宋体" w:cs="宋体"/>
                <w:color w:val="000000" w:themeColor="text1"/>
                <w:kern w:val="0"/>
                <w:sz w:val="24"/>
                <w:szCs w:val="24"/>
                <w:highlight w:val="none"/>
                <w:lang w:val="en-US" w:eastAsia="zh-CN" w:bidi="ar"/>
                <w14:textFill>
                  <w14:solidFill>
                    <w14:schemeClr w14:val="tx1"/>
                  </w14:solidFill>
                </w14:textFill>
              </w:rPr>
              <w:t>和限值类设备</w:t>
            </w:r>
            <w:r>
              <w:rPr>
                <w:rFonts w:hint="default" w:ascii="Times New Roman" w:hAnsi="Times New Roman" w:eastAsia="宋体" w:cs="Times New Roman"/>
                <w:color w:val="000000" w:themeColor="text1"/>
                <w:spacing w:val="1"/>
                <w:sz w:val="24"/>
                <w:szCs w:val="24"/>
                <w:highlight w:val="none"/>
                <w14:textFill>
                  <w14:solidFill>
                    <w14:schemeClr w14:val="tx1"/>
                  </w14:solidFill>
                </w14:textFill>
              </w:rPr>
              <w:t>；2025年</w:t>
            </w:r>
            <w:r>
              <w:rPr>
                <w:rFonts w:hint="default" w:ascii="Times New Roman" w:hAnsi="Times New Roman" w:eastAsia="宋体" w:cs="Times New Roman"/>
                <w:color w:val="000000" w:themeColor="text1"/>
                <w:spacing w:val="1"/>
                <w:sz w:val="24"/>
                <w:szCs w:val="24"/>
                <w:highlight w:val="none"/>
                <w:lang w:val="en-US" w:eastAsia="zh-CN"/>
                <w14:textFill>
                  <w14:solidFill>
                    <w14:schemeClr w14:val="tx1"/>
                  </w14:solidFill>
                </w14:textFill>
              </w:rPr>
              <w:t>9</w:t>
            </w:r>
            <w:r>
              <w:rPr>
                <w:rFonts w:hint="default" w:ascii="Times New Roman" w:hAnsi="Times New Roman" w:eastAsia="宋体" w:cs="Times New Roman"/>
                <w:color w:val="000000" w:themeColor="text1"/>
                <w:spacing w:val="1"/>
                <w:sz w:val="24"/>
                <w:szCs w:val="24"/>
                <w:highlight w:val="none"/>
                <w14:textFill>
                  <w14:solidFill>
                    <w14:schemeClr w14:val="tx1"/>
                  </w14:solidFill>
                </w14:textFill>
              </w:rPr>
              <w:t>月</w:t>
            </w:r>
            <w:r>
              <w:rPr>
                <w:rFonts w:hint="default" w:ascii="Times New Roman" w:hAnsi="Times New Roman" w:eastAsia="宋体" w:cs="Times New Roman"/>
                <w:color w:val="000000" w:themeColor="text1"/>
                <w:spacing w:val="1"/>
                <w:sz w:val="24"/>
                <w:szCs w:val="24"/>
                <w:highlight w:val="none"/>
                <w:lang w:val="en-US" w:eastAsia="zh-CN"/>
                <w14:textFill>
                  <w14:solidFill>
                    <w14:schemeClr w14:val="tx1"/>
                  </w14:solidFill>
                </w14:textFill>
              </w:rPr>
              <w:t>18</w:t>
            </w:r>
            <w:r>
              <w:rPr>
                <w:rFonts w:hint="default" w:ascii="Times New Roman" w:hAnsi="Times New Roman" w:eastAsia="宋体" w:cs="Times New Roman"/>
                <w:color w:val="000000" w:themeColor="text1"/>
                <w:spacing w:val="1"/>
                <w:sz w:val="24"/>
                <w:szCs w:val="24"/>
                <w:highlight w:val="none"/>
                <w14:textFill>
                  <w14:solidFill>
                    <w14:schemeClr w14:val="tx1"/>
                  </w14:solidFill>
                </w14:textFill>
              </w:rPr>
              <w:t>日，</w:t>
            </w:r>
            <w:r>
              <w:rPr>
                <w:rFonts w:hint="default" w:ascii="Times New Roman" w:hAnsi="Times New Roman" w:eastAsia="宋体" w:cs="Times New Roman"/>
                <w:color w:val="000000" w:themeColor="text1"/>
                <w:spacing w:val="-1"/>
                <w:sz w:val="24"/>
                <w:szCs w:val="24"/>
                <w:highlight w:val="none"/>
                <w:lang w:val="en-US" w:eastAsia="zh-CN"/>
                <w14:textFill>
                  <w14:solidFill>
                    <w14:schemeClr w14:val="tx1"/>
                  </w14:solidFill>
                </w14:textFill>
              </w:rPr>
              <w:t>准格尔旗</w:t>
            </w:r>
            <w:r>
              <w:rPr>
                <w:rFonts w:hint="default" w:ascii="Times New Roman" w:hAnsi="Times New Roman" w:eastAsia="宋体" w:cs="Times New Roman"/>
                <w:color w:val="000000" w:themeColor="text1"/>
                <w:spacing w:val="1"/>
                <w:sz w:val="24"/>
                <w:szCs w:val="24"/>
                <w:highlight w:val="none"/>
                <w14:textFill>
                  <w14:solidFill>
                    <w14:schemeClr w14:val="tx1"/>
                  </w14:solidFill>
                </w14:textFill>
              </w:rPr>
              <w:t>发展和改革委员会出</w:t>
            </w:r>
            <w:r>
              <w:rPr>
                <w:rFonts w:hint="default" w:ascii="Times New Roman" w:hAnsi="Times New Roman" w:eastAsia="宋体" w:cs="Times New Roman"/>
                <w:color w:val="000000" w:themeColor="text1"/>
                <w:sz w:val="24"/>
                <w:szCs w:val="24"/>
                <w:highlight w:val="none"/>
                <w14:textFill>
                  <w14:solidFill>
                    <w14:schemeClr w14:val="tx1"/>
                  </w14:solidFill>
                </w14:textFill>
              </w:rPr>
              <w:t>具了《项目备案告知书》</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项目代码：</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2509-150622-04-05-154090</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准予本项目备案；</w:t>
            </w:r>
          </w:p>
          <w:p w14:paraId="371F6F6E">
            <w:pPr>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2005年10月，国家发展改革委、科技部及</w:t>
            </w:r>
            <w:r>
              <w:rPr>
                <w:rFonts w:hint="eastAsia" w:cs="Times New Roman"/>
                <w:color w:val="000000" w:themeColor="text1"/>
                <w:sz w:val="24"/>
                <w:highlight w:val="none"/>
                <w:lang w:val="en-US" w:eastAsia="zh-CN"/>
                <w14:textFill>
                  <w14:solidFill>
                    <w14:schemeClr w14:val="tx1"/>
                  </w14:solidFill>
                </w14:textFill>
              </w:rPr>
              <w:t>原</w:t>
            </w:r>
            <w:r>
              <w:rPr>
                <w:rFonts w:hint="default" w:ascii="Times New Roman" w:hAnsi="Times New Roman" w:cs="Times New Roman"/>
                <w:color w:val="000000" w:themeColor="text1"/>
                <w:sz w:val="24"/>
                <w:highlight w:val="none"/>
                <w14:textFill>
                  <w14:solidFill>
                    <w14:schemeClr w14:val="tx1"/>
                  </w14:solidFill>
                </w14:textFill>
              </w:rPr>
              <w:t>国家环保总局将《国家鼓励发展的资源节约综合利用和环境保护技术》260项技术予以公布。其中对煅烧高岭土项目相关规定为“超微细煅烧高岭土技术采用先超细研磨后利用多支撑间接加热，分段煅烧工艺，对煤矸石进行加工。生产具有高科技含量、高附加值的超细高岭土产品。具有原料低廉、易购，产品成本低等特点。实施</w:t>
            </w:r>
            <w:r>
              <w:rPr>
                <w:rFonts w:hint="eastAsia" w:cs="Times New Roman"/>
                <w:color w:val="000000" w:themeColor="text1"/>
                <w:sz w:val="24"/>
                <w:highlight w:val="none"/>
                <w:lang w:eastAsia="zh-CN"/>
                <w14:textFill>
                  <w14:solidFill>
                    <w14:schemeClr w14:val="tx1"/>
                  </w14:solidFill>
                </w14:textFill>
              </w:rPr>
              <w:t>后将</w:t>
            </w:r>
            <w:r>
              <w:rPr>
                <w:rFonts w:hint="default" w:ascii="Times New Roman" w:hAnsi="Times New Roman" w:cs="Times New Roman"/>
                <w:color w:val="000000" w:themeColor="text1"/>
                <w:sz w:val="24"/>
                <w:highlight w:val="none"/>
                <w14:textFill>
                  <w14:solidFill>
                    <w14:schemeClr w14:val="tx1"/>
                  </w14:solidFill>
                </w14:textFill>
              </w:rPr>
              <w:t>减少粉尘、煤矸石污染，减少占地。该技术适用于高岭土的综合利用”。本项目为超细煅烧高岭土项目，采用先进技术，符合《国家鼓励发展的资源节约综合利用和环境保护技术》相关内容。</w:t>
            </w:r>
          </w:p>
          <w:p w14:paraId="7006703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本项目建设符合《工业炉窑大气污染综合治理方案》《内蒙古自治区工业炉窑大气污染综合治理实施方案》</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《鄂尔多斯市环境保护条例》（2021年9月修正版）、《鄂尔多斯市大气污染防治条例》（2021年9月29日起施行）、《鄂尔多斯市空气质量持续改善行动实施方案》（鄂府发〔2024〕61号）</w:t>
            </w:r>
            <w:r>
              <w:rPr>
                <w:rFonts w:hint="default" w:ascii="Times New Roman" w:hAnsi="Times New Roman" w:eastAsia="宋体" w:cs="Times New Roman"/>
                <w:color w:val="000000" w:themeColor="text1"/>
                <w:sz w:val="24"/>
                <w:szCs w:val="24"/>
                <w:highlight w:val="none"/>
                <w14:textFill>
                  <w14:solidFill>
                    <w14:schemeClr w14:val="tx1"/>
                  </w14:solidFill>
                </w14:textFill>
              </w:rPr>
              <w:t>中的相关要求，综上，项目建设符合国家及地方产业政策。</w:t>
            </w:r>
          </w:p>
          <w:p w14:paraId="77FD2A7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本项目建设与《工业炉窑大气污染综合治理方案》《内蒙古自治区工业炉窑大气污染综合治理实施方案》</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《内蒙古自治区空气质量持续改善行动实施方案》（内政发〔2024〕17号）、《鄂尔多斯市空气质量持续改善行动实施方案》（鄂府发〔2024〕61号）等</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的符</w:t>
            </w:r>
            <w:r>
              <w:rPr>
                <w:rFonts w:hint="default" w:ascii="Times New Roman" w:hAnsi="Times New Roman" w:eastAsia="宋体" w:cs="Times New Roman"/>
                <w:color w:val="000000" w:themeColor="text1"/>
                <w:sz w:val="24"/>
                <w:highlight w:val="none"/>
                <w14:textFill>
                  <w14:solidFill>
                    <w14:schemeClr w14:val="tx1"/>
                  </w14:solidFill>
                </w14:textFill>
              </w:rPr>
              <w:t>合性分析见</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下</w:t>
            </w:r>
            <w:r>
              <w:rPr>
                <w:rFonts w:hint="default" w:ascii="Times New Roman" w:hAnsi="Times New Roman" w:eastAsia="宋体" w:cs="Times New Roman"/>
                <w:color w:val="000000" w:themeColor="text1"/>
                <w:sz w:val="24"/>
                <w:highlight w:val="none"/>
                <w14:textFill>
                  <w14:solidFill>
                    <w14:schemeClr w14:val="tx1"/>
                  </w14:solidFill>
                </w14:textFill>
              </w:rPr>
              <w:t>表。</w:t>
            </w:r>
          </w:p>
          <w:p w14:paraId="5688214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因此，本项目建设符合国家产业政策。</w:t>
            </w:r>
          </w:p>
          <w:p w14:paraId="1CAA3B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pacing w:val="-3"/>
                <w:highlight w:val="none"/>
                <w14:textFill>
                  <w14:solidFill>
                    <w14:schemeClr w14:val="tx1"/>
                  </w14:solidFill>
                </w14:textFill>
              </w:rPr>
            </w:pPr>
            <w:r>
              <w:rPr>
                <w:rFonts w:hint="default" w:ascii="Times New Roman" w:hAnsi="Times New Roman" w:eastAsia="宋体" w:cs="Times New Roman"/>
                <w:b/>
                <w:bCs/>
                <w:color w:val="000000" w:themeColor="text1"/>
                <w:spacing w:val="-2"/>
                <w:highlight w:val="none"/>
                <w14:textFill>
                  <w14:solidFill>
                    <w14:schemeClr w14:val="tx1"/>
                  </w14:solidFill>
                </w14:textFill>
              </w:rPr>
              <w:t>表</w:t>
            </w:r>
            <w:r>
              <w:rPr>
                <w:rFonts w:hint="default" w:ascii="Times New Roman" w:hAnsi="Times New Roman" w:eastAsia="宋体" w:cs="Times New Roman"/>
                <w:b/>
                <w:bCs/>
                <w:color w:val="000000" w:themeColor="text1"/>
                <w:spacing w:val="-2"/>
                <w:highlight w:val="none"/>
                <w:lang w:val="en-US" w:eastAsia="zh-CN"/>
                <w14:textFill>
                  <w14:solidFill>
                    <w14:schemeClr w14:val="tx1"/>
                  </w14:solidFill>
                </w14:textFill>
              </w:rPr>
              <w:t>1-2</w:t>
            </w:r>
            <w:r>
              <w:rPr>
                <w:rFonts w:hint="default" w:ascii="Times New Roman" w:hAnsi="Times New Roman" w:eastAsia="宋体" w:cs="Times New Roman"/>
                <w:b/>
                <w:bCs/>
                <w:color w:val="000000" w:themeColor="text1"/>
                <w:spacing w:val="-2"/>
                <w:highlight w:val="none"/>
                <w14:textFill>
                  <w14:solidFill>
                    <w14:schemeClr w14:val="tx1"/>
                  </w14:solidFill>
                </w14:textFill>
              </w:rPr>
              <w:t>本项目与《工业炉窑大气污染综合</w:t>
            </w:r>
            <w:r>
              <w:rPr>
                <w:rFonts w:hint="default" w:ascii="Times New Roman" w:hAnsi="Times New Roman" w:eastAsia="宋体" w:cs="Times New Roman"/>
                <w:b/>
                <w:bCs/>
                <w:color w:val="000000" w:themeColor="text1"/>
                <w:spacing w:val="-3"/>
                <w:highlight w:val="none"/>
                <w14:textFill>
                  <w14:solidFill>
                    <w14:schemeClr w14:val="tx1"/>
                  </w14:solidFill>
                </w14:textFill>
              </w:rPr>
              <w:t>治理方案》符合性分析</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1"/>
              <w:gridCol w:w="886"/>
              <w:gridCol w:w="3485"/>
              <w:gridCol w:w="2216"/>
              <w:gridCol w:w="710"/>
            </w:tblGrid>
            <w:tr w14:paraId="51F77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1" w:type="pct"/>
                  <w:noWrap w:val="0"/>
                  <w:vAlign w:val="center"/>
                </w:tcPr>
                <w:p w14:paraId="64B491AF">
                  <w:pPr>
                    <w:pStyle w:val="116"/>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pacing w:val="-3"/>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pacing w:val="6"/>
                      <w:sz w:val="21"/>
                      <w:szCs w:val="21"/>
                      <w:highlight w:val="none"/>
                      <w14:textFill>
                        <w14:solidFill>
                          <w14:schemeClr w14:val="tx1"/>
                        </w14:solidFill>
                      </w14:textFill>
                    </w:rPr>
                    <w:t>序号</w:t>
                  </w:r>
                </w:p>
              </w:tc>
              <w:tc>
                <w:tcPr>
                  <w:tcW w:w="568" w:type="pct"/>
                  <w:noWrap w:val="0"/>
                  <w:vAlign w:val="center"/>
                </w:tcPr>
                <w:p w14:paraId="0531242D">
                  <w:pPr>
                    <w:pStyle w:val="116"/>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000000" w:themeColor="text1"/>
                      <w:spacing w:val="-3"/>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pacing w:val="-6"/>
                      <w:sz w:val="21"/>
                      <w:szCs w:val="21"/>
                      <w:highlight w:val="none"/>
                      <w14:textFill>
                        <w14:solidFill>
                          <w14:schemeClr w14:val="tx1"/>
                        </w14:solidFill>
                      </w14:textFill>
                    </w:rPr>
                    <w:t>分析</w:t>
                  </w:r>
                  <w:r>
                    <w:rPr>
                      <w:rFonts w:hint="default" w:ascii="Times New Roman" w:hAnsi="Times New Roman" w:eastAsia="宋体" w:cs="Times New Roman"/>
                      <w:color w:val="000000" w:themeColor="text1"/>
                      <w:spacing w:val="5"/>
                      <w:sz w:val="21"/>
                      <w:szCs w:val="21"/>
                      <w:highlight w:val="none"/>
                      <w14:textFill>
                        <w14:solidFill>
                          <w14:schemeClr w14:val="tx1"/>
                        </w14:solidFill>
                      </w14:textFill>
                    </w:rPr>
                    <w:t>内容</w:t>
                  </w:r>
                </w:p>
              </w:tc>
              <w:tc>
                <w:tcPr>
                  <w:tcW w:w="2234" w:type="pct"/>
                  <w:noWrap w:val="0"/>
                  <w:vAlign w:val="center"/>
                </w:tcPr>
                <w:p w14:paraId="76C6D001">
                  <w:pPr>
                    <w:pStyle w:val="116"/>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pacing w:val="-3"/>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相关条件要求</w:t>
                  </w:r>
                </w:p>
              </w:tc>
              <w:tc>
                <w:tcPr>
                  <w:tcW w:w="1420" w:type="pct"/>
                  <w:noWrap w:val="0"/>
                  <w:vAlign w:val="center"/>
                </w:tcPr>
                <w:p w14:paraId="443D38D0">
                  <w:pPr>
                    <w:pStyle w:val="116"/>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pacing w:val="-3"/>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14:textFill>
                        <w14:solidFill>
                          <w14:schemeClr w14:val="tx1"/>
                        </w14:solidFill>
                      </w14:textFill>
                    </w:rPr>
                    <w:t>本项目情况</w:t>
                  </w:r>
                </w:p>
              </w:tc>
              <w:tc>
                <w:tcPr>
                  <w:tcW w:w="455" w:type="pct"/>
                  <w:noWrap w:val="0"/>
                  <w:vAlign w:val="center"/>
                </w:tcPr>
                <w:p w14:paraId="52F4F6C1">
                  <w:pPr>
                    <w:pStyle w:val="116"/>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pacing w:val="-3"/>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符合性</w:t>
                  </w:r>
                </w:p>
              </w:tc>
            </w:tr>
            <w:tr w14:paraId="3DF4B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1" w:type="pct"/>
                  <w:noWrap w:val="0"/>
                  <w:vAlign w:val="center"/>
                </w:tcPr>
                <w:p w14:paraId="2CD2D4B6">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p w14:paraId="59E3A77C">
                  <w:pPr>
                    <w:pStyle w:val="116"/>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pacing w:val="-3"/>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568" w:type="pct"/>
                  <w:noWrap w:val="0"/>
                  <w:vAlign w:val="center"/>
                </w:tcPr>
                <w:p w14:paraId="0CF9AFD2">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p w14:paraId="2EF0B357">
                  <w:pPr>
                    <w:pStyle w:val="116"/>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000000" w:themeColor="text1"/>
                      <w:spacing w:val="-3"/>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14:textFill>
                        <w14:solidFill>
                          <w14:schemeClr w14:val="tx1"/>
                        </w14:solidFill>
                      </w14:textFill>
                    </w:rPr>
                    <w:t>加大产业</w:t>
                  </w:r>
                  <w:r>
                    <w:rPr>
                      <w:rFonts w:hint="default" w:ascii="Times New Roman" w:hAnsi="Times New Roman" w:eastAsia="宋体" w:cs="Times New Roman"/>
                      <w:color w:val="000000" w:themeColor="text1"/>
                      <w:spacing w:val="6"/>
                      <w:sz w:val="21"/>
                      <w:szCs w:val="21"/>
                      <w:highlight w:val="none"/>
                      <w14:textFill>
                        <w14:solidFill>
                          <w14:schemeClr w14:val="tx1"/>
                        </w14:solidFill>
                      </w14:textFill>
                    </w:rPr>
                    <w:t>结构</w:t>
                  </w:r>
                  <w:r>
                    <w:rPr>
                      <w:rFonts w:hint="default" w:ascii="Times New Roman" w:hAnsi="Times New Roman" w:eastAsia="宋体" w:cs="Times New Roman"/>
                      <w:color w:val="000000" w:themeColor="text1"/>
                      <w:spacing w:val="5"/>
                      <w:sz w:val="21"/>
                      <w:szCs w:val="21"/>
                      <w:highlight w:val="none"/>
                      <w14:textFill>
                        <w14:solidFill>
                          <w14:schemeClr w14:val="tx1"/>
                        </w14:solidFill>
                      </w14:textFill>
                    </w:rPr>
                    <w:t>调整</w:t>
                  </w:r>
                  <w:r>
                    <w:rPr>
                      <w:rFonts w:hint="default" w:ascii="Times New Roman" w:hAnsi="Times New Roman" w:eastAsia="宋体" w:cs="Times New Roman"/>
                      <w:color w:val="000000" w:themeColor="text1"/>
                      <w:spacing w:val="6"/>
                      <w:sz w:val="21"/>
                      <w:szCs w:val="21"/>
                      <w:highlight w:val="none"/>
                      <w14:textFill>
                        <w14:solidFill>
                          <w14:schemeClr w14:val="tx1"/>
                        </w14:solidFill>
                      </w14:textFill>
                    </w:rPr>
                    <w:t>力度</w:t>
                  </w:r>
                </w:p>
              </w:tc>
              <w:tc>
                <w:tcPr>
                  <w:tcW w:w="2234" w:type="pct"/>
                  <w:noWrap w:val="0"/>
                  <w:vAlign w:val="center"/>
                </w:tcPr>
                <w:p w14:paraId="2C73B84A">
                  <w:pPr>
                    <w:pStyle w:val="115"/>
                    <w:keepNext w:val="0"/>
                    <w:keepLines w:val="0"/>
                    <w:pageBreakBefore w:val="0"/>
                    <w:widowControl w:val="0"/>
                    <w:kinsoku/>
                    <w:wordWrap/>
                    <w:overflowPunct/>
                    <w:topLinePunct w:val="0"/>
                    <w:autoSpaceDE/>
                    <w:autoSpaceDN/>
                    <w:bidi w:val="0"/>
                    <w:adjustRightInd w:val="0"/>
                    <w:snapToGrid w:val="0"/>
                    <w:spacing w:before="157" w:beforeLines="50" w:line="240" w:lineRule="auto"/>
                    <w:jc w:val="both"/>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严格建设项目环境准入。新建涉工业炉窑的建设项目，原则上要入园区，配套建设高效</w:t>
                  </w:r>
                  <w:r>
                    <w:rPr>
                      <w:rFonts w:hint="eastAsia" w:cs="Times New Roman"/>
                      <w:color w:val="000000" w:themeColor="text1"/>
                      <w:sz w:val="21"/>
                      <w:szCs w:val="21"/>
                      <w:highlight w:val="none"/>
                      <w:lang w:eastAsia="zh-CN"/>
                      <w14:textFill>
                        <w14:solidFill>
                          <w14:schemeClr w14:val="tx1"/>
                        </w14:solidFill>
                      </w14:textFill>
                    </w:rPr>
                    <w:t>环境治理</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设施。重点区域严格控制涉工业炉窑建设项目，严禁新增钢铁、焦化、电解铝、铸造、水泥和平板玻璃等产能；严格执行钢铁、水泥、平板玻璃等行业产能置换实施办法；原则上禁止新建燃料类煤气发生炉。</w:t>
                  </w:r>
                </w:p>
              </w:tc>
              <w:tc>
                <w:tcPr>
                  <w:tcW w:w="1420" w:type="pct"/>
                  <w:noWrap w:val="0"/>
                  <w:vAlign w:val="center"/>
                </w:tcPr>
                <w:p w14:paraId="0ACB454B">
                  <w:pPr>
                    <w:pStyle w:val="115"/>
                    <w:keepNext w:val="0"/>
                    <w:keepLines w:val="0"/>
                    <w:pageBreakBefore w:val="0"/>
                    <w:widowControl w:val="0"/>
                    <w:kinsoku/>
                    <w:wordWrap/>
                    <w:overflowPunct/>
                    <w:topLinePunct w:val="0"/>
                    <w:autoSpaceDE/>
                    <w:autoSpaceDN/>
                    <w:bidi w:val="0"/>
                    <w:adjustRightInd w:val="0"/>
                    <w:snapToGrid w:val="0"/>
                    <w:spacing w:before="157" w:beforeLines="50" w:line="240" w:lineRule="auto"/>
                    <w:jc w:val="both"/>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本项目位于</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内蒙古鄂尔多斯市准格尔经济开发区</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，项目符合园区产业定位，符合土地利用总体规划，符合主体功能区规划。</w:t>
                  </w:r>
                </w:p>
              </w:tc>
              <w:tc>
                <w:tcPr>
                  <w:tcW w:w="455" w:type="pct"/>
                  <w:noWrap w:val="0"/>
                  <w:vAlign w:val="center"/>
                </w:tcPr>
                <w:p w14:paraId="01C66F3C">
                  <w:pPr>
                    <w:pStyle w:val="116"/>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pacing w:val="-3"/>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符合</w:t>
                  </w:r>
                </w:p>
              </w:tc>
            </w:tr>
            <w:tr w14:paraId="050A2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1" w:type="pct"/>
                  <w:noWrap w:val="0"/>
                  <w:vAlign w:val="center"/>
                </w:tcPr>
                <w:p w14:paraId="6C27162D">
                  <w:pPr>
                    <w:pStyle w:val="116"/>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pacing w:val="-3"/>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c>
                <w:tcPr>
                  <w:tcW w:w="568" w:type="pct"/>
                  <w:noWrap w:val="0"/>
                  <w:vAlign w:val="center"/>
                </w:tcPr>
                <w:p w14:paraId="075EAE76">
                  <w:pPr>
                    <w:pStyle w:val="116"/>
                    <w:keepNext w:val="0"/>
                    <w:keepLines w:val="0"/>
                    <w:pageBreakBefore w:val="0"/>
                    <w:widowControl w:val="0"/>
                    <w:kinsoku/>
                    <w:wordWrap/>
                    <w:overflowPunct/>
                    <w:topLinePunct w:val="0"/>
                    <w:autoSpaceDE/>
                    <w:autoSpaceDN/>
                    <w:bidi w:val="0"/>
                    <w:adjustRightInd/>
                    <w:snapToGrid/>
                    <w:spacing w:line="240" w:lineRule="auto"/>
                    <w:ind w:left="0" w:leftChars="0" w:right="0" w:rightChars="0"/>
                    <w:jc w:val="center"/>
                    <w:textAlignment w:val="auto"/>
                    <w:rPr>
                      <w:rFonts w:hint="default" w:ascii="Times New Roman" w:hAnsi="Times New Roman" w:eastAsia="宋体" w:cs="Times New Roman"/>
                      <w:b/>
                      <w:bCs/>
                      <w:color w:val="000000" w:themeColor="text1"/>
                      <w:spacing w:val="-3"/>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14:textFill>
                        <w14:solidFill>
                          <w14:schemeClr w14:val="tx1"/>
                        </w14:solidFill>
                      </w14:textFill>
                    </w:rPr>
                    <w:t>加快燃料清洁</w:t>
                  </w: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低碳</w:t>
                  </w:r>
                  <w:r>
                    <w:rPr>
                      <w:rFonts w:hint="default" w:ascii="Times New Roman" w:hAnsi="Times New Roman" w:eastAsia="宋体" w:cs="Times New Roman"/>
                      <w:color w:val="000000" w:themeColor="text1"/>
                      <w:spacing w:val="8"/>
                      <w:sz w:val="21"/>
                      <w:szCs w:val="21"/>
                      <w:highlight w:val="none"/>
                      <w14:textFill>
                        <w14:solidFill>
                          <w14:schemeClr w14:val="tx1"/>
                        </w14:solidFill>
                      </w14:textFill>
                    </w:rPr>
                    <w:t>化替</w:t>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代</w:t>
                  </w:r>
                </w:p>
              </w:tc>
              <w:tc>
                <w:tcPr>
                  <w:tcW w:w="2234" w:type="pct"/>
                  <w:noWrap w:val="0"/>
                  <w:vAlign w:val="center"/>
                </w:tcPr>
                <w:p w14:paraId="5A56C376">
                  <w:pPr>
                    <w:pStyle w:val="115"/>
                    <w:keepNext w:val="0"/>
                    <w:keepLines w:val="0"/>
                    <w:pageBreakBefore w:val="0"/>
                    <w:widowControl w:val="0"/>
                    <w:kinsoku/>
                    <w:wordWrap/>
                    <w:overflowPunct/>
                    <w:topLinePunct w:val="0"/>
                    <w:autoSpaceDE/>
                    <w:autoSpaceDN/>
                    <w:bidi w:val="0"/>
                    <w:adjustRightInd w:val="0"/>
                    <w:snapToGrid w:val="0"/>
                    <w:spacing w:before="157" w:beforeLines="50" w:line="240" w:lineRule="auto"/>
                    <w:jc w:val="both"/>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对以煤、石油焦、渣油、重油等为燃料的工业炉窑，加快使用清洁低碳能源以及利用工厂余热、电厂热力等进行替代。</w:t>
                  </w:r>
                </w:p>
              </w:tc>
              <w:tc>
                <w:tcPr>
                  <w:tcW w:w="1420" w:type="pct"/>
                  <w:noWrap w:val="0"/>
                  <w:vAlign w:val="center"/>
                </w:tcPr>
                <w:p w14:paraId="306127AB">
                  <w:pPr>
                    <w:pStyle w:val="115"/>
                    <w:keepNext w:val="0"/>
                    <w:keepLines w:val="0"/>
                    <w:pageBreakBefore w:val="0"/>
                    <w:widowControl w:val="0"/>
                    <w:kinsoku/>
                    <w:wordWrap/>
                    <w:overflowPunct/>
                    <w:topLinePunct w:val="0"/>
                    <w:autoSpaceDE/>
                    <w:autoSpaceDN/>
                    <w:bidi w:val="0"/>
                    <w:adjustRightInd w:val="0"/>
                    <w:snapToGrid w:val="0"/>
                    <w:spacing w:before="157" w:beforeLines="50" w:line="240" w:lineRule="auto"/>
                    <w:jc w:val="both"/>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本项目燃料</w:t>
                  </w:r>
                  <w:r>
                    <w:rPr>
                      <w:rFonts w:hint="eastAsia" w:cs="Times New Roman"/>
                      <w:color w:val="000000" w:themeColor="text1"/>
                      <w:sz w:val="21"/>
                      <w:szCs w:val="21"/>
                      <w:highlight w:val="none"/>
                      <w:lang w:val="en-US" w:eastAsia="zh-CN"/>
                      <w14:textFill>
                        <w14:solidFill>
                          <w14:schemeClr w14:val="tx1"/>
                        </w14:solidFill>
                      </w14:textFill>
                    </w:rPr>
                    <w:t>为</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煤气，煤气</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来自园区内蒙古伊东东方能源公司</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tc>
              <w:tc>
                <w:tcPr>
                  <w:tcW w:w="455" w:type="pct"/>
                  <w:noWrap w:val="0"/>
                  <w:vAlign w:val="center"/>
                </w:tcPr>
                <w:p w14:paraId="768E5174">
                  <w:pPr>
                    <w:pStyle w:val="116"/>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pacing w:val="-3"/>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符合</w:t>
                  </w:r>
                </w:p>
              </w:tc>
            </w:tr>
            <w:tr w14:paraId="77EDC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1" w:type="pct"/>
                  <w:vMerge w:val="restart"/>
                  <w:noWrap w:val="0"/>
                  <w:vAlign w:val="center"/>
                </w:tcPr>
                <w:p w14:paraId="214BCE30">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000000" w:themeColor="text1"/>
                      <w:spacing w:val="-3"/>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pacing w:val="-3"/>
                      <w:sz w:val="21"/>
                      <w:szCs w:val="21"/>
                      <w:highlight w:val="none"/>
                      <w:vertAlign w:val="baseline"/>
                      <w:lang w:val="en-US" w:eastAsia="zh-CN"/>
                      <w14:textFill>
                        <w14:solidFill>
                          <w14:schemeClr w14:val="tx1"/>
                        </w14:solidFill>
                      </w14:textFill>
                    </w:rPr>
                    <w:t>3</w:t>
                  </w:r>
                </w:p>
              </w:tc>
              <w:tc>
                <w:tcPr>
                  <w:tcW w:w="568" w:type="pct"/>
                  <w:vMerge w:val="restart"/>
                  <w:noWrap w:val="0"/>
                  <w:vAlign w:val="center"/>
                </w:tcPr>
                <w:p w14:paraId="2D183A7A">
                  <w:pPr>
                    <w:pStyle w:val="116"/>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000000" w:themeColor="text1"/>
                      <w:spacing w:val="-3"/>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pacing w:val="4"/>
                      <w:sz w:val="21"/>
                      <w:szCs w:val="21"/>
                      <w:highlight w:val="none"/>
                      <w14:textFill>
                        <w14:solidFill>
                          <w14:schemeClr w14:val="tx1"/>
                        </w14:solidFill>
                      </w14:textFill>
                    </w:rPr>
                    <w:t>实施</w:t>
                  </w:r>
                  <w:r>
                    <w:rPr>
                      <w:rFonts w:hint="default" w:ascii="Times New Roman" w:hAnsi="Times New Roman" w:eastAsia="宋体" w:cs="Times New Roman"/>
                      <w:color w:val="000000" w:themeColor="text1"/>
                      <w:spacing w:val="-5"/>
                      <w:sz w:val="21"/>
                      <w:szCs w:val="21"/>
                      <w:highlight w:val="none"/>
                      <w14:textFill>
                        <w14:solidFill>
                          <w14:schemeClr w14:val="tx1"/>
                        </w14:solidFill>
                      </w14:textFill>
                    </w:rPr>
                    <w:t>污染</w:t>
                  </w:r>
                  <w:r>
                    <w:rPr>
                      <w:rFonts w:hint="default" w:ascii="Times New Roman" w:hAnsi="Times New Roman" w:eastAsia="宋体" w:cs="Times New Roman"/>
                      <w:color w:val="000000" w:themeColor="text1"/>
                      <w:spacing w:val="6"/>
                      <w:sz w:val="21"/>
                      <w:szCs w:val="21"/>
                      <w:highlight w:val="none"/>
                      <w14:textFill>
                        <w14:solidFill>
                          <w14:schemeClr w14:val="tx1"/>
                        </w14:solidFill>
                      </w14:textFill>
                    </w:rPr>
                    <w:t>深度</w:t>
                  </w: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治理</w:t>
                  </w:r>
                </w:p>
              </w:tc>
              <w:tc>
                <w:tcPr>
                  <w:tcW w:w="2234" w:type="pct"/>
                  <w:noWrap w:val="0"/>
                  <w:vAlign w:val="center"/>
                </w:tcPr>
                <w:p w14:paraId="2A2C7337">
                  <w:pPr>
                    <w:pStyle w:val="115"/>
                    <w:keepNext w:val="0"/>
                    <w:keepLines w:val="0"/>
                    <w:pageBreakBefore w:val="0"/>
                    <w:widowControl w:val="0"/>
                    <w:kinsoku/>
                    <w:wordWrap/>
                    <w:overflowPunct/>
                    <w:topLinePunct w:val="0"/>
                    <w:autoSpaceDE/>
                    <w:autoSpaceDN/>
                    <w:bidi w:val="0"/>
                    <w:adjustRightInd w:val="0"/>
                    <w:snapToGrid w:val="0"/>
                    <w:spacing w:before="157" w:beforeLines="50" w:line="240" w:lineRule="auto"/>
                    <w:jc w:val="both"/>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推进工业炉窑全面达标排放。已有行业排放标准的工业炉窑，严格执行行业排放标准相关规定，配套建设高效脱硫脱硝除尘设施，确保稳定达标排放。</w:t>
                  </w:r>
                </w:p>
              </w:tc>
              <w:tc>
                <w:tcPr>
                  <w:tcW w:w="1420" w:type="pct"/>
                  <w:noWrap w:val="0"/>
                  <w:vAlign w:val="center"/>
                </w:tcPr>
                <w:p w14:paraId="40C4538F">
                  <w:pPr>
                    <w:pStyle w:val="115"/>
                    <w:keepNext w:val="0"/>
                    <w:keepLines w:val="0"/>
                    <w:pageBreakBefore w:val="0"/>
                    <w:widowControl w:val="0"/>
                    <w:kinsoku/>
                    <w:wordWrap/>
                    <w:overflowPunct/>
                    <w:topLinePunct w:val="0"/>
                    <w:autoSpaceDE/>
                    <w:autoSpaceDN/>
                    <w:bidi w:val="0"/>
                    <w:adjustRightInd w:val="0"/>
                    <w:snapToGrid w:val="0"/>
                    <w:spacing w:before="157" w:beforeLines="50" w:line="240" w:lineRule="auto"/>
                    <w:jc w:val="both"/>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本项目原料转运及车间所有产生粉尘的部分均配备除尘措施。</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采用“分</w:t>
                  </w:r>
                  <w:r>
                    <w:rPr>
                      <w:rFonts w:hint="eastAsia" w:cs="Times New Roman"/>
                      <w:b w:val="0"/>
                      <w:bCs w:val="0"/>
                      <w:color w:val="000000" w:themeColor="text1"/>
                      <w:sz w:val="21"/>
                      <w:szCs w:val="21"/>
                      <w:highlight w:val="none"/>
                      <w:lang w:val="en-US" w:eastAsia="zh-CN"/>
                      <w14:textFill>
                        <w14:solidFill>
                          <w14:schemeClr w14:val="tx1"/>
                        </w14:solidFill>
                      </w14:textFill>
                    </w:rPr>
                    <w:t>级燃烧+缺氧燃烧+烟气再循环（FGR”组合）</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”组合低氮燃烧煅烧后产生的</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废气采用</w:t>
                  </w:r>
                  <w:r>
                    <w:rPr>
                      <w:rFonts w:hint="eastAsia" w:cs="Times New Roman"/>
                      <w:color w:val="000000" w:themeColor="text1"/>
                      <w:sz w:val="21"/>
                      <w:szCs w:val="21"/>
                      <w:highlight w:val="none"/>
                      <w:lang w:val="en-US" w:eastAsia="zh-CN"/>
                      <w14:textFill>
                        <w14:solidFill>
                          <w14:schemeClr w14:val="tx1"/>
                        </w14:solidFill>
                      </w14:textFill>
                    </w:rPr>
                    <w:t>余热锅炉+</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脱硝</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S</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NCR</w:t>
                  </w:r>
                  <w:r>
                    <w:rPr>
                      <w:rFonts w:hint="eastAsia"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+布袋除尘器</w:t>
                  </w:r>
                  <w:r>
                    <w:rPr>
                      <w:rFonts w:hint="eastAsia" w:cs="Times New Roman"/>
                      <w:color w:val="000000" w:themeColor="text1"/>
                      <w:sz w:val="21"/>
                      <w:szCs w:val="21"/>
                      <w:highlight w:val="none"/>
                      <w:lang w:eastAsia="zh-CN"/>
                      <w14:textFill>
                        <w14:solidFill>
                          <w14:schemeClr w14:val="tx1"/>
                        </w14:solidFill>
                      </w14:textFill>
                    </w:rPr>
                    <w:t>（</w:t>
                  </w:r>
                  <w:r>
                    <w:rPr>
                      <w:rFonts w:hint="eastAsia"/>
                      <w:color w:val="000000" w:themeColor="text1"/>
                      <w:highlight w:val="none"/>
                      <w14:textFill>
                        <w14:solidFill>
                          <w14:schemeClr w14:val="tx1"/>
                        </w14:solidFill>
                      </w14:textFill>
                    </w:rPr>
                    <w:t>覆膜袋式</w:t>
                  </w:r>
                  <w:r>
                    <w:rPr>
                      <w:rFonts w:hint="eastAsia"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+石灰石-石膏脱硫装置进行处理，达标排放。</w:t>
                  </w:r>
                </w:p>
              </w:tc>
              <w:tc>
                <w:tcPr>
                  <w:tcW w:w="455" w:type="pct"/>
                  <w:noWrap w:val="0"/>
                  <w:vAlign w:val="center"/>
                </w:tcPr>
                <w:p w14:paraId="72A47947">
                  <w:pPr>
                    <w:pStyle w:val="116"/>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pacing w:val="-3"/>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符合</w:t>
                  </w:r>
                </w:p>
              </w:tc>
            </w:tr>
            <w:tr w14:paraId="15D6FB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21" w:type="pct"/>
                  <w:vMerge w:val="continue"/>
                  <w:noWrap w:val="0"/>
                  <w:vAlign w:val="center"/>
                </w:tcPr>
                <w:p w14:paraId="2D9A4118">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000000" w:themeColor="text1"/>
                      <w:spacing w:val="-3"/>
                      <w:sz w:val="21"/>
                      <w:szCs w:val="21"/>
                      <w:highlight w:val="none"/>
                      <w:vertAlign w:val="baseline"/>
                      <w14:textFill>
                        <w14:solidFill>
                          <w14:schemeClr w14:val="tx1"/>
                        </w14:solidFill>
                      </w14:textFill>
                    </w:rPr>
                  </w:pPr>
                </w:p>
              </w:tc>
              <w:tc>
                <w:tcPr>
                  <w:tcW w:w="568" w:type="pct"/>
                  <w:vMerge w:val="continue"/>
                  <w:noWrap w:val="0"/>
                  <w:vAlign w:val="center"/>
                </w:tcPr>
                <w:p w14:paraId="583EC47B">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b/>
                      <w:bCs/>
                      <w:color w:val="000000" w:themeColor="text1"/>
                      <w:spacing w:val="-3"/>
                      <w:sz w:val="21"/>
                      <w:szCs w:val="21"/>
                      <w:highlight w:val="none"/>
                      <w:vertAlign w:val="baseline"/>
                      <w14:textFill>
                        <w14:solidFill>
                          <w14:schemeClr w14:val="tx1"/>
                        </w14:solidFill>
                      </w14:textFill>
                    </w:rPr>
                  </w:pPr>
                </w:p>
              </w:tc>
              <w:tc>
                <w:tcPr>
                  <w:tcW w:w="2234" w:type="pct"/>
                  <w:noWrap w:val="0"/>
                  <w:vAlign w:val="center"/>
                </w:tcPr>
                <w:p w14:paraId="13ED000C">
                  <w:pPr>
                    <w:pStyle w:val="115"/>
                    <w:keepNext w:val="0"/>
                    <w:keepLines w:val="0"/>
                    <w:pageBreakBefore w:val="0"/>
                    <w:widowControl w:val="0"/>
                    <w:kinsoku/>
                    <w:wordWrap/>
                    <w:overflowPunct/>
                    <w:topLinePunct w:val="0"/>
                    <w:autoSpaceDE/>
                    <w:autoSpaceDN/>
                    <w:bidi w:val="0"/>
                    <w:adjustRightInd w:val="0"/>
                    <w:snapToGrid w:val="0"/>
                    <w:spacing w:before="157" w:beforeLines="50" w:line="240" w:lineRule="auto"/>
                    <w:jc w:val="both"/>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全面加强无组织排放管理。严格控制工业炉窑生产工艺过程及相关物料储存、输送等无组织排放，在保障生产安全的前</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提</w:t>
                  </w:r>
                  <w:r>
                    <w:rPr>
                      <w:rFonts w:hint="eastAsia" w:cs="Times New Roman"/>
                      <w:color w:val="000000" w:themeColor="text1"/>
                      <w:sz w:val="21"/>
                      <w:szCs w:val="21"/>
                      <w:highlight w:val="none"/>
                      <w:lang w:eastAsia="zh-CN"/>
                      <w14:textFill>
                        <w14:solidFill>
                          <w14:schemeClr w14:val="tx1"/>
                        </w14:solidFill>
                      </w14:textFill>
                    </w:rPr>
                    <w:t>下</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，采取密闭、封闭等有效措施，有效提高废气收集率，产尘点及车间不得有可见烟粉尘</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外溢</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生产工艺产尘点（装置）应采取密闭、封闭或设置集气罩等措施。煤粉、粉煤灰、石灰、除尘灰、脱硫灰等粉状物料应密闭或封闭储存，采用密闭皮带、封闭通廊、管状带式输送机或密闭车厢、真空罐车、气力输送等方式输送。粒状、块状物料应采用入棚入仓或建设防风抑尘网等方式进行储存，粒状物料采用密闭、封闭等方式输送。物料输送过程中产尘点应采取有效抑尘措施。</w:t>
                  </w:r>
                </w:p>
              </w:tc>
              <w:tc>
                <w:tcPr>
                  <w:tcW w:w="1420" w:type="pct"/>
                  <w:noWrap w:val="0"/>
                  <w:vAlign w:val="center"/>
                </w:tcPr>
                <w:p w14:paraId="7C2E361A">
                  <w:pPr>
                    <w:pStyle w:val="115"/>
                    <w:keepNext w:val="0"/>
                    <w:keepLines w:val="0"/>
                    <w:pageBreakBefore w:val="0"/>
                    <w:widowControl w:val="0"/>
                    <w:kinsoku/>
                    <w:wordWrap/>
                    <w:overflowPunct/>
                    <w:topLinePunct w:val="0"/>
                    <w:autoSpaceDE/>
                    <w:autoSpaceDN/>
                    <w:bidi w:val="0"/>
                    <w:adjustRightInd w:val="0"/>
                    <w:snapToGrid w:val="0"/>
                    <w:spacing w:before="157" w:beforeLines="50" w:line="240" w:lineRule="auto"/>
                    <w:jc w:val="both"/>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本项目物料储存、输送应在保证安全的前</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提</w:t>
                  </w:r>
                  <w:r>
                    <w:rPr>
                      <w:rFonts w:hint="eastAsia" w:cs="Times New Roman"/>
                      <w:color w:val="000000" w:themeColor="text1"/>
                      <w:sz w:val="21"/>
                      <w:szCs w:val="21"/>
                      <w:highlight w:val="none"/>
                      <w:lang w:eastAsia="zh-CN"/>
                      <w14:textFill>
                        <w14:solidFill>
                          <w14:schemeClr w14:val="tx1"/>
                        </w14:solidFill>
                      </w14:textFill>
                    </w:rPr>
                    <w:t>下</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在全封闭状态下进行；各废气污染物均设置有效的废气收集处理措施，经处理后达标排放。本项目振动筛分、装料、煅烧、出料等工序均设置集气罩及废气处理设施处理。本项目原料均在封闭车间堆放，装料、出料工序均在全封闭过程中进行。原料主要为煤系高岭土，煤系高岭土运至厂内后放置于全封闭车间内。物料输送过程产生的粉尘通过洒水及远程雾炮喷雾形式进行抑尘。</w:t>
                  </w:r>
                </w:p>
              </w:tc>
              <w:tc>
                <w:tcPr>
                  <w:tcW w:w="455" w:type="pct"/>
                  <w:noWrap w:val="0"/>
                  <w:vAlign w:val="center"/>
                </w:tcPr>
                <w:p w14:paraId="0E96FEBF">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p w14:paraId="73F6CF12">
                  <w:pPr>
                    <w:pStyle w:val="116"/>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pacing w:val="-3"/>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符合</w:t>
                  </w:r>
                </w:p>
              </w:tc>
            </w:tr>
          </w:tbl>
          <w:p w14:paraId="2F6BFC12">
            <w:pPr>
              <w:spacing w:line="240" w:lineRule="auto"/>
              <w:jc w:val="center"/>
              <w:rPr>
                <w:rFonts w:hint="default" w:ascii="Times New Roman" w:hAnsi="Times New Roman" w:eastAsia="宋体" w:cs="Times New Roman"/>
                <w:b/>
                <w:bCs/>
                <w:color w:val="000000" w:themeColor="text1"/>
                <w:spacing w:val="-3"/>
                <w:highlight w:val="none"/>
                <w14:textFill>
                  <w14:solidFill>
                    <w14:schemeClr w14:val="tx1"/>
                  </w14:solidFill>
                </w14:textFill>
              </w:rPr>
            </w:pPr>
            <w:r>
              <w:rPr>
                <w:rFonts w:hint="default" w:ascii="Times New Roman" w:hAnsi="Times New Roman" w:eastAsia="宋体" w:cs="Times New Roman"/>
                <w:b/>
                <w:bCs/>
                <w:color w:val="000000" w:themeColor="text1"/>
                <w:spacing w:val="-3"/>
                <w:highlight w:val="none"/>
                <w14:textFill>
                  <w14:solidFill>
                    <w14:schemeClr w14:val="tx1"/>
                  </w14:solidFill>
                </w14:textFill>
              </w:rPr>
              <w:t>表</w:t>
            </w:r>
            <w:r>
              <w:rPr>
                <w:rFonts w:hint="default" w:ascii="Times New Roman" w:hAnsi="Times New Roman" w:eastAsia="宋体" w:cs="Times New Roman"/>
                <w:b/>
                <w:bCs/>
                <w:color w:val="000000" w:themeColor="text1"/>
                <w:spacing w:val="-3"/>
                <w:highlight w:val="none"/>
                <w:lang w:val="en-US" w:eastAsia="zh-CN"/>
                <w14:textFill>
                  <w14:solidFill>
                    <w14:schemeClr w14:val="tx1"/>
                  </w14:solidFill>
                </w14:textFill>
              </w:rPr>
              <w:t>1-3</w:t>
            </w:r>
            <w:r>
              <w:rPr>
                <w:rFonts w:hint="default" w:ascii="Times New Roman" w:hAnsi="Times New Roman" w:eastAsia="宋体" w:cs="Times New Roman"/>
                <w:b/>
                <w:bCs/>
                <w:color w:val="000000" w:themeColor="text1"/>
                <w:spacing w:val="-3"/>
                <w:highlight w:val="none"/>
                <w14:textFill>
                  <w14:solidFill>
                    <w14:schemeClr w14:val="tx1"/>
                  </w14:solidFill>
                </w14:textFill>
              </w:rPr>
              <w:t>项目与《内蒙古自治区工业炉窑大气污染综合治理实施方案》</w:t>
            </w:r>
            <w:r>
              <w:rPr>
                <w:rFonts w:hint="default" w:ascii="Times New Roman" w:hAnsi="Times New Roman" w:eastAsia="宋体" w:cs="Times New Roman"/>
                <w:b/>
                <w:bCs/>
                <w:color w:val="000000" w:themeColor="text1"/>
                <w:spacing w:val="-4"/>
                <w:highlight w:val="none"/>
                <w14:textFill>
                  <w14:solidFill>
                    <w14:schemeClr w14:val="tx1"/>
                  </w14:solidFill>
                </w14:textFill>
              </w:rPr>
              <w:t>符合性分析</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7"/>
              <w:gridCol w:w="866"/>
              <w:gridCol w:w="3510"/>
              <w:gridCol w:w="2166"/>
              <w:gridCol w:w="769"/>
            </w:tblGrid>
            <w:tr w14:paraId="332E0E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 w:type="pct"/>
                  <w:noWrap w:val="0"/>
                  <w:vAlign w:val="center"/>
                </w:tcPr>
                <w:p w14:paraId="460E513F">
                  <w:pPr>
                    <w:pStyle w:val="11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序号</w:t>
                  </w:r>
                </w:p>
              </w:tc>
              <w:tc>
                <w:tcPr>
                  <w:tcW w:w="555" w:type="pct"/>
                  <w:noWrap w:val="0"/>
                  <w:vAlign w:val="center"/>
                </w:tcPr>
                <w:p w14:paraId="50D4AEED">
                  <w:pPr>
                    <w:pStyle w:val="11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分析</w:t>
                  </w:r>
                </w:p>
                <w:p w14:paraId="577108A5">
                  <w:pPr>
                    <w:pStyle w:val="11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内容</w:t>
                  </w:r>
                </w:p>
              </w:tc>
              <w:tc>
                <w:tcPr>
                  <w:tcW w:w="2249" w:type="pct"/>
                  <w:noWrap w:val="0"/>
                  <w:vAlign w:val="center"/>
                </w:tcPr>
                <w:p w14:paraId="2B12B774">
                  <w:pPr>
                    <w:pStyle w:val="11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相关条件要求</w:t>
                  </w:r>
                </w:p>
              </w:tc>
              <w:tc>
                <w:tcPr>
                  <w:tcW w:w="1388" w:type="pct"/>
                  <w:noWrap w:val="0"/>
                  <w:vAlign w:val="center"/>
                </w:tcPr>
                <w:p w14:paraId="3A0DDB42">
                  <w:pPr>
                    <w:pStyle w:val="11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本项目情况</w:t>
                  </w:r>
                </w:p>
              </w:tc>
              <w:tc>
                <w:tcPr>
                  <w:tcW w:w="493" w:type="pct"/>
                  <w:noWrap w:val="0"/>
                  <w:vAlign w:val="center"/>
                </w:tcPr>
                <w:p w14:paraId="67C8FE95">
                  <w:pPr>
                    <w:pStyle w:val="11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符合性</w:t>
                  </w:r>
                </w:p>
              </w:tc>
            </w:tr>
            <w:tr w14:paraId="680C6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 w:type="pct"/>
                  <w:noWrap w:val="0"/>
                  <w:vAlign w:val="center"/>
                </w:tcPr>
                <w:p w14:paraId="00DDFFB7">
                  <w:pPr>
                    <w:pStyle w:val="116"/>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pacing w:val="-3"/>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555" w:type="pct"/>
                  <w:noWrap w:val="0"/>
                  <w:vAlign w:val="center"/>
                </w:tcPr>
                <w:p w14:paraId="115AECEA">
                  <w:pPr>
                    <w:pStyle w:val="115"/>
                    <w:keepNext w:val="0"/>
                    <w:keepLines w:val="0"/>
                    <w:pageBreakBefore w:val="0"/>
                    <w:widowControl w:val="0"/>
                    <w:kinsoku/>
                    <w:wordWrap/>
                    <w:overflowPunct/>
                    <w:topLinePunct w:val="0"/>
                    <w:autoSpaceDE/>
                    <w:autoSpaceDN/>
                    <w:bidi w:val="0"/>
                    <w:adjustRightInd w:val="0"/>
                    <w:snapToGrid w:val="0"/>
                    <w:spacing w:before="157" w:beforeLines="50" w:line="240" w:lineRule="auto"/>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加大产业结构调整力度</w:t>
                  </w:r>
                </w:p>
              </w:tc>
              <w:tc>
                <w:tcPr>
                  <w:tcW w:w="2249" w:type="pct"/>
                  <w:noWrap w:val="0"/>
                  <w:vAlign w:val="center"/>
                </w:tcPr>
                <w:p w14:paraId="543B9509">
                  <w:pPr>
                    <w:pStyle w:val="115"/>
                    <w:keepNext w:val="0"/>
                    <w:keepLines w:val="0"/>
                    <w:pageBreakBefore w:val="0"/>
                    <w:widowControl w:val="0"/>
                    <w:kinsoku/>
                    <w:wordWrap/>
                    <w:overflowPunct/>
                    <w:topLinePunct w:val="0"/>
                    <w:autoSpaceDE/>
                    <w:autoSpaceDN/>
                    <w:bidi w:val="0"/>
                    <w:adjustRightInd w:val="0"/>
                    <w:snapToGrid w:val="0"/>
                    <w:spacing w:before="157" w:beforeLines="50" w:line="240" w:lineRule="auto"/>
                    <w:jc w:val="both"/>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严格建设项目环境准入。新建涉工业炉窑的建设项目，原则上要入园区，配套建设高效</w:t>
                  </w:r>
                  <w:r>
                    <w:rPr>
                      <w:rFonts w:hint="eastAsia" w:cs="Times New Roman"/>
                      <w:color w:val="000000" w:themeColor="text1"/>
                      <w:sz w:val="21"/>
                      <w:szCs w:val="21"/>
                      <w:highlight w:val="none"/>
                      <w:lang w:eastAsia="zh-CN"/>
                      <w14:textFill>
                        <w14:solidFill>
                          <w14:schemeClr w14:val="tx1"/>
                        </w14:solidFill>
                      </w14:textFill>
                    </w:rPr>
                    <w:t>环境治理</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设施。禁止在自然保护区、饮用水水源保护区、风景名胜区等敏感区域内新建、扩建、改建工业炉窑。</w:t>
                  </w:r>
                </w:p>
              </w:tc>
              <w:tc>
                <w:tcPr>
                  <w:tcW w:w="1388" w:type="pct"/>
                  <w:noWrap w:val="0"/>
                  <w:vAlign w:val="center"/>
                </w:tcPr>
                <w:p w14:paraId="3A9A6C58">
                  <w:pPr>
                    <w:pStyle w:val="115"/>
                    <w:keepNext w:val="0"/>
                    <w:keepLines w:val="0"/>
                    <w:pageBreakBefore w:val="0"/>
                    <w:widowControl w:val="0"/>
                    <w:kinsoku/>
                    <w:wordWrap/>
                    <w:overflowPunct/>
                    <w:topLinePunct w:val="0"/>
                    <w:autoSpaceDE/>
                    <w:autoSpaceDN/>
                    <w:bidi w:val="0"/>
                    <w:adjustRightInd w:val="0"/>
                    <w:snapToGrid w:val="0"/>
                    <w:spacing w:before="157" w:beforeLines="50" w:line="240" w:lineRule="auto"/>
                    <w:jc w:val="both"/>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本项目位于</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内蒙古鄂尔多斯市准格尔经济开发区内</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，项目符合园区产业定位，符合土地利用总体规划，符合主体功能区规划。</w:t>
                  </w:r>
                </w:p>
              </w:tc>
              <w:tc>
                <w:tcPr>
                  <w:tcW w:w="493" w:type="pct"/>
                  <w:noWrap w:val="0"/>
                  <w:vAlign w:val="center"/>
                </w:tcPr>
                <w:p w14:paraId="6E09354A">
                  <w:pPr>
                    <w:pStyle w:val="116"/>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pacing w:val="-3"/>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符合</w:t>
                  </w:r>
                </w:p>
              </w:tc>
            </w:tr>
            <w:tr w14:paraId="2DC57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 w:type="pct"/>
                  <w:noWrap w:val="0"/>
                  <w:vAlign w:val="center"/>
                </w:tcPr>
                <w:p w14:paraId="7E554B27">
                  <w:pPr>
                    <w:pStyle w:val="116"/>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pacing w:val="-3"/>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c>
                <w:tcPr>
                  <w:tcW w:w="555" w:type="pct"/>
                  <w:noWrap w:val="0"/>
                  <w:vAlign w:val="center"/>
                </w:tcPr>
                <w:p w14:paraId="19C0DC0C">
                  <w:pPr>
                    <w:pStyle w:val="115"/>
                    <w:keepNext w:val="0"/>
                    <w:keepLines w:val="0"/>
                    <w:pageBreakBefore w:val="0"/>
                    <w:widowControl w:val="0"/>
                    <w:kinsoku/>
                    <w:wordWrap/>
                    <w:overflowPunct/>
                    <w:topLinePunct w:val="0"/>
                    <w:autoSpaceDE/>
                    <w:autoSpaceDN/>
                    <w:bidi w:val="0"/>
                    <w:adjustRightInd w:val="0"/>
                    <w:snapToGrid w:val="0"/>
                    <w:spacing w:before="157" w:beforeLines="50" w:line="240" w:lineRule="auto"/>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加快燃料清洁低碳化替代</w:t>
                  </w:r>
                </w:p>
              </w:tc>
              <w:tc>
                <w:tcPr>
                  <w:tcW w:w="2249" w:type="pct"/>
                  <w:noWrap w:val="0"/>
                  <w:vAlign w:val="center"/>
                </w:tcPr>
                <w:p w14:paraId="49418273">
                  <w:pPr>
                    <w:pStyle w:val="115"/>
                    <w:keepNext w:val="0"/>
                    <w:keepLines w:val="0"/>
                    <w:pageBreakBefore w:val="0"/>
                    <w:widowControl w:val="0"/>
                    <w:kinsoku/>
                    <w:wordWrap/>
                    <w:overflowPunct/>
                    <w:topLinePunct w:val="0"/>
                    <w:autoSpaceDE/>
                    <w:autoSpaceDN/>
                    <w:bidi w:val="0"/>
                    <w:adjustRightInd w:val="0"/>
                    <w:snapToGrid w:val="0"/>
                    <w:spacing w:before="157" w:beforeLines="50" w:line="240" w:lineRule="auto"/>
                    <w:jc w:val="both"/>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推进燃料清洁化替代，重点区域禁止掺烧高硫石油焦（硫含量大于3%）。</w:t>
                  </w:r>
                </w:p>
              </w:tc>
              <w:tc>
                <w:tcPr>
                  <w:tcW w:w="1388" w:type="pct"/>
                  <w:noWrap w:val="0"/>
                  <w:vAlign w:val="center"/>
                </w:tcPr>
                <w:p w14:paraId="1EF4017C">
                  <w:pPr>
                    <w:pStyle w:val="115"/>
                    <w:keepNext w:val="0"/>
                    <w:keepLines w:val="0"/>
                    <w:pageBreakBefore w:val="0"/>
                    <w:widowControl w:val="0"/>
                    <w:kinsoku/>
                    <w:wordWrap/>
                    <w:overflowPunct/>
                    <w:topLinePunct w:val="0"/>
                    <w:autoSpaceDE/>
                    <w:autoSpaceDN/>
                    <w:bidi w:val="0"/>
                    <w:adjustRightInd w:val="0"/>
                    <w:snapToGrid w:val="0"/>
                    <w:spacing w:before="157" w:beforeLines="50" w:line="240" w:lineRule="auto"/>
                    <w:jc w:val="both"/>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本项目燃料</w:t>
                  </w:r>
                  <w:r>
                    <w:rPr>
                      <w:rFonts w:hint="eastAsia" w:cs="Times New Roman"/>
                      <w:color w:val="000000" w:themeColor="text1"/>
                      <w:sz w:val="21"/>
                      <w:szCs w:val="21"/>
                      <w:highlight w:val="none"/>
                      <w:lang w:val="en-US" w:eastAsia="zh-CN"/>
                      <w14:textFill>
                        <w14:solidFill>
                          <w14:schemeClr w14:val="tx1"/>
                        </w14:solidFill>
                      </w14:textFill>
                    </w:rPr>
                    <w:t>为</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煤气，煤气</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来自园区内蒙古伊东东方能源公司</w:t>
                  </w:r>
                  <w:r>
                    <w:rPr>
                      <w:rFonts w:hint="eastAsia" w:cs="Times New Roman"/>
                      <w:color w:val="000000" w:themeColor="text1"/>
                      <w:sz w:val="21"/>
                      <w:szCs w:val="21"/>
                      <w:highlight w:val="none"/>
                      <w:lang w:val="en-US" w:eastAsia="zh-CN"/>
                      <w14:textFill>
                        <w14:solidFill>
                          <w14:schemeClr w14:val="tx1"/>
                        </w14:solidFill>
                      </w14:textFill>
                    </w:rPr>
                    <w:t>。</w:t>
                  </w:r>
                </w:p>
              </w:tc>
              <w:tc>
                <w:tcPr>
                  <w:tcW w:w="493" w:type="pct"/>
                  <w:noWrap w:val="0"/>
                  <w:vAlign w:val="center"/>
                </w:tcPr>
                <w:p w14:paraId="6FC0C691">
                  <w:pPr>
                    <w:pStyle w:val="116"/>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pacing w:val="-3"/>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符合</w:t>
                  </w:r>
                </w:p>
              </w:tc>
            </w:tr>
            <w:tr w14:paraId="073DC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 w:type="pct"/>
                  <w:vMerge w:val="restart"/>
                  <w:noWrap w:val="0"/>
                  <w:vAlign w:val="center"/>
                </w:tcPr>
                <w:p w14:paraId="535EA07C">
                  <w:pPr>
                    <w:pStyle w:val="115"/>
                    <w:keepNext w:val="0"/>
                    <w:keepLines w:val="0"/>
                    <w:pageBreakBefore w:val="0"/>
                    <w:widowControl w:val="0"/>
                    <w:kinsoku/>
                    <w:wordWrap/>
                    <w:overflowPunct/>
                    <w:topLinePunct w:val="0"/>
                    <w:autoSpaceDE/>
                    <w:autoSpaceDN/>
                    <w:bidi w:val="0"/>
                    <w:adjustRightInd w:val="0"/>
                    <w:snapToGrid w:val="0"/>
                    <w:spacing w:before="157" w:beforeLines="50"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w:t>
                  </w:r>
                </w:p>
              </w:tc>
              <w:tc>
                <w:tcPr>
                  <w:tcW w:w="555" w:type="pct"/>
                  <w:vMerge w:val="restart"/>
                  <w:noWrap w:val="0"/>
                  <w:vAlign w:val="center"/>
                </w:tcPr>
                <w:p w14:paraId="62FE06C2">
                  <w:pPr>
                    <w:pStyle w:val="115"/>
                    <w:keepNext w:val="0"/>
                    <w:keepLines w:val="0"/>
                    <w:pageBreakBefore w:val="0"/>
                    <w:widowControl w:val="0"/>
                    <w:kinsoku/>
                    <w:wordWrap/>
                    <w:overflowPunct/>
                    <w:topLinePunct w:val="0"/>
                    <w:autoSpaceDE/>
                    <w:autoSpaceDN/>
                    <w:bidi w:val="0"/>
                    <w:adjustRightInd w:val="0"/>
                    <w:snapToGrid w:val="0"/>
                    <w:spacing w:before="157" w:beforeLines="50" w:line="240" w:lineRule="auto"/>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实施污染深度治理</w:t>
                  </w:r>
                </w:p>
              </w:tc>
              <w:tc>
                <w:tcPr>
                  <w:tcW w:w="2249" w:type="pct"/>
                  <w:noWrap w:val="0"/>
                  <w:vAlign w:val="center"/>
                </w:tcPr>
                <w:p w14:paraId="5F359814">
                  <w:pPr>
                    <w:pStyle w:val="115"/>
                    <w:keepNext w:val="0"/>
                    <w:keepLines w:val="0"/>
                    <w:pageBreakBefore w:val="0"/>
                    <w:widowControl w:val="0"/>
                    <w:kinsoku/>
                    <w:wordWrap/>
                    <w:overflowPunct/>
                    <w:topLinePunct w:val="0"/>
                    <w:autoSpaceDE/>
                    <w:autoSpaceDN/>
                    <w:bidi w:val="0"/>
                    <w:adjustRightInd w:val="0"/>
                    <w:snapToGrid w:val="0"/>
                    <w:spacing w:before="157" w:beforeLines="50" w:line="240" w:lineRule="auto"/>
                    <w:jc w:val="both"/>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推进工业炉窑全面达标排放。根据国家已颁布的行业排放标准，配套建设高效脱硫脱硝除尘设施，实施工业炉窑深度治理，推进我区工业炉窑全面达标排放。</w:t>
                  </w:r>
                </w:p>
              </w:tc>
              <w:tc>
                <w:tcPr>
                  <w:tcW w:w="1388" w:type="pct"/>
                  <w:noWrap w:val="0"/>
                  <w:vAlign w:val="center"/>
                </w:tcPr>
                <w:p w14:paraId="74E35EA4">
                  <w:pPr>
                    <w:pStyle w:val="115"/>
                    <w:keepNext w:val="0"/>
                    <w:keepLines w:val="0"/>
                    <w:pageBreakBefore w:val="0"/>
                    <w:widowControl w:val="0"/>
                    <w:kinsoku/>
                    <w:wordWrap/>
                    <w:overflowPunct/>
                    <w:topLinePunct w:val="0"/>
                    <w:autoSpaceDE/>
                    <w:autoSpaceDN/>
                    <w:bidi w:val="0"/>
                    <w:adjustRightInd w:val="0"/>
                    <w:snapToGrid w:val="0"/>
                    <w:spacing w:before="157" w:beforeLines="50" w:line="240" w:lineRule="auto"/>
                    <w:jc w:val="both"/>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本项目原料转运及车间所有产生粉尘的部分均配备除尘措施。</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采用“分级燃烧+缺氧燃烧+烟气再循环（FGR）”组合低氮燃烧脱硝煅烧</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废气采用</w:t>
                  </w:r>
                  <w:r>
                    <w:rPr>
                      <w:rFonts w:hint="eastAsia" w:cs="Times New Roman"/>
                      <w:color w:val="000000" w:themeColor="text1"/>
                      <w:sz w:val="21"/>
                      <w:szCs w:val="21"/>
                      <w:highlight w:val="none"/>
                      <w:lang w:val="en-US" w:eastAsia="zh-CN"/>
                      <w14:textFill>
                        <w14:solidFill>
                          <w14:schemeClr w14:val="tx1"/>
                        </w14:solidFill>
                      </w14:textFill>
                    </w:rPr>
                    <w:t>余热锅炉+</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脱硝</w:t>
                  </w:r>
                  <w:r>
                    <w:rPr>
                      <w:rFonts w:hint="eastAsia" w:cs="Times New Roman"/>
                      <w:color w:val="000000" w:themeColor="text1"/>
                      <w:sz w:val="21"/>
                      <w:szCs w:val="21"/>
                      <w:highlight w:val="none"/>
                      <w:lang w:val="en-US" w:eastAsia="zh-CN"/>
                      <w14:textFill>
                        <w14:solidFill>
                          <w14:schemeClr w14:val="tx1"/>
                        </w14:solidFill>
                      </w14:textFill>
                    </w:rPr>
                    <w:t>装置（</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SNCR</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布袋除尘器（覆</w:t>
                  </w:r>
                  <w:r>
                    <w:rPr>
                      <w:rFonts w:hint="eastAsia" w:cs="Times New Roman"/>
                      <w:color w:val="000000" w:themeColor="text1"/>
                      <w:sz w:val="21"/>
                      <w:szCs w:val="21"/>
                      <w:highlight w:val="none"/>
                      <w:lang w:eastAsia="zh-CN"/>
                      <w14:textFill>
                        <w14:solidFill>
                          <w14:schemeClr w14:val="tx1"/>
                        </w14:solidFill>
                      </w14:textFill>
                    </w:rPr>
                    <w:t>膜袋式）</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+石灰石-石膏脱硫装置进行处理，达标排放。</w:t>
                  </w:r>
                </w:p>
              </w:tc>
              <w:tc>
                <w:tcPr>
                  <w:tcW w:w="493" w:type="pct"/>
                  <w:noWrap w:val="0"/>
                  <w:vAlign w:val="center"/>
                </w:tcPr>
                <w:p w14:paraId="53D53D75">
                  <w:pPr>
                    <w:pStyle w:val="115"/>
                    <w:keepNext w:val="0"/>
                    <w:keepLines w:val="0"/>
                    <w:pageBreakBefore w:val="0"/>
                    <w:widowControl w:val="0"/>
                    <w:kinsoku/>
                    <w:wordWrap/>
                    <w:overflowPunct/>
                    <w:topLinePunct w:val="0"/>
                    <w:autoSpaceDE/>
                    <w:autoSpaceDN/>
                    <w:bidi w:val="0"/>
                    <w:adjustRightInd w:val="0"/>
                    <w:snapToGrid w:val="0"/>
                    <w:spacing w:before="157" w:beforeLines="50" w:line="240" w:lineRule="auto"/>
                    <w:jc w:val="both"/>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符合</w:t>
                  </w:r>
                </w:p>
              </w:tc>
            </w:tr>
            <w:tr w14:paraId="1502CB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2" w:type="pct"/>
                  <w:vMerge w:val="continue"/>
                  <w:noWrap w:val="0"/>
                  <w:vAlign w:val="center"/>
                </w:tcPr>
                <w:p w14:paraId="5C6E2B30">
                  <w:pPr>
                    <w:pStyle w:val="115"/>
                    <w:keepNext w:val="0"/>
                    <w:keepLines w:val="0"/>
                    <w:pageBreakBefore w:val="0"/>
                    <w:widowControl w:val="0"/>
                    <w:kinsoku/>
                    <w:wordWrap/>
                    <w:overflowPunct/>
                    <w:topLinePunct w:val="0"/>
                    <w:autoSpaceDE/>
                    <w:autoSpaceDN/>
                    <w:bidi w:val="0"/>
                    <w:adjustRightInd w:val="0"/>
                    <w:snapToGrid w:val="0"/>
                    <w:spacing w:before="157" w:beforeLines="50" w:line="240" w:lineRule="auto"/>
                    <w:jc w:val="both"/>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555" w:type="pct"/>
                  <w:vMerge w:val="continue"/>
                  <w:noWrap w:val="0"/>
                  <w:vAlign w:val="center"/>
                </w:tcPr>
                <w:p w14:paraId="00D5E496">
                  <w:pPr>
                    <w:pStyle w:val="115"/>
                    <w:keepNext w:val="0"/>
                    <w:keepLines w:val="0"/>
                    <w:pageBreakBefore w:val="0"/>
                    <w:widowControl w:val="0"/>
                    <w:kinsoku/>
                    <w:wordWrap/>
                    <w:overflowPunct/>
                    <w:topLinePunct w:val="0"/>
                    <w:autoSpaceDE/>
                    <w:autoSpaceDN/>
                    <w:bidi w:val="0"/>
                    <w:adjustRightInd w:val="0"/>
                    <w:snapToGrid w:val="0"/>
                    <w:spacing w:before="157" w:beforeLines="50" w:line="240" w:lineRule="auto"/>
                    <w:jc w:val="both"/>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2249" w:type="pct"/>
                  <w:noWrap w:val="0"/>
                  <w:vAlign w:val="center"/>
                </w:tcPr>
                <w:p w14:paraId="334C75C7">
                  <w:pPr>
                    <w:pStyle w:val="115"/>
                    <w:keepNext w:val="0"/>
                    <w:keepLines w:val="0"/>
                    <w:pageBreakBefore w:val="0"/>
                    <w:widowControl w:val="0"/>
                    <w:kinsoku/>
                    <w:wordWrap/>
                    <w:overflowPunct/>
                    <w:topLinePunct w:val="0"/>
                    <w:autoSpaceDE/>
                    <w:autoSpaceDN/>
                    <w:bidi w:val="0"/>
                    <w:adjustRightInd w:val="0"/>
                    <w:snapToGrid w:val="0"/>
                    <w:spacing w:before="157" w:beforeLines="50" w:line="240" w:lineRule="auto"/>
                    <w:jc w:val="both"/>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全面加强无组织排放管理。严格控制工业炉窑生产工艺过程及相关物料储存、输送等无组织排放。在保障生产安全的前</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提</w:t>
                  </w:r>
                  <w:r>
                    <w:rPr>
                      <w:rFonts w:hint="eastAsia" w:cs="Times New Roman"/>
                      <w:color w:val="000000" w:themeColor="text1"/>
                      <w:sz w:val="21"/>
                      <w:szCs w:val="21"/>
                      <w:highlight w:val="none"/>
                      <w:lang w:eastAsia="zh-CN"/>
                      <w14:textFill>
                        <w14:solidFill>
                          <w14:schemeClr w14:val="tx1"/>
                        </w14:solidFill>
                      </w14:textFill>
                    </w:rPr>
                    <w:t>下</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采取密闭、封闭等有效措施，有效提高废气收集率，产尘点及车间不得有可见烟粉尘外溢。生产工艺产尘点（装置）应采取密闭、封闭或设置集气罩等措施。煤粉、粉煤灰、石灰、除尘灰、脱硫灰等粉状物料应密闭或封闭储存、输送。粒状、块状物料应采用入棚入仓或建设防风抑尘网等封闭措施进行储存；粒状物料采用密闭、封闭等方式输送，块状物料应当采取有效抑尘措施进行输送。物料输送过程中产尘点应采取有效抑尘措施。</w:t>
                  </w:r>
                </w:p>
              </w:tc>
              <w:tc>
                <w:tcPr>
                  <w:tcW w:w="1388" w:type="pct"/>
                  <w:noWrap w:val="0"/>
                  <w:vAlign w:val="center"/>
                </w:tcPr>
                <w:p w14:paraId="442B391C">
                  <w:pPr>
                    <w:pStyle w:val="115"/>
                    <w:keepNext w:val="0"/>
                    <w:keepLines w:val="0"/>
                    <w:pageBreakBefore w:val="0"/>
                    <w:widowControl w:val="0"/>
                    <w:kinsoku/>
                    <w:wordWrap/>
                    <w:overflowPunct/>
                    <w:topLinePunct w:val="0"/>
                    <w:autoSpaceDE/>
                    <w:autoSpaceDN/>
                    <w:bidi w:val="0"/>
                    <w:adjustRightInd w:val="0"/>
                    <w:snapToGrid w:val="0"/>
                    <w:spacing w:before="157" w:beforeLines="50" w:line="240" w:lineRule="auto"/>
                    <w:jc w:val="both"/>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项目原料</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气力输送至原料仓密闭，且设置除尘装置</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，预处理后进入</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均化装置</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密闭料仓，同时在配料系统各</w:t>
                  </w:r>
                  <w:r>
                    <w:rPr>
                      <w:rFonts w:hint="eastAsia" w:cs="Times New Roman"/>
                      <w:color w:val="000000" w:themeColor="text1"/>
                      <w:sz w:val="21"/>
                      <w:szCs w:val="21"/>
                      <w:highlight w:val="none"/>
                      <w:lang w:val="en-US" w:eastAsia="zh-CN"/>
                      <w14:textFill>
                        <w14:solidFill>
                          <w14:schemeClr w14:val="tx1"/>
                        </w14:solidFill>
                      </w14:textFill>
                    </w:rPr>
                    <w:t>原料</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仓</w:t>
                  </w:r>
                  <w:r>
                    <w:rPr>
                      <w:rFonts w:hint="eastAsia" w:cs="Times New Roman"/>
                      <w:color w:val="000000" w:themeColor="text1"/>
                      <w:sz w:val="21"/>
                      <w:szCs w:val="21"/>
                      <w:highlight w:val="none"/>
                      <w:lang w:eastAsia="zh-CN"/>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转运</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点、设置了除尘装置。</w:t>
                  </w:r>
                </w:p>
              </w:tc>
              <w:tc>
                <w:tcPr>
                  <w:tcW w:w="493" w:type="pct"/>
                  <w:noWrap w:val="0"/>
                  <w:vAlign w:val="center"/>
                </w:tcPr>
                <w:p w14:paraId="16B900C5">
                  <w:pPr>
                    <w:pStyle w:val="115"/>
                    <w:keepNext w:val="0"/>
                    <w:keepLines w:val="0"/>
                    <w:pageBreakBefore w:val="0"/>
                    <w:widowControl w:val="0"/>
                    <w:kinsoku/>
                    <w:wordWrap/>
                    <w:overflowPunct/>
                    <w:topLinePunct w:val="0"/>
                    <w:autoSpaceDE/>
                    <w:autoSpaceDN/>
                    <w:bidi w:val="0"/>
                    <w:adjustRightInd w:val="0"/>
                    <w:snapToGrid w:val="0"/>
                    <w:spacing w:before="157" w:beforeLines="50" w:line="240" w:lineRule="auto"/>
                    <w:jc w:val="both"/>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p w14:paraId="4E3A326D">
                  <w:pPr>
                    <w:pStyle w:val="115"/>
                    <w:keepNext w:val="0"/>
                    <w:keepLines w:val="0"/>
                    <w:pageBreakBefore w:val="0"/>
                    <w:widowControl w:val="0"/>
                    <w:kinsoku/>
                    <w:wordWrap/>
                    <w:overflowPunct/>
                    <w:topLinePunct w:val="0"/>
                    <w:autoSpaceDE/>
                    <w:autoSpaceDN/>
                    <w:bidi w:val="0"/>
                    <w:adjustRightInd w:val="0"/>
                    <w:snapToGrid w:val="0"/>
                    <w:spacing w:before="157" w:beforeLines="50" w:line="240" w:lineRule="auto"/>
                    <w:jc w:val="both"/>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符合</w:t>
                  </w:r>
                </w:p>
              </w:tc>
            </w:tr>
          </w:tbl>
          <w:p w14:paraId="33B95DFF">
            <w:pPr>
              <w:spacing w:line="240" w:lineRule="auto"/>
              <w:jc w:val="center"/>
              <w:rPr>
                <w:rFonts w:hint="default" w:ascii="Times New Roman" w:hAnsi="Times New Roman" w:eastAsia="宋体" w:cs="Times New Roman"/>
                <w:b/>
                <w:bCs/>
                <w:color w:val="000000" w:themeColor="text1"/>
                <w:spacing w:val="-3"/>
                <w:highlight w:val="none"/>
                <w14:textFill>
                  <w14:solidFill>
                    <w14:schemeClr w14:val="tx1"/>
                  </w14:solidFill>
                </w14:textFill>
              </w:rPr>
            </w:pPr>
            <w:r>
              <w:rPr>
                <w:rFonts w:hint="default" w:ascii="Times New Roman" w:hAnsi="Times New Roman" w:eastAsia="宋体" w:cs="Times New Roman"/>
                <w:b/>
                <w:bCs/>
                <w:color w:val="000000" w:themeColor="text1"/>
                <w:spacing w:val="-3"/>
                <w:highlight w:val="none"/>
                <w14:textFill>
                  <w14:solidFill>
                    <w14:schemeClr w14:val="tx1"/>
                  </w14:solidFill>
                </w14:textFill>
              </w:rPr>
              <w:t>表</w:t>
            </w:r>
            <w:r>
              <w:rPr>
                <w:rFonts w:hint="default" w:ascii="Times New Roman" w:hAnsi="Times New Roman" w:eastAsia="宋体" w:cs="Times New Roman"/>
                <w:b/>
                <w:bCs/>
                <w:color w:val="000000" w:themeColor="text1"/>
                <w:spacing w:val="-3"/>
                <w:highlight w:val="none"/>
                <w:lang w:val="en-US" w:eastAsia="zh-CN"/>
                <w14:textFill>
                  <w14:solidFill>
                    <w14:schemeClr w14:val="tx1"/>
                  </w14:solidFill>
                </w14:textFill>
              </w:rPr>
              <w:t>1-</w:t>
            </w:r>
            <w:r>
              <w:rPr>
                <w:rFonts w:hint="eastAsia" w:cs="Times New Roman"/>
                <w:b/>
                <w:bCs/>
                <w:color w:val="000000" w:themeColor="text1"/>
                <w:spacing w:val="-3"/>
                <w:highlight w:val="none"/>
                <w:lang w:val="en-US" w:eastAsia="zh-CN"/>
                <w14:textFill>
                  <w14:solidFill>
                    <w14:schemeClr w14:val="tx1"/>
                  </w14:solidFill>
                </w14:textFill>
              </w:rPr>
              <w:t>4</w:t>
            </w:r>
            <w:r>
              <w:rPr>
                <w:rFonts w:hint="default" w:ascii="Times New Roman" w:hAnsi="Times New Roman" w:eastAsia="宋体" w:cs="Times New Roman"/>
                <w:b/>
                <w:bCs/>
                <w:color w:val="000000" w:themeColor="text1"/>
                <w:spacing w:val="-3"/>
                <w:highlight w:val="none"/>
                <w14:textFill>
                  <w14:solidFill>
                    <w14:schemeClr w14:val="tx1"/>
                  </w14:solidFill>
                </w14:textFill>
              </w:rPr>
              <w:t>项目与《</w:t>
            </w:r>
            <w:r>
              <w:rPr>
                <w:rFonts w:hint="default" w:ascii="Times New Roman" w:hAnsi="Times New Roman" w:eastAsia="宋体" w:cs="Times New Roman"/>
                <w:b/>
                <w:bCs/>
                <w:color w:val="000000" w:themeColor="text1"/>
                <w:spacing w:val="-3"/>
                <w:highlight w:val="none"/>
                <w:lang w:val="en-US" w:eastAsia="zh-CN"/>
                <w14:textFill>
                  <w14:solidFill>
                    <w14:schemeClr w14:val="tx1"/>
                  </w14:solidFill>
                </w14:textFill>
              </w:rPr>
              <w:t>内蒙古自治区空气质量持续改善行动实施方案》</w:t>
            </w:r>
            <w:r>
              <w:rPr>
                <w:rFonts w:hint="default" w:ascii="Times New Roman" w:hAnsi="Times New Roman" w:eastAsia="宋体" w:cs="Times New Roman"/>
                <w:b/>
                <w:bCs/>
                <w:color w:val="000000" w:themeColor="text1"/>
                <w:spacing w:val="-4"/>
                <w:highlight w:val="none"/>
                <w14:textFill>
                  <w14:solidFill>
                    <w14:schemeClr w14:val="tx1"/>
                  </w14:solidFill>
                </w14:textFill>
              </w:rPr>
              <w:t>符合性分析</w:t>
            </w:r>
          </w:p>
          <w:tbl>
            <w:tblPr>
              <w:tblStyle w:val="2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8"/>
              <w:gridCol w:w="3364"/>
              <w:gridCol w:w="3022"/>
              <w:gridCol w:w="865"/>
            </w:tblGrid>
            <w:tr w14:paraId="249A7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1" w:type="pct"/>
                  <w:noWrap w:val="0"/>
                  <w:vAlign w:val="center"/>
                </w:tcPr>
                <w:p w14:paraId="2335EA81">
                  <w:pPr>
                    <w:pStyle w:val="11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序号</w:t>
                  </w:r>
                </w:p>
              </w:tc>
              <w:tc>
                <w:tcPr>
                  <w:tcW w:w="2156" w:type="pct"/>
                  <w:noWrap w:val="0"/>
                  <w:vAlign w:val="center"/>
                </w:tcPr>
                <w:p w14:paraId="4B1EFD73">
                  <w:pPr>
                    <w:pStyle w:val="11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相关条件要求</w:t>
                  </w:r>
                </w:p>
              </w:tc>
              <w:tc>
                <w:tcPr>
                  <w:tcW w:w="1937" w:type="pct"/>
                  <w:noWrap w:val="0"/>
                  <w:vAlign w:val="center"/>
                </w:tcPr>
                <w:p w14:paraId="0570CAF1">
                  <w:pPr>
                    <w:pStyle w:val="11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本项目情况</w:t>
                  </w:r>
                </w:p>
              </w:tc>
              <w:tc>
                <w:tcPr>
                  <w:tcW w:w="554" w:type="pct"/>
                  <w:noWrap w:val="0"/>
                  <w:vAlign w:val="center"/>
                </w:tcPr>
                <w:p w14:paraId="1E4FD71D">
                  <w:pPr>
                    <w:pStyle w:val="11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符合性</w:t>
                  </w:r>
                </w:p>
              </w:tc>
            </w:tr>
            <w:tr w14:paraId="33710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51" w:type="pct"/>
                  <w:noWrap w:val="0"/>
                  <w:vAlign w:val="center"/>
                </w:tcPr>
                <w:p w14:paraId="10F7C272">
                  <w:pPr>
                    <w:pStyle w:val="116"/>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pacing w:val="-3"/>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2156" w:type="pct"/>
                  <w:noWrap w:val="0"/>
                  <w:vAlign w:val="center"/>
                </w:tcPr>
                <w:p w14:paraId="6D529DAC">
                  <w:pPr>
                    <w:keepNext w:val="0"/>
                    <w:keepLines w:val="0"/>
                    <w:widowControl/>
                    <w:suppressLineNumbers w:val="0"/>
                    <w:jc w:val="both"/>
                    <w:rPr>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三）优化产业结构和布局。新改扩建项目原则上采用清洁运输方式。除电力和热力生产供应行业以外，其他涉及产能置换的项目，被置换产能及配套设施关停后，新建项目方可投产。严禁新增钢铁产能，推行钢铁、焦化、烧结一体化布局，推动焦化产业链向下游高附加值精细化工产品延伸。</w:t>
                  </w:r>
                </w:p>
                <w:p w14:paraId="0F9B5ADA">
                  <w:pPr>
                    <w:keepNext w:val="0"/>
                    <w:keepLines w:val="0"/>
                    <w:widowControl/>
                    <w:suppressLineNumbers w:val="0"/>
                    <w:jc w:val="both"/>
                    <w:rPr>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依法依规退出不符合产业政策和环保要求的落后产能。落实水泥常态化错峰生产。（自治区发展改革委、工业和信息化厅、生态环境厅、能源局等部门按职责分工负责，各盟行政公署、市人民政府落实。以下均需各盟行政公署、市人民政府落实，不再列出）</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w:t>
                  </w:r>
                </w:p>
                <w:p w14:paraId="46E3AE92">
                  <w:pPr>
                    <w:keepNext w:val="0"/>
                    <w:keepLines w:val="0"/>
                    <w:widowControl/>
                    <w:suppressLineNumbers w:val="0"/>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（八）实施工业炉窑清洁能源替代。淘汰并禁止新建不</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符合产业政策的燃料类煤气发生炉，推进加热炉、热处理炉、干燥炉、熔化炉采用清洁低碳能源。安全稳妥推进使用高污染燃料的工业炉窑改用工业余热、电能、天然气等。推进燃料类煤气发生炉采用清洁能源替代，或者因地制宜推行园区（集群）集中供气、分散使用。（自治区工业和信息化厅、发展改革委、生态环境厅、能源局等部门按职责分工负责）</w:t>
                  </w:r>
                </w:p>
              </w:tc>
              <w:tc>
                <w:tcPr>
                  <w:tcW w:w="1937" w:type="pct"/>
                  <w:noWrap w:val="0"/>
                  <w:vAlign w:val="center"/>
                </w:tcPr>
                <w:p w14:paraId="440E9638">
                  <w:pPr>
                    <w:keepNext w:val="0"/>
                    <w:keepLines w:val="0"/>
                    <w:widowControl/>
                    <w:suppressLineNumbers w:val="0"/>
                    <w:jc w:val="both"/>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cs="Times New Roman"/>
                      <w:color w:val="000000" w:themeColor="text1"/>
                      <w:sz w:val="21"/>
                      <w:szCs w:val="21"/>
                      <w:highlight w:val="none"/>
                      <w:lang w:eastAsia="zh-CN"/>
                      <w14:textFill>
                        <w14:solidFill>
                          <w14:schemeClr w14:val="tx1"/>
                        </w14:solidFill>
                      </w14:textFill>
                    </w:rPr>
                    <w:t>本项</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目以325目</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煤系</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高岭土</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（煤矸石）</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为原料，对照《产业结构调整指导目录（</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2024</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年本）》，</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本项目</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不属于所列行业，采用生产工艺属于鼓励类，不属于不符合产业政策和环保要求的落后产能。</w:t>
                  </w:r>
                </w:p>
              </w:tc>
              <w:tc>
                <w:tcPr>
                  <w:tcW w:w="554" w:type="pct"/>
                  <w:noWrap w:val="0"/>
                  <w:vAlign w:val="center"/>
                </w:tcPr>
                <w:p w14:paraId="575A6276">
                  <w:pPr>
                    <w:pStyle w:val="116"/>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pacing w:val="-3"/>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符合</w:t>
                  </w:r>
                </w:p>
              </w:tc>
            </w:tr>
          </w:tbl>
          <w:p w14:paraId="2BEC99D5">
            <w:pPr>
              <w:spacing w:line="240" w:lineRule="auto"/>
              <w:jc w:val="center"/>
              <w:rPr>
                <w:rFonts w:hint="default" w:ascii="Times New Roman" w:hAnsi="Times New Roman" w:eastAsia="宋体" w:cs="Times New Roman"/>
                <w:b/>
                <w:bCs/>
                <w:color w:val="000000" w:themeColor="text1"/>
                <w:spacing w:val="-3"/>
                <w:highlight w:val="none"/>
                <w14:textFill>
                  <w14:solidFill>
                    <w14:schemeClr w14:val="tx1"/>
                  </w14:solidFill>
                </w14:textFill>
              </w:rPr>
            </w:pPr>
            <w:r>
              <w:rPr>
                <w:rFonts w:hint="default" w:ascii="Times New Roman" w:hAnsi="Times New Roman" w:eastAsia="宋体" w:cs="Times New Roman"/>
                <w:b/>
                <w:bCs/>
                <w:color w:val="000000" w:themeColor="text1"/>
                <w:spacing w:val="-3"/>
                <w:highlight w:val="none"/>
                <w14:textFill>
                  <w14:solidFill>
                    <w14:schemeClr w14:val="tx1"/>
                  </w14:solidFill>
                </w14:textFill>
              </w:rPr>
              <w:t>表</w:t>
            </w:r>
            <w:r>
              <w:rPr>
                <w:rFonts w:hint="default" w:ascii="Times New Roman" w:hAnsi="Times New Roman" w:eastAsia="宋体" w:cs="Times New Roman"/>
                <w:b/>
                <w:bCs/>
                <w:color w:val="000000" w:themeColor="text1"/>
                <w:spacing w:val="-3"/>
                <w:highlight w:val="none"/>
                <w:lang w:val="en-US" w:eastAsia="zh-CN"/>
                <w14:textFill>
                  <w14:solidFill>
                    <w14:schemeClr w14:val="tx1"/>
                  </w14:solidFill>
                </w14:textFill>
              </w:rPr>
              <w:t>1-</w:t>
            </w:r>
            <w:r>
              <w:rPr>
                <w:rFonts w:hint="eastAsia" w:cs="Times New Roman"/>
                <w:b/>
                <w:bCs/>
                <w:color w:val="000000" w:themeColor="text1"/>
                <w:spacing w:val="-3"/>
                <w:highlight w:val="none"/>
                <w:lang w:val="en-US" w:eastAsia="zh-CN"/>
                <w14:textFill>
                  <w14:solidFill>
                    <w14:schemeClr w14:val="tx1"/>
                  </w14:solidFill>
                </w14:textFill>
              </w:rPr>
              <w:t>5</w:t>
            </w:r>
            <w:r>
              <w:rPr>
                <w:rFonts w:hint="default" w:ascii="Times New Roman" w:hAnsi="Times New Roman" w:eastAsia="宋体" w:cs="Times New Roman"/>
                <w:b/>
                <w:bCs/>
                <w:color w:val="000000" w:themeColor="text1"/>
                <w:spacing w:val="-3"/>
                <w:highlight w:val="none"/>
                <w14:textFill>
                  <w14:solidFill>
                    <w14:schemeClr w14:val="tx1"/>
                  </w14:solidFill>
                </w14:textFill>
              </w:rPr>
              <w:t>项目与《</w:t>
            </w:r>
            <w:r>
              <w:rPr>
                <w:rFonts w:hint="default" w:ascii="Times New Roman" w:hAnsi="Times New Roman" w:eastAsia="宋体" w:cs="Times New Roman"/>
                <w:b/>
                <w:bCs/>
                <w:color w:val="000000" w:themeColor="text1"/>
                <w:spacing w:val="-3"/>
                <w:highlight w:val="none"/>
                <w:lang w:val="en-US" w:eastAsia="zh-CN"/>
                <w14:textFill>
                  <w14:solidFill>
                    <w14:schemeClr w14:val="tx1"/>
                  </w14:solidFill>
                </w14:textFill>
              </w:rPr>
              <w:t>鄂尔多斯市空气质量持续改善行动实施方案</w:t>
            </w:r>
            <w:r>
              <w:rPr>
                <w:rFonts w:hint="default" w:ascii="Times New Roman" w:hAnsi="Times New Roman" w:eastAsia="宋体" w:cs="Times New Roman"/>
                <w:b/>
                <w:bCs/>
                <w:color w:val="000000" w:themeColor="text1"/>
                <w:spacing w:val="-3"/>
                <w:highlight w:val="none"/>
                <w14:textFill>
                  <w14:solidFill>
                    <w14:schemeClr w14:val="tx1"/>
                  </w14:solidFill>
                </w14:textFill>
              </w:rPr>
              <w:t>》</w:t>
            </w:r>
            <w:r>
              <w:rPr>
                <w:rFonts w:hint="default" w:ascii="Times New Roman" w:hAnsi="Times New Roman" w:eastAsia="宋体" w:cs="Times New Roman"/>
                <w:b/>
                <w:bCs/>
                <w:color w:val="000000" w:themeColor="text1"/>
                <w:spacing w:val="-4"/>
                <w:highlight w:val="none"/>
                <w14:textFill>
                  <w14:solidFill>
                    <w14:schemeClr w14:val="tx1"/>
                  </w14:solidFill>
                </w14:textFill>
              </w:rPr>
              <w:t>符合性分析</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4"/>
              <w:gridCol w:w="5686"/>
              <w:gridCol w:w="917"/>
              <w:gridCol w:w="651"/>
            </w:tblGrid>
            <w:tr w14:paraId="0874CF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9" w:type="pct"/>
                  <w:noWrap w:val="0"/>
                  <w:vAlign w:val="center"/>
                </w:tcPr>
                <w:p w14:paraId="55C34614">
                  <w:pPr>
                    <w:pStyle w:val="11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序号</w:t>
                  </w:r>
                </w:p>
              </w:tc>
              <w:tc>
                <w:tcPr>
                  <w:tcW w:w="3645" w:type="pct"/>
                  <w:noWrap w:val="0"/>
                  <w:vAlign w:val="center"/>
                </w:tcPr>
                <w:p w14:paraId="4DC71EE9">
                  <w:pPr>
                    <w:pStyle w:val="11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相关条件要求</w:t>
                  </w:r>
                </w:p>
              </w:tc>
              <w:tc>
                <w:tcPr>
                  <w:tcW w:w="588" w:type="pct"/>
                  <w:noWrap w:val="0"/>
                  <w:vAlign w:val="center"/>
                </w:tcPr>
                <w:p w14:paraId="5BCADA64">
                  <w:pPr>
                    <w:pStyle w:val="11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本项目情况</w:t>
                  </w:r>
                </w:p>
              </w:tc>
              <w:tc>
                <w:tcPr>
                  <w:tcW w:w="417" w:type="pct"/>
                  <w:noWrap w:val="0"/>
                  <w:vAlign w:val="center"/>
                </w:tcPr>
                <w:p w14:paraId="33FD5C07">
                  <w:pPr>
                    <w:pStyle w:val="11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符合性</w:t>
                  </w:r>
                </w:p>
              </w:tc>
            </w:tr>
            <w:tr w14:paraId="53D8A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9" w:type="pct"/>
                  <w:noWrap w:val="0"/>
                  <w:vAlign w:val="center"/>
                </w:tcPr>
                <w:p w14:paraId="2AF97D4A">
                  <w:pPr>
                    <w:pStyle w:val="11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1</w:t>
                  </w:r>
                </w:p>
              </w:tc>
              <w:tc>
                <w:tcPr>
                  <w:tcW w:w="3645" w:type="pct"/>
                  <w:noWrap w:val="0"/>
                  <w:vAlign w:val="center"/>
                </w:tcPr>
                <w:p w14:paraId="3DE752F6">
                  <w:pPr>
                    <w:keepNext w:val="0"/>
                    <w:keepLines w:val="0"/>
                    <w:widowControl/>
                    <w:suppressLineNumbers w:val="0"/>
                    <w:jc w:val="left"/>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kern w:val="0"/>
                      <w:sz w:val="20"/>
                      <w:szCs w:val="20"/>
                      <w:highlight w:val="none"/>
                      <w:lang w:val="en-US" w:eastAsia="zh-CN" w:bidi="ar"/>
                      <w14:textFill>
                        <w14:solidFill>
                          <w14:schemeClr w14:val="tx1"/>
                        </w14:solidFill>
                      </w14:textFill>
                    </w:rPr>
                    <w:t>（三）实施工业炉窑清洁能源替代。围绕钢铁、化工、有色冶金、建材等重点领域，加大余热、余压、余气回收利用，能源管控中心、能量系统梯级优化等高效节能技术改造力度。淘汰并禁止新建不符合产业政策的燃料类煤气发生炉，推进燃料类煤气发生炉充分利用工业余热、电厂热力、可再生能源、天然气、煤层气、脱硫后</w:t>
                  </w:r>
                  <w:r>
                    <w:rPr>
                      <w:rFonts w:hint="eastAsia" w:ascii="宋体" w:hAnsi="宋体" w:cs="宋体"/>
                      <w:color w:val="000000" w:themeColor="text1"/>
                      <w:kern w:val="0"/>
                      <w:sz w:val="20"/>
                      <w:szCs w:val="20"/>
                      <w:highlight w:val="none"/>
                      <w:lang w:val="en-US" w:eastAsia="zh-CN" w:bidi="ar"/>
                      <w14:textFill>
                        <w14:solidFill>
                          <w14:schemeClr w14:val="tx1"/>
                        </w14:solidFill>
                      </w14:textFill>
                    </w:rPr>
                    <w:t>煤气</w:t>
                  </w:r>
                  <w:r>
                    <w:rPr>
                      <w:rFonts w:hint="eastAsia" w:ascii="宋体" w:hAnsi="宋体" w:eastAsia="宋体" w:cs="宋体"/>
                      <w:color w:val="000000" w:themeColor="text1"/>
                      <w:kern w:val="0"/>
                      <w:sz w:val="20"/>
                      <w:szCs w:val="20"/>
                      <w:highlight w:val="none"/>
                      <w:lang w:val="en-US" w:eastAsia="zh-CN" w:bidi="ar"/>
                      <w14:textFill>
                        <w14:solidFill>
                          <w14:schemeClr w14:val="tx1"/>
                        </w14:solidFill>
                      </w14:textFill>
                    </w:rPr>
                    <w:t>等清洁低碳能源替代。开展多层次多领域减污降碳协同创新试点工作，推进减污降碳协同创新试点城市和鄂托克高新技术产业开发区、苏里格经济开发区减污降碳协同创新试点园区建设。鼓励园区、企业、矿区绿电替代燃煤，开展煤化工与绿电制氢、制氧深度耦合示范，加大工业余热利用。</w:t>
                  </w:r>
                </w:p>
              </w:tc>
              <w:tc>
                <w:tcPr>
                  <w:tcW w:w="588" w:type="pct"/>
                  <w:noWrap w:val="0"/>
                  <w:vAlign w:val="center"/>
                </w:tcPr>
                <w:p w14:paraId="0736F29C">
                  <w:pPr>
                    <w:pStyle w:val="11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本项目燃料为精脱硫后的清洁煤气</w:t>
                  </w:r>
                </w:p>
              </w:tc>
              <w:tc>
                <w:tcPr>
                  <w:tcW w:w="417" w:type="pct"/>
                  <w:noWrap w:val="0"/>
                  <w:vAlign w:val="center"/>
                </w:tcPr>
                <w:p w14:paraId="39C5BFC2">
                  <w:pPr>
                    <w:pStyle w:val="11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符合</w:t>
                  </w:r>
                </w:p>
              </w:tc>
            </w:tr>
          </w:tbl>
          <w:p w14:paraId="016E24ED">
            <w:pPr>
              <w:spacing w:line="240" w:lineRule="auto"/>
              <w:jc w:val="center"/>
              <w:rPr>
                <w:rFonts w:hint="default" w:ascii="Times New Roman" w:hAnsi="Times New Roman" w:eastAsia="宋体" w:cs="Times New Roman"/>
                <w:b/>
                <w:bCs/>
                <w:color w:val="000000" w:themeColor="text1"/>
                <w:spacing w:val="-3"/>
                <w:highlight w:val="none"/>
                <w14:textFill>
                  <w14:solidFill>
                    <w14:schemeClr w14:val="tx1"/>
                  </w14:solidFill>
                </w14:textFill>
              </w:rPr>
            </w:pPr>
            <w:r>
              <w:rPr>
                <w:rFonts w:hint="default" w:ascii="Times New Roman" w:hAnsi="Times New Roman" w:eastAsia="宋体" w:cs="Times New Roman"/>
                <w:b/>
                <w:bCs/>
                <w:color w:val="000000" w:themeColor="text1"/>
                <w:spacing w:val="-3"/>
                <w:highlight w:val="none"/>
                <w14:textFill>
                  <w14:solidFill>
                    <w14:schemeClr w14:val="tx1"/>
                  </w14:solidFill>
                </w14:textFill>
              </w:rPr>
              <w:t>表</w:t>
            </w:r>
            <w:r>
              <w:rPr>
                <w:rFonts w:hint="default" w:ascii="Times New Roman" w:hAnsi="Times New Roman" w:eastAsia="宋体" w:cs="Times New Roman"/>
                <w:b/>
                <w:bCs/>
                <w:color w:val="000000" w:themeColor="text1"/>
                <w:spacing w:val="-3"/>
                <w:highlight w:val="none"/>
                <w:lang w:val="en-US" w:eastAsia="zh-CN"/>
                <w14:textFill>
                  <w14:solidFill>
                    <w14:schemeClr w14:val="tx1"/>
                  </w14:solidFill>
                </w14:textFill>
              </w:rPr>
              <w:t>1-</w:t>
            </w:r>
            <w:r>
              <w:rPr>
                <w:rFonts w:hint="eastAsia" w:cs="Times New Roman"/>
                <w:b/>
                <w:bCs/>
                <w:color w:val="000000" w:themeColor="text1"/>
                <w:spacing w:val="-3"/>
                <w:highlight w:val="none"/>
                <w:lang w:val="en-US" w:eastAsia="zh-CN"/>
                <w14:textFill>
                  <w14:solidFill>
                    <w14:schemeClr w14:val="tx1"/>
                  </w14:solidFill>
                </w14:textFill>
              </w:rPr>
              <w:t>6</w:t>
            </w:r>
            <w:r>
              <w:rPr>
                <w:rFonts w:hint="default" w:ascii="Times New Roman" w:hAnsi="Times New Roman" w:eastAsia="宋体" w:cs="Times New Roman"/>
                <w:b/>
                <w:bCs/>
                <w:color w:val="000000" w:themeColor="text1"/>
                <w:spacing w:val="-3"/>
                <w:highlight w:val="none"/>
                <w14:textFill>
                  <w14:solidFill>
                    <w14:schemeClr w14:val="tx1"/>
                  </w14:solidFill>
                </w14:textFill>
              </w:rPr>
              <w:t>项目与</w:t>
            </w:r>
            <w:r>
              <w:rPr>
                <w:rFonts w:hint="default" w:ascii="Times New Roman" w:hAnsi="Times New Roman" w:eastAsia="宋体" w:cs="Times New Roman"/>
                <w:b/>
                <w:bCs/>
                <w:color w:val="000000" w:themeColor="text1"/>
                <w:spacing w:val="-3"/>
                <w:highlight w:val="none"/>
                <w:lang w:val="en-US" w:eastAsia="zh-CN"/>
                <w14:textFill>
                  <w14:solidFill>
                    <w14:schemeClr w14:val="tx1"/>
                  </w14:solidFill>
                </w14:textFill>
              </w:rPr>
              <w:t>《鄂尔多斯市大气污染防治条例</w:t>
            </w:r>
            <w:r>
              <w:rPr>
                <w:rFonts w:hint="default" w:ascii="Times New Roman" w:hAnsi="Times New Roman" w:eastAsia="宋体" w:cs="Times New Roman"/>
                <w:b/>
                <w:bCs/>
                <w:color w:val="000000" w:themeColor="text1"/>
                <w:spacing w:val="-3"/>
                <w:highlight w:val="none"/>
                <w14:textFill>
                  <w14:solidFill>
                    <w14:schemeClr w14:val="tx1"/>
                  </w14:solidFill>
                </w14:textFill>
              </w:rPr>
              <w:t>》</w:t>
            </w:r>
            <w:r>
              <w:rPr>
                <w:rFonts w:hint="default" w:ascii="Times New Roman" w:hAnsi="Times New Roman" w:eastAsia="宋体" w:cs="Times New Roman"/>
                <w:b/>
                <w:bCs/>
                <w:color w:val="000000" w:themeColor="text1"/>
                <w:spacing w:val="-4"/>
                <w:highlight w:val="none"/>
                <w14:textFill>
                  <w14:solidFill>
                    <w14:schemeClr w14:val="tx1"/>
                  </w14:solidFill>
                </w14:textFill>
              </w:rPr>
              <w:t>符合性分析</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2"/>
              <w:gridCol w:w="4350"/>
              <w:gridCol w:w="2375"/>
              <w:gridCol w:w="591"/>
            </w:tblGrid>
            <w:tr w14:paraId="2BB10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 w:type="pct"/>
                  <w:noWrap w:val="0"/>
                  <w:vAlign w:val="center"/>
                </w:tcPr>
                <w:p w14:paraId="199E6C71">
                  <w:pPr>
                    <w:pStyle w:val="11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序号</w:t>
                  </w:r>
                </w:p>
              </w:tc>
              <w:tc>
                <w:tcPr>
                  <w:tcW w:w="2789" w:type="pct"/>
                  <w:noWrap w:val="0"/>
                  <w:vAlign w:val="center"/>
                </w:tcPr>
                <w:p w14:paraId="609D1551">
                  <w:pPr>
                    <w:pStyle w:val="11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相关条件要求</w:t>
                  </w:r>
                </w:p>
              </w:tc>
              <w:tc>
                <w:tcPr>
                  <w:tcW w:w="1522" w:type="pct"/>
                  <w:noWrap w:val="0"/>
                  <w:vAlign w:val="center"/>
                </w:tcPr>
                <w:p w14:paraId="40A81B42">
                  <w:pPr>
                    <w:pStyle w:val="11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本项目情况</w:t>
                  </w:r>
                </w:p>
              </w:tc>
              <w:tc>
                <w:tcPr>
                  <w:tcW w:w="378" w:type="pct"/>
                  <w:noWrap w:val="0"/>
                  <w:vAlign w:val="center"/>
                </w:tcPr>
                <w:p w14:paraId="42335499">
                  <w:pPr>
                    <w:pStyle w:val="11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符合性</w:t>
                  </w:r>
                </w:p>
              </w:tc>
            </w:tr>
            <w:tr w14:paraId="0F1EA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 w:type="pct"/>
                  <w:noWrap w:val="0"/>
                  <w:vAlign w:val="center"/>
                </w:tcPr>
                <w:p w14:paraId="3BA1CCD7">
                  <w:pPr>
                    <w:pStyle w:val="11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eastAsia="宋体" w:cs="Times New Roman"/>
                      <w:color w:val="000000" w:themeColor="text1"/>
                      <w:sz w:val="21"/>
                      <w:szCs w:val="21"/>
                      <w:highlight w:val="none"/>
                      <w:lang w:val="en-US" w:eastAsia="zh-CN"/>
                      <w14:textFill>
                        <w14:solidFill>
                          <w14:schemeClr w14:val="tx1"/>
                        </w14:solidFill>
                      </w14:textFill>
                    </w:rPr>
                    <w:t>1</w:t>
                  </w:r>
                </w:p>
              </w:tc>
              <w:tc>
                <w:tcPr>
                  <w:tcW w:w="2789" w:type="pct"/>
                  <w:noWrap w:val="0"/>
                  <w:vAlign w:val="center"/>
                </w:tcPr>
                <w:p w14:paraId="3901A50D">
                  <w:pPr>
                    <w:keepNext w:val="0"/>
                    <w:keepLines w:val="0"/>
                    <w:widowControl/>
                    <w:suppressLineNumbers w:val="0"/>
                    <w:jc w:val="both"/>
                    <w:rPr>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第十六条排污单位应当保持污染源自动监控设施正常运行。污染源自动监控设施在计量检定有效期内发生严重故障的，排污单位应当重新</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进行</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计量检定。</w:t>
                  </w:r>
                </w:p>
                <w:p w14:paraId="0E6DB710">
                  <w:pPr>
                    <w:keepNext w:val="0"/>
                    <w:keepLines w:val="0"/>
                    <w:widowControl/>
                    <w:suppressLineNumbers w:val="0"/>
                    <w:jc w:val="left"/>
                    <w:rPr>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第二十九条市、旗区人民政府应当合理制定水资源配置方案，将矿井水、再生水等非常规水资源纳入水资源统一配置，有效利用、节约和保护水资源。工业项目具备使用矿井水、再生水等非常规水资源条件时，市、旗区人民政府水行政主管部门应当优先配置；城市绿化、道路清扫、车辆冲洗、建筑施工以及生态景观等用水，应当优先使用再生水。</w:t>
                  </w:r>
                </w:p>
                <w:p w14:paraId="33A40AE8">
                  <w:pPr>
                    <w:keepNext w:val="0"/>
                    <w:keepLines w:val="0"/>
                    <w:widowControl/>
                    <w:suppressLineNumbers w:val="0"/>
                    <w:jc w:val="left"/>
                    <w:rPr>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第三十条除食品、药品生产企业外，禁止工业企业擅自抽取地下水作为生产用水。</w:t>
                  </w:r>
                </w:p>
                <w:p w14:paraId="017C0401">
                  <w:pPr>
                    <w:keepNext w:val="0"/>
                    <w:keepLines w:val="0"/>
                    <w:widowControl/>
                    <w:suppressLineNumbers w:val="0"/>
                    <w:jc w:val="left"/>
                    <w:rPr>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第三十一条全市实行重点水污染物排放总量控制制度，排污单位排放重点水污染物不得超过排放总量控制指标。</w:t>
                  </w:r>
                </w:p>
                <w:p w14:paraId="7F669433">
                  <w:pPr>
                    <w:keepNext w:val="0"/>
                    <w:keepLines w:val="0"/>
                    <w:widowControl/>
                    <w:suppressLineNumbers w:val="0"/>
                    <w:jc w:val="left"/>
                    <w:rPr>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第三十二条企事业单位和其他生产经营者向所有地表水体排放废水，应当符合相应水体的水环境质量标准要求。</w:t>
                  </w:r>
                </w:p>
                <w:p w14:paraId="1B072CBC">
                  <w:pPr>
                    <w:keepNext w:val="0"/>
                    <w:keepLines w:val="0"/>
                    <w:widowControl/>
                    <w:suppressLineNumbers w:val="0"/>
                    <w:jc w:val="left"/>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第三十三条各级人民政府应当采取有效措施，因地制宜植树种草，节约用水，涵养水源，防治水土流失。</w:t>
                  </w:r>
                </w:p>
              </w:tc>
              <w:tc>
                <w:tcPr>
                  <w:tcW w:w="1522" w:type="pct"/>
                  <w:noWrap w:val="0"/>
                  <w:vAlign w:val="center"/>
                </w:tcPr>
                <w:p w14:paraId="124FBB73">
                  <w:pPr>
                    <w:keepNext w:val="0"/>
                    <w:keepLines w:val="0"/>
                    <w:widowControl/>
                    <w:suppressLineNumbers w:val="0"/>
                    <w:jc w:val="both"/>
                    <w:rPr>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本项目主要排污口设置了污染物监测</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设施，</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企业在运行过程中可保证其正常运行；本项目不排放废水，厂区生活废水</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、软水制备废水</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排水和余热锅炉排水送</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园区污水处理厂处理</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w:t>
                  </w:r>
                </w:p>
                <w:p w14:paraId="657DDC88">
                  <w:pPr>
                    <w:pStyle w:val="11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c>
                <w:tcPr>
                  <w:tcW w:w="378" w:type="pct"/>
                  <w:noWrap w:val="0"/>
                  <w:vAlign w:val="center"/>
                </w:tcPr>
                <w:p w14:paraId="7CC1875D">
                  <w:pPr>
                    <w:pStyle w:val="11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符合</w:t>
                  </w:r>
                </w:p>
              </w:tc>
            </w:tr>
            <w:tr w14:paraId="212736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9" w:type="pct"/>
                  <w:noWrap w:val="0"/>
                  <w:vAlign w:val="center"/>
                </w:tcPr>
                <w:p w14:paraId="77BA7359">
                  <w:pPr>
                    <w:pStyle w:val="11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2</w:t>
                  </w:r>
                </w:p>
              </w:tc>
              <w:tc>
                <w:tcPr>
                  <w:tcW w:w="2789" w:type="pct"/>
                  <w:noWrap w:val="0"/>
                  <w:vAlign w:val="center"/>
                </w:tcPr>
                <w:p w14:paraId="451BF4D5">
                  <w:pPr>
                    <w:keepNext w:val="0"/>
                    <w:keepLines w:val="0"/>
                    <w:widowControl/>
                    <w:suppressLineNumbers w:val="0"/>
                    <w:jc w:val="left"/>
                    <w:rPr>
                      <w:color w:val="000000" w:themeColor="text1"/>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lang w:val="en-US" w:eastAsia="zh-CN" w:bidi="ar"/>
                      <w14:textFill>
                        <w14:solidFill>
                          <w14:schemeClr w14:val="tx1"/>
                        </w14:solidFill>
                      </w14:textFill>
                    </w:rPr>
                    <w:t>第三十三条</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市、旗区人民政府应当按照循环经济和清洁生产的要求推动工业园区建设，合理规划工业布局。新建排放大气污染物的工业项目应当进入工业园区。国家和自治区审批的特种项目除外。</w:t>
                  </w:r>
                </w:p>
                <w:p w14:paraId="2B3D0D9C">
                  <w:pPr>
                    <w:keepNext w:val="0"/>
                    <w:keepLines w:val="0"/>
                    <w:widowControl/>
                    <w:suppressLineNumbers w:val="0"/>
                    <w:jc w:val="left"/>
                    <w:rPr>
                      <w:color w:val="000000" w:themeColor="text1"/>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lang w:val="en-US" w:eastAsia="zh-CN" w:bidi="ar"/>
                      <w14:textFill>
                        <w14:solidFill>
                          <w14:schemeClr w14:val="tx1"/>
                        </w14:solidFill>
                      </w14:textFill>
                    </w:rPr>
                    <w:t>第三十四条</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市、旗区人民政府应当按照循环经济和清洁生产的要求推动工业园区建设，合理规划工业布局。新建排放大气污染物的工业项目应当进入工业园区。国家和自治区审批的特种项目除外。</w:t>
                  </w:r>
                </w:p>
                <w:p w14:paraId="5E0D8EB1">
                  <w:pPr>
                    <w:keepNext w:val="0"/>
                    <w:keepLines w:val="0"/>
                    <w:widowControl/>
                    <w:suppressLineNumbers w:val="0"/>
                    <w:jc w:val="left"/>
                    <w:rPr>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第三十一条工业企业应当采用清洁生产技术、工艺和设备，减少大气污染物的产生和排放。</w:t>
                  </w:r>
                </w:p>
                <w:p w14:paraId="5B13A53B">
                  <w:pPr>
                    <w:keepNext w:val="0"/>
                    <w:keepLines w:val="0"/>
                    <w:widowControl/>
                    <w:suppressLineNumbers w:val="0"/>
                    <w:jc w:val="left"/>
                    <w:rPr>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第三十二条严格控制生产中产生的粉尘和气态污染物的排放。对不经过排气筒集中排放的，排污单位应当采取密闭、封闭、集中收集、过滤、吸附和分解等处理措施。</w:t>
                  </w:r>
                </w:p>
                <w:p w14:paraId="5D4458EA">
                  <w:pPr>
                    <w:keepNext w:val="0"/>
                    <w:keepLines w:val="0"/>
                    <w:widowControl/>
                    <w:suppressLineNumbers w:val="0"/>
                    <w:jc w:val="left"/>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第三十四条重点区域执行重点行业污染物特别排放限值。燃煤发电机组和执行火电大气污染物排放标准的锅炉应当执行超低排放限值。</w:t>
                  </w:r>
                </w:p>
              </w:tc>
              <w:tc>
                <w:tcPr>
                  <w:tcW w:w="1522" w:type="pct"/>
                  <w:noWrap w:val="0"/>
                  <w:vAlign w:val="center"/>
                </w:tcPr>
                <w:p w14:paraId="104E8807">
                  <w:pPr>
                    <w:keepNext w:val="0"/>
                    <w:keepLines w:val="0"/>
                    <w:widowControl/>
                    <w:suppressLineNumbers w:val="0"/>
                    <w:jc w:val="both"/>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本项目位于工业园区内，采用先进的生产工艺及污染治理措施；本项目原料及成品储存全部为封闭库、储罐，生产过程中的废气全部设置排气筒排放，具体如下：</w:t>
                  </w:r>
                </w:p>
                <w:p w14:paraId="225D42C5">
                  <w:pPr>
                    <w:keepNext w:val="0"/>
                    <w:keepLines w:val="0"/>
                    <w:widowControl/>
                    <w:suppressLineNumbers w:val="0"/>
                    <w:jc w:val="left"/>
                    <w:rPr>
                      <w:color w:val="000000" w:themeColor="text1"/>
                      <w:sz w:val="21"/>
                      <w:szCs w:val="21"/>
                      <w:highlight w:val="none"/>
                      <w14:textFill>
                        <w14:solidFill>
                          <w14:schemeClr w14:val="tx1"/>
                        </w14:solidFill>
                      </w14:textFill>
                    </w:rPr>
                  </w:pPr>
                  <w:r>
                    <w:rPr>
                      <w:rFonts w:hint="eastAsia" w:ascii="宋体" w:hAnsi="宋体" w:cs="宋体"/>
                      <w:color w:val="000000" w:themeColor="text1"/>
                      <w:kern w:val="0"/>
                      <w:sz w:val="21"/>
                      <w:szCs w:val="21"/>
                      <w:highlight w:val="none"/>
                      <w:lang w:val="en-US" w:eastAsia="zh-CN" w:bidi="ar"/>
                      <w14:textFill>
                        <w14:solidFill>
                          <w14:schemeClr w14:val="tx1"/>
                        </w14:solidFill>
                      </w14:textFill>
                    </w:rPr>
                    <w:t>1.</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筒仓粉尘经</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布袋除尘器（覆膜袋式）</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处理后通过排气</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筒</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排放。</w:t>
                  </w:r>
                </w:p>
                <w:p w14:paraId="59953261">
                  <w:pPr>
                    <w:keepNext w:val="0"/>
                    <w:keepLines w:val="0"/>
                    <w:widowControl/>
                    <w:suppressLineNumbers w:val="0"/>
                    <w:jc w:val="left"/>
                    <w:rPr>
                      <w:rFonts w:hint="default" w:ascii="宋体" w:hAnsi="宋体" w:eastAsia="宋体" w:cs="宋体"/>
                      <w:color w:val="000000" w:themeColor="text1"/>
                      <w:kern w:val="0"/>
                      <w:sz w:val="21"/>
                      <w:szCs w:val="21"/>
                      <w:highlight w:val="none"/>
                      <w:lang w:val="en-US" w:eastAsia="zh-CN" w:bidi="ar"/>
                      <w14:textFill>
                        <w14:solidFill>
                          <w14:schemeClr w14:val="tx1"/>
                        </w14:solidFill>
                      </w14:textFill>
                    </w:rPr>
                  </w:pPr>
                  <w:r>
                    <w:rPr>
                      <w:rFonts w:hint="eastAsia" w:ascii="宋体" w:hAnsi="宋体" w:cs="宋体"/>
                      <w:color w:val="000000" w:themeColor="text1"/>
                      <w:kern w:val="0"/>
                      <w:sz w:val="21"/>
                      <w:szCs w:val="21"/>
                      <w:highlight w:val="none"/>
                      <w:lang w:val="en-US" w:eastAsia="zh-CN" w:bidi="ar"/>
                      <w14:textFill>
                        <w14:solidFill>
                          <w14:schemeClr w14:val="tx1"/>
                        </w14:solidFill>
                      </w14:textFill>
                    </w:rPr>
                    <w:t>2.</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转运、存储、包装装置及密闭存储设施处均设置</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布袋除尘器（覆膜袋式）</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除尘后通过排气</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筒</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排放。</w:t>
                  </w:r>
                </w:p>
                <w:p w14:paraId="011C5D60">
                  <w:pPr>
                    <w:keepNext w:val="0"/>
                    <w:keepLines w:val="0"/>
                    <w:widowControl/>
                    <w:suppressLineNumbers w:val="0"/>
                    <w:jc w:val="both"/>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3.</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本项目悬浮焙烧炉产生的烟气经余热锅炉回收余热后，经“脱硝</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布袋除尘</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石灰石</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石膏法脱硫”后</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达标</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排放。</w:t>
                  </w:r>
                </w:p>
              </w:tc>
              <w:tc>
                <w:tcPr>
                  <w:tcW w:w="378" w:type="pct"/>
                  <w:noWrap w:val="0"/>
                  <w:vAlign w:val="center"/>
                </w:tcPr>
                <w:p w14:paraId="2237A458">
                  <w:pPr>
                    <w:pStyle w:val="115"/>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符合</w:t>
                  </w:r>
                </w:p>
              </w:tc>
            </w:tr>
          </w:tbl>
          <w:p w14:paraId="42E65278">
            <w:pPr>
              <w:pStyle w:val="103"/>
              <w:numPr>
                <w:ilvl w:val="0"/>
                <w:numId w:val="2"/>
              </w:numPr>
              <w:spacing w:line="360" w:lineRule="auto"/>
              <w:ind w:firstLine="482" w:firstLineChars="200"/>
              <w:jc w:val="left"/>
              <w:rPr>
                <w:rFonts w:hint="default" w:ascii="Times New Roman" w:hAnsi="Times New Roman" w:eastAsia="宋体" w:cs="Times New Roman"/>
                <w:b/>
                <w:bCs/>
                <w:color w:val="000000" w:themeColor="text1"/>
                <w:szCs w:val="24"/>
                <w:highlight w:val="none"/>
                <w:lang w:eastAsia="zh-CN"/>
                <w14:textFill>
                  <w14:solidFill>
                    <w14:schemeClr w14:val="tx1"/>
                  </w14:solidFill>
                </w14:textFill>
              </w:rPr>
            </w:pPr>
            <w:r>
              <w:rPr>
                <w:rFonts w:hint="default" w:ascii="Times New Roman" w:hAnsi="Times New Roman" w:eastAsia="宋体" w:cs="Times New Roman"/>
                <w:b/>
                <w:bCs/>
                <w:color w:val="000000" w:themeColor="text1"/>
                <w:szCs w:val="24"/>
                <w:highlight w:val="none"/>
                <w:lang w:eastAsia="zh-CN"/>
                <w14:textFill>
                  <w14:solidFill>
                    <w14:schemeClr w14:val="tx1"/>
                  </w14:solidFill>
                </w14:textFill>
              </w:rPr>
              <w:t>与《关于“十四五”大宗固体废弃物综合利用的指导意见》符合性分析</w:t>
            </w:r>
          </w:p>
          <w:p w14:paraId="5DF98F21">
            <w:pPr>
              <w:pStyle w:val="48"/>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eastAsia="zh-CN"/>
                <w14:textFill>
                  <w14:solidFill>
                    <w14:schemeClr w14:val="tx1"/>
                  </w14:solidFill>
                </w14:textFill>
              </w:rPr>
              <w:t>根据《关于“十四五”大宗固体废弃物综合利用的指导意见》（发改环资〔2021〕</w:t>
            </w:r>
            <w:r>
              <w:rPr>
                <w:rFonts w:hint="default" w:ascii="Times New Roman" w:hAnsi="Times New Roman" w:eastAsia="宋体" w:cs="Times New Roman"/>
                <w:color w:val="000000" w:themeColor="text1"/>
                <w:highlight w:val="none"/>
                <w:lang w:val="en-US" w:eastAsia="zh-CN"/>
                <w14:textFill>
                  <w14:solidFill>
                    <w14:schemeClr w14:val="tx1"/>
                  </w14:solidFill>
                </w14:textFill>
              </w:rPr>
              <w:t>381</w:t>
            </w:r>
            <w:r>
              <w:rPr>
                <w:rFonts w:hint="default" w:ascii="Times New Roman" w:hAnsi="Times New Roman" w:eastAsia="宋体" w:cs="Times New Roman"/>
                <w:color w:val="000000" w:themeColor="text1"/>
                <w:highlight w:val="none"/>
                <w:lang w:eastAsia="zh-CN"/>
                <w14:textFill>
                  <w14:solidFill>
                    <w14:schemeClr w14:val="tx1"/>
                  </w14:solidFill>
                </w14:textFill>
              </w:rPr>
              <w:t>号）的相关内容，本项目建设与其符合性分析</w:t>
            </w:r>
            <w:r>
              <w:rPr>
                <w:rFonts w:hint="eastAsia" w:eastAsia="宋体" w:cs="Times New Roman"/>
                <w:color w:val="000000" w:themeColor="text1"/>
                <w:highlight w:val="none"/>
                <w:lang w:eastAsia="zh-CN"/>
                <w14:textFill>
                  <w14:solidFill>
                    <w14:schemeClr w14:val="tx1"/>
                  </w14:solidFill>
                </w14:textFill>
              </w:rPr>
              <w:t>见下</w:t>
            </w:r>
            <w:r>
              <w:rPr>
                <w:rFonts w:hint="default" w:ascii="Times New Roman" w:hAnsi="Times New Roman" w:eastAsia="宋体" w:cs="Times New Roman"/>
                <w:color w:val="000000" w:themeColor="text1"/>
                <w:highlight w:val="none"/>
                <w:lang w:eastAsia="zh-CN"/>
                <w14:textFill>
                  <w14:solidFill>
                    <w14:schemeClr w14:val="tx1"/>
                  </w14:solidFill>
                </w14:textFill>
              </w:rPr>
              <w:t>表</w:t>
            </w:r>
            <w:r>
              <w:rPr>
                <w:rFonts w:hint="default" w:ascii="Times New Roman" w:hAnsi="Times New Roman" w:eastAsia="宋体" w:cs="Times New Roman"/>
                <w:color w:val="000000" w:themeColor="text1"/>
                <w:highlight w:val="none"/>
                <w:lang w:val="en-US" w:eastAsia="zh-CN"/>
                <w14:textFill>
                  <w14:solidFill>
                    <w14:schemeClr w14:val="tx1"/>
                  </w14:solidFill>
                </w14:textFill>
              </w:rPr>
              <w:t>。</w:t>
            </w:r>
          </w:p>
          <w:p w14:paraId="449A57CE">
            <w:pPr>
              <w:pStyle w:val="48"/>
              <w:keepNext w:val="0"/>
              <w:keepLines w:val="0"/>
              <w:pageBreakBefore w:val="0"/>
              <w:widowControl w:val="0"/>
              <w:kinsoku/>
              <w:wordWrap/>
              <w:overflowPunct/>
              <w:topLinePunct w:val="0"/>
              <w:autoSpaceDE/>
              <w:autoSpaceDN/>
              <w:bidi w:val="0"/>
              <w:adjustRightInd w:val="0"/>
              <w:snapToGrid w:val="0"/>
              <w:spacing w:line="240" w:lineRule="auto"/>
              <w:ind w:left="0" w:leftChars="0" w:firstLine="723" w:firstLineChars="300"/>
              <w:textAlignment w:val="auto"/>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表1-</w:t>
            </w:r>
            <w:r>
              <w:rPr>
                <w:rFonts w:hint="eastAsia" w:cs="Times New Roman"/>
                <w:b/>
                <w:bCs/>
                <w:color w:val="000000" w:themeColor="text1"/>
                <w:kern w:val="2"/>
                <w:sz w:val="24"/>
                <w:szCs w:val="24"/>
                <w:highlight w:val="none"/>
                <w:lang w:val="en-US" w:eastAsia="zh-CN" w:bidi="ar-SA"/>
                <w14:textFill>
                  <w14:solidFill>
                    <w14:schemeClr w14:val="tx1"/>
                  </w14:solidFill>
                </w14:textFill>
              </w:rPr>
              <w:t>6</w:t>
            </w: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建设项目与其他相关政策符合性分析对照一览表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88"/>
              <w:gridCol w:w="1310"/>
            </w:tblGrid>
            <w:tr w14:paraId="0E66DE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tblHeader/>
                <w:jc w:val="center"/>
              </w:trPr>
              <w:tc>
                <w:tcPr>
                  <w:tcW w:w="4159" w:type="pct"/>
                  <w:noWrap w:val="0"/>
                  <w:vAlign w:val="center"/>
                </w:tcPr>
                <w:p w14:paraId="7E467453">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发改</w:t>
                  </w:r>
                  <w: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t>环资</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〔2021〕</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381</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号中相关内容</w:t>
                  </w:r>
                </w:p>
              </w:tc>
              <w:tc>
                <w:tcPr>
                  <w:tcW w:w="840" w:type="pct"/>
                  <w:noWrap w:val="0"/>
                  <w:vAlign w:val="center"/>
                </w:tcPr>
                <w:p w14:paraId="1FE1D812">
                  <w:pPr>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符合性分析</w:t>
                  </w:r>
                </w:p>
              </w:tc>
            </w:tr>
            <w:tr w14:paraId="342CB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3" w:hRule="atLeast"/>
                <w:jc w:val="center"/>
              </w:trPr>
              <w:tc>
                <w:tcPr>
                  <w:tcW w:w="4159" w:type="pct"/>
                  <w:noWrap w:val="0"/>
                  <w:vAlign w:val="top"/>
                </w:tcPr>
                <w:p w14:paraId="79337CA3">
                  <w:pPr>
                    <w:pStyle w:val="11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三</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提高大宗固废资源利用效率</w:t>
                  </w:r>
                </w:p>
                <w:p w14:paraId="5EE78515">
                  <w:pPr>
                    <w:pStyle w:val="11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（六）煤矸石（劣质煤）和粉煤灰。持续提高煤矸石（劣质煤）和粉煤灰综合利用水平</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推进煤矸石（劣质煤）和粉煤灰在工程建设</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塌陷区治理</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矿井充填以及盐碱地、沙漠化土地生态修复等领域的利用</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有序引导利用煤矸石（劣质煤）、粉煤灰生产新型墙体材料、装饰装修等绿色建材，在风险可控前</w:t>
                  </w:r>
                  <w: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t>提出</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深入推动农业领域应用和有价组分提取</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加强大掺量和高附加值应用推广</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p>
              </w:tc>
              <w:tc>
                <w:tcPr>
                  <w:tcW w:w="840" w:type="pct"/>
                  <w:vMerge w:val="restart"/>
                  <w:noWrap w:val="0"/>
                  <w:vAlign w:val="center"/>
                </w:tcPr>
                <w:p w14:paraId="480E9B76">
                  <w:pPr>
                    <w:pStyle w:val="115"/>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eastAsia" w:cs="Times New Roman"/>
                      <w:color w:val="000000" w:themeColor="text1"/>
                      <w:sz w:val="21"/>
                      <w:szCs w:val="21"/>
                      <w:highlight w:val="none"/>
                      <w:lang w:eastAsia="zh-CN"/>
                      <w14:textFill>
                        <w14:solidFill>
                          <w14:schemeClr w14:val="tx1"/>
                        </w14:solidFill>
                      </w14:textFill>
                    </w:rPr>
                    <w:t>本项</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目以325目</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煤矸石粉</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为原料，对照《产业结构调整指导目录（</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2024</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年本）》，</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本项目</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不属于所列行业，采用生产工艺属于鼓励类</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，产品为高附加值产品。</w:t>
                  </w:r>
                </w:p>
              </w:tc>
            </w:tr>
            <w:tr w14:paraId="387CD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59" w:type="pct"/>
                  <w:noWrap w:val="0"/>
                  <w:vAlign w:val="top"/>
                </w:tcPr>
                <w:p w14:paraId="05C69B9C">
                  <w:pPr>
                    <w:pStyle w:val="115"/>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default" w:ascii="Times New Roman" w:hAnsi="Times New Roman" w:eastAsia="宋体" w:cs="Times New Roman"/>
                      <w:color w:val="000000" w:themeColor="text1"/>
                      <w:kern w:val="0"/>
                      <w:sz w:val="21"/>
                      <w:szCs w:val="21"/>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zh-CN" w:eastAsia="zh-CN"/>
                      <w14:textFill>
                        <w14:solidFill>
                          <w14:schemeClr w14:val="tx1"/>
                        </w14:solidFill>
                      </w14:textFill>
                    </w:rPr>
                    <w:t>（八）冶炼渣。加强产业协同利用，扩大赤泥和钢渣利用规模，提高赤泥在道路材料中的掺用比例，扩大钢渣微粉作混凝土掺合料在建设工程等领域的利用。不断探索赤泥和钢渣的其他规模化利用渠道。鼓励从赤泥中回收铁、碱、氧化铝，从冶炼渣中回收稀有稀散金属和稀贵金属等有价组分，提高矿产资源利用效率，保障国家资源安全，逐步提高冶炼渣综合利用率。</w:t>
                  </w:r>
                </w:p>
              </w:tc>
              <w:tc>
                <w:tcPr>
                  <w:tcW w:w="840" w:type="pct"/>
                  <w:vMerge w:val="continue"/>
                  <w:noWrap w:val="0"/>
                  <w:vAlign w:val="center"/>
                </w:tcPr>
                <w:p w14:paraId="02DAD7F3">
                  <w:pPr>
                    <w:pStyle w:val="115"/>
                    <w:keepNext w:val="0"/>
                    <w:keepLines w:val="0"/>
                    <w:pageBreakBefore w:val="0"/>
                    <w:widowControl w:val="0"/>
                    <w:kinsoku/>
                    <w:wordWrap/>
                    <w:overflowPunct/>
                    <w:topLinePunct w:val="0"/>
                    <w:autoSpaceDE/>
                    <w:autoSpaceDN/>
                    <w:bidi w:val="0"/>
                    <w:adjustRightInd w:val="0"/>
                    <w:snapToGrid w:val="0"/>
                    <w:spacing w:line="240" w:lineRule="auto"/>
                    <w:ind w:firstLine="420" w:firstLineChars="0"/>
                    <w:jc w:val="left"/>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r>
          </w:tbl>
          <w:p w14:paraId="733C506E">
            <w:pPr>
              <w:pStyle w:val="48"/>
              <w:keepNext w:val="0"/>
              <w:keepLines w:val="0"/>
              <w:pageBreakBefore w:val="0"/>
              <w:widowControl w:val="0"/>
              <w:kinsoku/>
              <w:wordWrap/>
              <w:overflowPunct/>
              <w:topLinePunct w:val="0"/>
              <w:autoSpaceDE/>
              <w:autoSpaceDN/>
              <w:bidi w:val="0"/>
              <w:adjustRightInd w:val="0"/>
              <w:snapToGrid w:val="0"/>
              <w:spacing w:before="157" w:beforeLines="50"/>
              <w:textAlignment w:val="auto"/>
              <w:rPr>
                <w:rFonts w:hint="default" w:ascii="Times New Roman" w:hAnsi="Times New Roman" w:eastAsia="宋体" w:cs="Times New Roman"/>
                <w:b/>
                <w:bCs/>
                <w:color w:val="000000" w:themeColor="text1"/>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经分析可知，项目建设与</w:t>
            </w:r>
            <w:r>
              <w:rPr>
                <w:rFonts w:hint="default" w:ascii="Times New Roman" w:hAnsi="Times New Roman" w:eastAsia="宋体" w:cs="Times New Roman"/>
                <w:color w:val="000000" w:themeColor="text1"/>
                <w:highlight w:val="none"/>
                <w:lang w:eastAsia="zh-CN"/>
                <w14:textFill>
                  <w14:solidFill>
                    <w14:schemeClr w14:val="tx1"/>
                  </w14:solidFill>
                </w14:textFill>
              </w:rPr>
              <w:t>《关于“十四五”大宗固体废弃物综合利用的指导意见》（发改环资〔2021〕</w:t>
            </w:r>
            <w:r>
              <w:rPr>
                <w:rFonts w:hint="default" w:ascii="Times New Roman" w:hAnsi="Times New Roman" w:eastAsia="宋体" w:cs="Times New Roman"/>
                <w:color w:val="000000" w:themeColor="text1"/>
                <w:highlight w:val="none"/>
                <w:lang w:val="en-US" w:eastAsia="zh-CN"/>
                <w14:textFill>
                  <w14:solidFill>
                    <w14:schemeClr w14:val="tx1"/>
                  </w14:solidFill>
                </w14:textFill>
              </w:rPr>
              <w:t>381</w:t>
            </w:r>
            <w:r>
              <w:rPr>
                <w:rFonts w:hint="default" w:ascii="Times New Roman" w:hAnsi="Times New Roman" w:eastAsia="宋体" w:cs="Times New Roman"/>
                <w:color w:val="000000" w:themeColor="text1"/>
                <w:highlight w:val="none"/>
                <w:lang w:eastAsia="zh-CN"/>
                <w14:textFill>
                  <w14:solidFill>
                    <w14:schemeClr w14:val="tx1"/>
                  </w14:solidFill>
                </w14:textFill>
              </w:rPr>
              <w:t>号）的相关内容</w:t>
            </w:r>
            <w:r>
              <w:rPr>
                <w:rFonts w:hint="default" w:ascii="Times New Roman" w:hAnsi="Times New Roman" w:eastAsia="宋体" w:cs="Times New Roman"/>
                <w:color w:val="000000" w:themeColor="text1"/>
                <w:highlight w:val="none"/>
                <w14:textFill>
                  <w14:solidFill>
                    <w14:schemeClr w14:val="tx1"/>
                  </w14:solidFill>
                </w14:textFill>
              </w:rPr>
              <w:t>相符合。</w:t>
            </w:r>
          </w:p>
          <w:p w14:paraId="09D433C0">
            <w:pPr>
              <w:pStyle w:val="103"/>
              <w:spacing w:line="360" w:lineRule="auto"/>
              <w:ind w:firstLine="482" w:firstLineChars="200"/>
              <w:jc w:val="left"/>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eastAsia" w:ascii="Times New Roman" w:hAnsi="Times New Roman" w:eastAsia="宋体" w:cs="Times New Roman"/>
                <w:b/>
                <w:bCs/>
                <w:color w:val="000000" w:themeColor="text1"/>
                <w:szCs w:val="24"/>
                <w:highlight w:val="none"/>
                <w:lang w:val="en-US" w:eastAsia="zh-CN"/>
                <w14:textFill>
                  <w14:solidFill>
                    <w14:schemeClr w14:val="tx1"/>
                  </w14:solidFill>
                </w14:textFill>
              </w:rPr>
              <w:t>4.</w:t>
            </w:r>
            <w:r>
              <w:rPr>
                <w:rFonts w:hint="default" w:ascii="Times New Roman" w:hAnsi="Times New Roman" w:eastAsia="宋体" w:cs="Times New Roman"/>
                <w:b/>
                <w:bCs/>
                <w:color w:val="000000" w:themeColor="text1"/>
                <w:sz w:val="24"/>
                <w:highlight w:val="none"/>
                <w14:textFill>
                  <w14:solidFill>
                    <w14:schemeClr w14:val="tx1"/>
                  </w14:solidFill>
                </w14:textFill>
              </w:rPr>
              <w:t>与《煤矸石综合利用技术政策要点》符合性分析</w:t>
            </w:r>
          </w:p>
          <w:p w14:paraId="072DB5E7">
            <w:pPr>
              <w:bidi w:val="0"/>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本项目与《煤矸石综合利用技术政策要点》符合性分析见下表。</w:t>
            </w:r>
          </w:p>
          <w:p w14:paraId="698E0A28">
            <w:pPr>
              <w:keepNext/>
              <w:keepLines/>
              <w:widowControl w:val="0"/>
              <w:numPr>
                <w:ilvl w:val="0"/>
                <w:numId w:val="0"/>
              </w:numPr>
              <w:bidi w:val="0"/>
              <w:spacing w:line="240" w:lineRule="auto"/>
              <w:ind w:left="0" w:leftChars="0" w:firstLine="402" w:firstLineChars="0"/>
              <w:jc w:val="center"/>
              <w:outlineLvl w:val="4"/>
              <w:rPr>
                <w:rFonts w:hint="default" w:ascii="Times New Roman" w:hAnsi="Times New Roman" w:eastAsia="宋体" w:cs="Times New Roman"/>
                <w:b/>
                <w:color w:val="000000" w:themeColor="text1"/>
                <w:kern w:val="0"/>
                <w:sz w:val="21"/>
                <w:szCs w:val="20"/>
                <w:highlight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0"/>
                <w:sz w:val="21"/>
                <w:szCs w:val="20"/>
                <w:highlight w:val="none"/>
                <w:lang w:val="en-US" w:eastAsia="zh-CN" w:bidi="ar-SA"/>
                <w14:textFill>
                  <w14:solidFill>
                    <w14:schemeClr w14:val="tx1"/>
                  </w14:solidFill>
                </w14:textFill>
              </w:rPr>
              <w:t>表1-</w:t>
            </w:r>
            <w:r>
              <w:rPr>
                <w:rFonts w:hint="eastAsia" w:cs="Times New Roman"/>
                <w:b/>
                <w:color w:val="000000" w:themeColor="text1"/>
                <w:kern w:val="0"/>
                <w:sz w:val="21"/>
                <w:szCs w:val="20"/>
                <w:highlight w:val="none"/>
                <w:lang w:val="en-US" w:eastAsia="zh-CN" w:bidi="ar-SA"/>
                <w14:textFill>
                  <w14:solidFill>
                    <w14:schemeClr w14:val="tx1"/>
                  </w14:solidFill>
                </w14:textFill>
              </w:rPr>
              <w:t>7</w:t>
            </w:r>
            <w:r>
              <w:rPr>
                <w:rFonts w:hint="default" w:ascii="Times New Roman" w:hAnsi="Times New Roman" w:eastAsia="宋体" w:cs="Times New Roman"/>
                <w:b/>
                <w:color w:val="000000" w:themeColor="text1"/>
                <w:kern w:val="0"/>
                <w:sz w:val="21"/>
                <w:szCs w:val="20"/>
                <w:highlight w:val="none"/>
                <w:lang w:val="en-US" w:eastAsia="zh-CN" w:bidi="ar-SA"/>
                <w14:textFill>
                  <w14:solidFill>
                    <w14:schemeClr w14:val="tx1"/>
                  </w14:solidFill>
                </w14:textFill>
              </w:rPr>
              <w:t>与《煤矸石综合利用技术政策要点》符合性分析</w:t>
            </w:r>
          </w:p>
          <w:tbl>
            <w:tblPr>
              <w:tblStyle w:val="24"/>
              <w:tblW w:w="4997"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29"/>
              <w:gridCol w:w="1900"/>
              <w:gridCol w:w="967"/>
            </w:tblGrid>
            <w:tr w14:paraId="6C90FF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160" w:type="pct"/>
                  <w:tcBorders>
                    <w:tl2br w:val="nil"/>
                    <w:tr2bl w:val="nil"/>
                  </w:tcBorders>
                  <w:noWrap w:val="0"/>
                  <w:vAlign w:val="center"/>
                </w:tcPr>
                <w:p w14:paraId="6942CADC">
                  <w:pPr>
                    <w:widowControl w:val="0"/>
                    <w:bidi w:val="0"/>
                    <w:spacing w:line="240" w:lineRule="auto"/>
                    <w:ind w:firstLine="0" w:firstLineChars="0"/>
                    <w:jc w:val="cente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t>相关要求</w:t>
                  </w:r>
                </w:p>
              </w:tc>
              <w:tc>
                <w:tcPr>
                  <w:tcW w:w="1218" w:type="pct"/>
                  <w:tcBorders>
                    <w:tl2br w:val="nil"/>
                    <w:tr2bl w:val="nil"/>
                  </w:tcBorders>
                  <w:noWrap w:val="0"/>
                  <w:vAlign w:val="center"/>
                </w:tcPr>
                <w:p w14:paraId="067771B6">
                  <w:pPr>
                    <w:widowControl w:val="0"/>
                    <w:bidi w:val="0"/>
                    <w:spacing w:line="240" w:lineRule="auto"/>
                    <w:ind w:firstLine="0" w:firstLineChars="0"/>
                    <w:jc w:val="cente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t>符合性分析</w:t>
                  </w:r>
                </w:p>
              </w:tc>
              <w:tc>
                <w:tcPr>
                  <w:tcW w:w="620" w:type="pct"/>
                  <w:tcBorders>
                    <w:tl2br w:val="nil"/>
                    <w:tr2bl w:val="nil"/>
                  </w:tcBorders>
                  <w:noWrap w:val="0"/>
                  <w:vAlign w:val="center"/>
                </w:tcPr>
                <w:p w14:paraId="62181961">
                  <w:pPr>
                    <w:widowControl w:val="0"/>
                    <w:bidi w:val="0"/>
                    <w:spacing w:line="240" w:lineRule="auto"/>
                    <w:ind w:firstLine="0" w:firstLineChars="0"/>
                    <w:jc w:val="cente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t>相符性</w:t>
                  </w:r>
                </w:p>
              </w:tc>
            </w:tr>
            <w:tr w14:paraId="506F2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60" w:type="pct"/>
                  <w:tcBorders>
                    <w:tl2br w:val="nil"/>
                    <w:tr2bl w:val="nil"/>
                  </w:tcBorders>
                  <w:noWrap w:val="0"/>
                  <w:vAlign w:val="center"/>
                </w:tcPr>
                <w:p w14:paraId="23796713">
                  <w:pPr>
                    <w:widowControl w:val="0"/>
                    <w:bidi w:val="0"/>
                    <w:spacing w:line="240" w:lineRule="auto"/>
                    <w:ind w:firstLine="0" w:firstLineChars="0"/>
                    <w:jc w:val="cente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t>煤矸石长期堆存，占用大量土地，同时造成自燃，污染大气和地下水质。煤矸石又是可利用的资源，其综合利用是资源综合利用的重要组成部分。大力开展煤矸石综合利用可以增加企业的经济效益，改善煤矿生产结构，分流煤矿富余人员，同时又可以减少土地压占，改善环境质量。因此，煤矸石综合利用是一项长期的技术政策。煤矸石综合利用要坚持“因地制宜，积极利用”的指导思想，实行“谁排放、谁治理”“谁利用、谁受益”的原则，将资源化利用与企业发展相结合，把资源化利用与污染治理相结合，实现经济效益、环境效益、社会效益的统一。</w:t>
                  </w:r>
                </w:p>
              </w:tc>
              <w:tc>
                <w:tcPr>
                  <w:tcW w:w="1218" w:type="pct"/>
                  <w:tcBorders>
                    <w:tl2br w:val="nil"/>
                    <w:tr2bl w:val="nil"/>
                  </w:tcBorders>
                  <w:noWrap w:val="0"/>
                  <w:vAlign w:val="center"/>
                </w:tcPr>
                <w:p w14:paraId="3BE1613C">
                  <w:pPr>
                    <w:widowControl w:val="0"/>
                    <w:bidi w:val="0"/>
                    <w:spacing w:line="240" w:lineRule="auto"/>
                    <w:ind w:firstLine="0" w:firstLineChars="0"/>
                    <w:jc w:val="cente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t>本项目原料来自内蒙古伊东高新材料</w:t>
                  </w:r>
                  <w:r>
                    <w:rPr>
                      <w:rFonts w:hint="eastAsia" w:cs="Times New Roman"/>
                      <w:b w:val="0"/>
                      <w:bCs w:val="0"/>
                      <w:color w:val="000000" w:themeColor="text1"/>
                      <w:kern w:val="2"/>
                      <w:sz w:val="21"/>
                      <w:szCs w:val="24"/>
                      <w:highlight w:val="none"/>
                      <w:lang w:val="en-US" w:eastAsia="zh-CN" w:bidi="ar-SA"/>
                      <w14:textFill>
                        <w14:solidFill>
                          <w14:schemeClr w14:val="tx1"/>
                        </w14:solidFill>
                      </w14:textFill>
                    </w:rPr>
                    <w:t>有限公司</w:t>
                  </w:r>
                  <w: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t>，采用</w:t>
                  </w:r>
                  <w:r>
                    <w:rPr>
                      <w:rFonts w:hint="eastAsia" w:cs="Times New Roman"/>
                      <w:b w:val="0"/>
                      <w:bCs w:val="0"/>
                      <w:color w:val="000000" w:themeColor="text1"/>
                      <w:kern w:val="2"/>
                      <w:sz w:val="21"/>
                      <w:szCs w:val="24"/>
                      <w:highlight w:val="none"/>
                      <w:lang w:val="en-US" w:eastAsia="zh-CN" w:bidi="ar-SA"/>
                      <w14:textFill>
                        <w14:solidFill>
                          <w14:schemeClr w14:val="tx1"/>
                        </w14:solidFill>
                      </w14:textFill>
                    </w:rPr>
                    <w:t>“</w:t>
                  </w:r>
                  <w: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t>四级预热器+悬浮炉＋回转窑焙烧＋高温粉体对流式急冷换热装置</w:t>
                  </w:r>
                  <w:r>
                    <w:rPr>
                      <w:rFonts w:hint="eastAsia" w:cs="Times New Roman"/>
                      <w:b w:val="0"/>
                      <w:bCs w:val="0"/>
                      <w:color w:val="000000" w:themeColor="text1"/>
                      <w:kern w:val="2"/>
                      <w:sz w:val="21"/>
                      <w:szCs w:val="24"/>
                      <w:highlight w:val="none"/>
                      <w:lang w:val="en-US" w:eastAsia="zh-CN" w:bidi="ar-SA"/>
                      <w14:textFill>
                        <w14:solidFill>
                          <w14:schemeClr w14:val="tx1"/>
                        </w14:solidFill>
                      </w14:textFill>
                    </w:rPr>
                    <w:t>”</w:t>
                  </w:r>
                  <w: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t>制备高活性</w:t>
                  </w:r>
                  <w:r>
                    <w:rPr>
                      <w:rFonts w:hint="eastAsia" w:cs="Times New Roman"/>
                      <w:b w:val="0"/>
                      <w:bCs w:val="0"/>
                      <w:color w:val="000000" w:themeColor="text1"/>
                      <w:kern w:val="2"/>
                      <w:sz w:val="21"/>
                      <w:szCs w:val="24"/>
                      <w:highlight w:val="none"/>
                      <w:lang w:val="en-US" w:eastAsia="zh-CN" w:bidi="ar-SA"/>
                      <w14:textFill>
                        <w14:solidFill>
                          <w14:schemeClr w14:val="tx1"/>
                        </w14:solidFill>
                      </w14:textFill>
                    </w:rPr>
                    <w:t>高岭土。</w:t>
                  </w:r>
                </w:p>
              </w:tc>
              <w:tc>
                <w:tcPr>
                  <w:tcW w:w="620" w:type="pct"/>
                  <w:tcBorders>
                    <w:tl2br w:val="nil"/>
                    <w:tr2bl w:val="nil"/>
                  </w:tcBorders>
                  <w:noWrap w:val="0"/>
                  <w:vAlign w:val="center"/>
                </w:tcPr>
                <w:p w14:paraId="3E00D299">
                  <w:pPr>
                    <w:widowControl w:val="0"/>
                    <w:bidi w:val="0"/>
                    <w:spacing w:line="240" w:lineRule="auto"/>
                    <w:ind w:firstLine="0" w:firstLineChars="0"/>
                    <w:jc w:val="cente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t>符合</w:t>
                  </w:r>
                </w:p>
              </w:tc>
            </w:tr>
          </w:tbl>
          <w:p w14:paraId="211E8C7D">
            <w:pPr>
              <w:bidi w:val="0"/>
              <w:spacing w:line="360" w:lineRule="auto"/>
              <w:ind w:firstLine="482" w:firstLineChars="200"/>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t>5.</w:t>
            </w:r>
            <w:r>
              <w:rPr>
                <w:rFonts w:hint="default" w:ascii="Times New Roman" w:hAnsi="Times New Roman" w:eastAsia="宋体" w:cs="Times New Roman"/>
                <w:b/>
                <w:bCs/>
                <w:color w:val="000000" w:themeColor="text1"/>
                <w:sz w:val="24"/>
                <w:highlight w:val="none"/>
                <w14:textFill>
                  <w14:solidFill>
                    <w14:schemeClr w14:val="tx1"/>
                  </w14:solidFill>
                </w14:textFill>
              </w:rPr>
              <w:t>与《煤矸石综合利用管理办法》</w:t>
            </w:r>
            <w:r>
              <w:rPr>
                <w:rFonts w:hint="default" w:ascii="Times New Roman" w:hAnsi="Times New Roman" w:eastAsia="宋体" w:cs="Times New Roman"/>
                <w:b/>
                <w:bCs/>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b/>
                <w:bCs/>
                <w:color w:val="000000" w:themeColor="text1"/>
                <w:sz w:val="24"/>
                <w:highlight w:val="none"/>
                <w14:textFill>
                  <w14:solidFill>
                    <w14:schemeClr w14:val="tx1"/>
                  </w14:solidFill>
                </w14:textFill>
              </w:rPr>
              <w:t>2014年修订版</w:t>
            </w:r>
            <w:r>
              <w:rPr>
                <w:rFonts w:hint="default" w:ascii="Times New Roman" w:hAnsi="Times New Roman" w:eastAsia="宋体" w:cs="Times New Roman"/>
                <w:b/>
                <w:bCs/>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b/>
                <w:bCs/>
                <w:color w:val="000000" w:themeColor="text1"/>
                <w:sz w:val="24"/>
                <w:highlight w:val="none"/>
                <w14:textFill>
                  <w14:solidFill>
                    <w14:schemeClr w14:val="tx1"/>
                  </w14:solidFill>
                </w14:textFill>
              </w:rPr>
              <w:t>符合性分析</w:t>
            </w:r>
          </w:p>
          <w:p w14:paraId="6322CAA1">
            <w:pPr>
              <w:bidi w:val="0"/>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本项目与《煤矸石综合利用管理办法》</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2014年修订版</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符合性分析见下表。</w:t>
            </w:r>
          </w:p>
          <w:p w14:paraId="4F7D3097">
            <w:pPr>
              <w:keepNext/>
              <w:keepLines/>
              <w:widowControl w:val="0"/>
              <w:numPr>
                <w:ilvl w:val="0"/>
                <w:numId w:val="0"/>
              </w:numPr>
              <w:bidi w:val="0"/>
              <w:spacing w:line="240" w:lineRule="auto"/>
              <w:ind w:left="0" w:leftChars="0" w:firstLine="402" w:firstLineChars="0"/>
              <w:jc w:val="center"/>
              <w:outlineLvl w:val="4"/>
              <w:rPr>
                <w:rFonts w:hint="default" w:ascii="Times New Roman" w:hAnsi="Times New Roman" w:eastAsia="宋体" w:cs="Times New Roman"/>
                <w:b/>
                <w:color w:val="000000" w:themeColor="text1"/>
                <w:kern w:val="0"/>
                <w:sz w:val="21"/>
                <w:szCs w:val="20"/>
                <w:highlight w:val="none"/>
                <w:lang w:val="en-US" w:eastAsia="zh-CN" w:bidi="ar-SA"/>
                <w14:textFill>
                  <w14:solidFill>
                    <w14:schemeClr w14:val="tx1"/>
                  </w14:solidFill>
                </w14:textFill>
              </w:rPr>
            </w:pPr>
            <w:r>
              <w:rPr>
                <w:rFonts w:hint="default" w:ascii="Times New Roman" w:hAnsi="Times New Roman" w:eastAsia="宋体" w:cs="Times New Roman"/>
                <w:b/>
                <w:color w:val="000000" w:themeColor="text1"/>
                <w:kern w:val="0"/>
                <w:sz w:val="21"/>
                <w:szCs w:val="20"/>
                <w:highlight w:val="none"/>
                <w:lang w:val="en-US" w:eastAsia="zh-CN" w:bidi="ar-SA"/>
                <w14:textFill>
                  <w14:solidFill>
                    <w14:schemeClr w14:val="tx1"/>
                  </w14:solidFill>
                </w14:textFill>
              </w:rPr>
              <w:t>表1-</w:t>
            </w:r>
            <w:r>
              <w:rPr>
                <w:rFonts w:hint="eastAsia" w:cs="Times New Roman"/>
                <w:b/>
                <w:color w:val="000000" w:themeColor="text1"/>
                <w:kern w:val="0"/>
                <w:sz w:val="21"/>
                <w:szCs w:val="20"/>
                <w:highlight w:val="none"/>
                <w:lang w:val="en-US" w:eastAsia="zh-CN" w:bidi="ar-SA"/>
                <w14:textFill>
                  <w14:solidFill>
                    <w14:schemeClr w14:val="tx1"/>
                  </w14:solidFill>
                </w14:textFill>
              </w:rPr>
              <w:t>8</w:t>
            </w:r>
            <w:r>
              <w:rPr>
                <w:rFonts w:hint="default" w:ascii="Times New Roman" w:hAnsi="Times New Roman" w:eastAsia="宋体" w:cs="Times New Roman"/>
                <w:b/>
                <w:color w:val="000000" w:themeColor="text1"/>
                <w:kern w:val="0"/>
                <w:sz w:val="21"/>
                <w:szCs w:val="20"/>
                <w:highlight w:val="none"/>
                <w:lang w:val="en-US" w:eastAsia="zh-CN" w:bidi="ar-SA"/>
                <w14:textFill>
                  <w14:solidFill>
                    <w14:schemeClr w14:val="tx1"/>
                  </w14:solidFill>
                </w14:textFill>
              </w:rPr>
              <w:t>与《煤矸石综合利用管理办法》（2014年修订版）符合性分析</w:t>
            </w:r>
          </w:p>
          <w:tbl>
            <w:tblPr>
              <w:tblStyle w:val="24"/>
              <w:tblW w:w="4997"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69"/>
              <w:gridCol w:w="1660"/>
              <w:gridCol w:w="967"/>
            </w:tblGrid>
            <w:tr w14:paraId="6A51A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14" w:type="pct"/>
                  <w:tcBorders>
                    <w:tl2br w:val="nil"/>
                    <w:tr2bl w:val="nil"/>
                  </w:tcBorders>
                  <w:noWrap w:val="0"/>
                  <w:vAlign w:val="center"/>
                </w:tcPr>
                <w:p w14:paraId="4C48E26F">
                  <w:pPr>
                    <w:widowControl w:val="0"/>
                    <w:bidi w:val="0"/>
                    <w:spacing w:line="240" w:lineRule="auto"/>
                    <w:ind w:firstLine="0" w:firstLineChars="0"/>
                    <w:jc w:val="cente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t>相关要求</w:t>
                  </w:r>
                </w:p>
              </w:tc>
              <w:tc>
                <w:tcPr>
                  <w:tcW w:w="1064" w:type="pct"/>
                  <w:tcBorders>
                    <w:tl2br w:val="nil"/>
                    <w:tr2bl w:val="nil"/>
                  </w:tcBorders>
                  <w:noWrap w:val="0"/>
                  <w:vAlign w:val="center"/>
                </w:tcPr>
                <w:p w14:paraId="29862354">
                  <w:pPr>
                    <w:widowControl w:val="0"/>
                    <w:bidi w:val="0"/>
                    <w:spacing w:line="240" w:lineRule="auto"/>
                    <w:ind w:firstLine="0" w:firstLineChars="0"/>
                    <w:jc w:val="cente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t>符合性分析</w:t>
                  </w:r>
                </w:p>
              </w:tc>
              <w:tc>
                <w:tcPr>
                  <w:tcW w:w="620" w:type="pct"/>
                  <w:tcBorders>
                    <w:tl2br w:val="nil"/>
                    <w:tr2bl w:val="nil"/>
                  </w:tcBorders>
                  <w:noWrap w:val="0"/>
                  <w:vAlign w:val="center"/>
                </w:tcPr>
                <w:p w14:paraId="27D622C5">
                  <w:pPr>
                    <w:widowControl w:val="0"/>
                    <w:bidi w:val="0"/>
                    <w:spacing w:line="240" w:lineRule="auto"/>
                    <w:ind w:firstLine="0" w:firstLineChars="0"/>
                    <w:jc w:val="cente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t>相符性</w:t>
                  </w:r>
                </w:p>
              </w:tc>
            </w:tr>
            <w:tr w14:paraId="3EE77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14" w:type="pct"/>
                  <w:tcBorders>
                    <w:tl2br w:val="nil"/>
                    <w:tr2bl w:val="nil"/>
                  </w:tcBorders>
                  <w:noWrap w:val="0"/>
                  <w:vAlign w:val="center"/>
                </w:tcPr>
                <w:p w14:paraId="7A35AAC6">
                  <w:pPr>
                    <w:widowControl w:val="0"/>
                    <w:bidi w:val="0"/>
                    <w:spacing w:line="240" w:lineRule="auto"/>
                    <w:ind w:firstLine="0" w:firstLineChars="0"/>
                    <w:jc w:val="cente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t>《煤矸石综合利用管理办法》（2014年修订版）所称煤矸石综合利用，是指利用煤矸石进行井下充填、发电、生产建筑材料、回收矿产品、制取化工产品、筑路、土地复垦等。</w:t>
                  </w:r>
                </w:p>
              </w:tc>
              <w:tc>
                <w:tcPr>
                  <w:tcW w:w="1064" w:type="pct"/>
                  <w:tcBorders>
                    <w:tl2br w:val="nil"/>
                    <w:tr2bl w:val="nil"/>
                  </w:tcBorders>
                  <w:noWrap w:val="0"/>
                  <w:vAlign w:val="center"/>
                </w:tcPr>
                <w:p w14:paraId="5756481A">
                  <w:pPr>
                    <w:widowControl w:val="0"/>
                    <w:bidi w:val="0"/>
                    <w:spacing w:line="240" w:lineRule="auto"/>
                    <w:ind w:firstLine="0" w:firstLineChars="0"/>
                    <w:jc w:val="both"/>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t>项目属于从煤矸石中回收高附加值高岭土。</w:t>
                  </w:r>
                </w:p>
              </w:tc>
              <w:tc>
                <w:tcPr>
                  <w:tcW w:w="620" w:type="pct"/>
                  <w:tcBorders>
                    <w:tl2br w:val="nil"/>
                    <w:tr2bl w:val="nil"/>
                  </w:tcBorders>
                  <w:noWrap w:val="0"/>
                  <w:vAlign w:val="center"/>
                </w:tcPr>
                <w:p w14:paraId="7F5B102A">
                  <w:pPr>
                    <w:widowControl w:val="0"/>
                    <w:bidi w:val="0"/>
                    <w:spacing w:line="240" w:lineRule="auto"/>
                    <w:ind w:firstLine="0" w:firstLineChars="0"/>
                    <w:jc w:val="cente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t>符合</w:t>
                  </w:r>
                </w:p>
              </w:tc>
            </w:tr>
            <w:tr w14:paraId="6FE5B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8" w:hRule="atLeast"/>
              </w:trPr>
              <w:tc>
                <w:tcPr>
                  <w:tcW w:w="3314" w:type="pct"/>
                  <w:tcBorders>
                    <w:tl2br w:val="nil"/>
                    <w:tr2bl w:val="nil"/>
                  </w:tcBorders>
                  <w:noWrap w:val="0"/>
                  <w:vAlign w:val="center"/>
                </w:tcPr>
                <w:p w14:paraId="5E342808">
                  <w:pPr>
                    <w:widowControl w:val="0"/>
                    <w:bidi w:val="0"/>
                    <w:spacing w:line="240" w:lineRule="auto"/>
                    <w:ind w:firstLine="0" w:firstLineChars="0"/>
                    <w:jc w:val="cente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t>《煤矸石综合利用管理办法》（2014年修订版）第十七条国家鼓励煤矸石大宗利用和高附加值利用：（一）煤矸石井下充填；（二）煤矸石循环流化床发电和热电联产；（三）煤矸石生产建筑材料；（四）从煤矸石中回收矿产品；（五）煤矸石土地复垦及矸石山生态环境恢复；（六）其他大宗、高附加值利用方式。</w:t>
                  </w:r>
                </w:p>
              </w:tc>
              <w:tc>
                <w:tcPr>
                  <w:tcW w:w="1064" w:type="pct"/>
                  <w:tcBorders>
                    <w:tl2br w:val="nil"/>
                    <w:tr2bl w:val="nil"/>
                  </w:tcBorders>
                  <w:noWrap w:val="0"/>
                  <w:vAlign w:val="center"/>
                </w:tcPr>
                <w:p w14:paraId="22745A2C">
                  <w:pPr>
                    <w:widowControl w:val="0"/>
                    <w:bidi w:val="0"/>
                    <w:spacing w:line="240" w:lineRule="auto"/>
                    <w:ind w:firstLine="0" w:firstLineChars="0"/>
                    <w:jc w:val="cente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t>项目属于（六）其他大宗、高附加值利用方式。</w:t>
                  </w:r>
                </w:p>
              </w:tc>
              <w:tc>
                <w:tcPr>
                  <w:tcW w:w="620" w:type="pct"/>
                  <w:tcBorders>
                    <w:tl2br w:val="nil"/>
                    <w:tr2bl w:val="nil"/>
                  </w:tcBorders>
                  <w:noWrap w:val="0"/>
                  <w:vAlign w:val="center"/>
                </w:tcPr>
                <w:p w14:paraId="56A0A173">
                  <w:pPr>
                    <w:widowControl w:val="0"/>
                    <w:bidi w:val="0"/>
                    <w:spacing w:line="240" w:lineRule="auto"/>
                    <w:ind w:firstLine="0" w:firstLineChars="0"/>
                    <w:jc w:val="cente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4"/>
                      <w:highlight w:val="none"/>
                      <w:lang w:val="en-US" w:eastAsia="zh-CN" w:bidi="ar-SA"/>
                      <w14:textFill>
                        <w14:solidFill>
                          <w14:schemeClr w14:val="tx1"/>
                        </w14:solidFill>
                      </w14:textFill>
                    </w:rPr>
                    <w:t>符合</w:t>
                  </w:r>
                </w:p>
              </w:tc>
            </w:tr>
          </w:tbl>
          <w:p w14:paraId="4938733F">
            <w:pPr>
              <w:bidi w:val="0"/>
              <w:spacing w:line="360" w:lineRule="auto"/>
              <w:ind w:firstLine="482" w:firstLineChars="200"/>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t>6.</w:t>
            </w: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与《</w:t>
            </w:r>
            <w:r>
              <w:rPr>
                <w:rFonts w:hint="default" w:ascii="Times New Roman" w:hAnsi="Times New Roman" w:eastAsia="宋体" w:cs="Times New Roman"/>
                <w:b/>
                <w:bCs/>
                <w:color w:val="000000" w:themeColor="text1"/>
                <w:sz w:val="24"/>
                <w:highlight w:val="none"/>
                <w14:textFill>
                  <w14:solidFill>
                    <w14:schemeClr w14:val="tx1"/>
                  </w14:solidFill>
                </w14:textFill>
              </w:rPr>
              <w:t>自治区关于加强固废资源化利用的政策体系</w:t>
            </w: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b/>
                <w:bCs/>
                <w:color w:val="000000" w:themeColor="text1"/>
                <w:sz w:val="24"/>
                <w:highlight w:val="none"/>
                <w14:textFill>
                  <w14:solidFill>
                    <w14:schemeClr w14:val="tx1"/>
                  </w14:solidFill>
                </w14:textFill>
              </w:rPr>
              <w:t>符合性分析</w:t>
            </w:r>
          </w:p>
          <w:p w14:paraId="71D30173">
            <w:pPr>
              <w:bidi w:val="0"/>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近年来，自治区党委、政府深入贯彻习近平生态文明思想和习近平总书记关于内蒙古重要讲话重要指示批示精神，认真落实党中央、国务院决策部署，践行绿水青山就是金山银山理念，大力支持加强固废资源化利用，不断健全完善综合利用产业体系、政策制度和长效机制。在《内蒙古自治区环境保护条例》《内蒙古自治区固体废物污染环境防治条例》，以及《内蒙古自治区生态环境保护“十四五”规划》（内政办发〔2021〕51号）等政策文件和重要规划中，分别明确了一般工业固废综合利用工作部署要求，提出加强固体废物资源化利用，最大限度</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地</w:t>
            </w:r>
            <w:r>
              <w:rPr>
                <w:rFonts w:hint="default" w:ascii="Times New Roman" w:hAnsi="Times New Roman" w:eastAsia="宋体" w:cs="Times New Roman"/>
                <w:color w:val="000000" w:themeColor="text1"/>
                <w:sz w:val="24"/>
                <w:highlight w:val="none"/>
                <w14:textFill>
                  <w14:solidFill>
                    <w14:schemeClr w14:val="tx1"/>
                  </w14:solidFill>
                </w14:textFill>
              </w:rPr>
              <w:t>减少填埋量。要求推进全区大宗固废增量消纳和存量治理，加大黄河流域7盟市大宗固废的综合整治力度，健全长效监管制度。完善和落实有关鼓励固体废物综合利用和处置的优惠政策。要求以煤矸石、粉煤灰、冶炼废渣、建筑垃圾等为重点建设综合利用示范。到2025年，工业固废综合利用率达到50%以上。</w:t>
            </w:r>
          </w:p>
          <w:p w14:paraId="0401A314">
            <w:pPr>
              <w:bidi w:val="0"/>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从“十四五”期间自治区先后印发实施的多部发展规划及政策文件可以看出，自治区把加快提升完善一般工业固废综合利用设施建设，不断提高资源化利用水平作为推进建筑垃圾综合利用工作的重要抓手。本项目作为规模化产业化的</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煤矸石</w:t>
            </w:r>
            <w:r>
              <w:rPr>
                <w:rFonts w:hint="default" w:ascii="Times New Roman" w:hAnsi="Times New Roman" w:eastAsia="宋体" w:cs="Times New Roman"/>
                <w:color w:val="000000" w:themeColor="text1"/>
                <w:sz w:val="24"/>
                <w:highlight w:val="none"/>
                <w14:textFill>
                  <w14:solidFill>
                    <w14:schemeClr w14:val="tx1"/>
                  </w14:solidFill>
                </w14:textFill>
              </w:rPr>
              <w:t>固废综合利用</w:t>
            </w:r>
            <w:r>
              <w:rPr>
                <w:rFonts w:hint="eastAsia" w:cs="Times New Roman"/>
                <w:color w:val="000000" w:themeColor="text1"/>
                <w:sz w:val="24"/>
                <w:highlight w:val="none"/>
                <w:lang w:val="en-US" w:eastAsia="zh-CN"/>
                <w14:textFill>
                  <w14:solidFill>
                    <w14:schemeClr w14:val="tx1"/>
                  </w14:solidFill>
                </w14:textFill>
              </w:rPr>
              <w:t>产业链下游</w:t>
            </w:r>
            <w:r>
              <w:rPr>
                <w:rFonts w:hint="default" w:ascii="Times New Roman" w:hAnsi="Times New Roman" w:eastAsia="宋体" w:cs="Times New Roman"/>
                <w:color w:val="000000" w:themeColor="text1"/>
                <w:sz w:val="24"/>
                <w:highlight w:val="none"/>
                <w14:textFill>
                  <w14:solidFill>
                    <w14:schemeClr w14:val="tx1"/>
                  </w14:solidFill>
                </w14:textFill>
              </w:rPr>
              <w:t>生产企业，采用</w:t>
            </w:r>
            <w:r>
              <w:rPr>
                <w:rFonts w:hint="eastAsia"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四级预热器+悬浮炉＋回转窑焙烧＋高温粉体对流式急冷换热装置</w:t>
            </w:r>
            <w:r>
              <w:rPr>
                <w:rFonts w:hint="eastAsia"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制备煤矸石悬浮脱碳煅烧高活性高岭土</w:t>
            </w:r>
            <w:r>
              <w:rPr>
                <w:rFonts w:hint="eastAsia" w:cs="Times New Roman"/>
                <w:color w:val="000000" w:themeColor="text1"/>
                <w:sz w:val="24"/>
                <w:highlight w:val="none"/>
                <w:lang w:eastAsia="zh-CN"/>
                <w14:textFill>
                  <w14:solidFill>
                    <w14:schemeClr w14:val="tx1"/>
                  </w14:solidFill>
                </w14:textFill>
              </w:rPr>
              <w:t>的生产工艺，分</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选出高岭土外售，</w:t>
            </w:r>
            <w:r>
              <w:rPr>
                <w:rFonts w:hint="default" w:ascii="Times New Roman" w:hAnsi="Times New Roman" w:eastAsia="宋体" w:cs="Times New Roman"/>
                <w:color w:val="000000" w:themeColor="text1"/>
                <w:sz w:val="24"/>
                <w:highlight w:val="none"/>
                <w14:textFill>
                  <w14:solidFill>
                    <w14:schemeClr w14:val="tx1"/>
                  </w14:solidFill>
                </w14:textFill>
              </w:rPr>
              <w:t>实现分类分质利用和全部资源化利用。本项目完全符合自治区关于加强一般工业固废资源化利用的政策规划体系，并朝着最大程度资源化利用，最高价值规模化利用的方向发展。</w:t>
            </w:r>
          </w:p>
          <w:p w14:paraId="656F1662">
            <w:pPr>
              <w:bidi w:val="0"/>
              <w:spacing w:line="360" w:lineRule="auto"/>
              <w:ind w:firstLine="482" w:firstLineChars="200"/>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t>7.</w:t>
            </w: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与《</w:t>
            </w:r>
            <w:r>
              <w:rPr>
                <w:rFonts w:hint="default" w:ascii="Times New Roman" w:hAnsi="Times New Roman" w:eastAsia="宋体" w:cs="Times New Roman"/>
                <w:b/>
                <w:bCs/>
                <w:color w:val="000000" w:themeColor="text1"/>
                <w:sz w:val="24"/>
                <w:highlight w:val="none"/>
                <w14:textFill>
                  <w14:solidFill>
                    <w14:schemeClr w14:val="tx1"/>
                  </w14:solidFill>
                </w14:textFill>
              </w:rPr>
              <w:t>鄂尔多斯市的发展规划和产业定位</w:t>
            </w:r>
            <w:r>
              <w:rPr>
                <w:rFonts w:hint="default" w:ascii="Times New Roman" w:hAnsi="Times New Roman" w:eastAsia="宋体" w:cs="Times New Roman"/>
                <w:b/>
                <w:bCs/>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b/>
                <w:bCs/>
                <w:color w:val="000000" w:themeColor="text1"/>
                <w:sz w:val="24"/>
                <w:highlight w:val="none"/>
                <w14:textFill>
                  <w14:solidFill>
                    <w14:schemeClr w14:val="tx1"/>
                  </w14:solidFill>
                </w14:textFill>
              </w:rPr>
              <w:t>符合性分析</w:t>
            </w:r>
          </w:p>
          <w:p w14:paraId="37599DA1">
            <w:pPr>
              <w:bidi w:val="0"/>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鄂尔多斯市高度重视煤基固废综合利用工作，协同推进“无废城市”建设，推动绿色低碳循环发展，加快生态文明示范市和国家可持续发展议程创新示范区建设步伐。《鄂尔多斯市人民政府办公室关于印发鄂尔多斯市“十四五”时期“无废城市”建设实施方案的通知》（鄂府办发〔2022〕176号）提出大力推动重点行业一般工业固体废物源头减量化和资源化高效综合利用，到2025年，一般工业固体废物综合利用率达到57%以上。从落实税收政策、加大对项目的资金支持力度</w:t>
            </w:r>
            <w:r>
              <w:rPr>
                <w:rFonts w:hint="eastAsia"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加大奖补等方面支持项目建设及企业发展。《鄂尔多斯市推进一般工业固体废物资源综合利用办法（试行）》（鄂府发〔2022〕119号）鼓励和支持企业投资建设一般工业</w:t>
            </w:r>
            <w:r>
              <w:rPr>
                <w:rFonts w:hint="eastAsia" w:ascii="Times New Roman" w:hAnsi="Times New Roman" w:eastAsia="宋体" w:cs="Times New Roman"/>
                <w:color w:val="000000" w:themeColor="text1"/>
                <w:sz w:val="24"/>
                <w:highlight w:val="none"/>
                <w:lang w:eastAsia="zh-CN"/>
                <w14:textFill>
                  <w14:solidFill>
                    <w14:schemeClr w14:val="tx1"/>
                  </w14:solidFill>
                </w14:textFill>
              </w:rPr>
              <w:t>固体</w:t>
            </w:r>
            <w:r>
              <w:rPr>
                <w:rFonts w:hint="default" w:ascii="Times New Roman" w:hAnsi="Times New Roman" w:eastAsia="宋体" w:cs="Times New Roman"/>
                <w:color w:val="000000" w:themeColor="text1"/>
                <w:sz w:val="24"/>
                <w:highlight w:val="none"/>
                <w14:textFill>
                  <w14:solidFill>
                    <w14:schemeClr w14:val="tx1"/>
                  </w14:solidFill>
                </w14:textFill>
              </w:rPr>
              <w:t>废物资源综合利用项目，开展技术创新活动，推动煤矸石等大宗工业固体废物综合利用水平得到明显提高，制度、技术、市场、监管体系日趋完善，项目协同、产业联动形成较大规模</w:t>
            </w:r>
            <w:r>
              <w:rPr>
                <w:rFonts w:hint="eastAsia" w:ascii="Times New Roman" w:hAnsi="Times New Roman" w:eastAsia="宋体" w:cs="Times New Roman"/>
                <w:color w:val="000000" w:themeColor="text1"/>
                <w:sz w:val="24"/>
                <w:highlight w:val="none"/>
                <w:lang w:eastAsia="zh-CN"/>
                <w14:textFill>
                  <w14:solidFill>
                    <w14:schemeClr w14:val="tx1"/>
                  </w14:solidFill>
                </w14:textFill>
              </w:rPr>
              <w:t>，将</w:t>
            </w:r>
            <w:r>
              <w:rPr>
                <w:rFonts w:hint="default" w:ascii="Times New Roman" w:hAnsi="Times New Roman" w:eastAsia="宋体" w:cs="Times New Roman"/>
                <w:color w:val="000000" w:themeColor="text1"/>
                <w:sz w:val="24"/>
                <w:highlight w:val="none"/>
                <w14:textFill>
                  <w14:solidFill>
                    <w14:schemeClr w14:val="tx1"/>
                  </w14:solidFill>
                </w14:textFill>
              </w:rPr>
              <w:t>固废产业打造</w:t>
            </w:r>
            <w:r>
              <w:rPr>
                <w:rFonts w:hint="eastAsia" w:cs="Times New Roman"/>
                <w:color w:val="000000" w:themeColor="text1"/>
                <w:sz w:val="24"/>
                <w:highlight w:val="none"/>
                <w:lang w:eastAsia="zh-CN"/>
                <w14:textFill>
                  <w14:solidFill>
                    <w14:schemeClr w14:val="tx1"/>
                  </w14:solidFill>
                </w14:textFill>
              </w:rPr>
              <w:t>成</w:t>
            </w:r>
            <w:r>
              <w:rPr>
                <w:rFonts w:hint="default" w:ascii="Times New Roman" w:hAnsi="Times New Roman" w:eastAsia="宋体" w:cs="Times New Roman"/>
                <w:color w:val="000000" w:themeColor="text1"/>
                <w:sz w:val="24"/>
                <w:highlight w:val="none"/>
                <w14:textFill>
                  <w14:solidFill>
                    <w14:schemeClr w14:val="tx1"/>
                  </w14:solidFill>
                </w14:textFill>
              </w:rPr>
              <w:t>新的经济增长点。</w:t>
            </w:r>
          </w:p>
          <w:p w14:paraId="01C3F313">
            <w:pPr>
              <w:bidi w:val="0"/>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本项目实施后，每年能够稳定利用一定规模的煤基</w:t>
            </w:r>
            <w:r>
              <w:rPr>
                <w:rFonts w:hint="eastAsia" w:cs="Times New Roman"/>
                <w:color w:val="000000" w:themeColor="text1"/>
                <w:sz w:val="24"/>
                <w:highlight w:val="none"/>
                <w:lang w:val="en-US" w:eastAsia="zh-CN"/>
                <w14:textFill>
                  <w14:solidFill>
                    <w14:schemeClr w14:val="tx1"/>
                  </w14:solidFill>
                </w14:textFill>
              </w:rPr>
              <w:t>高岭土</w:t>
            </w:r>
            <w:r>
              <w:rPr>
                <w:rFonts w:hint="default" w:ascii="Times New Roman" w:hAnsi="Times New Roman" w:eastAsia="宋体" w:cs="Times New Roman"/>
                <w:color w:val="000000" w:themeColor="text1"/>
                <w:sz w:val="24"/>
                <w:highlight w:val="none"/>
                <w14:textFill>
                  <w14:solidFill>
                    <w14:schemeClr w14:val="tx1"/>
                  </w14:solidFill>
                </w14:textFill>
              </w:rPr>
              <w:t>，并根据不同粒度和不同热值等特性，采用</w:t>
            </w:r>
            <w:r>
              <w:rPr>
                <w:rFonts w:hint="eastAsia" w:cs="Times New Roman"/>
                <w:color w:val="000000" w:themeColor="text1"/>
                <w:sz w:val="24"/>
                <w:highlight w:val="none"/>
                <w:lang w:eastAsia="zh-CN"/>
                <w14:textFill>
                  <w14:solidFill>
                    <w14:schemeClr w14:val="tx1"/>
                  </w14:solidFill>
                </w14:textFill>
              </w:rPr>
              <w:t>“四级预热器+悬浮炉＋回转窑焙烧＋高温粉体对流式急冷换热装置”</w:t>
            </w:r>
            <w:r>
              <w:rPr>
                <w:rFonts w:hint="default" w:ascii="Times New Roman" w:hAnsi="Times New Roman" w:eastAsia="宋体" w:cs="Times New Roman"/>
                <w:color w:val="000000" w:themeColor="text1"/>
                <w:sz w:val="24"/>
                <w:highlight w:val="none"/>
                <w14:textFill>
                  <w14:solidFill>
                    <w14:schemeClr w14:val="tx1"/>
                  </w14:solidFill>
                </w14:textFill>
              </w:rPr>
              <w:t>制备煤矸石悬浮脱碳煅烧高活性高岭土</w:t>
            </w:r>
            <w:r>
              <w:rPr>
                <w:rFonts w:hint="eastAsia" w:cs="Times New Roman"/>
                <w:color w:val="000000" w:themeColor="text1"/>
                <w:sz w:val="24"/>
                <w:highlight w:val="none"/>
                <w:lang w:eastAsia="zh-CN"/>
                <w14:textFill>
                  <w14:solidFill>
                    <w14:schemeClr w14:val="tx1"/>
                  </w14:solidFill>
                </w14:textFill>
              </w:rPr>
              <w:t>的生产工艺，实现</w:t>
            </w:r>
            <w:r>
              <w:rPr>
                <w:rFonts w:hint="default" w:ascii="Times New Roman" w:hAnsi="Times New Roman" w:eastAsia="宋体" w:cs="Times New Roman"/>
                <w:color w:val="000000" w:themeColor="text1"/>
                <w:sz w:val="24"/>
                <w:highlight w:val="none"/>
                <w14:textFill>
                  <w14:solidFill>
                    <w14:schemeClr w14:val="tx1"/>
                  </w14:solidFill>
                </w14:textFill>
              </w:rPr>
              <w:t>分质资源化利用，工艺成熟可靠，选用设备稳定高效，生产能耗低。项目能够</w:t>
            </w:r>
            <w:r>
              <w:rPr>
                <w:rFonts w:hint="eastAsia" w:cs="Times New Roman"/>
                <w:color w:val="000000" w:themeColor="text1"/>
                <w:sz w:val="24"/>
                <w:highlight w:val="none"/>
                <w:lang w:eastAsia="zh-CN"/>
                <w14:textFill>
                  <w14:solidFill>
                    <w14:schemeClr w14:val="tx1"/>
                  </w14:solidFill>
                </w14:textFill>
              </w:rPr>
              <w:t>实现</w:t>
            </w:r>
            <w:r>
              <w:rPr>
                <w:rFonts w:hint="default" w:ascii="Times New Roman" w:hAnsi="Times New Roman" w:eastAsia="宋体" w:cs="Times New Roman"/>
                <w:color w:val="000000" w:themeColor="text1"/>
                <w:sz w:val="24"/>
                <w:highlight w:val="none"/>
                <w14:textFill>
                  <w14:solidFill>
                    <w14:schemeClr w14:val="tx1"/>
                  </w14:solidFill>
                </w14:textFill>
              </w:rPr>
              <w:t>煤基</w:t>
            </w:r>
            <w:r>
              <w:rPr>
                <w:rFonts w:hint="eastAsia" w:cs="Times New Roman"/>
                <w:color w:val="000000" w:themeColor="text1"/>
                <w:sz w:val="24"/>
                <w:highlight w:val="none"/>
                <w:lang w:val="en-US" w:eastAsia="zh-CN"/>
                <w14:textFill>
                  <w14:solidFill>
                    <w14:schemeClr w14:val="tx1"/>
                  </w14:solidFill>
                </w14:textFill>
              </w:rPr>
              <w:t>高岭土</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下游配套产业</w:t>
            </w:r>
            <w:r>
              <w:rPr>
                <w:rFonts w:hint="eastAsia" w:cs="Times New Roman"/>
                <w:color w:val="000000" w:themeColor="text1"/>
                <w:sz w:val="24"/>
                <w:highlight w:val="none"/>
                <w:lang w:val="en-US" w:eastAsia="zh-CN"/>
                <w14:textFill>
                  <w14:solidFill>
                    <w14:schemeClr w14:val="tx1"/>
                  </w14:solidFill>
                </w14:textFill>
              </w:rPr>
              <w:t>的发展，</w:t>
            </w:r>
            <w:r>
              <w:rPr>
                <w:rFonts w:hint="default" w:ascii="Times New Roman" w:hAnsi="Times New Roman" w:eastAsia="宋体" w:cs="Times New Roman"/>
                <w:color w:val="000000" w:themeColor="text1"/>
                <w:sz w:val="24"/>
                <w:highlight w:val="none"/>
                <w14:textFill>
                  <w14:solidFill>
                    <w14:schemeClr w14:val="tx1"/>
                  </w14:solidFill>
                </w14:textFill>
              </w:rPr>
              <w:t>符合鄂尔多斯市的发展规划和产业定位。</w:t>
            </w:r>
          </w:p>
          <w:p w14:paraId="29A64276">
            <w:pPr>
              <w:bidi w:val="0"/>
              <w:spacing w:line="360" w:lineRule="auto"/>
              <w:ind w:firstLine="482" w:firstLineChars="200"/>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t>8.</w:t>
            </w:r>
            <w:r>
              <w:rPr>
                <w:rFonts w:hint="default" w:ascii="Times New Roman" w:hAnsi="Times New Roman" w:eastAsia="宋体" w:cs="Times New Roman"/>
                <w:b/>
                <w:bCs/>
                <w:color w:val="000000" w:themeColor="text1"/>
                <w:sz w:val="24"/>
                <w:highlight w:val="none"/>
                <w14:textFill>
                  <w14:solidFill>
                    <w14:schemeClr w14:val="tx1"/>
                  </w14:solidFill>
                </w14:textFill>
              </w:rPr>
              <w:t>内蒙古自治区“十四五”生态环境保护规划</w:t>
            </w: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符</w:t>
            </w:r>
            <w:r>
              <w:rPr>
                <w:rFonts w:hint="default" w:ascii="Times New Roman" w:hAnsi="Times New Roman" w:eastAsia="宋体" w:cs="Times New Roman"/>
                <w:b/>
                <w:bCs/>
                <w:color w:val="000000" w:themeColor="text1"/>
                <w:sz w:val="24"/>
                <w:highlight w:val="none"/>
                <w14:textFill>
                  <w14:solidFill>
                    <w14:schemeClr w14:val="tx1"/>
                  </w14:solidFill>
                </w14:textFill>
              </w:rPr>
              <w:t>合性分析</w:t>
            </w:r>
          </w:p>
          <w:p w14:paraId="5DAFD39C">
            <w:pPr>
              <w:bidi w:val="0"/>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2021年10月12日，内蒙古自治区人民政府发布</w:t>
            </w:r>
            <w:r>
              <w:rPr>
                <w:rFonts w:hint="eastAsia" w:cs="Times New Roman"/>
                <w:color w:val="000000" w:themeColor="text1"/>
                <w:sz w:val="24"/>
                <w:highlight w:val="none"/>
                <w:lang w:eastAsia="zh-CN"/>
                <w14:textFill>
                  <w14:solidFill>
                    <w14:schemeClr w14:val="tx1"/>
                  </w14:solidFill>
                </w14:textFill>
              </w:rPr>
              <w:t>《关于</w:t>
            </w:r>
            <w:r>
              <w:rPr>
                <w:rFonts w:hint="default" w:ascii="Times New Roman" w:hAnsi="Times New Roman" w:eastAsia="宋体" w:cs="Times New Roman"/>
                <w:color w:val="000000" w:themeColor="text1"/>
                <w:sz w:val="24"/>
                <w:highlight w:val="none"/>
                <w14:textFill>
                  <w14:solidFill>
                    <w14:schemeClr w14:val="tx1"/>
                  </w14:solidFill>
                </w14:textFill>
              </w:rPr>
              <w:t>印发</w:t>
            </w:r>
            <w:r>
              <w:rPr>
                <w:rFonts w:hint="eastAsia"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内蒙古自治区“十四五”生态环境保护规划</w:t>
            </w:r>
            <w:r>
              <w:rPr>
                <w:rFonts w:hint="eastAsia"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的通知</w:t>
            </w:r>
            <w:r>
              <w:rPr>
                <w:rFonts w:hint="eastAsia"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（四）“无废城市”建设工程在继续推动包头市开展的基础上，试点推动</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鄂尔多斯市</w:t>
            </w:r>
            <w:r>
              <w:rPr>
                <w:rFonts w:hint="default" w:ascii="Times New Roman" w:hAnsi="Times New Roman" w:eastAsia="宋体" w:cs="Times New Roman"/>
                <w:color w:val="000000" w:themeColor="text1"/>
                <w:sz w:val="24"/>
                <w:highlight w:val="none"/>
                <w14:textFill>
                  <w14:solidFill>
                    <w14:schemeClr w14:val="tx1"/>
                  </w14:solidFill>
                </w14:textFill>
              </w:rPr>
              <w:t>、乌兰察布</w:t>
            </w:r>
            <w:r>
              <w:rPr>
                <w:rFonts w:hint="eastAsia" w:cs="Times New Roman"/>
                <w:color w:val="000000" w:themeColor="text1"/>
                <w:sz w:val="24"/>
                <w:highlight w:val="none"/>
                <w:lang w:eastAsia="zh-CN"/>
                <w14:textFill>
                  <w14:solidFill>
                    <w14:schemeClr w14:val="tx1"/>
                  </w14:solidFill>
                </w14:textFill>
              </w:rPr>
              <w:t>市</w:t>
            </w:r>
            <w:r>
              <w:rPr>
                <w:rFonts w:hint="default" w:ascii="Times New Roman" w:hAnsi="Times New Roman" w:eastAsia="宋体" w:cs="Times New Roman"/>
                <w:color w:val="000000" w:themeColor="text1"/>
                <w:sz w:val="24"/>
                <w:highlight w:val="none"/>
                <w14:textFill>
                  <w14:solidFill>
                    <w14:schemeClr w14:val="tx1"/>
                  </w14:solidFill>
                </w14:textFill>
              </w:rPr>
              <w:t>等城市开展“无废城市”建设。实施一批“无废矿山”“无废企业”“无废园区”“无废农业”“无废村庄”“无废宾馆”“无废商场”“无废景区”“无废学校”等“无废细胞”创建工程。试点开展废旧物资循环利用体系建设。</w:t>
            </w:r>
          </w:p>
          <w:p w14:paraId="62CDA181">
            <w:pPr>
              <w:bidi w:val="0"/>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本项目实施后，</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本项目</w:t>
            </w:r>
            <w:r>
              <w:rPr>
                <w:rFonts w:hint="eastAsia" w:cs="Times New Roman"/>
                <w:color w:val="000000" w:themeColor="text1"/>
                <w:sz w:val="24"/>
                <w:highlight w:val="none"/>
                <w:lang w:val="en-US" w:eastAsia="zh-CN"/>
                <w14:textFill>
                  <w14:solidFill>
                    <w14:schemeClr w14:val="tx1"/>
                  </w14:solidFill>
                </w14:textFill>
              </w:rPr>
              <w:t>可实现一般固废</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产品</w:t>
            </w:r>
            <w:r>
              <w:rPr>
                <w:rFonts w:hint="eastAsia" w:cs="Times New Roman"/>
                <w:color w:val="000000" w:themeColor="text1"/>
                <w:sz w:val="24"/>
                <w:highlight w:val="none"/>
                <w:lang w:val="en-US" w:eastAsia="zh-CN"/>
                <w14:textFill>
                  <w14:solidFill>
                    <w14:schemeClr w14:val="tx1"/>
                  </w14:solidFill>
                </w14:textFill>
              </w:rPr>
              <w:t>产业链延伸，生产</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高附加值产品</w:t>
            </w:r>
            <w:r>
              <w:rPr>
                <w:rFonts w:hint="default" w:ascii="Times New Roman" w:hAnsi="Times New Roman" w:eastAsia="宋体" w:cs="Times New Roman"/>
                <w:color w:val="000000" w:themeColor="text1"/>
                <w:sz w:val="24"/>
                <w:highlight w:val="none"/>
                <w14:textFill>
                  <w14:solidFill>
                    <w14:schemeClr w14:val="tx1"/>
                  </w14:solidFill>
                </w14:textFill>
              </w:rPr>
              <w:t>，符合内蒙古自治区“十四五”生态环境保护规划。</w:t>
            </w:r>
          </w:p>
          <w:p w14:paraId="6B313173">
            <w:pPr>
              <w:bidi w:val="0"/>
              <w:spacing w:line="360" w:lineRule="auto"/>
              <w:ind w:firstLine="482"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t>9.</w:t>
            </w: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与《</w:t>
            </w:r>
            <w:r>
              <w:rPr>
                <w:rFonts w:hint="default" w:ascii="Times New Roman" w:hAnsi="Times New Roman" w:eastAsia="宋体" w:cs="Times New Roman"/>
                <w:b/>
                <w:bCs/>
                <w:color w:val="000000" w:themeColor="text1"/>
                <w:sz w:val="24"/>
                <w:highlight w:val="none"/>
                <w14:textFill>
                  <w14:solidFill>
                    <w14:schemeClr w14:val="tx1"/>
                  </w14:solidFill>
                </w14:textFill>
              </w:rPr>
              <w:t>鄂尔多斯“十四五”生态环境保护规划</w:t>
            </w:r>
            <w:r>
              <w:rPr>
                <w:rFonts w:hint="default" w:ascii="Times New Roman" w:hAnsi="Times New Roman" w:eastAsia="宋体" w:cs="Times New Roman"/>
                <w:b/>
                <w:bCs/>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符</w:t>
            </w:r>
            <w:r>
              <w:rPr>
                <w:rFonts w:hint="default" w:ascii="Times New Roman" w:hAnsi="Times New Roman" w:eastAsia="宋体" w:cs="Times New Roman"/>
                <w:b/>
                <w:bCs/>
                <w:color w:val="000000" w:themeColor="text1"/>
                <w:sz w:val="24"/>
                <w:highlight w:val="none"/>
                <w14:textFill>
                  <w14:solidFill>
                    <w14:schemeClr w14:val="tx1"/>
                  </w14:solidFill>
                </w14:textFill>
              </w:rPr>
              <w:t>合性分析</w:t>
            </w:r>
          </w:p>
          <w:p w14:paraId="0517E574">
            <w:pPr>
              <w:bidi w:val="0"/>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2022年1月13日，鄂尔多斯市人民政府办公室发布关于印发《鄂尔多斯“十四五”生态环境保护规划》的通知：</w:t>
            </w:r>
          </w:p>
          <w:p w14:paraId="4622531C">
            <w:pPr>
              <w:bidi w:val="0"/>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eastAsia="zh-CN"/>
                <w14:textFill>
                  <w14:solidFill>
                    <w14:schemeClr w14:val="tx1"/>
                  </w14:solidFill>
                </w14:textFill>
              </w:rPr>
              <w:t>五、</w:t>
            </w:r>
            <w:r>
              <w:rPr>
                <w:rFonts w:hint="default" w:ascii="Times New Roman" w:hAnsi="Times New Roman" w:eastAsia="宋体" w:cs="Times New Roman"/>
                <w:color w:val="000000" w:themeColor="text1"/>
                <w:sz w:val="24"/>
                <w:highlight w:val="none"/>
                <w14:textFill>
                  <w14:solidFill>
                    <w14:schemeClr w14:val="tx1"/>
                  </w14:solidFill>
                </w14:textFill>
              </w:rPr>
              <w:t>补齐治理短板，提升固废处置及综合利用能力，引导固废综合利用，拓宽大宗固废综合利用途径，</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提升</w:t>
            </w:r>
            <w:r>
              <w:rPr>
                <w:rFonts w:hint="default" w:ascii="Times New Roman" w:hAnsi="Times New Roman" w:eastAsia="宋体" w:cs="Times New Roman"/>
                <w:color w:val="000000" w:themeColor="text1"/>
                <w:sz w:val="24"/>
                <w:highlight w:val="none"/>
                <w14:textFill>
                  <w14:solidFill>
                    <w14:schemeClr w14:val="tx1"/>
                  </w14:solidFill>
                </w14:textFill>
              </w:rPr>
              <w:t>危险废物综合利用能力，促进农业废弃物综合利用。</w:t>
            </w:r>
          </w:p>
          <w:p w14:paraId="07A62558">
            <w:pPr>
              <w:bidi w:val="0"/>
              <w:spacing w:line="360" w:lineRule="auto"/>
              <w:ind w:firstLine="480" w:firstLineChars="200"/>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无废城市”建设工程在继续推动包头市开展的基础上，试点推动</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鄂尔多斯市</w:t>
            </w:r>
            <w:r>
              <w:rPr>
                <w:rFonts w:hint="default" w:ascii="Times New Roman" w:hAnsi="Times New Roman" w:eastAsia="宋体" w:cs="Times New Roman"/>
                <w:color w:val="000000" w:themeColor="text1"/>
                <w:sz w:val="24"/>
                <w:highlight w:val="none"/>
                <w14:textFill>
                  <w14:solidFill>
                    <w14:schemeClr w14:val="tx1"/>
                  </w14:solidFill>
                </w14:textFill>
              </w:rPr>
              <w:t>、乌兰察布市、鄂尔多斯市等城市开展“无废城市”建设。实施一批“无废矿山”“无废企业”“无废园区”“无废农业”“无废村庄”“无废宾馆”“无废商场”“无废景区”“无废学校”等“无废细胞”创建工程。试点开展废旧物资循环利用体系建设。</w:t>
            </w:r>
          </w:p>
          <w:p w14:paraId="611426AD">
            <w:pPr>
              <w:pStyle w:val="103"/>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本项目实施后，可</w:t>
            </w:r>
            <w:r>
              <w:rPr>
                <w:rFonts w:hint="eastAsia" w:cs="Times New Roman"/>
                <w:color w:val="000000" w:themeColor="text1"/>
                <w:sz w:val="24"/>
                <w:highlight w:val="none"/>
                <w:lang w:eastAsia="zh-CN"/>
                <w14:textFill>
                  <w14:solidFill>
                    <w14:schemeClr w14:val="tx1"/>
                  </w14:solidFill>
                </w14:textFill>
              </w:rPr>
              <w:t>实现</w:t>
            </w:r>
            <w:r>
              <w:rPr>
                <w:rFonts w:hint="default" w:ascii="Times New Roman" w:hAnsi="Times New Roman" w:eastAsia="宋体" w:cs="Times New Roman"/>
                <w:color w:val="000000" w:themeColor="text1"/>
                <w:sz w:val="24"/>
                <w:highlight w:val="none"/>
                <w14:textFill>
                  <w14:solidFill>
                    <w14:schemeClr w14:val="tx1"/>
                  </w14:solidFill>
                </w14:textFill>
              </w:rPr>
              <w:t>固体废物煤矸石</w:t>
            </w:r>
            <w:r>
              <w:rPr>
                <w:rFonts w:hint="eastAsia" w:cs="Times New Roman"/>
                <w:color w:val="000000" w:themeColor="text1"/>
                <w:sz w:val="24"/>
                <w:highlight w:val="none"/>
                <w:lang w:val="en-US" w:eastAsia="zh-CN"/>
                <w14:textFill>
                  <w14:solidFill>
                    <w14:schemeClr w14:val="tx1"/>
                  </w14:solidFill>
                </w14:textFill>
              </w:rPr>
              <w:t>综合利用的</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产业</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延伸</w:t>
            </w:r>
            <w:r>
              <w:rPr>
                <w:rFonts w:hint="default" w:ascii="Times New Roman" w:hAnsi="Times New Roman" w:eastAsia="宋体" w:cs="Times New Roman"/>
                <w:color w:val="000000" w:themeColor="text1"/>
                <w:sz w:val="24"/>
                <w:highlight w:val="none"/>
                <w14:textFill>
                  <w14:solidFill>
                    <w14:schemeClr w14:val="tx1"/>
                  </w14:solidFill>
                </w14:textFill>
              </w:rPr>
              <w:t>，符合内蒙古自治区“十四五”生态环境保护规划。</w:t>
            </w:r>
          </w:p>
          <w:p w14:paraId="6F2B08FE">
            <w:pPr>
              <w:pStyle w:val="103"/>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eastAsia" w:ascii="Times New Roman" w:hAnsi="Times New Roman" w:eastAsia="宋体" w:cs="Times New Roman"/>
                <w:b/>
                <w:bCs/>
                <w:color w:val="000000" w:themeColor="text1"/>
                <w:sz w:val="24"/>
                <w:highlight w:val="none"/>
                <w:lang w:val="en-US" w:eastAsia="zh-CN"/>
                <w14:textFill>
                  <w14:solidFill>
                    <w14:schemeClr w14:val="tx1"/>
                  </w14:solidFill>
                </w14:textFill>
              </w:rPr>
              <w:t>10.</w:t>
            </w:r>
            <w:r>
              <w:rPr>
                <w:rFonts w:hint="default" w:ascii="Times New Roman" w:hAnsi="Times New Roman" w:eastAsia="宋体" w:cs="Times New Roman"/>
                <w:b/>
                <w:bCs/>
                <w:color w:val="000000" w:themeColor="text1"/>
                <w:sz w:val="24"/>
                <w:highlight w:val="none"/>
                <w14:textFill>
                  <w14:solidFill>
                    <w14:schemeClr w14:val="tx1"/>
                  </w14:solidFill>
                </w14:textFill>
              </w:rPr>
              <w:t>选址合理性分析</w:t>
            </w:r>
          </w:p>
          <w:p w14:paraId="4D08A362">
            <w:pPr>
              <w:pStyle w:val="103"/>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本项目位于</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内蒙古鄂尔多斯</w:t>
            </w:r>
            <w:r>
              <w:rPr>
                <w:rFonts w:hint="eastAsia" w:cs="Times New Roman"/>
                <w:color w:val="000000" w:themeColor="text1"/>
                <w:sz w:val="24"/>
                <w:highlight w:val="none"/>
                <w:lang w:val="en-US" w:eastAsia="zh-CN"/>
                <w14:textFill>
                  <w14:solidFill>
                    <w14:schemeClr w14:val="tx1"/>
                  </w14:solidFill>
                </w14:textFill>
              </w:rPr>
              <w:t>市</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准格尔经济开发区准格尔产业园</w:t>
            </w:r>
            <w:r>
              <w:rPr>
                <w:rFonts w:hint="default" w:ascii="Times New Roman" w:hAnsi="Times New Roman" w:eastAsia="宋体" w:cs="Times New Roman"/>
                <w:color w:val="000000" w:themeColor="text1"/>
                <w:sz w:val="24"/>
                <w:highlight w:val="none"/>
                <w14:textFill>
                  <w14:solidFill>
                    <w14:schemeClr w14:val="tx1"/>
                  </w14:solidFill>
                </w14:textFill>
              </w:rPr>
              <w:t>，已取得工业用地手续（详见附件3）</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符合园区产业发展及功能区规划；项目选址不涉及自然保护区、重点风景名胜区、饮用水水源保护区及其</w:t>
            </w:r>
            <w:r>
              <w:rPr>
                <w:rFonts w:hint="eastAsia" w:cs="Times New Roman"/>
                <w:color w:val="000000" w:themeColor="text1"/>
                <w:sz w:val="24"/>
                <w:highlight w:val="none"/>
                <w:lang w:eastAsia="zh-CN"/>
                <w14:textFill>
                  <w14:solidFill>
                    <w14:schemeClr w14:val="tx1"/>
                  </w14:solidFill>
                </w14:textFill>
              </w:rPr>
              <w:t>他</w:t>
            </w:r>
            <w:r>
              <w:rPr>
                <w:rFonts w:hint="default" w:ascii="Times New Roman" w:hAnsi="Times New Roman" w:eastAsia="宋体" w:cs="Times New Roman"/>
                <w:color w:val="000000" w:themeColor="text1"/>
                <w:sz w:val="24"/>
                <w:highlight w:val="none"/>
                <w14:textFill>
                  <w14:solidFill>
                    <w14:schemeClr w14:val="tx1"/>
                  </w14:solidFill>
                </w14:textFill>
              </w:rPr>
              <w:t>依法划定需要特别保护的环境敏感区。</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项目与内蒙古伊东高新材料科技有限公司紧邻，根据准格尔旗文物局202</w:t>
            </w:r>
            <w:r>
              <w:rPr>
                <w:rFonts w:hint="eastAsia" w:cs="Times New Roman"/>
                <w:color w:val="000000" w:themeColor="text1"/>
                <w:sz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年12月1</w:t>
            </w:r>
            <w:r>
              <w:rPr>
                <w:rFonts w:hint="eastAsia" w:cs="Times New Roman"/>
                <w:color w:val="000000" w:themeColor="text1"/>
                <w:sz w:val="24"/>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日向内蒙古伊东</w:t>
            </w:r>
            <w:r>
              <w:rPr>
                <w:rFonts w:hint="eastAsia" w:cs="Times New Roman"/>
                <w:color w:val="000000" w:themeColor="text1"/>
                <w:sz w:val="24"/>
                <w:highlight w:val="none"/>
                <w:lang w:val="en-US" w:eastAsia="zh-CN"/>
                <w14:textFill>
                  <w14:solidFill>
                    <w14:schemeClr w14:val="tx1"/>
                  </w14:solidFill>
                </w14:textFill>
              </w:rPr>
              <w:t>东晟</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新材料有限公司回函（准文物函</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〔202</w:t>
            </w:r>
            <w:r>
              <w:rPr>
                <w:rFonts w:hint="eastAsia" w:cs="Times New Roman"/>
                <w:color w:val="000000" w:themeColor="text1"/>
                <w:sz w:val="24"/>
                <w:highlight w:val="none"/>
                <w:lang w:val="en-US" w:eastAsia="zh-CN"/>
                <w14:textFill>
                  <w14:solidFill>
                    <w14:schemeClr w14:val="tx1"/>
                  </w14:solidFill>
                </w14:textFill>
              </w:rPr>
              <w:t>5</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1641</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号</w:t>
            </w:r>
            <w:r>
              <w:rPr>
                <w:rFonts w:hint="eastAsia" w:cs="Times New Roman"/>
                <w:color w:val="000000" w:themeColor="text1"/>
                <w:sz w:val="24"/>
                <w:highlight w:val="none"/>
                <w:lang w:val="en-US" w:eastAsia="zh-CN"/>
                <w14:textFill>
                  <w14:solidFill>
                    <w14:schemeClr w14:val="tx1"/>
                  </w14:solidFill>
                </w14:textFill>
              </w:rPr>
              <w:t>），内</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蒙古伊东</w:t>
            </w:r>
            <w:r>
              <w:rPr>
                <w:rFonts w:hint="eastAsia" w:cs="Times New Roman"/>
                <w:color w:val="000000" w:themeColor="text1"/>
                <w:sz w:val="24"/>
                <w:highlight w:val="none"/>
                <w:lang w:val="en-US" w:eastAsia="zh-CN"/>
                <w14:textFill>
                  <w14:solidFill>
                    <w14:schemeClr w14:val="tx1"/>
                  </w14:solidFill>
                </w14:textFill>
              </w:rPr>
              <w:t>东晟</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新材料有限公司固废利用项目用地范围内不涉及三普数据库登记在册的重点文物保护单位，项目区周边500m范围内无常住居民，基本无环境制约因素。</w:t>
            </w:r>
          </w:p>
          <w:p w14:paraId="04EB0C20">
            <w:pPr>
              <w:pStyle w:val="103"/>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本项目在</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内蒙古鄂尔多斯</w:t>
            </w:r>
            <w:r>
              <w:rPr>
                <w:rFonts w:hint="eastAsia" w:cs="Times New Roman"/>
                <w:color w:val="000000" w:themeColor="text1"/>
                <w:sz w:val="24"/>
                <w:highlight w:val="none"/>
                <w:lang w:val="en-US" w:eastAsia="zh-CN"/>
                <w14:textFill>
                  <w14:solidFill>
                    <w14:schemeClr w14:val="tx1"/>
                  </w14:solidFill>
                </w14:textFill>
              </w:rPr>
              <w:t>市</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准格尔经济开发区准格尔产业园</w:t>
            </w:r>
            <w:r>
              <w:rPr>
                <w:rFonts w:hint="default" w:ascii="Times New Roman" w:hAnsi="Times New Roman" w:eastAsia="宋体" w:cs="Times New Roman"/>
                <w:color w:val="000000" w:themeColor="text1"/>
                <w:sz w:val="24"/>
                <w:highlight w:val="none"/>
                <w14:textFill>
                  <w14:solidFill>
                    <w14:schemeClr w14:val="tx1"/>
                  </w14:solidFill>
                </w14:textFill>
              </w:rPr>
              <w:t>，且</w:t>
            </w:r>
            <w:r>
              <w:rPr>
                <w:rFonts w:hint="eastAsia" w:cs="Times New Roman"/>
                <w:color w:val="000000" w:themeColor="text1"/>
                <w:sz w:val="24"/>
                <w:highlight w:val="none"/>
                <w:lang w:val="en-US" w:eastAsia="zh-CN"/>
                <w14:textFill>
                  <w14:solidFill>
                    <w14:schemeClr w14:val="tx1"/>
                  </w14:solidFill>
                </w14:textFill>
              </w:rPr>
              <w:t>符合</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“生态环境分区管控要求”</w:t>
            </w:r>
            <w:r>
              <w:rPr>
                <w:rFonts w:hint="eastAsia" w:ascii="Times New Roman" w:hAnsi="Times New Roman" w:eastAsia="宋体" w:cs="Times New Roman"/>
                <w:color w:val="000000" w:themeColor="text1"/>
                <w:sz w:val="24"/>
                <w:highlight w:val="none"/>
                <w:lang w:eastAsia="zh-CN"/>
                <w14:textFill>
                  <w14:solidFill>
                    <w14:schemeClr w14:val="tx1"/>
                  </w14:solidFill>
                </w14:textFill>
              </w:rPr>
              <w:t>，在采</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取相应的生态保护措施、污染治理措施后，</w:t>
            </w:r>
            <w:r>
              <w:rPr>
                <w:rFonts w:hint="default" w:ascii="Times New Roman" w:hAnsi="Times New Roman" w:eastAsia="宋体" w:cs="Times New Roman"/>
                <w:color w:val="000000" w:themeColor="text1"/>
                <w:sz w:val="24"/>
                <w:highlight w:val="none"/>
                <w14:textFill>
                  <w14:solidFill>
                    <w14:schemeClr w14:val="tx1"/>
                  </w14:solidFill>
                </w14:textFill>
              </w:rPr>
              <w:t>从环保角度分析，本项目选址可行。</w:t>
            </w:r>
          </w:p>
        </w:tc>
      </w:tr>
    </w:tbl>
    <w:p w14:paraId="30A861ED">
      <w:pPr>
        <w:spacing w:line="360" w:lineRule="auto"/>
        <w:outlineLvl w:val="0"/>
        <w:rPr>
          <w:rFonts w:eastAsia="黑体"/>
          <w:color w:val="000000" w:themeColor="text1"/>
          <w:sz w:val="30"/>
          <w:highlight w:val="none"/>
          <w14:textFill>
            <w14:solidFill>
              <w14:schemeClr w14:val="tx1"/>
            </w14:solidFill>
          </w14:textFill>
        </w:rPr>
        <w:sectPr>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63131D5E">
      <w:pPr>
        <w:pStyle w:val="20"/>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firstLine="0" w:firstLineChars="0"/>
        <w:jc w:val="center"/>
        <w:textAlignment w:val="auto"/>
        <w:outlineLvl w:val="0"/>
        <w:rPr>
          <w:rFonts w:hint="eastAsia" w:ascii="Times New Roman" w:hAnsi="Times New Roman" w:eastAsia="黑体" w:cs="Times New Roman"/>
          <w:snapToGrid w:val="0"/>
          <w:color w:val="000000" w:themeColor="text1"/>
          <w:sz w:val="30"/>
          <w:szCs w:val="30"/>
          <w:highlight w:val="none"/>
          <w14:textFill>
            <w14:solidFill>
              <w14:schemeClr w14:val="tx1"/>
            </w14:solidFill>
          </w14:textFill>
        </w:rPr>
      </w:pPr>
      <w:r>
        <w:rPr>
          <w:rFonts w:ascii="Times New Roman" w:hAnsi="Times New Roman" w:eastAsia="黑体" w:cs="Times New Roman"/>
          <w:snapToGrid w:val="0"/>
          <w:color w:val="000000" w:themeColor="text1"/>
          <w:sz w:val="30"/>
          <w:szCs w:val="30"/>
          <w:highlight w:val="none"/>
          <w14:textFill>
            <w14:solidFill>
              <w14:schemeClr w14:val="tx1"/>
            </w14:solidFill>
          </w14:textFill>
        </w:rPr>
        <w:t>二、</w:t>
      </w:r>
      <w:r>
        <w:rPr>
          <w:rFonts w:hint="eastAsia" w:ascii="Times New Roman" w:hAnsi="Times New Roman" w:eastAsia="黑体" w:cs="Times New Roman"/>
          <w:snapToGrid w:val="0"/>
          <w:color w:val="000000" w:themeColor="text1"/>
          <w:sz w:val="30"/>
          <w:szCs w:val="30"/>
          <w:highlight w:val="none"/>
          <w14:textFill>
            <w14:solidFill>
              <w14:schemeClr w14:val="tx1"/>
            </w14:solidFill>
          </w14:textFill>
        </w:rPr>
        <w:t>建设项目工程分析</w:t>
      </w:r>
    </w:p>
    <w:tbl>
      <w:tblPr>
        <w:tblStyle w:val="2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5"/>
        <w:gridCol w:w="8605"/>
      </w:tblGrid>
      <w:tr w14:paraId="35B4AC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51" w:type="pct"/>
            <w:noWrap w:val="0"/>
            <w:vAlign w:val="center"/>
          </w:tcPr>
          <w:p w14:paraId="707A20E3">
            <w:pPr>
              <w:pStyle w:val="20"/>
              <w:adjustRightInd w:val="0"/>
              <w:snapToGrid w:val="0"/>
              <w:spacing w:before="0" w:beforeAutospacing="0" w:after="0" w:afterAutospacing="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4"/>
                <w:highlight w:val="none"/>
                <w14:textFill>
                  <w14:solidFill>
                    <w14:schemeClr w14:val="tx1"/>
                  </w14:solidFill>
                </w14:textFill>
              </w:rPr>
              <w:t>建设内容</w:t>
            </w:r>
          </w:p>
        </w:tc>
        <w:tc>
          <w:tcPr>
            <w:tcW w:w="4748" w:type="pct"/>
            <w:noWrap w:val="0"/>
            <w:vAlign w:val="top"/>
          </w:tcPr>
          <w:p w14:paraId="61EA5923">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outlineLvl w:val="1"/>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lang w:eastAsia="zh-CN"/>
                <w14:textFill>
                  <w14:solidFill>
                    <w14:schemeClr w14:val="tx1"/>
                  </w14:solidFill>
                </w14:textFill>
              </w:rPr>
              <w:t>1.</w:t>
            </w:r>
            <w:r>
              <w:rPr>
                <w:rFonts w:hint="default" w:ascii="Times New Roman" w:hAnsi="Times New Roman" w:eastAsia="宋体" w:cs="Times New Roman"/>
                <w:b/>
                <w:bCs/>
                <w:snapToGrid w:val="0"/>
                <w:color w:val="000000" w:themeColor="text1"/>
                <w:kern w:val="0"/>
                <w:sz w:val="24"/>
                <w:highlight w:val="none"/>
                <w14:textFill>
                  <w14:solidFill>
                    <w14:schemeClr w14:val="tx1"/>
                  </w14:solidFill>
                </w14:textFill>
              </w:rPr>
              <w:t>工程组成</w:t>
            </w:r>
          </w:p>
          <w:p w14:paraId="1C1E8F2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eastAsia="zh-CN"/>
                <w14:textFill>
                  <w14:solidFill>
                    <w14:schemeClr w14:val="tx1"/>
                  </w14:solidFill>
                </w14:textFill>
              </w:rPr>
              <w:t>内蒙古伊东东晟新材料有限公司（以下简称“伊东东晟”）</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位于</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内蒙古鄂尔多斯准格尔经济开发区准格尔产业园</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该企业是伊东资源集团为拓展非金属材料及煤基高值化产品而设立的新兴企业。依托鄂尔多斯煤炭资源与技术整合能力，公司聚焦水泥制品制造、煤制活性炭及煤炭清洁加工领域，致力于成为区域资源综合利用产业链的关键环节。</w:t>
            </w:r>
          </w:p>
          <w:p w14:paraId="588A828E">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1.1项目由来</w:t>
            </w:r>
          </w:p>
          <w:p w14:paraId="7459D815">
            <w:pPr>
              <w:pStyle w:val="8"/>
              <w:keepNext w:val="0"/>
              <w:keepLines w:val="0"/>
              <w:pageBreakBefore w:val="0"/>
              <w:widowControl w:val="0"/>
              <w:kinsoku/>
              <w:wordWrap/>
              <w:overflowPunct/>
              <w:topLinePunct w:val="0"/>
              <w:autoSpaceDE/>
              <w:autoSpaceDN/>
              <w:bidi w:val="0"/>
              <w:adjustRightInd/>
              <w:snapToGrid/>
              <w:spacing w:line="360" w:lineRule="auto"/>
              <w:ind w:firstLine="500" w:firstLineChars="200"/>
              <w:jc w:val="both"/>
              <w:textAlignment w:val="auto"/>
              <w:rPr>
                <w:rFonts w:hint="default" w:ascii="Times New Roman" w:hAnsi="Times New Roman" w:eastAsia="宋体" w:cs="Times New Roman"/>
                <w:color w:val="000000" w:themeColor="text1"/>
                <w:spacing w:val="5"/>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5"/>
                <w:sz w:val="24"/>
                <w:szCs w:val="24"/>
                <w:highlight w:val="none"/>
                <w14:textFill>
                  <w14:solidFill>
                    <w14:schemeClr w14:val="tx1"/>
                  </w14:solidFill>
                </w14:textFill>
              </w:rPr>
              <w:t>近年来，自治区出台了《内蒙古自治区固体废物污染环境防治条例》《内蒙古自治区党委自治区人民政府关于全面推进美丽内蒙古建设的实施意见》《关于建设我国北方重要生态安全屏障的实施方案》《关于建立落实〈国务院办公厅关于加快构建废弃物循环利用体系的意见〉工作推进机制及细化措施实施方案》等一系列政策，支持和引导涵盖粉煤灰和煤矸石源头减量、生态修复、循环利用等项目落地实施。</w:t>
            </w:r>
          </w:p>
          <w:p w14:paraId="08A98682">
            <w:pPr>
              <w:pStyle w:val="8"/>
              <w:keepNext w:val="0"/>
              <w:keepLines w:val="0"/>
              <w:pageBreakBefore w:val="0"/>
              <w:widowControl w:val="0"/>
              <w:kinsoku/>
              <w:wordWrap/>
              <w:overflowPunct/>
              <w:topLinePunct w:val="0"/>
              <w:autoSpaceDE/>
              <w:autoSpaceDN/>
              <w:bidi w:val="0"/>
              <w:adjustRightInd/>
              <w:snapToGrid/>
              <w:spacing w:line="360" w:lineRule="auto"/>
              <w:ind w:firstLine="500" w:firstLineChars="200"/>
              <w:jc w:val="both"/>
              <w:textAlignment w:val="auto"/>
              <w:rPr>
                <w:rFonts w:hint="default" w:ascii="Times New Roman" w:hAnsi="Times New Roman" w:eastAsia="宋体" w:cs="Times New Roman"/>
                <w:color w:val="000000" w:themeColor="text1"/>
                <w:spacing w:val="5"/>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5"/>
                <w:sz w:val="24"/>
                <w:szCs w:val="24"/>
                <w:highlight w:val="none"/>
                <w14:textFill>
                  <w14:solidFill>
                    <w14:schemeClr w14:val="tx1"/>
                  </w14:solidFill>
                </w14:textFill>
              </w:rPr>
              <w:t>2021年12月，生态环境部等18个部门联合印发《“十四五”时期“无废城市”建设工作方案》，提出在“十四五”时期推动100个左右地级及以上城市开展“无废城市”建设。2022年4月，生态环境部公布“十四五”时期“无废城市”建设名单，</w:t>
            </w:r>
            <w:r>
              <w:rPr>
                <w:rFonts w:hint="default" w:ascii="Times New Roman" w:hAnsi="Times New Roman" w:eastAsia="宋体" w:cs="Times New Roman"/>
                <w:color w:val="000000" w:themeColor="text1"/>
                <w:spacing w:val="5"/>
                <w:sz w:val="24"/>
                <w:szCs w:val="24"/>
                <w:highlight w:val="none"/>
                <w:lang w:val="en-US" w:eastAsia="zh-CN"/>
                <w14:textFill>
                  <w14:solidFill>
                    <w14:schemeClr w14:val="tx1"/>
                  </w14:solidFill>
                </w14:textFill>
              </w:rPr>
              <w:t>呼和浩特市</w:t>
            </w:r>
            <w:r>
              <w:rPr>
                <w:rFonts w:hint="default" w:ascii="Times New Roman" w:hAnsi="Times New Roman" w:eastAsia="宋体" w:cs="Times New Roman"/>
                <w:color w:val="000000" w:themeColor="text1"/>
                <w:spacing w:val="5"/>
                <w:sz w:val="24"/>
                <w:szCs w:val="24"/>
                <w:highlight w:val="none"/>
                <w14:textFill>
                  <w14:solidFill>
                    <w14:schemeClr w14:val="tx1"/>
                  </w14:solidFill>
                </w14:textFill>
              </w:rPr>
              <w:t>、包头市、鄂尔多斯市成功入选。“无废城市”建设是一项系统工程，需要建立政府主导、部门齐抓共管、企业主体、市民践行的运行机制，</w:t>
            </w:r>
            <w:r>
              <w:rPr>
                <w:rFonts w:hint="default" w:ascii="Times New Roman" w:hAnsi="Times New Roman" w:cs="Times New Roman"/>
                <w:color w:val="000000" w:themeColor="text1"/>
                <w:spacing w:val="5"/>
                <w:sz w:val="24"/>
                <w:szCs w:val="24"/>
                <w:highlight w:val="none"/>
                <w:lang w:eastAsia="zh-CN"/>
                <w14:textFill>
                  <w14:solidFill>
                    <w14:schemeClr w14:val="tx1"/>
                  </w14:solidFill>
                </w14:textFill>
              </w:rPr>
              <w:t>切实</w:t>
            </w:r>
            <w:r>
              <w:rPr>
                <w:rFonts w:hint="default" w:ascii="Times New Roman" w:hAnsi="Times New Roman" w:eastAsia="宋体" w:cs="Times New Roman"/>
                <w:color w:val="000000" w:themeColor="text1"/>
                <w:spacing w:val="5"/>
                <w:sz w:val="24"/>
                <w:szCs w:val="24"/>
                <w:highlight w:val="none"/>
                <w14:textFill>
                  <w14:solidFill>
                    <w14:schemeClr w14:val="tx1"/>
                  </w14:solidFill>
                </w14:textFill>
              </w:rPr>
              <w:t>凝聚各方共识，强化要素集聚，形成工作合力。内蒙古自治区生态环境厅充分发挥行业主管部门作用，指导</w:t>
            </w:r>
            <w:r>
              <w:rPr>
                <w:rFonts w:hint="default" w:ascii="Times New Roman" w:hAnsi="Times New Roman" w:eastAsia="宋体" w:cs="Times New Roman"/>
                <w:color w:val="000000" w:themeColor="text1"/>
                <w:spacing w:val="5"/>
                <w:sz w:val="24"/>
                <w:szCs w:val="24"/>
                <w:highlight w:val="none"/>
                <w:lang w:eastAsia="zh-CN"/>
                <w14:textFill>
                  <w14:solidFill>
                    <w14:schemeClr w14:val="tx1"/>
                  </w14:solidFill>
                </w14:textFill>
              </w:rPr>
              <w:t>鄂尔多斯市</w:t>
            </w:r>
            <w:r>
              <w:rPr>
                <w:rFonts w:hint="default" w:ascii="Times New Roman" w:hAnsi="Times New Roman" w:eastAsia="宋体" w:cs="Times New Roman"/>
                <w:color w:val="000000" w:themeColor="text1"/>
                <w:spacing w:val="5"/>
                <w:sz w:val="24"/>
                <w:szCs w:val="24"/>
                <w:highlight w:val="none"/>
                <w14:textFill>
                  <w14:solidFill>
                    <w14:schemeClr w14:val="tx1"/>
                  </w14:solidFill>
                </w14:textFill>
              </w:rPr>
              <w:t>、</w:t>
            </w:r>
            <w:r>
              <w:rPr>
                <w:rFonts w:hint="eastAsia" w:ascii="Times New Roman" w:hAnsi="Times New Roman" w:cs="Times New Roman"/>
                <w:color w:val="000000" w:themeColor="text1"/>
                <w:spacing w:val="5"/>
                <w:sz w:val="24"/>
                <w:szCs w:val="24"/>
                <w:highlight w:val="none"/>
                <w:lang w:eastAsia="zh-CN"/>
                <w14:textFill>
                  <w14:solidFill>
                    <w14:schemeClr w14:val="tx1"/>
                  </w14:solidFill>
                </w14:textFill>
              </w:rPr>
              <w:t>包头市</w:t>
            </w:r>
            <w:r>
              <w:rPr>
                <w:rFonts w:hint="default" w:ascii="Times New Roman" w:hAnsi="Times New Roman" w:eastAsia="宋体" w:cs="Times New Roman"/>
                <w:color w:val="000000" w:themeColor="text1"/>
                <w:spacing w:val="5"/>
                <w:sz w:val="24"/>
                <w:szCs w:val="24"/>
                <w:highlight w:val="none"/>
                <w14:textFill>
                  <w14:solidFill>
                    <w14:schemeClr w14:val="tx1"/>
                  </w14:solidFill>
                </w14:textFill>
              </w:rPr>
              <w:t>分别制定“十四五”时期“无废城市”建设实施方案，印发《内蒙古自治区“十四五”时期“无废城市”建设工作厅际联席会议制度》，明确相关职能部门责任，强化政策联动、沟通会商、信息共享，督促指导将“无废城市”建设与打好污染防治攻坚战、减污降碳协同增效相融合，加快推进城市绿色低碳转型，以高水平保护推动城市高质量发展、创造高质量生活。</w:t>
            </w:r>
          </w:p>
          <w:p w14:paraId="36AC0ED4">
            <w:pPr>
              <w:pStyle w:val="8"/>
              <w:keepNext w:val="0"/>
              <w:keepLines w:val="0"/>
              <w:pageBreakBefore w:val="0"/>
              <w:widowControl w:val="0"/>
              <w:kinsoku/>
              <w:wordWrap/>
              <w:overflowPunct/>
              <w:topLinePunct w:val="0"/>
              <w:autoSpaceDE/>
              <w:autoSpaceDN/>
              <w:bidi w:val="0"/>
              <w:adjustRightInd/>
              <w:snapToGrid/>
              <w:spacing w:line="360" w:lineRule="auto"/>
              <w:ind w:firstLine="500" w:firstLineChars="200"/>
              <w:jc w:val="both"/>
              <w:textAlignment w:val="auto"/>
              <w:rPr>
                <w:rFonts w:hint="default" w:ascii="Times New Roman" w:hAnsi="Times New Roman" w:eastAsia="宋体" w:cs="Times New Roman"/>
                <w:color w:val="000000" w:themeColor="text1"/>
                <w:spacing w:val="5"/>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5"/>
                <w:sz w:val="24"/>
                <w:szCs w:val="24"/>
                <w:highlight w:val="none"/>
                <w14:textFill>
                  <w14:solidFill>
                    <w14:schemeClr w14:val="tx1"/>
                  </w14:solidFill>
                </w14:textFill>
              </w:rPr>
              <w:t>内蒙古伊东东晟新材料有限公司通过本项目的实施，积极响应国家“无废城市”建设，进一步适应市场需求，满足周边地区建设要求，发挥公司优势，促进当地经济发展，同时扩大了自身规模，必将进一步提高企业经济效益。</w:t>
            </w:r>
          </w:p>
          <w:p w14:paraId="525711DD">
            <w:pPr>
              <w:pStyle w:val="8"/>
              <w:keepNext w:val="0"/>
              <w:keepLines w:val="0"/>
              <w:pageBreakBefore w:val="0"/>
              <w:widowControl w:val="0"/>
              <w:kinsoku/>
              <w:wordWrap/>
              <w:overflowPunct/>
              <w:topLinePunct w:val="0"/>
              <w:autoSpaceDE/>
              <w:autoSpaceDN/>
              <w:bidi w:val="0"/>
              <w:adjustRightInd/>
              <w:snapToGrid/>
              <w:spacing w:line="360" w:lineRule="auto"/>
              <w:ind w:firstLine="500" w:firstLineChars="200"/>
              <w:jc w:val="both"/>
              <w:textAlignment w:val="auto"/>
              <w:rPr>
                <w:rFonts w:hint="default" w:ascii="Times New Roman" w:hAnsi="Times New Roman" w:eastAsia="宋体" w:cs="Times New Roman"/>
                <w:color w:val="000000" w:themeColor="text1"/>
                <w:spacing w:val="5"/>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5"/>
                <w:sz w:val="24"/>
                <w:szCs w:val="24"/>
                <w:highlight w:val="none"/>
                <w14:textFill>
                  <w14:solidFill>
                    <w14:schemeClr w14:val="tx1"/>
                  </w14:solidFill>
                </w14:textFill>
              </w:rPr>
              <w:t>本项目的实施符合目标市场的产品需求，符合行业、地方的规划发展要求。</w:t>
            </w:r>
          </w:p>
          <w:p w14:paraId="3724D343">
            <w:pPr>
              <w:pStyle w:val="8"/>
              <w:keepNext w:val="0"/>
              <w:keepLines w:val="0"/>
              <w:pageBreakBefore w:val="0"/>
              <w:widowControl w:val="0"/>
              <w:kinsoku/>
              <w:wordWrap/>
              <w:overflowPunct/>
              <w:topLinePunct w:val="0"/>
              <w:autoSpaceDE/>
              <w:autoSpaceDN/>
              <w:bidi w:val="0"/>
              <w:adjustRightInd/>
              <w:snapToGrid/>
              <w:spacing w:line="360" w:lineRule="auto"/>
              <w:ind w:firstLine="488" w:firstLineChars="200"/>
              <w:jc w:val="both"/>
              <w:textAlignment w:val="auto"/>
              <w:rPr>
                <w:rFonts w:hint="default" w:ascii="Times New Roman" w:hAnsi="Times New Roman" w:eastAsia="宋体" w:cs="Times New Roman"/>
                <w:color w:val="000000" w:themeColor="text1"/>
                <w:spacing w:val="2"/>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本项目</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以厂区东侧</w:t>
            </w:r>
            <w:r>
              <w:rPr>
                <w:rFonts w:hint="default" w:ascii="Times New Roman" w:hAnsi="Times New Roman" w:eastAsia="宋体" w:cs="Times New Roman"/>
                <w:color w:val="000000" w:themeColor="text1"/>
                <w:sz w:val="24"/>
                <w:highlight w:val="none"/>
                <w14:textFill>
                  <w14:solidFill>
                    <w14:schemeClr w14:val="tx1"/>
                  </w14:solidFill>
                </w14:textFill>
              </w:rPr>
              <w:t>内蒙古伊东</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高</w:t>
            </w:r>
            <w:r>
              <w:rPr>
                <w:rFonts w:hint="default" w:ascii="Times New Roman" w:hAnsi="Times New Roman" w:eastAsia="宋体" w:cs="Times New Roman"/>
                <w:color w:val="000000" w:themeColor="text1"/>
                <w:sz w:val="24"/>
                <w:highlight w:val="none"/>
                <w14:textFill>
                  <w14:solidFill>
                    <w14:schemeClr w14:val="tx1"/>
                  </w14:solidFill>
                </w14:textFill>
              </w:rPr>
              <w:t>新材料有限公司</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生产的</w:t>
            </w:r>
            <w:r>
              <w:rPr>
                <w:rFonts w:hint="default" w:ascii="Times New Roman" w:hAnsi="Times New Roman" w:cs="Times New Roman"/>
                <w:color w:val="000000" w:themeColor="text1"/>
                <w:spacing w:val="2"/>
                <w:sz w:val="24"/>
                <w:szCs w:val="24"/>
                <w:highlight w:val="none"/>
                <w:lang w:val="en-US" w:eastAsia="zh-CN"/>
                <w14:textFill>
                  <w14:solidFill>
                    <w14:schemeClr w14:val="tx1"/>
                  </w14:solidFill>
                </w14:textFill>
              </w:rPr>
              <w:t>产品</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为原料</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采</w:t>
            </w:r>
            <w:r>
              <w:rPr>
                <w:rFonts w:hint="default" w:ascii="Times New Roman" w:hAnsi="Times New Roman" w:eastAsia="宋体" w:cs="Times New Roman"/>
                <w:color w:val="000000" w:themeColor="text1"/>
                <w:sz w:val="24"/>
                <w:highlight w:val="none"/>
                <w14:textFill>
                  <w14:solidFill>
                    <w14:schemeClr w14:val="tx1"/>
                  </w14:solidFill>
                </w14:textFill>
              </w:rPr>
              <w:t>用四级预热器+悬浮炉＋回转窑焙烧＋高温粉体对流式急冷换热装置制备煤矸石悬浮脱碳煅烧高活性高岭土生产工艺</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选出</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高活性</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高岭土</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外售</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本项目</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有效缓</w:t>
            </w:r>
            <w:r>
              <w:rPr>
                <w:rFonts w:hint="default" w:ascii="Times New Roman" w:hAnsi="Times New Roman" w:eastAsia="宋体" w:cs="Times New Roman"/>
                <w:color w:val="000000" w:themeColor="text1"/>
                <w:spacing w:val="2"/>
                <w:sz w:val="24"/>
                <w:szCs w:val="24"/>
                <w:highlight w:val="none"/>
                <w:lang w:eastAsia="zh-CN"/>
                <w14:textFill>
                  <w14:solidFill>
                    <w14:schemeClr w14:val="tx1"/>
                  </w14:solidFill>
                </w14:textFill>
              </w:rPr>
              <w:t>解了</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准格尔旗</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面临的填埋处置占用土地资源等困境，能够推动煤基固</w:t>
            </w:r>
            <w:r>
              <w:rPr>
                <w:rFonts w:hint="default" w:ascii="Times New Roman" w:hAnsi="Times New Roman" w:eastAsia="宋体" w:cs="Times New Roman"/>
                <w:color w:val="000000" w:themeColor="text1"/>
                <w:spacing w:val="2"/>
                <w:sz w:val="24"/>
                <w:szCs w:val="24"/>
                <w:highlight w:val="none"/>
                <w:lang w:eastAsia="zh-CN"/>
                <w14:textFill>
                  <w14:solidFill>
                    <w14:schemeClr w14:val="tx1"/>
                  </w14:solidFill>
                </w14:textFill>
              </w:rPr>
              <w:t>废资</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源化综合利用步伐，助力提高一般工业固废综合利用水平，对于打造煤基固废综合利用循环产业链极为必要。</w:t>
            </w:r>
          </w:p>
          <w:p w14:paraId="3FE1DFB3">
            <w:pPr>
              <w:pStyle w:val="8"/>
              <w:keepNext w:val="0"/>
              <w:keepLines w:val="0"/>
              <w:pageBreakBefore w:val="0"/>
              <w:widowControl w:val="0"/>
              <w:kinsoku/>
              <w:wordWrap/>
              <w:overflowPunct/>
              <w:topLinePunct w:val="0"/>
              <w:autoSpaceDE/>
              <w:autoSpaceDN/>
              <w:bidi w:val="0"/>
              <w:adjustRightInd/>
              <w:snapToGrid/>
              <w:spacing w:line="360" w:lineRule="auto"/>
              <w:ind w:firstLine="488" w:firstLineChars="200"/>
              <w:jc w:val="both"/>
              <w:textAlignment w:val="auto"/>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按照《中华人民共和国环境保护法</w:t>
            </w:r>
            <w:r>
              <w:rPr>
                <w:rFonts w:hint="default" w:ascii="Times New Roman" w:hAnsi="Times New Roman" w:eastAsia="宋体" w:cs="Times New Roman"/>
                <w:color w:val="000000" w:themeColor="text1"/>
                <w:spacing w:val="2"/>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中华人民共和国环境影响评价法》和《建设项目环境保护管理条例》的相关规定，该项目应进行环境影响评价。对照《建设项目环境影响评价分类管理名录（2021版）》，项目属于“四十七、生态保护和环境治理业—103、一般工业固体废物（含污水处理污泥）、建筑施工废弃物处置及综合利用—其他类别</w:t>
            </w:r>
            <w:r>
              <w:rPr>
                <w:rFonts w:hint="default" w:ascii="Times New Roman" w:hAnsi="Times New Roman" w:cs="Times New Roman"/>
                <w:color w:val="000000" w:themeColor="text1"/>
                <w:spacing w:val="2"/>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类别，应编制环境影响报告表。202</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年</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1月，</w:t>
            </w:r>
            <w:r>
              <w:rPr>
                <w:rFonts w:hint="default" w:ascii="Times New Roman" w:hAnsi="Times New Roman" w:eastAsia="宋体" w:cs="Times New Roman"/>
                <w:color w:val="000000" w:themeColor="text1"/>
                <w:sz w:val="24"/>
                <w:highlight w:val="none"/>
                <w14:textFill>
                  <w14:solidFill>
                    <w14:schemeClr w14:val="tx1"/>
                  </w14:solidFill>
                </w14:textFill>
              </w:rPr>
              <w:t>内蒙古伊东东晟新材料有限公司</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委托</w:t>
            </w:r>
            <w:r>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t>我</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公司承担本报告表的编制工作。在接受委托后，我公司根据项目方提供的工程资料，结合项目的性质、特点以及该区域环境功能特征，通过实地调查、现场踏勘、资料收集，并依据相关法律法规和环评技术导则的要求，编制完成了《</w:t>
            </w:r>
            <w:r>
              <w:rPr>
                <w:rFonts w:hint="default" w:ascii="Times New Roman" w:hAnsi="Times New Roman" w:eastAsia="宋体" w:cs="Times New Roman"/>
                <w:color w:val="000000" w:themeColor="text1"/>
                <w:sz w:val="24"/>
                <w:highlight w:val="none"/>
                <w14:textFill>
                  <w14:solidFill>
                    <w14:schemeClr w14:val="tx1"/>
                  </w14:solidFill>
                </w14:textFill>
              </w:rPr>
              <w:t>内蒙古伊东东晟公司年产20万吨煤矸石煅烧高岭土项目</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环境影响报告表》，现呈请生态环境部门审查。</w:t>
            </w:r>
          </w:p>
          <w:p w14:paraId="5E98F4D5">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1.</w:t>
            </w: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2项目概况</w:t>
            </w:r>
          </w:p>
          <w:p w14:paraId="57A144A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项目名称：内蒙古伊东东晟公司年产20万吨煤矸石煅烧高岭土项目</w:t>
            </w:r>
          </w:p>
          <w:p w14:paraId="5023A55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建设单位：内蒙古伊东东晟新材料有限公司</w:t>
            </w:r>
          </w:p>
          <w:p w14:paraId="4D954B2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建设性质：新建</w:t>
            </w:r>
          </w:p>
          <w:p w14:paraId="744D8C2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占地面积</w:t>
            </w:r>
            <w:r>
              <w:rPr>
                <w:rFonts w:hint="default"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lang w:val="en-US" w:eastAsia="zh-CN"/>
                <w14:textFill>
                  <w14:solidFill>
                    <w14:schemeClr w14:val="tx1"/>
                  </w14:solidFill>
                </w14:textFill>
              </w:rPr>
              <w:t>35626.85</w:t>
            </w:r>
            <w:r>
              <w:rPr>
                <w:rFonts w:hint="default" w:ascii="Times New Roman" w:hAnsi="Times New Roman" w:eastAsia="宋体" w:cs="Times New Roman"/>
                <w:color w:val="000000" w:themeColor="text1"/>
                <w:sz w:val="24"/>
                <w:highlight w:val="none"/>
                <w14:textFill>
                  <w14:solidFill>
                    <w14:schemeClr w14:val="tx1"/>
                  </w14:solidFill>
                </w14:textFill>
              </w:rPr>
              <w:t>m</w:t>
            </w:r>
            <w:r>
              <w:rPr>
                <w:rFonts w:hint="default" w:ascii="Times New Roman" w:hAnsi="Times New Roman" w:eastAsia="宋体" w:cs="Times New Roman"/>
                <w:color w:val="000000" w:themeColor="text1"/>
                <w:sz w:val="24"/>
                <w:highlight w:val="none"/>
                <w:vertAlign w:val="superscript"/>
                <w14:textFill>
                  <w14:solidFill>
                    <w14:schemeClr w14:val="tx1"/>
                  </w14:solidFill>
                </w14:textFill>
              </w:rPr>
              <w:t>2</w:t>
            </w:r>
          </w:p>
          <w:p w14:paraId="7C32CA7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项目总投资：</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13014.3</w:t>
            </w:r>
            <w:r>
              <w:rPr>
                <w:rFonts w:hint="default" w:ascii="Times New Roman" w:hAnsi="Times New Roman" w:eastAsia="宋体" w:cs="Times New Roman"/>
                <w:color w:val="000000" w:themeColor="text1"/>
                <w:sz w:val="24"/>
                <w:highlight w:val="none"/>
                <w14:textFill>
                  <w14:solidFill>
                    <w14:schemeClr w14:val="tx1"/>
                  </w14:solidFill>
                </w14:textFill>
              </w:rPr>
              <w:t>万元，其中环保投资</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655.5</w:t>
            </w:r>
            <w:r>
              <w:rPr>
                <w:rFonts w:hint="default" w:ascii="Times New Roman" w:hAnsi="Times New Roman" w:eastAsia="宋体" w:cs="Times New Roman"/>
                <w:color w:val="000000" w:themeColor="text1"/>
                <w:sz w:val="24"/>
                <w:highlight w:val="none"/>
                <w14:textFill>
                  <w14:solidFill>
                    <w14:schemeClr w14:val="tx1"/>
                  </w14:solidFill>
                </w14:textFill>
              </w:rPr>
              <w:t>万元。</w:t>
            </w:r>
          </w:p>
          <w:p w14:paraId="172A66D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建设时间：202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z w:val="24"/>
                <w:highlight w:val="none"/>
                <w14:textFill>
                  <w14:solidFill>
                    <w14:schemeClr w14:val="tx1"/>
                  </w14:solidFill>
                </w14:textFill>
              </w:rPr>
              <w:t>年</w:t>
            </w:r>
            <w:r>
              <w:rPr>
                <w:rFonts w:hint="eastAsia" w:cs="Times New Roman"/>
                <w:color w:val="000000" w:themeColor="text1"/>
                <w:sz w:val="24"/>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z w:val="24"/>
                <w:highlight w:val="none"/>
                <w14:textFill>
                  <w14:solidFill>
                    <w14:schemeClr w14:val="tx1"/>
                  </w14:solidFill>
                </w14:textFill>
              </w:rPr>
              <w:t>月</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202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7</w:t>
            </w:r>
            <w:r>
              <w:rPr>
                <w:rFonts w:hint="default" w:ascii="Times New Roman" w:hAnsi="Times New Roman" w:eastAsia="宋体" w:cs="Times New Roman"/>
                <w:color w:val="000000" w:themeColor="text1"/>
                <w:sz w:val="24"/>
                <w:highlight w:val="none"/>
                <w14:textFill>
                  <w14:solidFill>
                    <w14:schemeClr w14:val="tx1"/>
                  </w14:solidFill>
                </w14:textFill>
              </w:rPr>
              <w:t>年</w:t>
            </w:r>
            <w:r>
              <w:rPr>
                <w:rFonts w:hint="eastAsia" w:cs="Times New Roman"/>
                <w:color w:val="000000" w:themeColor="text1"/>
                <w:sz w:val="24"/>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z w:val="24"/>
                <w:highlight w:val="none"/>
                <w14:textFill>
                  <w14:solidFill>
                    <w14:schemeClr w14:val="tx1"/>
                  </w14:solidFill>
                </w14:textFill>
              </w:rPr>
              <w:t>月。</w:t>
            </w:r>
          </w:p>
          <w:p w14:paraId="7EEBDA3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建设地点：</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内蒙古鄂尔多斯准格尔经济开发区准格尔产业园</w:t>
            </w:r>
            <w:r>
              <w:rPr>
                <w:rFonts w:hint="default" w:ascii="Times New Roman" w:hAnsi="Times New Roman" w:eastAsia="宋体" w:cs="Times New Roman"/>
                <w:color w:val="000000" w:themeColor="text1"/>
                <w:sz w:val="24"/>
                <w:szCs w:val="24"/>
                <w:highlight w:val="none"/>
                <w14:textFill>
                  <w14:solidFill>
                    <w14:schemeClr w14:val="tx1"/>
                  </w14:solidFill>
                </w14:textFill>
              </w:rPr>
              <w:t>，项</w:t>
            </w:r>
            <w:r>
              <w:rPr>
                <w:rFonts w:hint="default" w:ascii="Times New Roman" w:hAnsi="Times New Roman" w:eastAsia="宋体" w:cs="Times New Roman"/>
                <w:color w:val="000000" w:themeColor="text1"/>
                <w:sz w:val="24"/>
                <w:highlight w:val="none"/>
                <w14:textFill>
                  <w14:solidFill>
                    <w14:schemeClr w14:val="tx1"/>
                  </w14:solidFill>
                </w14:textFill>
              </w:rPr>
              <w:t>目中心坐标（E1</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4"/>
                <w:highlight w:val="none"/>
                <w14:textFill>
                  <w14:solidFill>
                    <w14:schemeClr w14:val="tx1"/>
                  </w14:solidFill>
                </w14:textFill>
              </w:rPr>
              <w:t>°51</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′52.82</w:t>
            </w:r>
            <w:r>
              <w:rPr>
                <w:rFonts w:hint="default" w:ascii="Times New Roman" w:hAnsi="Times New Roman" w:eastAsia="宋体" w:cs="Times New Roman"/>
                <w:color w:val="000000" w:themeColor="text1"/>
                <w:sz w:val="24"/>
                <w:highlight w:val="none"/>
                <w14:textFill>
                  <w14:solidFill>
                    <w14:schemeClr w14:val="tx1"/>
                  </w14:solidFill>
                </w14:textFill>
              </w:rPr>
              <w:t>″，N（39°</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42′9.31</w:t>
            </w: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项目</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西</w:t>
            </w:r>
            <w:r>
              <w:rPr>
                <w:rFonts w:hint="default" w:ascii="Times New Roman" w:hAnsi="Times New Roman" w:eastAsia="宋体" w:cs="Times New Roman"/>
                <w:color w:val="000000" w:themeColor="text1"/>
                <w:sz w:val="24"/>
                <w:highlight w:val="none"/>
                <w14:textFill>
                  <w14:solidFill>
                    <w14:schemeClr w14:val="tx1"/>
                  </w14:solidFill>
                </w14:textFill>
              </w:rPr>
              <w:t>侧为内蒙古伊东东</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发</w:t>
            </w:r>
            <w:r>
              <w:rPr>
                <w:rFonts w:hint="default" w:ascii="Times New Roman" w:hAnsi="Times New Roman" w:eastAsia="宋体" w:cs="Times New Roman"/>
                <w:color w:val="000000" w:themeColor="text1"/>
                <w:sz w:val="24"/>
                <w:highlight w:val="none"/>
                <w14:textFill>
                  <w14:solidFill>
                    <w14:schemeClr w14:val="tx1"/>
                  </w14:solidFill>
                </w14:textFill>
              </w:rPr>
              <w:t>有限公司，</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东侧为</w:t>
            </w:r>
            <w:r>
              <w:rPr>
                <w:rFonts w:hint="default" w:ascii="Times New Roman" w:hAnsi="Times New Roman" w:eastAsia="宋体" w:cs="Times New Roman"/>
                <w:color w:val="000000" w:themeColor="text1"/>
                <w:sz w:val="24"/>
                <w:highlight w:val="none"/>
                <w14:textFill>
                  <w14:solidFill>
                    <w14:schemeClr w14:val="tx1"/>
                  </w14:solidFill>
                </w14:textFill>
              </w:rPr>
              <w:t>内蒙古伊东</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高</w:t>
            </w:r>
            <w:r>
              <w:rPr>
                <w:rFonts w:hint="default" w:ascii="Times New Roman" w:hAnsi="Times New Roman" w:eastAsia="宋体" w:cs="Times New Roman"/>
                <w:color w:val="000000" w:themeColor="text1"/>
                <w:sz w:val="24"/>
                <w:highlight w:val="none"/>
                <w14:textFill>
                  <w14:solidFill>
                    <w14:schemeClr w14:val="tx1"/>
                  </w14:solidFill>
                </w14:textFill>
              </w:rPr>
              <w:t>新材料有限公司</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，北</w:t>
            </w:r>
            <w:r>
              <w:rPr>
                <w:rFonts w:hint="default" w:ascii="Times New Roman" w:hAnsi="Times New Roman" w:eastAsia="宋体" w:cs="Times New Roman"/>
                <w:color w:val="000000" w:themeColor="text1"/>
                <w:sz w:val="24"/>
                <w:highlight w:val="none"/>
                <w14:textFill>
                  <w14:solidFill>
                    <w14:schemeClr w14:val="tx1"/>
                  </w14:solidFill>
                </w14:textFill>
              </w:rPr>
              <w:t>侧为内蒙古</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励泰生物有限责任</w:t>
            </w:r>
            <w:r>
              <w:rPr>
                <w:rFonts w:hint="default" w:ascii="Times New Roman" w:hAnsi="Times New Roman" w:eastAsia="宋体" w:cs="Times New Roman"/>
                <w:color w:val="000000" w:themeColor="text1"/>
                <w:sz w:val="24"/>
                <w:highlight w:val="none"/>
                <w14:textFill>
                  <w14:solidFill>
                    <w14:schemeClr w14:val="tx1"/>
                  </w14:solidFill>
                </w14:textFill>
              </w:rPr>
              <w:t>公司，南侧为</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园区环城路</w:t>
            </w:r>
            <w:r>
              <w:rPr>
                <w:rFonts w:hint="default" w:ascii="Times New Roman" w:hAnsi="Times New Roman" w:eastAsia="宋体" w:cs="Times New Roman"/>
                <w:color w:val="000000" w:themeColor="text1"/>
                <w:sz w:val="24"/>
                <w:highlight w:val="none"/>
                <w14:textFill>
                  <w14:solidFill>
                    <w14:schemeClr w14:val="tx1"/>
                  </w14:solidFill>
                </w14:textFill>
              </w:rPr>
              <w:t>。</w:t>
            </w:r>
          </w:p>
          <w:p w14:paraId="50EE6EA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劳动定员与劳动时间：本项目全厂劳动定员35人，其中：生产工人30人，管理及服务人员5人；全年劳动时间为300天，产品生产是全年连续生产，煅烧系统年运转率82.19%（300天/年）。</w:t>
            </w:r>
          </w:p>
          <w:p w14:paraId="346E7D0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建设内容及规模：建设内容包括回转窑煅烧装置及配套设施、成品储存仓库、包装、维修车间、办公区等辅助设施建设。</w:t>
            </w:r>
          </w:p>
          <w:p w14:paraId="775F7F5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建设</w:t>
            </w:r>
            <w:r>
              <w:rPr>
                <w:rFonts w:hint="default" w:ascii="Times New Roman" w:hAnsi="Times New Roman" w:cs="Times New Roman"/>
                <w:color w:val="000000" w:themeColor="text1"/>
                <w:sz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highlight w:val="none"/>
                <w14:textFill>
                  <w14:solidFill>
                    <w14:schemeClr w14:val="tx1"/>
                  </w14:solidFill>
                </w14:textFill>
              </w:rPr>
              <w:t>条</w:t>
            </w:r>
            <w:r>
              <w:rPr>
                <w:rFonts w:hint="default" w:ascii="Times New Roman" w:hAnsi="Times New Roman" w:cs="Times New Roman"/>
                <w:color w:val="000000" w:themeColor="text1"/>
                <w:sz w:val="24"/>
                <w:highlight w:val="none"/>
                <w:lang w:val="en-US" w:eastAsia="zh-CN"/>
                <w14:textFill>
                  <w14:solidFill>
                    <w14:schemeClr w14:val="tx1"/>
                  </w14:solidFill>
                </w14:textFill>
              </w:rPr>
              <w:t>667t/d煤矸石</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悬浮脱碳煅烧高活性高岭土生产线</w:t>
            </w:r>
            <w:r>
              <w:rPr>
                <w:rFonts w:hint="default" w:ascii="Times New Roman" w:hAnsi="Times New Roman"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年产20万吨煅烧高岭土产品，其中煅烧高岭土1号产品（用于陶瓷釉料）和煅烧高岭土2号（用于玻纤原料）产品年产各10万吨。</w:t>
            </w:r>
          </w:p>
          <w:p w14:paraId="449BFF0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全厂生产工作制度见下表。</w:t>
            </w:r>
          </w:p>
          <w:p w14:paraId="3F49F5B5">
            <w:pPr>
              <w:ind w:firstLine="482" w:firstLineChars="200"/>
              <w:jc w:val="center"/>
              <w:rPr>
                <w:rFonts w:hint="default" w:ascii="Times New Roman" w:hAnsi="Times New Roman" w:eastAsia="宋体" w:cs="Times New Roman"/>
                <w:b/>
                <w:bCs/>
                <w:color w:val="000000" w:themeColor="text1"/>
                <w:sz w:val="24"/>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表</w:t>
            </w: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highlight w:val="none"/>
                <w14:textFill>
                  <w14:solidFill>
                    <w14:schemeClr w14:val="tx1"/>
                  </w14:solidFill>
                </w14:textFill>
              </w:rPr>
              <w:t>-</w:t>
            </w: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1</w:t>
            </w:r>
            <w:r>
              <w:rPr>
                <w:rFonts w:hint="default" w:ascii="Times New Roman" w:hAnsi="Times New Roman" w:eastAsia="宋体" w:cs="Times New Roman"/>
                <w:b/>
                <w:bCs/>
                <w:color w:val="000000" w:themeColor="text1"/>
                <w:sz w:val="24"/>
                <w:highlight w:val="none"/>
                <w14:textFill>
                  <w14:solidFill>
                    <w14:schemeClr w14:val="tx1"/>
                  </w14:solidFill>
                </w14:textFill>
              </w:rPr>
              <w:t>全厂主要生产车间工作制度</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4"/>
              <w:gridCol w:w="2628"/>
              <w:gridCol w:w="1281"/>
              <w:gridCol w:w="914"/>
              <w:gridCol w:w="2859"/>
            </w:tblGrid>
            <w:tr w14:paraId="343A7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tblHeader/>
                <w:jc w:val="center"/>
              </w:trPr>
              <w:tc>
                <w:tcPr>
                  <w:tcW w:w="694" w:type="dxa"/>
                  <w:noWrap w:val="0"/>
                  <w:vAlign w:val="center"/>
                </w:tcPr>
                <w:p w14:paraId="79D36EE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序号</w:t>
                  </w:r>
                </w:p>
              </w:tc>
              <w:tc>
                <w:tcPr>
                  <w:tcW w:w="2628" w:type="dxa"/>
                  <w:noWrap w:val="0"/>
                  <w:vAlign w:val="center"/>
                </w:tcPr>
                <w:p w14:paraId="523CCAB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车间名称</w:t>
                  </w:r>
                </w:p>
              </w:tc>
              <w:tc>
                <w:tcPr>
                  <w:tcW w:w="1281" w:type="dxa"/>
                  <w:noWrap w:val="0"/>
                  <w:vAlign w:val="center"/>
                </w:tcPr>
                <w:p w14:paraId="2A0CBC1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工作制度</w:t>
                  </w:r>
                </w:p>
              </w:tc>
              <w:tc>
                <w:tcPr>
                  <w:tcW w:w="914" w:type="dxa"/>
                  <w:noWrap w:val="0"/>
                  <w:vAlign w:val="center"/>
                </w:tcPr>
                <w:p w14:paraId="3C1FB10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班制</w:t>
                  </w:r>
                </w:p>
              </w:tc>
              <w:tc>
                <w:tcPr>
                  <w:tcW w:w="2859" w:type="dxa"/>
                  <w:noWrap w:val="0"/>
                  <w:vAlign w:val="center"/>
                </w:tcPr>
                <w:p w14:paraId="0647E28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每周工作时间</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h/d×d/w</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tc>
            </w:tr>
            <w:tr w14:paraId="22B42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694" w:type="dxa"/>
                  <w:shd w:val="clear" w:color="auto" w:fill="auto"/>
                  <w:noWrap w:val="0"/>
                  <w:vAlign w:val="center"/>
                </w:tcPr>
                <w:p w14:paraId="66D03D0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2628" w:type="dxa"/>
                  <w:noWrap w:val="0"/>
                  <w:vAlign w:val="center"/>
                </w:tcPr>
                <w:p w14:paraId="3CF0802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原料筒仓装卸</w:t>
                  </w:r>
                </w:p>
              </w:tc>
              <w:tc>
                <w:tcPr>
                  <w:tcW w:w="1281" w:type="dxa"/>
                  <w:noWrap w:val="0"/>
                  <w:vAlign w:val="center"/>
                </w:tcPr>
                <w:p w14:paraId="2A98980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连续周</w:t>
                  </w:r>
                </w:p>
              </w:tc>
              <w:tc>
                <w:tcPr>
                  <w:tcW w:w="914" w:type="dxa"/>
                  <w:noWrap w:val="0"/>
                  <w:vAlign w:val="center"/>
                </w:tcPr>
                <w:p w14:paraId="5E10797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c>
                <w:tcPr>
                  <w:tcW w:w="2859" w:type="dxa"/>
                  <w:noWrap w:val="0"/>
                  <w:vAlign w:val="center"/>
                </w:tcPr>
                <w:p w14:paraId="7CEE87C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16×7</w:t>
                  </w:r>
                </w:p>
              </w:tc>
            </w:tr>
            <w:tr w14:paraId="5578D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694" w:type="dxa"/>
                  <w:shd w:val="clear" w:color="auto" w:fill="auto"/>
                  <w:noWrap w:val="0"/>
                  <w:vAlign w:val="center"/>
                </w:tcPr>
                <w:p w14:paraId="438BF18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p>
              </w:tc>
              <w:tc>
                <w:tcPr>
                  <w:tcW w:w="2628" w:type="dxa"/>
                  <w:noWrap w:val="0"/>
                  <w:vAlign w:val="center"/>
                </w:tcPr>
                <w:p w14:paraId="4D91FB2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转运</w:t>
                  </w:r>
                </w:p>
              </w:tc>
              <w:tc>
                <w:tcPr>
                  <w:tcW w:w="1281" w:type="dxa"/>
                  <w:shd w:val="clear" w:color="auto" w:fill="auto"/>
                  <w:noWrap w:val="0"/>
                  <w:vAlign w:val="center"/>
                </w:tcPr>
                <w:p w14:paraId="3A4303E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连续周</w:t>
                  </w:r>
                </w:p>
              </w:tc>
              <w:tc>
                <w:tcPr>
                  <w:tcW w:w="914" w:type="dxa"/>
                  <w:shd w:val="clear" w:color="auto" w:fill="auto"/>
                  <w:noWrap w:val="0"/>
                  <w:vAlign w:val="center"/>
                </w:tcPr>
                <w:p w14:paraId="2798DB4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c>
                <w:tcPr>
                  <w:tcW w:w="2859" w:type="dxa"/>
                  <w:shd w:val="clear" w:color="auto" w:fill="auto"/>
                  <w:noWrap w:val="0"/>
                  <w:vAlign w:val="center"/>
                </w:tcPr>
                <w:p w14:paraId="7070C26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16×7</w:t>
                  </w:r>
                </w:p>
              </w:tc>
            </w:tr>
            <w:tr w14:paraId="28B43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694" w:type="dxa"/>
                  <w:shd w:val="clear" w:color="auto" w:fill="auto"/>
                  <w:noWrap w:val="0"/>
                  <w:vAlign w:val="center"/>
                </w:tcPr>
                <w:p w14:paraId="04ECA7E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p>
              </w:tc>
              <w:tc>
                <w:tcPr>
                  <w:tcW w:w="2628" w:type="dxa"/>
                  <w:noWrap w:val="0"/>
                  <w:vAlign w:val="center"/>
                </w:tcPr>
                <w:p w14:paraId="7EBDF6E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喂料仓装卸</w:t>
                  </w:r>
                </w:p>
              </w:tc>
              <w:tc>
                <w:tcPr>
                  <w:tcW w:w="1281" w:type="dxa"/>
                  <w:shd w:val="clear" w:color="auto" w:fill="auto"/>
                  <w:noWrap w:val="0"/>
                  <w:vAlign w:val="center"/>
                </w:tcPr>
                <w:p w14:paraId="14F2501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连续周</w:t>
                  </w:r>
                </w:p>
              </w:tc>
              <w:tc>
                <w:tcPr>
                  <w:tcW w:w="914" w:type="dxa"/>
                  <w:shd w:val="clear" w:color="auto" w:fill="auto"/>
                  <w:noWrap w:val="0"/>
                  <w:vAlign w:val="center"/>
                </w:tcPr>
                <w:p w14:paraId="0F41270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c>
                <w:tcPr>
                  <w:tcW w:w="2859" w:type="dxa"/>
                  <w:shd w:val="clear" w:color="auto" w:fill="auto"/>
                  <w:noWrap w:val="0"/>
                  <w:vAlign w:val="center"/>
                </w:tcPr>
                <w:p w14:paraId="452CB83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16×7</w:t>
                  </w:r>
                </w:p>
              </w:tc>
            </w:tr>
            <w:tr w14:paraId="445EB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694" w:type="dxa"/>
                  <w:shd w:val="clear" w:color="auto" w:fill="auto"/>
                  <w:noWrap w:val="0"/>
                  <w:vAlign w:val="center"/>
                </w:tcPr>
                <w:p w14:paraId="4C4444C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w:t>
                  </w:r>
                </w:p>
              </w:tc>
              <w:tc>
                <w:tcPr>
                  <w:tcW w:w="2628" w:type="dxa"/>
                  <w:noWrap w:val="0"/>
                  <w:vAlign w:val="center"/>
                </w:tcPr>
                <w:p w14:paraId="71DE4CC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喂料提升装卸</w:t>
                  </w:r>
                </w:p>
              </w:tc>
              <w:tc>
                <w:tcPr>
                  <w:tcW w:w="1281" w:type="dxa"/>
                  <w:shd w:val="clear" w:color="auto" w:fill="auto"/>
                  <w:noWrap w:val="0"/>
                  <w:vAlign w:val="center"/>
                </w:tcPr>
                <w:p w14:paraId="4870FE9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连续周</w:t>
                  </w:r>
                </w:p>
              </w:tc>
              <w:tc>
                <w:tcPr>
                  <w:tcW w:w="914" w:type="dxa"/>
                  <w:shd w:val="clear" w:color="auto" w:fill="auto"/>
                  <w:noWrap w:val="0"/>
                  <w:vAlign w:val="center"/>
                </w:tcPr>
                <w:p w14:paraId="6B39146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c>
                <w:tcPr>
                  <w:tcW w:w="2859" w:type="dxa"/>
                  <w:shd w:val="clear" w:color="auto" w:fill="auto"/>
                  <w:noWrap w:val="0"/>
                  <w:vAlign w:val="center"/>
                </w:tcPr>
                <w:p w14:paraId="5FAF53A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16×7</w:t>
                  </w:r>
                </w:p>
              </w:tc>
            </w:tr>
            <w:tr w14:paraId="57996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694" w:type="dxa"/>
                  <w:shd w:val="clear" w:color="auto" w:fill="auto"/>
                  <w:noWrap w:val="0"/>
                  <w:vAlign w:val="center"/>
                </w:tcPr>
                <w:p w14:paraId="1254E65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5</w:t>
                  </w:r>
                </w:p>
              </w:tc>
              <w:tc>
                <w:tcPr>
                  <w:tcW w:w="2628" w:type="dxa"/>
                  <w:shd w:val="clear" w:color="auto" w:fill="auto"/>
                  <w:noWrap w:val="0"/>
                  <w:vAlign w:val="center"/>
                </w:tcPr>
                <w:p w14:paraId="3AD48EC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煅烧窑尾</w:t>
                  </w:r>
                </w:p>
              </w:tc>
              <w:tc>
                <w:tcPr>
                  <w:tcW w:w="1281" w:type="dxa"/>
                  <w:shd w:val="clear" w:color="auto" w:fill="auto"/>
                  <w:noWrap w:val="0"/>
                  <w:vAlign w:val="center"/>
                </w:tcPr>
                <w:p w14:paraId="4E95058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连续周</w:t>
                  </w:r>
                </w:p>
              </w:tc>
              <w:tc>
                <w:tcPr>
                  <w:tcW w:w="914" w:type="dxa"/>
                  <w:shd w:val="clear" w:color="auto" w:fill="auto"/>
                  <w:noWrap w:val="0"/>
                  <w:vAlign w:val="center"/>
                </w:tcPr>
                <w:p w14:paraId="1F3E6FC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p>
              </w:tc>
              <w:tc>
                <w:tcPr>
                  <w:tcW w:w="2859" w:type="dxa"/>
                  <w:shd w:val="clear" w:color="auto" w:fill="auto"/>
                  <w:noWrap w:val="0"/>
                  <w:vAlign w:val="center"/>
                </w:tcPr>
                <w:p w14:paraId="7D15448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24×7</w:t>
                  </w:r>
                </w:p>
              </w:tc>
            </w:tr>
            <w:tr w14:paraId="65B58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694" w:type="dxa"/>
                  <w:shd w:val="clear" w:color="auto" w:fill="auto"/>
                  <w:noWrap w:val="0"/>
                  <w:vAlign w:val="center"/>
                </w:tcPr>
                <w:p w14:paraId="0B292B2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w:t>
                  </w:r>
                </w:p>
              </w:tc>
              <w:tc>
                <w:tcPr>
                  <w:tcW w:w="2628" w:type="dxa"/>
                  <w:shd w:val="clear" w:color="auto" w:fill="auto"/>
                  <w:noWrap w:val="0"/>
                  <w:vAlign w:val="center"/>
                </w:tcPr>
                <w:p w14:paraId="53374BA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煅烧窑中</w:t>
                  </w:r>
                </w:p>
              </w:tc>
              <w:tc>
                <w:tcPr>
                  <w:tcW w:w="1281" w:type="dxa"/>
                  <w:shd w:val="clear" w:color="auto" w:fill="auto"/>
                  <w:noWrap w:val="0"/>
                  <w:vAlign w:val="center"/>
                </w:tcPr>
                <w:p w14:paraId="3010D87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连续周</w:t>
                  </w:r>
                </w:p>
              </w:tc>
              <w:tc>
                <w:tcPr>
                  <w:tcW w:w="914" w:type="dxa"/>
                  <w:shd w:val="clear" w:color="auto" w:fill="auto"/>
                  <w:noWrap w:val="0"/>
                  <w:vAlign w:val="center"/>
                </w:tcPr>
                <w:p w14:paraId="76C7265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p>
              </w:tc>
              <w:tc>
                <w:tcPr>
                  <w:tcW w:w="2859" w:type="dxa"/>
                  <w:shd w:val="clear" w:color="auto" w:fill="auto"/>
                  <w:noWrap w:val="0"/>
                  <w:vAlign w:val="center"/>
                </w:tcPr>
                <w:p w14:paraId="01880AD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24×7</w:t>
                  </w:r>
                </w:p>
              </w:tc>
            </w:tr>
            <w:tr w14:paraId="4B703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694" w:type="dxa"/>
                  <w:shd w:val="clear" w:color="auto" w:fill="auto"/>
                  <w:noWrap w:val="0"/>
                  <w:vAlign w:val="center"/>
                </w:tcPr>
                <w:p w14:paraId="4465998F">
                  <w:pPr>
                    <w:keepNext w:val="0"/>
                    <w:keepLines w:val="0"/>
                    <w:pageBreakBefore w:val="0"/>
                    <w:widowControl w:val="0"/>
                    <w:tabs>
                      <w:tab w:val="left" w:pos="226"/>
                    </w:tabs>
                    <w:kinsoku/>
                    <w:wordWrap/>
                    <w:overflowPunct/>
                    <w:topLinePunct w:val="0"/>
                    <w:autoSpaceDE/>
                    <w:autoSpaceDN/>
                    <w:bidi w:val="0"/>
                    <w:adjustRightInd/>
                    <w:snapToGrid/>
                    <w:jc w:val="left"/>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ab/>
                  </w: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7</w:t>
                  </w:r>
                </w:p>
              </w:tc>
              <w:tc>
                <w:tcPr>
                  <w:tcW w:w="2628" w:type="dxa"/>
                  <w:shd w:val="clear" w:color="auto" w:fill="auto"/>
                  <w:noWrap w:val="0"/>
                  <w:vAlign w:val="center"/>
                </w:tcPr>
                <w:p w14:paraId="7CDD814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高岭土冷却</w:t>
                  </w:r>
                </w:p>
              </w:tc>
              <w:tc>
                <w:tcPr>
                  <w:tcW w:w="1281" w:type="dxa"/>
                  <w:shd w:val="clear" w:color="auto" w:fill="auto"/>
                  <w:noWrap w:val="0"/>
                  <w:vAlign w:val="center"/>
                </w:tcPr>
                <w:p w14:paraId="13B581E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连续周</w:t>
                  </w:r>
                </w:p>
              </w:tc>
              <w:tc>
                <w:tcPr>
                  <w:tcW w:w="914" w:type="dxa"/>
                  <w:shd w:val="clear" w:color="auto" w:fill="auto"/>
                  <w:noWrap w:val="0"/>
                  <w:vAlign w:val="center"/>
                </w:tcPr>
                <w:p w14:paraId="691E12E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p>
              </w:tc>
              <w:tc>
                <w:tcPr>
                  <w:tcW w:w="2859" w:type="dxa"/>
                  <w:shd w:val="clear" w:color="auto" w:fill="auto"/>
                  <w:noWrap w:val="0"/>
                  <w:vAlign w:val="center"/>
                </w:tcPr>
                <w:p w14:paraId="3FD3A72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24×7</w:t>
                  </w:r>
                </w:p>
              </w:tc>
            </w:tr>
            <w:tr w14:paraId="2BB18F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694" w:type="dxa"/>
                  <w:shd w:val="clear" w:color="auto" w:fill="auto"/>
                  <w:noWrap w:val="0"/>
                  <w:vAlign w:val="center"/>
                </w:tcPr>
                <w:p w14:paraId="3354217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8</w:t>
                  </w:r>
                </w:p>
              </w:tc>
              <w:tc>
                <w:tcPr>
                  <w:tcW w:w="2628" w:type="dxa"/>
                  <w:shd w:val="clear" w:color="auto" w:fill="auto"/>
                  <w:noWrap w:val="0"/>
                  <w:vAlign w:val="center"/>
                </w:tcPr>
                <w:p w14:paraId="34501A1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高岭土</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分选（打散、粉磨）</w:t>
                  </w:r>
                </w:p>
              </w:tc>
              <w:tc>
                <w:tcPr>
                  <w:tcW w:w="1281" w:type="dxa"/>
                  <w:shd w:val="clear" w:color="auto" w:fill="auto"/>
                  <w:noWrap w:val="0"/>
                  <w:vAlign w:val="center"/>
                </w:tcPr>
                <w:p w14:paraId="7811097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连续周</w:t>
                  </w:r>
                </w:p>
              </w:tc>
              <w:tc>
                <w:tcPr>
                  <w:tcW w:w="914" w:type="dxa"/>
                  <w:shd w:val="clear" w:color="auto" w:fill="auto"/>
                  <w:noWrap w:val="0"/>
                  <w:vAlign w:val="center"/>
                </w:tcPr>
                <w:p w14:paraId="4277D95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w:t>
                  </w:r>
                </w:p>
              </w:tc>
              <w:tc>
                <w:tcPr>
                  <w:tcW w:w="2859" w:type="dxa"/>
                  <w:shd w:val="clear" w:color="auto" w:fill="auto"/>
                  <w:noWrap w:val="0"/>
                  <w:vAlign w:val="center"/>
                </w:tcPr>
                <w:p w14:paraId="33E4922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24</w:t>
                  </w:r>
                  <w:r>
                    <w:rPr>
                      <w:rFonts w:hint="default" w:ascii="Times New Roman" w:hAnsi="Times New Roman" w:eastAsia="宋体" w:cs="Times New Roman"/>
                      <w:color w:val="000000" w:themeColor="text1"/>
                      <w:sz w:val="21"/>
                      <w:szCs w:val="21"/>
                      <w:highlight w:val="none"/>
                      <w14:textFill>
                        <w14:solidFill>
                          <w14:schemeClr w14:val="tx1"/>
                        </w14:solidFill>
                      </w14:textFill>
                    </w:rPr>
                    <w:t>×7</w:t>
                  </w:r>
                </w:p>
              </w:tc>
            </w:tr>
            <w:tr w14:paraId="6EF03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694" w:type="dxa"/>
                  <w:shd w:val="clear" w:color="auto" w:fill="auto"/>
                  <w:noWrap w:val="0"/>
                  <w:vAlign w:val="center"/>
                </w:tcPr>
                <w:p w14:paraId="1B50951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9</w:t>
                  </w:r>
                </w:p>
              </w:tc>
              <w:tc>
                <w:tcPr>
                  <w:tcW w:w="2628" w:type="dxa"/>
                  <w:shd w:val="clear" w:color="auto" w:fill="auto"/>
                  <w:noWrap w:val="0"/>
                  <w:vAlign w:val="center"/>
                </w:tcPr>
                <w:p w14:paraId="65722B9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包装发运</w:t>
                  </w:r>
                </w:p>
              </w:tc>
              <w:tc>
                <w:tcPr>
                  <w:tcW w:w="1281" w:type="dxa"/>
                  <w:shd w:val="clear" w:color="auto" w:fill="auto"/>
                  <w:noWrap w:val="0"/>
                  <w:vAlign w:val="center"/>
                </w:tcPr>
                <w:p w14:paraId="4399C83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连续周</w:t>
                  </w:r>
                </w:p>
              </w:tc>
              <w:tc>
                <w:tcPr>
                  <w:tcW w:w="914" w:type="dxa"/>
                  <w:shd w:val="clear" w:color="auto" w:fill="auto"/>
                  <w:noWrap w:val="0"/>
                  <w:vAlign w:val="center"/>
                </w:tcPr>
                <w:p w14:paraId="084E5D1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w:t>
                  </w:r>
                </w:p>
              </w:tc>
              <w:tc>
                <w:tcPr>
                  <w:tcW w:w="2859" w:type="dxa"/>
                  <w:shd w:val="clear" w:color="auto" w:fill="auto"/>
                  <w:noWrap w:val="0"/>
                  <w:vAlign w:val="center"/>
                </w:tcPr>
                <w:p w14:paraId="678B263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z w:val="21"/>
                      <w:szCs w:val="21"/>
                      <w:highlight w:val="none"/>
                      <w14:textFill>
                        <w14:solidFill>
                          <w14:schemeClr w14:val="tx1"/>
                        </w14:solidFill>
                      </w14:textFill>
                    </w:rPr>
                    <w:t>×7</w:t>
                  </w:r>
                </w:p>
              </w:tc>
            </w:tr>
            <w:tr w14:paraId="5A7F4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694" w:type="dxa"/>
                  <w:noWrap w:val="0"/>
                  <w:vAlign w:val="center"/>
                </w:tcPr>
                <w:p w14:paraId="2B3A1A4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10</w:t>
                  </w:r>
                </w:p>
              </w:tc>
              <w:tc>
                <w:tcPr>
                  <w:tcW w:w="2628" w:type="dxa"/>
                  <w:shd w:val="clear" w:color="auto" w:fill="auto"/>
                  <w:noWrap w:val="0"/>
                  <w:vAlign w:val="center"/>
                </w:tcPr>
                <w:p w14:paraId="0E4D963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空压机站</w:t>
                  </w:r>
                </w:p>
              </w:tc>
              <w:tc>
                <w:tcPr>
                  <w:tcW w:w="1281" w:type="dxa"/>
                  <w:shd w:val="clear" w:color="auto" w:fill="auto"/>
                  <w:noWrap w:val="0"/>
                  <w:vAlign w:val="center"/>
                </w:tcPr>
                <w:p w14:paraId="4F94D04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连续周</w:t>
                  </w:r>
                </w:p>
              </w:tc>
              <w:tc>
                <w:tcPr>
                  <w:tcW w:w="914" w:type="dxa"/>
                  <w:shd w:val="clear" w:color="auto" w:fill="auto"/>
                  <w:noWrap w:val="0"/>
                  <w:vAlign w:val="center"/>
                </w:tcPr>
                <w:p w14:paraId="1320565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p>
              </w:tc>
              <w:tc>
                <w:tcPr>
                  <w:tcW w:w="2859" w:type="dxa"/>
                  <w:shd w:val="clear" w:color="auto" w:fill="auto"/>
                  <w:noWrap w:val="0"/>
                  <w:vAlign w:val="center"/>
                </w:tcPr>
                <w:p w14:paraId="07C6940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24×7</w:t>
                  </w:r>
                </w:p>
              </w:tc>
            </w:tr>
          </w:tbl>
          <w:p w14:paraId="02D928E4">
            <w:pPr>
              <w:widowControl/>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p>
          <w:p w14:paraId="4D3DDB23">
            <w:pPr>
              <w:pStyle w:val="7"/>
              <w:numPr>
                <w:ilvl w:val="0"/>
                <w:numId w:val="0"/>
              </w:numP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154930" cy="3550285"/>
                  <wp:effectExtent l="0" t="0" r="1270" b="5715"/>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pic:cNvPicPr>
                        </pic:nvPicPr>
                        <pic:blipFill>
                          <a:blip r:embed="rId16"/>
                          <a:stretch>
                            <a:fillRect/>
                          </a:stretch>
                        </pic:blipFill>
                        <pic:spPr>
                          <a:xfrm>
                            <a:off x="0" y="0"/>
                            <a:ext cx="5154930" cy="3550285"/>
                          </a:xfrm>
                          <a:prstGeom prst="rect">
                            <a:avLst/>
                          </a:prstGeom>
                          <a:noFill/>
                          <a:ln>
                            <a:noFill/>
                          </a:ln>
                        </pic:spPr>
                      </pic:pic>
                    </a:graphicData>
                  </a:graphic>
                </wp:inline>
              </w:drawing>
            </w:r>
          </w:p>
          <w:p w14:paraId="02E25E2B">
            <w:pPr>
              <w:pStyle w:val="7"/>
              <w:numPr>
                <w:ilvl w:val="0"/>
                <w:numId w:val="0"/>
              </w:numPr>
              <w:spacing w:line="360" w:lineRule="auto"/>
              <w:rPr>
                <w:rFonts w:hint="default" w:ascii="Times New Roman" w:hAnsi="Times New Roman" w:eastAsia="宋体" w:cs="Times New Roman"/>
                <w:color w:val="000000" w:themeColor="text1"/>
                <w:sz w:val="24"/>
                <w:szCs w:val="22"/>
                <w:highlight w:val="none"/>
                <w14:textFill>
                  <w14:solidFill>
                    <w14:schemeClr w14:val="tx1"/>
                  </w14:solidFill>
                </w14:textFill>
              </w:rPr>
            </w:pPr>
            <w:r>
              <w:rPr>
                <w:rFonts w:hint="default" w:ascii="Times New Roman" w:hAnsi="Times New Roman" w:eastAsia="宋体" w:cs="Times New Roman"/>
                <w:color w:val="000000" w:themeColor="text1"/>
                <w:sz w:val="24"/>
                <w:szCs w:val="22"/>
                <w:highlight w:val="none"/>
                <w14:textFill>
                  <w14:solidFill>
                    <w14:schemeClr w14:val="tx1"/>
                  </w14:solidFill>
                </w14:textFill>
              </w:rPr>
              <w:t>图2-1项目四邻关系图</w:t>
            </w:r>
          </w:p>
          <w:p w14:paraId="5FEA8D23">
            <w:pPr>
              <w:pStyle w:val="8"/>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1.3</w:t>
            </w:r>
            <w:r>
              <w:rPr>
                <w:rFonts w:hint="default" w:ascii="Times New Roman" w:hAnsi="Times New Roman" w:eastAsia="宋体" w:cs="Times New Roman"/>
                <w:b/>
                <w:bCs/>
                <w:color w:val="000000" w:themeColor="text1"/>
                <w:sz w:val="24"/>
                <w:highlight w:val="none"/>
                <w14:textFill>
                  <w14:solidFill>
                    <w14:schemeClr w14:val="tx1"/>
                  </w14:solidFill>
                </w14:textFill>
              </w:rPr>
              <w:t>项目组成</w:t>
            </w:r>
          </w:p>
          <w:p w14:paraId="0BF3CC5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本工程组成详见下表。</w:t>
            </w:r>
          </w:p>
          <w:p w14:paraId="2F8BF055">
            <w:pPr>
              <w:ind w:firstLine="482" w:firstLineChars="20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表</w:t>
            </w: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2-2</w:t>
            </w:r>
            <w:r>
              <w:rPr>
                <w:rFonts w:hint="default" w:ascii="Times New Roman" w:hAnsi="Times New Roman" w:eastAsia="宋体" w:cs="Times New Roman"/>
                <w:b/>
                <w:bCs/>
                <w:color w:val="000000" w:themeColor="text1"/>
                <w:sz w:val="24"/>
                <w:highlight w:val="none"/>
                <w14:textFill>
                  <w14:solidFill>
                    <w14:schemeClr w14:val="tx1"/>
                  </w14:solidFill>
                </w14:textFill>
              </w:rPr>
              <w:t>项目组成一览表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36"/>
              <w:gridCol w:w="694"/>
              <w:gridCol w:w="6630"/>
              <w:gridCol w:w="416"/>
            </w:tblGrid>
            <w:tr w14:paraId="3EFDB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0" w:type="pct"/>
                  <w:noWrap w:val="0"/>
                  <w:vAlign w:val="center"/>
                </w:tcPr>
                <w:p w14:paraId="41FB1C2E">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类别</w:t>
                  </w:r>
                </w:p>
              </w:tc>
              <w:tc>
                <w:tcPr>
                  <w:tcW w:w="414" w:type="pct"/>
                  <w:noWrap w:val="0"/>
                  <w:vAlign w:val="center"/>
                </w:tcPr>
                <w:p w14:paraId="1E6DF8B6">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建设</w:t>
                  </w:r>
                </w:p>
                <w:p w14:paraId="63879338">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项目</w:t>
                  </w:r>
                </w:p>
              </w:tc>
              <w:tc>
                <w:tcPr>
                  <w:tcW w:w="3957" w:type="pct"/>
                  <w:noWrap w:val="0"/>
                  <w:vAlign w:val="center"/>
                </w:tcPr>
                <w:p w14:paraId="04BBF4D7">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建设内容</w:t>
                  </w:r>
                </w:p>
              </w:tc>
              <w:tc>
                <w:tcPr>
                  <w:tcW w:w="248" w:type="pct"/>
                  <w:noWrap w:val="0"/>
                  <w:vAlign w:val="center"/>
                </w:tcPr>
                <w:p w14:paraId="65572C0C">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备注</w:t>
                  </w:r>
                </w:p>
              </w:tc>
            </w:tr>
            <w:tr w14:paraId="32736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8" w:hRule="atLeast"/>
                <w:jc w:val="center"/>
              </w:trPr>
              <w:tc>
                <w:tcPr>
                  <w:tcW w:w="380" w:type="pct"/>
                  <w:vMerge w:val="restart"/>
                  <w:noWrap w:val="0"/>
                  <w:vAlign w:val="center"/>
                </w:tcPr>
                <w:p w14:paraId="488348AF">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主体</w:t>
                  </w:r>
                </w:p>
                <w:p w14:paraId="75E54239">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工程</w:t>
                  </w:r>
                </w:p>
              </w:tc>
              <w:tc>
                <w:tcPr>
                  <w:tcW w:w="414" w:type="pct"/>
                  <w:vMerge w:val="restart"/>
                  <w:noWrap w:val="0"/>
                  <w:vAlign w:val="center"/>
                </w:tcPr>
                <w:p w14:paraId="56DA7F0A">
                  <w:pPr>
                    <w:adjustRightInd w:val="0"/>
                    <w:snapToGrid w:val="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回转窑</w:t>
                  </w:r>
                </w:p>
              </w:tc>
              <w:tc>
                <w:tcPr>
                  <w:tcW w:w="3957" w:type="pct"/>
                  <w:noWrap w:val="0"/>
                  <w:vAlign w:val="center"/>
                </w:tcPr>
                <w:p w14:paraId="37BB05E4">
                  <w:pPr>
                    <w:adjustRightInd w:val="0"/>
                    <w:snapToGrid w:val="0"/>
                    <w:jc w:val="both"/>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回转窑分为</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窑中、窑尾，窑头负责点火燃烧</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窑尾</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进行</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余热利用焙烧</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窑中</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进行煅烧</w:t>
                  </w:r>
                </w:p>
              </w:tc>
              <w:tc>
                <w:tcPr>
                  <w:tcW w:w="248" w:type="pct"/>
                  <w:noWrap w:val="0"/>
                  <w:vAlign w:val="top"/>
                </w:tcPr>
                <w:p w14:paraId="5E090CFE">
                  <w:pPr>
                    <w:pStyle w:val="116"/>
                    <w:spacing w:before="72" w:line="220" w:lineRule="auto"/>
                    <w:ind w:left="158" w:leftChars="0"/>
                    <w:jc w:val="both"/>
                    <w:rPr>
                      <w:rFonts w:hint="default" w:ascii="Times New Roman" w:hAnsi="Times New Roman" w:eastAsia="宋体" w:cs="Times New Roman"/>
                      <w:color w:val="000000" w:themeColor="text1"/>
                      <w:spacing w:val="-3"/>
                      <w:kern w:val="2"/>
                      <w:sz w:val="21"/>
                      <w:szCs w:val="21"/>
                      <w:highlight w:val="none"/>
                      <w:lang w:val="en-US" w:eastAsia="en-US" w:bidi="ar-SA"/>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新建</w:t>
                  </w:r>
                </w:p>
              </w:tc>
            </w:tr>
            <w:tr w14:paraId="75FAA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1" w:hRule="atLeast"/>
                <w:jc w:val="center"/>
              </w:trPr>
              <w:tc>
                <w:tcPr>
                  <w:tcW w:w="380" w:type="pct"/>
                  <w:vMerge w:val="continue"/>
                  <w:noWrap w:val="0"/>
                  <w:vAlign w:val="center"/>
                </w:tcPr>
                <w:p w14:paraId="09C1AFDF">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vMerge w:val="continue"/>
                  <w:noWrap w:val="0"/>
                  <w:vAlign w:val="center"/>
                </w:tcPr>
                <w:p w14:paraId="32947AE7">
                  <w:pPr>
                    <w:adjustRightInd w:val="0"/>
                    <w:snapToGrid w:val="0"/>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p>
              </w:tc>
              <w:tc>
                <w:tcPr>
                  <w:tcW w:w="3957" w:type="pct"/>
                  <w:noWrap w:val="0"/>
                  <w:vAlign w:val="center"/>
                </w:tcPr>
                <w:p w14:paraId="178A10A2">
                  <w:pPr>
                    <w:adjustRightInd w:val="0"/>
                    <w:snapToGrid w:val="0"/>
                    <w:jc w:val="both"/>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窑尾建筑面积为1717.52m</w:t>
                  </w:r>
                  <w:r>
                    <w:rPr>
                      <w:rFonts w:hint="default" w:ascii="Times New Roman" w:hAnsi="Times New Roman" w:eastAsia="宋体" w:cs="Times New Roman"/>
                      <w:b w:val="0"/>
                      <w:bCs w:val="0"/>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，设置</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1</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套悬浮焙烧系统，</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燃料为</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煤气</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悬浮炉φ4000mm，旋风筒</w:t>
                  </w:r>
                  <w:r>
                    <w:rPr>
                      <w:rFonts w:hint="default" w:ascii="Times New Roman" w:hAnsi="Times New Roman" w:cs="Times New Roman"/>
                      <w:b w:val="0"/>
                      <w:bCs/>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C1φ4300mm、C2-C4φ5500mm</w:t>
                  </w:r>
                </w:p>
              </w:tc>
              <w:tc>
                <w:tcPr>
                  <w:tcW w:w="248" w:type="pct"/>
                  <w:noWrap w:val="0"/>
                  <w:vAlign w:val="center"/>
                </w:tcPr>
                <w:p w14:paraId="1FCF7D5F">
                  <w:pPr>
                    <w:pStyle w:val="116"/>
                    <w:spacing w:before="72" w:line="220" w:lineRule="auto"/>
                    <w:ind w:left="158" w:leftChars="0"/>
                    <w:jc w:val="left"/>
                    <w:rPr>
                      <w:rFonts w:hint="default" w:ascii="Times New Roman" w:hAnsi="Times New Roman" w:eastAsia="宋体" w:cs="Times New Roman"/>
                      <w:color w:val="000000" w:themeColor="text1"/>
                      <w:spacing w:val="-3"/>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新建</w:t>
                  </w:r>
                </w:p>
              </w:tc>
            </w:tr>
            <w:tr w14:paraId="3B85D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1" w:hRule="atLeast"/>
                <w:jc w:val="center"/>
              </w:trPr>
              <w:tc>
                <w:tcPr>
                  <w:tcW w:w="380" w:type="pct"/>
                  <w:vMerge w:val="continue"/>
                  <w:noWrap w:val="0"/>
                  <w:vAlign w:val="center"/>
                </w:tcPr>
                <w:p w14:paraId="7E79C58B">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vMerge w:val="continue"/>
                  <w:noWrap w:val="0"/>
                  <w:vAlign w:val="center"/>
                </w:tcPr>
                <w:p w14:paraId="59E6147D">
                  <w:pPr>
                    <w:adjustRightInd w:val="0"/>
                    <w:snapToGrid w:val="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p>
              </w:tc>
              <w:tc>
                <w:tcPr>
                  <w:tcW w:w="3957" w:type="pct"/>
                  <w:noWrap w:val="0"/>
                  <w:vAlign w:val="top"/>
                </w:tcPr>
                <w:p w14:paraId="48091138">
                  <w:pPr>
                    <w:adjustRightInd w:val="0"/>
                    <w:snapToGrid w:val="0"/>
                    <w:jc w:val="both"/>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回转窑窑中建筑面积为121m</w:t>
                  </w:r>
                  <w:r>
                    <w:rPr>
                      <w:rFonts w:hint="default" w:ascii="Times New Roman" w:hAnsi="Times New Roman" w:eastAsia="宋体" w:cs="Times New Roman"/>
                      <w:b w:val="0"/>
                      <w:bCs w:val="0"/>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回转窑φ4.2×70m</w:t>
                  </w: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通过窑中的燃气热风炉煅烧脱碳后的</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原料</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粉</w:t>
                  </w:r>
                </w:p>
              </w:tc>
              <w:tc>
                <w:tcPr>
                  <w:tcW w:w="248" w:type="pct"/>
                  <w:noWrap w:val="0"/>
                  <w:vAlign w:val="center"/>
                </w:tcPr>
                <w:p w14:paraId="1948C5B5">
                  <w:pPr>
                    <w:pStyle w:val="116"/>
                    <w:spacing w:before="72" w:line="220" w:lineRule="auto"/>
                    <w:ind w:left="158" w:leftChars="0"/>
                    <w:jc w:val="both"/>
                    <w:rPr>
                      <w:rFonts w:hint="default" w:ascii="Times New Roman" w:hAnsi="Times New Roman" w:eastAsia="宋体" w:cs="Times New Roman"/>
                      <w:color w:val="000000" w:themeColor="text1"/>
                      <w:spacing w:val="-3"/>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新建</w:t>
                  </w:r>
                </w:p>
              </w:tc>
            </w:tr>
            <w:tr w14:paraId="0483B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1" w:hRule="atLeast"/>
                <w:jc w:val="center"/>
              </w:trPr>
              <w:tc>
                <w:tcPr>
                  <w:tcW w:w="380" w:type="pct"/>
                  <w:vMerge w:val="continue"/>
                  <w:noWrap w:val="0"/>
                  <w:vAlign w:val="center"/>
                </w:tcPr>
                <w:p w14:paraId="5EA1F403">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noWrap w:val="0"/>
                  <w:vAlign w:val="center"/>
                </w:tcPr>
                <w:p w14:paraId="14494FAE">
                  <w:pPr>
                    <w:adjustRightInd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冷却</w:t>
                  </w:r>
                </w:p>
                <w:p w14:paraId="127D77FD">
                  <w:pPr>
                    <w:adjustRightInd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系统</w:t>
                  </w:r>
                </w:p>
              </w:tc>
              <w:tc>
                <w:tcPr>
                  <w:tcW w:w="3957" w:type="pct"/>
                  <w:noWrap w:val="0"/>
                  <w:vAlign w:val="top"/>
                </w:tcPr>
                <w:p w14:paraId="74BDADF3">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建筑面积约843.03m</w:t>
                  </w:r>
                  <w:r>
                    <w:rPr>
                      <w:rFonts w:hint="default" w:ascii="Times New Roman" w:hAnsi="Times New Roman" w:eastAsia="宋体" w:cs="Times New Roman"/>
                      <w:color w:val="000000" w:themeColor="text1"/>
                      <w:szCs w:val="21"/>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Cs w:val="21"/>
                      <w:highlight w:val="none"/>
                      <w:vertAlign w:val="baseline"/>
                      <w:lang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适配</w:t>
                  </w:r>
                  <w:r>
                    <w:rPr>
                      <w:rFonts w:hint="default" w:ascii="Times New Roman" w:hAnsi="Times New Roman" w:cs="Times New Roman"/>
                      <w:b w:val="0"/>
                      <w:bCs/>
                      <w:color w:val="000000" w:themeColor="text1"/>
                      <w:sz w:val="21"/>
                      <w:szCs w:val="21"/>
                      <w:highlight w:val="none"/>
                      <w:lang w:val="en-US" w:eastAsia="zh-CN"/>
                      <w14:textFill>
                        <w14:solidFill>
                          <w14:schemeClr w14:val="tx1"/>
                        </w14:solidFill>
                      </w14:textFill>
                    </w:rPr>
                    <w:t>667</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t/d冷却能力</w:t>
                  </w: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窑头焙烧后的物料</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经过</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两级冷却，分别为高温粉体对流式急冷换热装置和吸风输送管道进行冷却</w:t>
                  </w:r>
                </w:p>
              </w:tc>
              <w:tc>
                <w:tcPr>
                  <w:tcW w:w="248" w:type="pct"/>
                  <w:noWrap w:val="0"/>
                  <w:vAlign w:val="center"/>
                </w:tcPr>
                <w:p w14:paraId="0C8F6784">
                  <w:pPr>
                    <w:pStyle w:val="116"/>
                    <w:spacing w:before="72" w:line="220" w:lineRule="auto"/>
                    <w:ind w:left="158" w:leftChars="0"/>
                    <w:jc w:val="both"/>
                    <w:rPr>
                      <w:rFonts w:hint="default" w:ascii="Times New Roman" w:hAnsi="Times New Roman" w:eastAsia="宋体" w:cs="Times New Roman"/>
                      <w:color w:val="000000" w:themeColor="text1"/>
                      <w:spacing w:val="-3"/>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新建</w:t>
                  </w:r>
                </w:p>
              </w:tc>
            </w:tr>
            <w:tr w14:paraId="41968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1" w:hRule="atLeast"/>
                <w:jc w:val="center"/>
              </w:trPr>
              <w:tc>
                <w:tcPr>
                  <w:tcW w:w="380" w:type="pct"/>
                  <w:vMerge w:val="continue"/>
                  <w:noWrap w:val="0"/>
                  <w:vAlign w:val="center"/>
                </w:tcPr>
                <w:p w14:paraId="1282EB9D">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noWrap w:val="0"/>
                  <w:vAlign w:val="center"/>
                </w:tcPr>
                <w:p w14:paraId="6A93C3D6">
                  <w:pPr>
                    <w:adjustRightInd w:val="0"/>
                    <w:snapToGrid w:val="0"/>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分选</w:t>
                  </w:r>
                </w:p>
                <w:p w14:paraId="0C671778">
                  <w:pPr>
                    <w:adjustRightInd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系统</w:t>
                  </w:r>
                </w:p>
              </w:tc>
              <w:tc>
                <w:tcPr>
                  <w:tcW w:w="3957" w:type="pct"/>
                  <w:noWrap w:val="0"/>
                  <w:vAlign w:val="top"/>
                </w:tcPr>
                <w:p w14:paraId="3C34F9DF">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建筑面积约</w:t>
                  </w:r>
                  <w:r>
                    <w:rPr>
                      <w:rFonts w:hint="default" w:ascii="Times New Roman" w:hAnsi="Times New Roman" w:cs="Times New Roman"/>
                      <w:color w:val="000000" w:themeColor="text1"/>
                      <w:szCs w:val="21"/>
                      <w:highlight w:val="none"/>
                      <w:lang w:val="en-US" w:eastAsia="zh-CN"/>
                      <w14:textFill>
                        <w14:solidFill>
                          <w14:schemeClr w14:val="tx1"/>
                        </w14:solidFill>
                      </w14:textFill>
                    </w:rPr>
                    <w:t>22</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00</w:t>
                  </w:r>
                  <w:r>
                    <w:rPr>
                      <w:rFonts w:hint="default" w:ascii="Times New Roman" w:hAnsi="Times New Roman" w:eastAsia="宋体" w:cs="Times New Roman"/>
                      <w:color w:val="000000" w:themeColor="text1"/>
                      <w:szCs w:val="21"/>
                      <w:highlight w:val="none"/>
                      <w14:textFill>
                        <w14:solidFill>
                          <w14:schemeClr w14:val="tx1"/>
                        </w14:solidFill>
                      </w14:textFill>
                    </w:rPr>
                    <w:t>m</w:t>
                  </w:r>
                  <w:r>
                    <w:rPr>
                      <w:rFonts w:hint="default" w:ascii="Times New Roman" w:hAnsi="Times New Roman" w:eastAsia="宋体" w:cs="Times New Roman"/>
                      <w:color w:val="000000" w:themeColor="text1"/>
                      <w:szCs w:val="21"/>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Cs w:val="21"/>
                      <w:highlight w:val="none"/>
                      <w:vertAlign w:val="baseli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需要球磨的物料进入球磨机，产品为小包装产品</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冷却后的成品经过打散分级机和粉磨</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成品和不合格品黄料分别气力输送至成品</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仓</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和黄料仓</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248" w:type="pct"/>
                  <w:noWrap w:val="0"/>
                  <w:vAlign w:val="center"/>
                </w:tcPr>
                <w:p w14:paraId="20126838">
                  <w:pPr>
                    <w:pStyle w:val="116"/>
                    <w:spacing w:before="72" w:line="220" w:lineRule="auto"/>
                    <w:ind w:left="158" w:leftChars="0"/>
                    <w:jc w:val="both"/>
                    <w:rPr>
                      <w:rFonts w:hint="default" w:ascii="Times New Roman" w:hAnsi="Times New Roman" w:eastAsia="宋体" w:cs="Times New Roman"/>
                      <w:color w:val="000000" w:themeColor="text1"/>
                      <w:spacing w:val="-3"/>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新建</w:t>
                  </w:r>
                </w:p>
              </w:tc>
            </w:tr>
            <w:tr w14:paraId="4B4AB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80" w:type="pct"/>
                  <w:vMerge w:val="continue"/>
                  <w:noWrap w:val="0"/>
                  <w:vAlign w:val="center"/>
                </w:tcPr>
                <w:p w14:paraId="4CF6778B">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noWrap w:val="0"/>
                  <w:vAlign w:val="center"/>
                </w:tcPr>
                <w:p w14:paraId="45B35E78">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包装</w:t>
                  </w:r>
                </w:p>
                <w:p w14:paraId="3CB852E2">
                  <w:pPr>
                    <w:adjustRightInd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存储</w:t>
                  </w:r>
                </w:p>
              </w:tc>
              <w:tc>
                <w:tcPr>
                  <w:tcW w:w="3957" w:type="pct"/>
                  <w:noWrap w:val="0"/>
                  <w:vAlign w:val="top"/>
                </w:tcPr>
                <w:p w14:paraId="7C06A4FA">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设置</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于产品堆存棚内部，高活性</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高岭石成品</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8</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套</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大包装的</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包装机</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；1套小包装</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的</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八嘴回转包装机（配套有自动插袋机</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，包装袋规格</w:t>
                  </w: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为1</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.0～1.5</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和0.05t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248" w:type="pct"/>
                  <w:noWrap w:val="0"/>
                  <w:vAlign w:val="center"/>
                </w:tcPr>
                <w:p w14:paraId="37654A66">
                  <w:pPr>
                    <w:pStyle w:val="116"/>
                    <w:spacing w:before="72" w:line="220" w:lineRule="auto"/>
                    <w:ind w:left="158" w:leftChars="0"/>
                    <w:jc w:val="both"/>
                    <w:rPr>
                      <w:rFonts w:hint="default" w:ascii="Times New Roman" w:hAnsi="Times New Roman" w:eastAsia="宋体" w:cs="Times New Roman"/>
                      <w:color w:val="000000" w:themeColor="text1"/>
                      <w:spacing w:val="-3"/>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新建</w:t>
                  </w:r>
                </w:p>
              </w:tc>
            </w:tr>
            <w:tr w14:paraId="47673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1" w:hRule="atLeast"/>
                <w:jc w:val="center"/>
              </w:trPr>
              <w:tc>
                <w:tcPr>
                  <w:tcW w:w="380" w:type="pct"/>
                  <w:vMerge w:val="continue"/>
                  <w:noWrap w:val="0"/>
                  <w:vAlign w:val="center"/>
                </w:tcPr>
                <w:p w14:paraId="22B791A6">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noWrap w:val="0"/>
                  <w:vAlign w:val="center"/>
                </w:tcPr>
                <w:p w14:paraId="1F86F137">
                  <w:pPr>
                    <w:adjustRightInd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余热</w:t>
                  </w:r>
                </w:p>
                <w:p w14:paraId="4741AA09">
                  <w:pPr>
                    <w:adjustRightInd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锅炉</w:t>
                  </w:r>
                </w:p>
              </w:tc>
              <w:tc>
                <w:tcPr>
                  <w:tcW w:w="3957" w:type="pct"/>
                  <w:noWrap w:val="0"/>
                  <w:vAlign w:val="center"/>
                </w:tcPr>
                <w:p w14:paraId="79A6FA76">
                  <w:pPr>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b w:val="0"/>
                      <w:bCs w:val="0"/>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建筑面积约</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600</w:t>
                  </w:r>
                  <w:r>
                    <w:rPr>
                      <w:rFonts w:hint="default" w:ascii="Times New Roman" w:hAnsi="Times New Roman" w:eastAsia="宋体" w:cs="Times New Roman"/>
                      <w:color w:val="000000" w:themeColor="text1"/>
                      <w:szCs w:val="21"/>
                      <w:highlight w:val="none"/>
                      <w14:textFill>
                        <w14:solidFill>
                          <w14:schemeClr w14:val="tx1"/>
                        </w14:solidFill>
                      </w14:textFill>
                    </w:rPr>
                    <w:t>m</w:t>
                  </w:r>
                  <w:r>
                    <w:rPr>
                      <w:rFonts w:hint="default" w:ascii="Times New Roman" w:hAnsi="Times New Roman" w:eastAsia="宋体" w:cs="Times New Roman"/>
                      <w:color w:val="000000" w:themeColor="text1"/>
                      <w:szCs w:val="21"/>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Cs w:val="21"/>
                      <w:highlight w:val="none"/>
                      <w:vertAlign w:val="baseline"/>
                      <w:lang w:eastAsia="zh-CN"/>
                      <w14:textFill>
                        <w14:solidFill>
                          <w14:schemeClr w14:val="tx1"/>
                        </w14:solidFill>
                      </w14:textFill>
                    </w:rPr>
                    <w:t>，</w:t>
                  </w:r>
                  <w:r>
                    <w:rPr>
                      <w:rFonts w:hint="eastAsia" w:cs="Times New Roman"/>
                      <w:color w:val="000000" w:themeColor="text1"/>
                      <w:szCs w:val="21"/>
                      <w:highlight w:val="none"/>
                      <w:vertAlign w:val="baseline"/>
                      <w:lang w:val="en-US" w:eastAsia="zh-CN"/>
                      <w14:textFill>
                        <w14:solidFill>
                          <w14:schemeClr w14:val="tx1"/>
                        </w14:solidFill>
                      </w14:textFill>
                    </w:rPr>
                    <w:t>设置1台余热锅炉，热力工艺系统主要包括：主蒸汽系统、疏放水及放气系统、给水系统、锅炉排污系统、给水回热系统等。余热供汽</w:t>
                  </w:r>
                  <w:r>
                    <w:rPr>
                      <w:rFonts w:hint="default" w:ascii="Times New Roman" w:hAnsi="Times New Roman" w:eastAsia="宋体" w:cs="Times New Roman"/>
                      <w:color w:val="000000" w:themeColor="text1"/>
                      <w:szCs w:val="21"/>
                      <w:highlight w:val="none"/>
                      <w:vertAlign w:val="baseline"/>
                      <w:lang w:val="en-US" w:eastAsia="zh-CN"/>
                      <w14:textFill>
                        <w14:solidFill>
                          <w14:schemeClr w14:val="tx1"/>
                        </w14:solidFill>
                      </w14:textFill>
                    </w:rPr>
                    <w:t>系统产生1MPa-420℃的过热蒸汽15.09t/h，除去锅炉自身给水加热及供汽管道疏水，可以对蒸汽用户提供约9.5t/h的蒸汽。</w:t>
                  </w:r>
                  <w:r>
                    <w:rPr>
                      <w:rFonts w:hint="default" w:ascii="Times New Roman" w:hAnsi="Times New Roman" w:cs="Times New Roman"/>
                      <w:color w:val="000000" w:themeColor="text1"/>
                      <w:szCs w:val="21"/>
                      <w:highlight w:val="none"/>
                      <w:vertAlign w:val="baseline"/>
                      <w:lang w:val="en-US" w:eastAsia="zh-CN"/>
                      <w14:textFill>
                        <w14:solidFill>
                          <w14:schemeClr w14:val="tx1"/>
                        </w14:solidFill>
                      </w14:textFill>
                    </w:rPr>
                    <w:t>在预热器出口的烟气送余热锅炉</w:t>
                  </w:r>
                  <w:r>
                    <w:rPr>
                      <w:rFonts w:hint="default" w:ascii="Times New Roman" w:hAnsi="Times New Roman" w:eastAsia="宋体" w:cs="Times New Roman"/>
                      <w:color w:val="000000" w:themeColor="text1"/>
                      <w:szCs w:val="21"/>
                      <w:highlight w:val="none"/>
                      <w:vertAlign w:val="baseline"/>
                      <w:lang w:val="en-US" w:eastAsia="zh-CN"/>
                      <w14:textFill>
                        <w14:solidFill>
                          <w14:schemeClr w14:val="tx1"/>
                        </w14:solidFill>
                      </w14:textFill>
                    </w:rPr>
                    <w:t>回收烟气余热。</w:t>
                  </w:r>
                </w:p>
              </w:tc>
              <w:tc>
                <w:tcPr>
                  <w:tcW w:w="248" w:type="pct"/>
                  <w:noWrap w:val="0"/>
                  <w:vAlign w:val="center"/>
                </w:tcPr>
                <w:p w14:paraId="19411132">
                  <w:pPr>
                    <w:pStyle w:val="116"/>
                    <w:spacing w:before="72" w:line="220" w:lineRule="auto"/>
                    <w:ind w:left="158" w:leftChars="0"/>
                    <w:jc w:val="both"/>
                    <w:rPr>
                      <w:rFonts w:hint="default" w:ascii="Times New Roman" w:hAnsi="Times New Roman" w:eastAsia="宋体" w:cs="Times New Roman"/>
                      <w:color w:val="000000" w:themeColor="text1"/>
                      <w:spacing w:val="-3"/>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新建</w:t>
                  </w:r>
                </w:p>
              </w:tc>
            </w:tr>
            <w:tr w14:paraId="4604FE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1" w:hRule="atLeast"/>
                <w:jc w:val="center"/>
              </w:trPr>
              <w:tc>
                <w:tcPr>
                  <w:tcW w:w="380" w:type="pct"/>
                  <w:vMerge w:val="restart"/>
                  <w:noWrap w:val="0"/>
                  <w:vAlign w:val="center"/>
                </w:tcPr>
                <w:p w14:paraId="242F219B">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辅助</w:t>
                  </w:r>
                </w:p>
                <w:p w14:paraId="3C3C1AC7">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工程</w:t>
                  </w:r>
                </w:p>
              </w:tc>
              <w:tc>
                <w:tcPr>
                  <w:tcW w:w="414" w:type="pct"/>
                  <w:noWrap w:val="0"/>
                  <w:vAlign w:val="center"/>
                </w:tcPr>
                <w:p w14:paraId="54BDF851">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空压</w:t>
                  </w:r>
                </w:p>
                <w:p w14:paraId="6C3EED35">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机站</w:t>
                  </w:r>
                </w:p>
              </w:tc>
              <w:tc>
                <w:tcPr>
                  <w:tcW w:w="3957" w:type="pct"/>
                  <w:noWrap w:val="0"/>
                  <w:vAlign w:val="center"/>
                </w:tcPr>
                <w:p w14:paraId="5B57AC4F">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val="0"/>
                      <w:bCs w:val="0"/>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14:textFill>
                        <w14:solidFill>
                          <w14:schemeClr w14:val="tx1"/>
                        </w14:solidFill>
                      </w14:textFill>
                    </w:rPr>
                    <w:t>本项目设置一座空气压缩机站，</w:t>
                  </w:r>
                  <w:r>
                    <w:rPr>
                      <w:rFonts w:hint="default" w:ascii="Times New Roman" w:hAnsi="Times New Roman" w:eastAsia="宋体" w:cs="Times New Roman"/>
                      <w:color w:val="000000" w:themeColor="text1"/>
                      <w:szCs w:val="21"/>
                      <w:highlight w:val="none"/>
                      <w14:textFill>
                        <w14:solidFill>
                          <w14:schemeClr w14:val="tx1"/>
                        </w14:solidFill>
                      </w14:textFill>
                    </w:rPr>
                    <w:t>建筑面积约</w:t>
                  </w:r>
                  <w:r>
                    <w:rPr>
                      <w:rFonts w:hint="default" w:ascii="Times New Roman" w:hAnsi="Times New Roman" w:cs="Times New Roman"/>
                      <w:color w:val="000000" w:themeColor="text1"/>
                      <w:szCs w:val="21"/>
                      <w:highlight w:val="none"/>
                      <w:lang w:val="en-US" w:eastAsia="zh-CN"/>
                      <w14:textFill>
                        <w14:solidFill>
                          <w14:schemeClr w14:val="tx1"/>
                        </w14:solidFill>
                      </w14:textFill>
                    </w:rPr>
                    <w:t>300</w:t>
                  </w:r>
                  <w:r>
                    <w:rPr>
                      <w:rFonts w:hint="default" w:ascii="Times New Roman" w:hAnsi="Times New Roman" w:eastAsia="宋体" w:cs="Times New Roman"/>
                      <w:color w:val="000000" w:themeColor="text1"/>
                      <w:szCs w:val="21"/>
                      <w:highlight w:val="none"/>
                      <w14:textFill>
                        <w14:solidFill>
                          <w14:schemeClr w14:val="tx1"/>
                        </w14:solidFill>
                      </w14:textFill>
                    </w:rPr>
                    <w:t>m</w:t>
                  </w:r>
                  <w:r>
                    <w:rPr>
                      <w:rFonts w:hint="default" w:ascii="Times New Roman" w:hAnsi="Times New Roman" w:eastAsia="宋体" w:cs="Times New Roman"/>
                      <w:color w:val="000000" w:themeColor="text1"/>
                      <w:szCs w:val="21"/>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Cs w:val="21"/>
                      <w:highlight w:val="none"/>
                      <w:vertAlign w:val="baseli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14:textFill>
                        <w14:solidFill>
                          <w14:schemeClr w14:val="tx1"/>
                        </w14:solidFill>
                      </w14:textFill>
                    </w:rPr>
                    <w:t>配置</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lang w:val="en-US"/>
                      <w14:textFill>
                        <w14:solidFill>
                          <w14:schemeClr w14:val="tx1"/>
                        </w14:solidFill>
                      </w14:textFill>
                    </w:rPr>
                    <w:t>台空压机，供各车间的气控阀门、预热器吹堵、测量仪表及袋式收尘器等对压缩空气的需要</w:t>
                  </w:r>
                </w:p>
              </w:tc>
              <w:tc>
                <w:tcPr>
                  <w:tcW w:w="248" w:type="pct"/>
                  <w:noWrap w:val="0"/>
                  <w:vAlign w:val="center"/>
                </w:tcPr>
                <w:p w14:paraId="2F53F4D6">
                  <w:pPr>
                    <w:pStyle w:val="116"/>
                    <w:spacing w:before="72" w:line="220" w:lineRule="auto"/>
                    <w:ind w:left="158" w:leftChars="0"/>
                    <w:jc w:val="both"/>
                    <w:rPr>
                      <w:rFonts w:hint="default" w:ascii="Times New Roman" w:hAnsi="Times New Roman" w:eastAsia="宋体" w:cs="Times New Roman"/>
                      <w:color w:val="000000" w:themeColor="text1"/>
                      <w:spacing w:val="-3"/>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新建</w:t>
                  </w:r>
                </w:p>
              </w:tc>
            </w:tr>
            <w:tr w14:paraId="00871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1" w:hRule="atLeast"/>
                <w:jc w:val="center"/>
              </w:trPr>
              <w:tc>
                <w:tcPr>
                  <w:tcW w:w="380" w:type="pct"/>
                  <w:vMerge w:val="continue"/>
                  <w:noWrap w:val="0"/>
                  <w:vAlign w:val="center"/>
                </w:tcPr>
                <w:p w14:paraId="0BB12C73">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noWrap w:val="0"/>
                  <w:vAlign w:val="center"/>
                </w:tcPr>
                <w:p w14:paraId="740A82B0">
                  <w:pPr>
                    <w:adjustRightInd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软水</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处理站</w:t>
                  </w:r>
                </w:p>
              </w:tc>
              <w:tc>
                <w:tcPr>
                  <w:tcW w:w="3957" w:type="pct"/>
                  <w:noWrap w:val="0"/>
                  <w:vAlign w:val="center"/>
                </w:tcPr>
                <w:p w14:paraId="1887CE59">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厂区西北侧设置1座</w:t>
                  </w:r>
                  <w:r>
                    <w:rPr>
                      <w:rFonts w:hint="eastAsia" w:cs="Times New Roman"/>
                      <w:b w:val="0"/>
                      <w:bCs w:val="0"/>
                      <w:color w:val="000000" w:themeColor="text1"/>
                      <w:sz w:val="21"/>
                      <w:szCs w:val="21"/>
                      <w:highlight w:val="none"/>
                      <w:lang w:val="en-US" w:eastAsia="zh-CN"/>
                      <w14:textFill>
                        <w14:solidFill>
                          <w14:schemeClr w14:val="tx1"/>
                        </w14:solidFill>
                      </w14:textFill>
                    </w:rPr>
                    <w:t>软水</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处理站，</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建筑面积约275m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2</w:t>
                  </w:r>
                  <w:r>
                    <w:rPr>
                      <w:rFonts w:hint="default" w:ascii="Times New Roman" w:hAnsi="Times New Roman" w:cs="Times New Roman"/>
                      <w:b w:val="0"/>
                      <w:bCs/>
                      <w:color w:val="000000" w:themeColor="text1"/>
                      <w:sz w:val="21"/>
                      <w:szCs w:val="21"/>
                      <w:highlight w:val="none"/>
                      <w:vertAlign w:val="baseli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新鲜水通过多介质过滤器，活性炭过滤器，一级反渗透机组，二级反渗透机组等设备处理后，出水供给余热锅炉用水，处理规模为15m</w:t>
                  </w:r>
                  <w:r>
                    <w:rPr>
                      <w:rFonts w:hint="default" w:ascii="Times New Roman" w:hAnsi="Times New Roman" w:eastAsia="宋体" w:cs="Times New Roman"/>
                      <w:b w:val="0"/>
                      <w:bCs w:val="0"/>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/h，生产的纯水供给余热锅炉，供水水质满足《火力发电机组及蒸汽动力设备水汽质量》的要求。</w:t>
                  </w:r>
                </w:p>
              </w:tc>
              <w:tc>
                <w:tcPr>
                  <w:tcW w:w="248" w:type="pct"/>
                  <w:noWrap w:val="0"/>
                  <w:vAlign w:val="center"/>
                </w:tcPr>
                <w:p w14:paraId="3C30C510">
                  <w:pPr>
                    <w:pStyle w:val="116"/>
                    <w:spacing w:before="72" w:line="220" w:lineRule="auto"/>
                    <w:ind w:left="158" w:leftChars="0"/>
                    <w:jc w:val="both"/>
                    <w:rPr>
                      <w:rFonts w:hint="default" w:ascii="Times New Roman" w:hAnsi="Times New Roman" w:eastAsia="宋体" w:cs="Times New Roman"/>
                      <w:color w:val="000000" w:themeColor="text1"/>
                      <w:spacing w:val="-3"/>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新建</w:t>
                  </w:r>
                </w:p>
              </w:tc>
            </w:tr>
            <w:tr w14:paraId="1FEBC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1" w:hRule="atLeast"/>
                <w:jc w:val="center"/>
              </w:trPr>
              <w:tc>
                <w:tcPr>
                  <w:tcW w:w="380" w:type="pct"/>
                  <w:vMerge w:val="continue"/>
                  <w:noWrap w:val="0"/>
                  <w:vAlign w:val="center"/>
                </w:tcPr>
                <w:p w14:paraId="28829D72">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noWrap w:val="0"/>
                  <w:vAlign w:val="center"/>
                </w:tcPr>
                <w:p w14:paraId="28C942C5">
                  <w:pPr>
                    <w:adjustRightInd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中控室</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及办公楼</w:t>
                  </w:r>
                </w:p>
              </w:tc>
              <w:tc>
                <w:tcPr>
                  <w:tcW w:w="3957" w:type="pct"/>
                  <w:noWrap w:val="0"/>
                  <w:vAlign w:val="center"/>
                </w:tcPr>
                <w:p w14:paraId="71477673">
                  <w:pPr>
                    <w:keepNext w:val="0"/>
                    <w:keepLines w:val="0"/>
                    <w:pageBreakBefore w:val="0"/>
                    <w:widowControl w:val="0"/>
                    <w:kinsoku/>
                    <w:wordWrap/>
                    <w:overflowPunct/>
                    <w:topLinePunct w:val="0"/>
                    <w:autoSpaceDE/>
                    <w:autoSpaceDN/>
                    <w:bidi w:val="0"/>
                    <w:ind w:firstLine="0" w:firstLineChars="0"/>
                    <w:jc w:val="left"/>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建筑面积约1361.36m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主要负责生产全流程集中监控与实时预警、智能化流程控制与优化调度、安全联锁与应急处理、数据管理与工艺优化、远程协作与系统扩展等</w:t>
                  </w: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w:t>
                  </w:r>
                </w:p>
              </w:tc>
              <w:tc>
                <w:tcPr>
                  <w:tcW w:w="248" w:type="pct"/>
                  <w:noWrap w:val="0"/>
                  <w:vAlign w:val="center"/>
                </w:tcPr>
                <w:p w14:paraId="152AB0EA">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新建</w:t>
                  </w:r>
                </w:p>
              </w:tc>
            </w:tr>
            <w:tr w14:paraId="253F2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80" w:type="pct"/>
                  <w:vMerge w:val="continue"/>
                  <w:noWrap w:val="0"/>
                  <w:vAlign w:val="center"/>
                </w:tcPr>
                <w:p w14:paraId="09FF24A3">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noWrap w:val="0"/>
                  <w:vAlign w:val="center"/>
                </w:tcPr>
                <w:p w14:paraId="6B9B56C4">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机修和材料库</w:t>
                  </w:r>
                </w:p>
              </w:tc>
              <w:tc>
                <w:tcPr>
                  <w:tcW w:w="3957" w:type="pct"/>
                  <w:noWrap w:val="0"/>
                  <w:vAlign w:val="center"/>
                </w:tcPr>
                <w:p w14:paraId="10E2FB37">
                  <w:pPr>
                    <w:keepNext w:val="0"/>
                    <w:keepLines w:val="0"/>
                    <w:pageBreakBefore w:val="0"/>
                    <w:widowControl w:val="0"/>
                    <w:kinsoku/>
                    <w:wordWrap/>
                    <w:overflowPunct/>
                    <w:topLinePunct w:val="0"/>
                    <w:autoSpaceDE/>
                    <w:autoSpaceDN/>
                    <w:bidi w:val="0"/>
                    <w:ind w:firstLine="0" w:firstLineChars="0"/>
                    <w:jc w:val="left"/>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新建一座机修和材料库，占地面积为243.5m</w:t>
                  </w:r>
                  <w:r>
                    <w:rPr>
                      <w:rFonts w:hint="default" w:ascii="Times New Roman" w:hAnsi="Times New Roman" w:eastAsia="宋体" w:cs="Times New Roman"/>
                      <w:b w:val="0"/>
                      <w:bCs w:val="0"/>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，主要检修设备包括电动葫芦、悬臂吊、电梯、电动单梁桥式起重机</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c>
                <w:tcPr>
                  <w:tcW w:w="248" w:type="pct"/>
                  <w:noWrap w:val="0"/>
                  <w:vAlign w:val="center"/>
                </w:tcPr>
                <w:p w14:paraId="02B14229">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新建</w:t>
                  </w:r>
                </w:p>
              </w:tc>
            </w:tr>
            <w:tr w14:paraId="1C5153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1" w:hRule="atLeast"/>
                <w:jc w:val="center"/>
              </w:trPr>
              <w:tc>
                <w:tcPr>
                  <w:tcW w:w="380" w:type="pct"/>
                  <w:vMerge w:val="continue"/>
                  <w:noWrap w:val="0"/>
                  <w:vAlign w:val="center"/>
                </w:tcPr>
                <w:p w14:paraId="331BEF80">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noWrap w:val="0"/>
                  <w:vAlign w:val="center"/>
                </w:tcPr>
                <w:p w14:paraId="60632A14">
                  <w:pPr>
                    <w:adjustRightInd w:val="0"/>
                    <w:snapToGrid w:val="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循环冷却水系统</w:t>
                  </w:r>
                </w:p>
              </w:tc>
              <w:tc>
                <w:tcPr>
                  <w:tcW w:w="3957" w:type="pct"/>
                  <w:noWrap w:val="0"/>
                  <w:vAlign w:val="center"/>
                </w:tcPr>
                <w:p w14:paraId="10ACA3A2">
                  <w:pPr>
                    <w:pStyle w:val="20"/>
                    <w:keepNext w:val="0"/>
                    <w:keepLines w:val="0"/>
                    <w:widowControl/>
                    <w:suppressLineNumbers w:val="0"/>
                    <w:spacing w:before="0" w:beforeAutospacing="0" w:after="0" w:afterAutospacing="0"/>
                    <w:ind w:left="0" w:right="0" w:firstLine="0"/>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设置</w:t>
                  </w:r>
                  <w:r>
                    <w:rPr>
                      <w:rFonts w:hint="default" w:ascii="Times New Roman" w:hAnsi="Times New Roman" w:cs="Times New Roman"/>
                      <w:color w:val="000000" w:themeColor="text1"/>
                      <w:spacing w:val="-2"/>
                      <w:sz w:val="21"/>
                      <w:szCs w:val="21"/>
                      <w:highlight w:val="none"/>
                      <w:lang w:val="zh-CN"/>
                      <w14:textFill>
                        <w14:solidFill>
                          <w14:schemeClr w14:val="tx1"/>
                        </w14:solidFill>
                      </w14:textFill>
                    </w:rPr>
                    <w:t>循环水泵两台（</w:t>
                  </w:r>
                  <w:r>
                    <w:rPr>
                      <w:rFonts w:hint="default" w:ascii="Times New Roman" w:hAnsi="Times New Roman" w:cs="Times New Roman"/>
                      <w:color w:val="000000" w:themeColor="text1"/>
                      <w:spacing w:val="-2"/>
                      <w:sz w:val="21"/>
                      <w:szCs w:val="21"/>
                      <w:highlight w:val="none"/>
                      <w:lang w:val="en-US" w:eastAsia="zh-CN"/>
                      <w14:textFill>
                        <w14:solidFill>
                          <w14:schemeClr w14:val="tx1"/>
                        </w14:solidFill>
                      </w14:textFill>
                    </w:rPr>
                    <w:t>Q=82m</w:t>
                  </w:r>
                  <w:r>
                    <w:rPr>
                      <w:rFonts w:hint="default" w:ascii="Times New Roman" w:hAnsi="Times New Roman" w:cs="Times New Roman"/>
                      <w:color w:val="000000" w:themeColor="text1"/>
                      <w:spacing w:val="-2"/>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color w:val="000000" w:themeColor="text1"/>
                      <w:spacing w:val="-2"/>
                      <w:sz w:val="21"/>
                      <w:szCs w:val="21"/>
                      <w:highlight w:val="none"/>
                      <w:lang w:val="en-US" w:eastAsia="zh-CN"/>
                      <w14:textFill>
                        <w14:solidFill>
                          <w14:schemeClr w14:val="tx1"/>
                        </w14:solidFill>
                      </w14:textFill>
                    </w:rPr>
                    <w:t>/h，H=85m，N=37kW</w:t>
                  </w:r>
                  <w:r>
                    <w:rPr>
                      <w:rFonts w:hint="default" w:ascii="Times New Roman" w:hAnsi="Times New Roman" w:cs="Times New Roman"/>
                      <w:color w:val="000000" w:themeColor="text1"/>
                      <w:spacing w:val="-2"/>
                      <w:sz w:val="21"/>
                      <w:szCs w:val="21"/>
                      <w:highlight w:val="none"/>
                      <w:lang w:val="zh-CN"/>
                      <w14:textFill>
                        <w14:solidFill>
                          <w14:schemeClr w14:val="tx1"/>
                        </w14:solidFill>
                      </w14:textFill>
                    </w:rPr>
                    <w:t>），一用一备</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，依托厂区</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西南侧</w:t>
                  </w:r>
                  <w:r>
                    <w:rPr>
                      <w:rFonts w:hint="default" w:ascii="Times New Roman" w:hAnsi="Times New Roman" w:cs="Times New Roman"/>
                      <w:color w:val="000000" w:themeColor="text1"/>
                      <w:sz w:val="21"/>
                      <w:szCs w:val="21"/>
                      <w:highlight w:val="none"/>
                      <w14:textFill>
                        <w14:solidFill>
                          <w14:schemeClr w14:val="tx1"/>
                        </w14:solidFill>
                      </w14:textFill>
                    </w:rPr>
                    <w:t>内蒙古伊东东发新材料有限责任公司</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原料系统泵房供水。</w:t>
                  </w:r>
                </w:p>
              </w:tc>
              <w:tc>
                <w:tcPr>
                  <w:tcW w:w="248" w:type="pct"/>
                  <w:noWrap w:val="0"/>
                  <w:vAlign w:val="center"/>
                </w:tcPr>
                <w:p w14:paraId="440F38C0">
                  <w:pPr>
                    <w:adjustRightInd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依托</w:t>
                  </w:r>
                </w:p>
              </w:tc>
            </w:tr>
            <w:tr w14:paraId="08E96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1" w:hRule="atLeast"/>
                <w:jc w:val="center"/>
              </w:trPr>
              <w:tc>
                <w:tcPr>
                  <w:tcW w:w="380" w:type="pct"/>
                  <w:vMerge w:val="continue"/>
                  <w:noWrap w:val="0"/>
                  <w:vAlign w:val="center"/>
                </w:tcPr>
                <w:p w14:paraId="56BA72A5">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noWrap w:val="0"/>
                  <w:vAlign w:val="center"/>
                </w:tcPr>
                <w:p w14:paraId="4813A943">
                  <w:pPr>
                    <w:adjustRightInd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换热站</w:t>
                  </w:r>
                </w:p>
              </w:tc>
              <w:tc>
                <w:tcPr>
                  <w:tcW w:w="3957" w:type="pct"/>
                  <w:noWrap w:val="0"/>
                  <w:vAlign w:val="center"/>
                </w:tcPr>
                <w:p w14:paraId="159A07DA">
                  <w:pPr>
                    <w:keepNext w:val="0"/>
                    <w:keepLines w:val="0"/>
                    <w:pageBreakBefore w:val="0"/>
                    <w:widowControl w:val="0"/>
                    <w:kinsoku/>
                    <w:wordWrap/>
                    <w:overflowPunct/>
                    <w:topLinePunct w:val="0"/>
                    <w:autoSpaceDE/>
                    <w:autoSpaceDN/>
                    <w:bidi w:val="0"/>
                    <w:ind w:firstLine="0" w:firstLineChars="0"/>
                    <w:jc w:val="left"/>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建筑面积约</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40</w:t>
                  </w:r>
                  <w:r>
                    <w:rPr>
                      <w:rFonts w:hint="default" w:ascii="Times New Roman" w:hAnsi="Times New Roman" w:eastAsia="宋体" w:cs="Times New Roman"/>
                      <w:color w:val="000000" w:themeColor="text1"/>
                      <w:szCs w:val="21"/>
                      <w:highlight w:val="none"/>
                      <w14:textFill>
                        <w14:solidFill>
                          <w14:schemeClr w14:val="tx1"/>
                        </w14:solidFill>
                      </w14:textFill>
                    </w:rPr>
                    <w:t>m</w:t>
                  </w:r>
                  <w:r>
                    <w:rPr>
                      <w:rFonts w:hint="default" w:ascii="Times New Roman" w:hAnsi="Times New Roman" w:eastAsia="宋体" w:cs="Times New Roman"/>
                      <w:color w:val="000000" w:themeColor="text1"/>
                      <w:szCs w:val="21"/>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Cs w:val="21"/>
                      <w:highlight w:val="none"/>
                      <w:vertAlign w:val="baseli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换热站设置在靠近厂区负荷中心处。</w:t>
                  </w:r>
                </w:p>
              </w:tc>
              <w:tc>
                <w:tcPr>
                  <w:tcW w:w="248" w:type="pct"/>
                  <w:noWrap w:val="0"/>
                  <w:vAlign w:val="center"/>
                </w:tcPr>
                <w:p w14:paraId="081DE440">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新建</w:t>
                  </w:r>
                </w:p>
              </w:tc>
            </w:tr>
            <w:tr w14:paraId="1E980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1" w:hRule="atLeast"/>
                <w:jc w:val="center"/>
              </w:trPr>
              <w:tc>
                <w:tcPr>
                  <w:tcW w:w="380" w:type="pct"/>
                  <w:vMerge w:val="continue"/>
                  <w:noWrap w:val="0"/>
                  <w:vAlign w:val="center"/>
                </w:tcPr>
                <w:p w14:paraId="28A4293D">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noWrap w:val="0"/>
                  <w:vAlign w:val="center"/>
                </w:tcPr>
                <w:p w14:paraId="539AA7B7">
                  <w:pPr>
                    <w:adjustRightInd w:val="0"/>
                    <w:snapToGrid w:val="0"/>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地磅</w:t>
                  </w:r>
                </w:p>
              </w:tc>
              <w:tc>
                <w:tcPr>
                  <w:tcW w:w="3957" w:type="pct"/>
                  <w:noWrap w:val="0"/>
                  <w:vAlign w:val="center"/>
                </w:tcPr>
                <w:p w14:paraId="1E3DC904">
                  <w:pPr>
                    <w:keepNext w:val="0"/>
                    <w:keepLines w:val="0"/>
                    <w:pageBreakBefore w:val="0"/>
                    <w:widowControl w:val="0"/>
                    <w:kinsoku/>
                    <w:wordWrap/>
                    <w:overflowPunct/>
                    <w:topLinePunct w:val="0"/>
                    <w:autoSpaceDE/>
                    <w:autoSpaceDN/>
                    <w:bidi w:val="0"/>
                    <w:ind w:firstLine="0" w:firstLineChars="0"/>
                    <w:jc w:val="left"/>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1台1</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5</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0吨的下沉式地磅</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地磅房（</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10</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248" w:type="pct"/>
                  <w:noWrap w:val="0"/>
                  <w:vAlign w:val="center"/>
                </w:tcPr>
                <w:p w14:paraId="0E75F202">
                  <w:pPr>
                    <w:adjustRightInd w:val="0"/>
                    <w:snapToGrid w:val="0"/>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新建</w:t>
                  </w:r>
                </w:p>
              </w:tc>
            </w:tr>
            <w:tr w14:paraId="1C0735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1" w:hRule="atLeast"/>
                <w:jc w:val="center"/>
              </w:trPr>
              <w:tc>
                <w:tcPr>
                  <w:tcW w:w="380" w:type="pct"/>
                  <w:vMerge w:val="restart"/>
                  <w:noWrap w:val="0"/>
                  <w:vAlign w:val="center"/>
                </w:tcPr>
                <w:p w14:paraId="20BA8896">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储运</w:t>
                  </w:r>
                </w:p>
                <w:p w14:paraId="6C9F69AE">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工程</w:t>
                  </w:r>
                </w:p>
              </w:tc>
              <w:tc>
                <w:tcPr>
                  <w:tcW w:w="414" w:type="pct"/>
                  <w:vMerge w:val="restart"/>
                  <w:noWrap w:val="0"/>
                  <w:vAlign w:val="center"/>
                </w:tcPr>
                <w:p w14:paraId="7E4A6858">
                  <w:pPr>
                    <w:adjustRightInd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原</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辅</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料</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成品</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等存储</w:t>
                  </w:r>
                </w:p>
              </w:tc>
              <w:tc>
                <w:tcPr>
                  <w:tcW w:w="3957" w:type="pct"/>
                  <w:noWrap w:val="0"/>
                  <w:vAlign w:val="center"/>
                </w:tcPr>
                <w:p w14:paraId="740B236D">
                  <w:pPr>
                    <w:pStyle w:val="12"/>
                    <w:keepNext w:val="0"/>
                    <w:keepLines w:val="0"/>
                    <w:pageBreakBefore w:val="0"/>
                    <w:widowControl w:val="0"/>
                    <w:kinsoku/>
                    <w:wordWrap/>
                    <w:overflowPunct/>
                    <w:topLinePunct w:val="0"/>
                    <w:autoSpaceDE/>
                    <w:autoSpaceDN/>
                    <w:bidi w:val="0"/>
                    <w:ind w:firstLine="0" w:firstLineChars="0"/>
                    <w:jc w:val="both"/>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厂区北侧</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新建</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2个</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原料粉</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储存罐</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利浦仓规格φ12×</w:t>
                  </w:r>
                  <w:r>
                    <w:rPr>
                      <w:rFonts w:hint="default" w:ascii="Times New Roman" w:hAnsi="Times New Roman" w:cs="Times New Roman"/>
                      <w:b w:val="0"/>
                      <w:bCs/>
                      <w:color w:val="000000" w:themeColor="text1"/>
                      <w:sz w:val="21"/>
                      <w:szCs w:val="21"/>
                      <w:highlight w:val="none"/>
                      <w:lang w:val="en-US" w:eastAsia="zh-CN"/>
                      <w14:textFill>
                        <w14:solidFill>
                          <w14:schemeClr w14:val="tx1"/>
                        </w14:solidFill>
                      </w14:textFill>
                    </w:rPr>
                    <w:t>24m</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r>
                    <w:rPr>
                      <w:rFonts w:hint="default" w:ascii="Times New Roman" w:hAnsi="Times New Roman" w:cs="Times New Roman"/>
                      <w:b w:val="0"/>
                      <w:bCs/>
                      <w:color w:val="000000" w:themeColor="text1"/>
                      <w:sz w:val="21"/>
                      <w:szCs w:val="21"/>
                      <w:highlight w:val="none"/>
                      <w:lang w:val="en-US" w:eastAsia="zh-CN"/>
                      <w14:textFill>
                        <w14:solidFill>
                          <w14:schemeClr w14:val="tx1"/>
                        </w14:solidFill>
                      </w14:textFill>
                    </w:rPr>
                    <w:t>单个</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储量</w:t>
                  </w:r>
                  <w:r>
                    <w:rPr>
                      <w:rFonts w:hint="default" w:ascii="Times New Roman" w:hAnsi="Times New Roman" w:cs="Times New Roman"/>
                      <w:b w:val="0"/>
                      <w:bCs/>
                      <w:color w:val="000000" w:themeColor="text1"/>
                      <w:sz w:val="21"/>
                      <w:szCs w:val="21"/>
                      <w:highlight w:val="none"/>
                      <w:lang w:val="en-US" w:eastAsia="zh-CN"/>
                      <w14:textFill>
                        <w14:solidFill>
                          <w14:schemeClr w14:val="tx1"/>
                        </w14:solidFill>
                      </w14:textFill>
                    </w:rPr>
                    <w:t>165</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0</w:t>
                  </w:r>
                  <w:r>
                    <w:rPr>
                      <w:rFonts w:hint="default" w:ascii="Times New Roman" w:hAnsi="Times New Roman" w:cs="Times New Roman"/>
                      <w:b w:val="0"/>
                      <w:bCs/>
                      <w:color w:val="000000" w:themeColor="text1"/>
                      <w:sz w:val="21"/>
                      <w:szCs w:val="21"/>
                      <w:highlight w:val="none"/>
                      <w:lang w:val="en-US" w:eastAsia="zh-CN"/>
                      <w14:textFill>
                        <w14:solidFill>
                          <w14:schemeClr w14:val="tx1"/>
                        </w14:solidFill>
                      </w14:textFill>
                    </w:rPr>
                    <w:t>t</w:t>
                  </w:r>
                </w:p>
              </w:tc>
              <w:tc>
                <w:tcPr>
                  <w:tcW w:w="248" w:type="pct"/>
                  <w:noWrap w:val="0"/>
                  <w:vAlign w:val="center"/>
                </w:tcPr>
                <w:p w14:paraId="0EC92DDC">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新建</w:t>
                  </w:r>
                </w:p>
              </w:tc>
            </w:tr>
            <w:tr w14:paraId="20810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1" w:hRule="atLeast"/>
                <w:jc w:val="center"/>
              </w:trPr>
              <w:tc>
                <w:tcPr>
                  <w:tcW w:w="380" w:type="pct"/>
                  <w:vMerge w:val="continue"/>
                  <w:noWrap w:val="0"/>
                  <w:vAlign w:val="center"/>
                </w:tcPr>
                <w:p w14:paraId="55911842">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vMerge w:val="continue"/>
                  <w:noWrap w:val="0"/>
                  <w:vAlign w:val="center"/>
                </w:tcPr>
                <w:p w14:paraId="0C51E927">
                  <w:pPr>
                    <w:adjustRightInd w:val="0"/>
                    <w:snapToGrid w:val="0"/>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p>
              </w:tc>
              <w:tc>
                <w:tcPr>
                  <w:tcW w:w="3957" w:type="pct"/>
                  <w:noWrap w:val="0"/>
                  <w:vAlign w:val="center"/>
                </w:tcPr>
                <w:p w14:paraId="33ACE6FE">
                  <w:pPr>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厂区东北侧2个黄料库/仓，ф6×11m，最大储量</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200</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t/个。</w:t>
                  </w:r>
                </w:p>
              </w:tc>
              <w:tc>
                <w:tcPr>
                  <w:tcW w:w="248" w:type="pct"/>
                  <w:noWrap w:val="0"/>
                  <w:vAlign w:val="center"/>
                </w:tcPr>
                <w:p w14:paraId="7CC0B4C7">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新建</w:t>
                  </w:r>
                </w:p>
              </w:tc>
            </w:tr>
            <w:tr w14:paraId="3C8E1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1" w:hRule="atLeast"/>
                <w:jc w:val="center"/>
              </w:trPr>
              <w:tc>
                <w:tcPr>
                  <w:tcW w:w="380" w:type="pct"/>
                  <w:vMerge w:val="continue"/>
                  <w:noWrap w:val="0"/>
                  <w:vAlign w:val="center"/>
                </w:tcPr>
                <w:p w14:paraId="1B20362B">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vMerge w:val="continue"/>
                  <w:noWrap w:val="0"/>
                  <w:vAlign w:val="center"/>
                </w:tcPr>
                <w:p w14:paraId="4EA15E6D">
                  <w:pPr>
                    <w:adjustRightInd w:val="0"/>
                    <w:snapToGrid w:val="0"/>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p>
              </w:tc>
              <w:tc>
                <w:tcPr>
                  <w:tcW w:w="3957" w:type="pct"/>
                  <w:noWrap w:val="0"/>
                  <w:vAlign w:val="center"/>
                </w:tcPr>
                <w:p w14:paraId="130FB414">
                  <w:pPr>
                    <w:keepNext w:val="0"/>
                    <w:keepLines w:val="0"/>
                    <w:pageBreakBefore w:val="0"/>
                    <w:widowControl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成品堆棚内建设5个成品仓库，单个尺寸ф12×24m</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最大储量</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2000</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t/个。大袋包装存储</w:t>
                  </w:r>
                  <w:r>
                    <w:rPr>
                      <w:rFonts w:hint="default" w:ascii="Times New Roman" w:hAnsi="Times New Roman" w:eastAsia="宋体" w:cs="Times New Roman"/>
                      <w:color w:val="000000" w:themeColor="text1"/>
                      <w:szCs w:val="21"/>
                      <w:highlight w:val="none"/>
                      <w14:textFill>
                        <w14:solidFill>
                          <w14:schemeClr w14:val="tx1"/>
                        </w14:solidFill>
                      </w14:textFill>
                    </w:rPr>
                    <w:t>建筑面积约</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2693.43</w:t>
                  </w:r>
                  <w:r>
                    <w:rPr>
                      <w:rFonts w:hint="default" w:ascii="Times New Roman" w:hAnsi="Times New Roman" w:eastAsia="宋体" w:cs="Times New Roman"/>
                      <w:color w:val="000000" w:themeColor="text1"/>
                      <w:szCs w:val="21"/>
                      <w:highlight w:val="none"/>
                      <w14:textFill>
                        <w14:solidFill>
                          <w14:schemeClr w14:val="tx1"/>
                        </w14:solidFill>
                      </w14:textFill>
                    </w:rPr>
                    <w:t>m</w:t>
                  </w:r>
                  <w:r>
                    <w:rPr>
                      <w:rFonts w:hint="default" w:ascii="Times New Roman" w:hAnsi="Times New Roman" w:eastAsia="宋体" w:cs="Times New Roman"/>
                      <w:color w:val="000000" w:themeColor="text1"/>
                      <w:szCs w:val="21"/>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Cs w:val="21"/>
                      <w:highlight w:val="none"/>
                      <w:vertAlign w:val="baseline"/>
                      <w:lang w:eastAsia="zh-CN"/>
                      <w14:textFill>
                        <w14:solidFill>
                          <w14:schemeClr w14:val="tx1"/>
                        </w14:solidFill>
                      </w14:textFill>
                    </w:rPr>
                    <w:t>，</w:t>
                  </w:r>
                  <w:r>
                    <w:rPr>
                      <w:rFonts w:hint="default" w:ascii="Times New Roman" w:hAnsi="Times New Roman" w:eastAsia="宋体" w:cs="Times New Roman"/>
                      <w:color w:val="000000" w:themeColor="text1"/>
                      <w:szCs w:val="21"/>
                      <w:highlight w:val="none"/>
                      <w:vertAlign w:val="baseline"/>
                      <w:lang w:val="en-US" w:eastAsia="zh-CN"/>
                      <w14:textFill>
                        <w14:solidFill>
                          <w14:schemeClr w14:val="tx1"/>
                        </w14:solidFill>
                      </w14:textFill>
                    </w:rPr>
                    <w:t>小</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袋包装存储</w:t>
                  </w:r>
                  <w:r>
                    <w:rPr>
                      <w:rFonts w:hint="default" w:ascii="Times New Roman" w:hAnsi="Times New Roman" w:eastAsia="宋体" w:cs="Times New Roman"/>
                      <w:color w:val="000000" w:themeColor="text1"/>
                      <w:szCs w:val="21"/>
                      <w:highlight w:val="none"/>
                      <w14:textFill>
                        <w14:solidFill>
                          <w14:schemeClr w14:val="tx1"/>
                        </w14:solidFill>
                      </w14:textFill>
                    </w:rPr>
                    <w:t>建筑面积约</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3722.88</w:t>
                  </w:r>
                  <w:r>
                    <w:rPr>
                      <w:rFonts w:hint="default" w:ascii="Times New Roman" w:hAnsi="Times New Roman" w:eastAsia="宋体" w:cs="Times New Roman"/>
                      <w:color w:val="000000" w:themeColor="text1"/>
                      <w:szCs w:val="21"/>
                      <w:highlight w:val="none"/>
                      <w14:textFill>
                        <w14:solidFill>
                          <w14:schemeClr w14:val="tx1"/>
                        </w14:solidFill>
                      </w14:textFill>
                    </w:rPr>
                    <w:t>m</w:t>
                  </w:r>
                  <w:r>
                    <w:rPr>
                      <w:rFonts w:hint="default" w:ascii="Times New Roman" w:hAnsi="Times New Roman" w:eastAsia="宋体" w:cs="Times New Roman"/>
                      <w:color w:val="000000" w:themeColor="text1"/>
                      <w:szCs w:val="21"/>
                      <w:highlight w:val="none"/>
                      <w:vertAlign w:val="superscript"/>
                      <w14:textFill>
                        <w14:solidFill>
                          <w14:schemeClr w14:val="tx1"/>
                        </w14:solidFill>
                      </w14:textFill>
                    </w:rPr>
                    <w:t>2</w:t>
                  </w:r>
                </w:p>
              </w:tc>
              <w:tc>
                <w:tcPr>
                  <w:tcW w:w="248" w:type="pct"/>
                  <w:noWrap w:val="0"/>
                  <w:vAlign w:val="center"/>
                </w:tcPr>
                <w:p w14:paraId="6EE2BCB6">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新建</w:t>
                  </w:r>
                </w:p>
              </w:tc>
            </w:tr>
            <w:tr w14:paraId="2EDBD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1" w:hRule="atLeast"/>
                <w:jc w:val="center"/>
              </w:trPr>
              <w:tc>
                <w:tcPr>
                  <w:tcW w:w="380" w:type="pct"/>
                  <w:vMerge w:val="continue"/>
                  <w:noWrap w:val="0"/>
                  <w:vAlign w:val="center"/>
                </w:tcPr>
                <w:p w14:paraId="3486E003">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vMerge w:val="continue"/>
                  <w:noWrap w:val="0"/>
                  <w:vAlign w:val="center"/>
                </w:tcPr>
                <w:p w14:paraId="4FAFB8C7">
                  <w:pPr>
                    <w:adjustRightInd w:val="0"/>
                    <w:snapToGrid w:val="0"/>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p>
              </w:tc>
              <w:tc>
                <w:tcPr>
                  <w:tcW w:w="3957" w:type="pct"/>
                  <w:noWrap w:val="0"/>
                  <w:vAlign w:val="center"/>
                </w:tcPr>
                <w:p w14:paraId="199A6373">
                  <w:pPr>
                    <w:keepNext w:val="0"/>
                    <w:keepLines w:val="0"/>
                    <w:pageBreakBefore w:val="0"/>
                    <w:widowControl w:val="0"/>
                    <w:kinsoku/>
                    <w:wordWrap/>
                    <w:overflowPunct/>
                    <w:topLinePunct w:val="0"/>
                    <w:autoSpaceDE/>
                    <w:autoSpaceDN/>
                    <w:bidi w:val="0"/>
                    <w:ind w:firstLine="0" w:firstLineChars="0"/>
                    <w:jc w:val="both"/>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采用外购脱硫剂石灰石粉制备石灰石浆液。</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石灰石粉</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由密闭罐车运输，通过气力输送至石灰石粉仓。</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脱硫剂气力输送存储于1座120m</w:t>
                  </w:r>
                  <w:r>
                    <w:rPr>
                      <w:rFonts w:hint="default" w:ascii="Times New Roman" w:hAnsi="Times New Roman" w:cs="Times New Roman"/>
                      <w:color w:val="000000" w:themeColor="text1"/>
                      <w:kern w:val="0"/>
                      <w:sz w:val="21"/>
                      <w:szCs w:val="21"/>
                      <w:highlight w:val="none"/>
                      <w:vertAlign w:val="superscript"/>
                      <w:lang w:val="en-US" w:eastAsia="zh-CN" w:bidi="ar"/>
                      <w14:textFill>
                        <w14:solidFill>
                          <w14:schemeClr w14:val="tx1"/>
                        </w14:solidFill>
                      </w14:textFill>
                    </w:rPr>
                    <w:t>3</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高18m石灰石粉仓。</w:t>
                  </w:r>
                </w:p>
              </w:tc>
              <w:tc>
                <w:tcPr>
                  <w:tcW w:w="248" w:type="pct"/>
                  <w:noWrap w:val="0"/>
                  <w:vAlign w:val="center"/>
                </w:tcPr>
                <w:p w14:paraId="6B7DA515">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新建</w:t>
                  </w:r>
                </w:p>
              </w:tc>
            </w:tr>
            <w:tr w14:paraId="6FD08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1" w:hRule="atLeast"/>
                <w:jc w:val="center"/>
              </w:trPr>
              <w:tc>
                <w:tcPr>
                  <w:tcW w:w="380" w:type="pct"/>
                  <w:vMerge w:val="continue"/>
                  <w:noWrap w:val="0"/>
                  <w:vAlign w:val="center"/>
                </w:tcPr>
                <w:p w14:paraId="33F193F6">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vMerge w:val="continue"/>
                  <w:noWrap w:val="0"/>
                  <w:vAlign w:val="center"/>
                </w:tcPr>
                <w:p w14:paraId="7132190B">
                  <w:pPr>
                    <w:adjustRightInd w:val="0"/>
                    <w:snapToGrid w:val="0"/>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p>
              </w:tc>
              <w:tc>
                <w:tcPr>
                  <w:tcW w:w="3957" w:type="pct"/>
                  <w:noWrap w:val="0"/>
                  <w:vAlign w:val="center"/>
                </w:tcPr>
                <w:p w14:paraId="421CB038">
                  <w:pPr>
                    <w:keepNext w:val="0"/>
                    <w:keepLines w:val="0"/>
                    <w:pageBreakBefore w:val="0"/>
                    <w:widowControl w:val="0"/>
                    <w:kinsoku/>
                    <w:wordWrap/>
                    <w:overflowPunct/>
                    <w:topLinePunct w:val="0"/>
                    <w:autoSpaceDE/>
                    <w:autoSpaceDN/>
                    <w:bidi w:val="0"/>
                    <w:ind w:firstLine="0" w:firstLineChars="0"/>
                    <w:jc w:val="left"/>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新建一个氨水</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罐</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区，设置1个12m</w:t>
                  </w:r>
                  <w:r>
                    <w:rPr>
                      <w:rFonts w:hint="default" w:ascii="Times New Roman" w:hAnsi="Times New Roman" w:eastAsia="宋体" w:cs="Times New Roman"/>
                      <w:b w:val="0"/>
                      <w:bCs w:val="0"/>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的立式</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氨水（</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0%）储罐，用于煅烧废气脱硝还原剂存储。</w:t>
                  </w:r>
                </w:p>
              </w:tc>
              <w:tc>
                <w:tcPr>
                  <w:tcW w:w="248" w:type="pct"/>
                  <w:noWrap w:val="0"/>
                  <w:vAlign w:val="center"/>
                </w:tcPr>
                <w:p w14:paraId="4AB4DFCC">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新建</w:t>
                  </w:r>
                </w:p>
              </w:tc>
            </w:tr>
            <w:tr w14:paraId="0A58B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1" w:hRule="atLeast"/>
                <w:jc w:val="center"/>
              </w:trPr>
              <w:tc>
                <w:tcPr>
                  <w:tcW w:w="380" w:type="pct"/>
                  <w:vMerge w:val="continue"/>
                  <w:noWrap w:val="0"/>
                  <w:vAlign w:val="center"/>
                </w:tcPr>
                <w:p w14:paraId="1A23B991">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noWrap w:val="0"/>
                  <w:vAlign w:val="center"/>
                </w:tcPr>
                <w:p w14:paraId="76819F17">
                  <w:pPr>
                    <w:adjustRightInd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一般固废库</w:t>
                  </w:r>
                </w:p>
              </w:tc>
              <w:tc>
                <w:tcPr>
                  <w:tcW w:w="3957" w:type="pct"/>
                  <w:noWrap w:val="0"/>
                  <w:vAlign w:val="center"/>
                </w:tcPr>
                <w:p w14:paraId="79B2CDF7">
                  <w:pPr>
                    <w:keepNext w:val="0"/>
                    <w:keepLines w:val="0"/>
                    <w:pageBreakBefore w:val="0"/>
                    <w:widowControl w:val="0"/>
                    <w:kinsoku/>
                    <w:wordWrap/>
                    <w:overflowPunct/>
                    <w:topLinePunct w:val="0"/>
                    <w:autoSpaceDE/>
                    <w:autoSpaceDN/>
                    <w:bidi w:val="0"/>
                    <w:ind w:firstLine="0" w:firstLineChars="0"/>
                    <w:jc w:val="left"/>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新建1间一般固废库，</w:t>
                  </w:r>
                  <w:r>
                    <w:rPr>
                      <w:rFonts w:hint="default" w:ascii="Times New Roman" w:hAnsi="Times New Roman" w:eastAsia="宋体" w:cs="Times New Roman"/>
                      <w:color w:val="000000" w:themeColor="text1"/>
                      <w:szCs w:val="21"/>
                      <w:highlight w:val="none"/>
                      <w14:textFill>
                        <w14:solidFill>
                          <w14:schemeClr w14:val="tx1"/>
                        </w14:solidFill>
                      </w14:textFill>
                    </w:rPr>
                    <w:t>建筑面积约</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50</w:t>
                  </w:r>
                  <w:r>
                    <w:rPr>
                      <w:rFonts w:hint="default" w:ascii="Times New Roman" w:hAnsi="Times New Roman" w:eastAsia="宋体" w:cs="Times New Roman"/>
                      <w:color w:val="000000" w:themeColor="text1"/>
                      <w:szCs w:val="21"/>
                      <w:highlight w:val="none"/>
                      <w14:textFill>
                        <w14:solidFill>
                          <w14:schemeClr w14:val="tx1"/>
                        </w14:solidFill>
                      </w14:textFill>
                    </w:rPr>
                    <w:t>m</w:t>
                  </w:r>
                  <w:r>
                    <w:rPr>
                      <w:rFonts w:hint="default" w:ascii="Times New Roman" w:hAnsi="Times New Roman" w:eastAsia="宋体" w:cs="Times New Roman"/>
                      <w:color w:val="000000" w:themeColor="text1"/>
                      <w:szCs w:val="21"/>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Cs w:val="21"/>
                      <w:highlight w:val="none"/>
                      <w:vertAlign w:val="baseli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暂存空压站废过滤器、软水制备废滤材等一般固废。</w:t>
                  </w:r>
                </w:p>
              </w:tc>
              <w:tc>
                <w:tcPr>
                  <w:tcW w:w="248" w:type="pct"/>
                  <w:noWrap w:val="0"/>
                  <w:vAlign w:val="center"/>
                </w:tcPr>
                <w:p w14:paraId="70E77CF7">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新建</w:t>
                  </w:r>
                </w:p>
              </w:tc>
            </w:tr>
            <w:tr w14:paraId="141B20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1" w:hRule="atLeast"/>
                <w:jc w:val="center"/>
              </w:trPr>
              <w:tc>
                <w:tcPr>
                  <w:tcW w:w="380" w:type="pct"/>
                  <w:vMerge w:val="continue"/>
                  <w:noWrap w:val="0"/>
                  <w:vAlign w:val="center"/>
                </w:tcPr>
                <w:p w14:paraId="211268BF">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noWrap w:val="0"/>
                  <w:vAlign w:val="center"/>
                </w:tcPr>
                <w:p w14:paraId="38922E15">
                  <w:pPr>
                    <w:adjustRightInd w:val="0"/>
                    <w:snapToGrid w:val="0"/>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危废</w:t>
                  </w:r>
                </w:p>
                <w:p w14:paraId="23007FD1">
                  <w:pPr>
                    <w:adjustRightInd w:val="0"/>
                    <w:snapToGrid w:val="0"/>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暂存间</w:t>
                  </w:r>
                </w:p>
              </w:tc>
              <w:tc>
                <w:tcPr>
                  <w:tcW w:w="3957" w:type="pct"/>
                  <w:noWrap w:val="0"/>
                  <w:vAlign w:val="center"/>
                </w:tcPr>
                <w:p w14:paraId="05FD7133">
                  <w:pPr>
                    <w:pStyle w:val="12"/>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新建1间</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危废暂存间，</w:t>
                  </w:r>
                  <w:r>
                    <w:rPr>
                      <w:rFonts w:hint="default" w:ascii="Times New Roman" w:hAnsi="Times New Roman" w:eastAsia="宋体" w:cs="Times New Roman"/>
                      <w:color w:val="000000" w:themeColor="text1"/>
                      <w:sz w:val="21"/>
                      <w:szCs w:val="21"/>
                      <w:highlight w:val="none"/>
                      <w14:textFill>
                        <w14:solidFill>
                          <w14:schemeClr w14:val="tx1"/>
                        </w14:solidFill>
                      </w14:textFill>
                    </w:rPr>
                    <w:t>建筑面积约</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30</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color w:val="000000" w:themeColor="text1"/>
                      <w:sz w:val="21"/>
                      <w:szCs w:val="21"/>
                      <w:highlight w:val="none"/>
                      <w:vertAlign w:val="baseli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暂存</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脱硫废水处理产生的污泥、废油和废油桶等危废。</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内部地面设置</w:t>
                  </w:r>
                  <w:r>
                    <w:rPr>
                      <w:rFonts w:hint="default" w:ascii="Times New Roman" w:hAnsi="Times New Roman" w:cs="Times New Roman"/>
                      <w:color w:val="000000" w:themeColor="text1"/>
                      <w:sz w:val="21"/>
                      <w:szCs w:val="21"/>
                      <w:highlight w:val="none"/>
                      <w14:textFill>
                        <w14:solidFill>
                          <w14:schemeClr w14:val="tx1"/>
                        </w14:solidFill>
                      </w14:textFill>
                    </w:rPr>
                    <w:t>导流渠和</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0.25m</w:t>
                  </w:r>
                  <w:r>
                    <w:rPr>
                      <w:rFonts w:hint="default" w:ascii="Times New Roman" w:hAnsi="Times New Roman" w:cs="Times New Roman"/>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1"/>
                      <w:szCs w:val="21"/>
                      <w:highlight w:val="none"/>
                      <w:vertAlign w:val="baseline"/>
                      <w:lang w:val="en-US" w:eastAsia="zh-CN"/>
                      <w14:textFill>
                        <w14:solidFill>
                          <w14:schemeClr w14:val="tx1"/>
                        </w14:solidFill>
                      </w14:textFill>
                    </w:rPr>
                    <w:t>的</w:t>
                  </w:r>
                  <w:r>
                    <w:rPr>
                      <w:rFonts w:hint="default" w:ascii="Times New Roman" w:hAnsi="Times New Roman" w:cs="Times New Roman"/>
                      <w:color w:val="000000" w:themeColor="text1"/>
                      <w:sz w:val="21"/>
                      <w:szCs w:val="21"/>
                      <w:highlight w:val="none"/>
                      <w14:textFill>
                        <w14:solidFill>
                          <w14:schemeClr w14:val="tx1"/>
                        </w14:solidFill>
                      </w14:textFill>
                    </w:rPr>
                    <w:t>集液</w:t>
                  </w:r>
                  <w:r>
                    <w:rPr>
                      <w:rFonts w:hint="default" w:ascii="Times New Roman" w:hAnsi="Times New Roman" w:cs="Times New Roman"/>
                      <w:color w:val="000000" w:themeColor="text1"/>
                      <w:sz w:val="21"/>
                      <w:szCs w:val="16"/>
                      <w:highlight w:val="none"/>
                      <w14:textFill>
                        <w14:solidFill>
                          <w14:schemeClr w14:val="tx1"/>
                        </w14:solidFill>
                      </w14:textFill>
                    </w:rPr>
                    <w:t>池</w:t>
                  </w:r>
                </w:p>
              </w:tc>
              <w:tc>
                <w:tcPr>
                  <w:tcW w:w="248" w:type="pct"/>
                  <w:noWrap w:val="0"/>
                  <w:vAlign w:val="center"/>
                </w:tcPr>
                <w:p w14:paraId="4D7FB924">
                  <w:pPr>
                    <w:adjustRightInd w:val="0"/>
                    <w:snapToGrid w:val="0"/>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新建</w:t>
                  </w:r>
                </w:p>
              </w:tc>
            </w:tr>
            <w:tr w14:paraId="1FE01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0" w:type="pct"/>
                  <w:vMerge w:val="restart"/>
                  <w:noWrap w:val="0"/>
                  <w:vAlign w:val="center"/>
                </w:tcPr>
                <w:p w14:paraId="7D6C72AF">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公用</w:t>
                  </w:r>
                </w:p>
                <w:p w14:paraId="779ED7CD">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工程</w:t>
                  </w:r>
                </w:p>
              </w:tc>
              <w:tc>
                <w:tcPr>
                  <w:tcW w:w="414" w:type="pct"/>
                  <w:noWrap w:val="0"/>
                  <w:vAlign w:val="center"/>
                </w:tcPr>
                <w:p w14:paraId="7C1DA3EF">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供暖</w:t>
                  </w:r>
                </w:p>
              </w:tc>
              <w:tc>
                <w:tcPr>
                  <w:tcW w:w="3957" w:type="pct"/>
                  <w:noWrap w:val="0"/>
                  <w:vAlign w:val="center"/>
                </w:tcPr>
                <w:p w14:paraId="31459650">
                  <w:pPr>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rFonts w:hint="default" w:ascii="Times New Roman" w:hAnsi="Times New Roman" w:eastAsia="宋体" w:cs="Times New Roman"/>
                      <w:b w:val="0"/>
                      <w:bCs w:val="0"/>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本项目热源来自市政热源和厂区蒸汽，有市政热源时，在热交换站经水-水板式换热器换热后，供采暖使用。当没有市政热源，由厂区提供蒸汽，经热交换站</w:t>
                  </w: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的</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汽-水板式换热器换热后，供采暖使用</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。中控室、脱硫、水泵房等区域设置散热器供暖系统。室外采暖管网埋地敷设</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能</w:t>
                  </w:r>
                  <w:r>
                    <w:rPr>
                      <w:rFonts w:hint="default" w:ascii="Times New Roman" w:hAnsi="Times New Roman" w:cs="Times New Roman"/>
                      <w:color w:val="000000" w:themeColor="text1"/>
                      <w:highlight w:val="none"/>
                      <w:lang w:val="en-US" w:eastAsia="zh-CN"/>
                      <w14:textFill>
                        <w14:solidFill>
                          <w14:schemeClr w14:val="tx1"/>
                        </w14:solidFill>
                      </w14:textFill>
                    </w:rPr>
                    <w:t>满足供热需求。</w:t>
                  </w:r>
                </w:p>
              </w:tc>
              <w:tc>
                <w:tcPr>
                  <w:tcW w:w="248" w:type="pct"/>
                  <w:noWrap w:val="0"/>
                  <w:vAlign w:val="center"/>
                </w:tcPr>
                <w:p w14:paraId="32CFA642">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新建</w:t>
                  </w:r>
                </w:p>
              </w:tc>
            </w:tr>
            <w:tr w14:paraId="6DD4EA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0" w:type="pct"/>
                  <w:vMerge w:val="continue"/>
                  <w:noWrap w:val="0"/>
                  <w:vAlign w:val="center"/>
                </w:tcPr>
                <w:p w14:paraId="74611D06">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noWrap w:val="0"/>
                  <w:vAlign w:val="center"/>
                </w:tcPr>
                <w:p w14:paraId="2185B746">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供电</w:t>
                  </w:r>
                </w:p>
              </w:tc>
              <w:tc>
                <w:tcPr>
                  <w:tcW w:w="3957" w:type="pct"/>
                  <w:noWrap w:val="0"/>
                  <w:vAlign w:val="center"/>
                </w:tcPr>
                <w:p w14:paraId="126874C9">
                  <w:pPr>
                    <w:pStyle w:val="79"/>
                    <w:keepNext w:val="0"/>
                    <w:keepLines w:val="0"/>
                    <w:pageBreakBefore w:val="0"/>
                    <w:widowControl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本工程整体为二级供电负荷，在厂区设10KV开关站1座，位于煅烧窑尾电气室。采用10KV电缆由总降经过室外电缆桥架把10kV电源引至上述开关站，作为本项目的生产用电电源。</w:t>
                  </w:r>
                </w:p>
              </w:tc>
              <w:tc>
                <w:tcPr>
                  <w:tcW w:w="248" w:type="pct"/>
                  <w:noWrap w:val="0"/>
                  <w:vAlign w:val="center"/>
                </w:tcPr>
                <w:p w14:paraId="43906819">
                  <w:pPr>
                    <w:adjustRightInd w:val="0"/>
                    <w:snapToGrid w:val="0"/>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新建</w:t>
                  </w:r>
                </w:p>
              </w:tc>
            </w:tr>
            <w:tr w14:paraId="63CD4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80" w:type="pct"/>
                  <w:vMerge w:val="continue"/>
                  <w:noWrap w:val="0"/>
                  <w:vAlign w:val="center"/>
                </w:tcPr>
                <w:p w14:paraId="361C24B7">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noWrap w:val="0"/>
                  <w:vAlign w:val="center"/>
                </w:tcPr>
                <w:p w14:paraId="0AF2B6FF">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给水</w:t>
                  </w:r>
                </w:p>
              </w:tc>
              <w:tc>
                <w:tcPr>
                  <w:tcW w:w="3957" w:type="pct"/>
                  <w:noWrap w:val="0"/>
                  <w:vAlign w:val="center"/>
                </w:tcPr>
                <w:p w14:paraId="4DAA2831">
                  <w:pPr>
                    <w:pStyle w:val="79"/>
                    <w:keepNext w:val="0"/>
                    <w:keepLines w:val="0"/>
                    <w:pageBreakBefore w:val="0"/>
                    <w:widowControl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本项目生产用水由园区供水系统供给</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中水</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p w14:paraId="0075446B">
                  <w:pPr>
                    <w:pStyle w:val="79"/>
                    <w:keepNext w:val="0"/>
                    <w:keepLines w:val="0"/>
                    <w:pageBreakBefore w:val="0"/>
                    <w:widowControl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本工程生活用水引自科源水务公司。</w:t>
                  </w:r>
                </w:p>
                <w:p w14:paraId="4DDAC7A5">
                  <w:pPr>
                    <w:pStyle w:val="79"/>
                    <w:keepNext w:val="0"/>
                    <w:keepLines w:val="0"/>
                    <w:pageBreakBefore w:val="0"/>
                    <w:widowControl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生产用水采用准格尔旗国资燃气热力有限责任公司污水处理厂中水，委托外部车辆拉运至本项目生产水池，通过2台生产水泵供应生产用水。</w:t>
                  </w:r>
                </w:p>
              </w:tc>
              <w:tc>
                <w:tcPr>
                  <w:tcW w:w="248" w:type="pct"/>
                  <w:noWrap w:val="0"/>
                  <w:vAlign w:val="center"/>
                </w:tcPr>
                <w:p w14:paraId="434C4BF4">
                  <w:pPr>
                    <w:adjustRightInd w:val="0"/>
                    <w:snapToGrid w:val="0"/>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新建</w:t>
                  </w:r>
                </w:p>
              </w:tc>
            </w:tr>
            <w:tr w14:paraId="40DFC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5" w:hRule="atLeast"/>
                <w:jc w:val="center"/>
              </w:trPr>
              <w:tc>
                <w:tcPr>
                  <w:tcW w:w="380" w:type="pct"/>
                  <w:vMerge w:val="continue"/>
                  <w:noWrap w:val="0"/>
                  <w:vAlign w:val="center"/>
                </w:tcPr>
                <w:p w14:paraId="38A7915F">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noWrap w:val="0"/>
                  <w:vAlign w:val="center"/>
                </w:tcPr>
                <w:p w14:paraId="1065B21B">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排水</w:t>
                  </w:r>
                </w:p>
              </w:tc>
              <w:tc>
                <w:tcPr>
                  <w:tcW w:w="3957" w:type="pct"/>
                  <w:noWrap w:val="0"/>
                  <w:vAlign w:val="center"/>
                </w:tcPr>
                <w:p w14:paraId="0BED107E">
                  <w:pPr>
                    <w:pStyle w:val="79"/>
                    <w:keepNext w:val="0"/>
                    <w:keepLines w:val="0"/>
                    <w:pageBreakBefore w:val="0"/>
                    <w:widowControl w:val="0"/>
                    <w:kinsoku/>
                    <w:wordWrap/>
                    <w:overflowPunct/>
                    <w:topLinePunct w:val="0"/>
                    <w:autoSpaceDE/>
                    <w:autoSpaceDN/>
                    <w:bidi w:val="0"/>
                    <w:spacing w:line="240" w:lineRule="auto"/>
                    <w:ind w:left="0" w:leftChars="0" w:firstLine="0" w:firstLineChars="0"/>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本项目新建</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1座生活污水</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防渗化粪池</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，收集</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后通过罐车拉运至园区污水处理厂；</w:t>
                  </w:r>
                  <w:bookmarkStart w:id="2" w:name="_Toc528587375"/>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本项目生活污水</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排水满足纳管标准，</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排入</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园区</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污水处理厂，处理后回用，实现污水零排放。</w:t>
                  </w:r>
                  <w:bookmarkEnd w:id="2"/>
                </w:p>
                <w:p w14:paraId="5B4E04FD">
                  <w:pPr>
                    <w:pStyle w:val="79"/>
                    <w:keepNext w:val="0"/>
                    <w:keepLines w:val="0"/>
                    <w:pageBreakBefore w:val="0"/>
                    <w:widowControl w:val="0"/>
                    <w:kinsoku/>
                    <w:wordWrap/>
                    <w:overflowPunct/>
                    <w:topLinePunct w:val="0"/>
                    <w:autoSpaceDN/>
                    <w:bidi w:val="0"/>
                    <w:spacing w:line="240" w:lineRule="auto"/>
                    <w:ind w:left="0" w:leftChars="0" w:firstLine="0" w:firstLineChars="0"/>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软水</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制备</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产生</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废水、余热锅炉</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产生</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废水</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通过罐车拉运至园区生产废水处理处理</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脱硫废水</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经三联箱装置处理后</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回用</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于脱硫浆液用水</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w:t>
                  </w:r>
                </w:p>
              </w:tc>
              <w:tc>
                <w:tcPr>
                  <w:tcW w:w="248" w:type="pct"/>
                  <w:noWrap w:val="0"/>
                  <w:vAlign w:val="center"/>
                </w:tcPr>
                <w:p w14:paraId="16E611B9">
                  <w:pPr>
                    <w:adjustRightInd w:val="0"/>
                    <w:snapToGrid w:val="0"/>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新建</w:t>
                  </w:r>
                </w:p>
              </w:tc>
            </w:tr>
            <w:tr w14:paraId="1F34E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0" w:type="pct"/>
                  <w:vMerge w:val="restart"/>
                  <w:noWrap w:val="0"/>
                  <w:vAlign w:val="center"/>
                </w:tcPr>
                <w:p w14:paraId="3D20B549">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环保</w:t>
                  </w:r>
                </w:p>
                <w:p w14:paraId="6EFC385A">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工程</w:t>
                  </w:r>
                </w:p>
              </w:tc>
              <w:tc>
                <w:tcPr>
                  <w:tcW w:w="414" w:type="pct"/>
                  <w:vMerge w:val="restart"/>
                  <w:noWrap w:val="0"/>
                  <w:vAlign w:val="center"/>
                </w:tcPr>
                <w:p w14:paraId="59A992D8">
                  <w:pPr>
                    <w:adjustRightInd w:val="0"/>
                    <w:snapToGrid w:val="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废气</w:t>
                  </w:r>
                </w:p>
              </w:tc>
              <w:tc>
                <w:tcPr>
                  <w:tcW w:w="3957" w:type="pct"/>
                  <w:noWrap w:val="0"/>
                  <w:vAlign w:val="center"/>
                </w:tcPr>
                <w:p w14:paraId="2E66E035">
                  <w:pPr>
                    <w:pStyle w:val="79"/>
                    <w:keepNext w:val="0"/>
                    <w:keepLines w:val="0"/>
                    <w:pageBreakBefore w:val="0"/>
                    <w:widowControl w:val="0"/>
                    <w:kinsoku/>
                    <w:wordWrap/>
                    <w:overflowPunct/>
                    <w:topLinePunct w:val="0"/>
                    <w:autoSpaceDN/>
                    <w:bidi w:val="0"/>
                    <w:spacing w:line="240" w:lineRule="auto"/>
                    <w:ind w:left="0" w:leftChars="0" w:firstLine="0" w:firstLineChars="0"/>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2座</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原料粉</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仓装卸料产生</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粉尘</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废气，经</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布袋除尘器（覆膜袋式）</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除尘后分别通过</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4</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2m高</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（DA001、DA002）达标排放；</w:t>
                  </w:r>
                </w:p>
              </w:tc>
              <w:tc>
                <w:tcPr>
                  <w:tcW w:w="248" w:type="pct"/>
                  <w:noWrap w:val="0"/>
                  <w:vAlign w:val="center"/>
                </w:tcPr>
                <w:p w14:paraId="125286D5">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新建</w:t>
                  </w:r>
                </w:p>
              </w:tc>
            </w:tr>
            <w:tr w14:paraId="41258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0" w:type="pct"/>
                  <w:vMerge w:val="continue"/>
                  <w:noWrap w:val="0"/>
                  <w:vAlign w:val="center"/>
                </w:tcPr>
                <w:p w14:paraId="5F27337B">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vMerge w:val="continue"/>
                  <w:noWrap w:val="0"/>
                  <w:vAlign w:val="center"/>
                </w:tcPr>
                <w:p w14:paraId="160F4A0B">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3957" w:type="pct"/>
                  <w:noWrap w:val="0"/>
                  <w:vAlign w:val="center"/>
                </w:tcPr>
                <w:p w14:paraId="70EBC89C">
                  <w:pPr>
                    <w:pStyle w:val="79"/>
                    <w:keepNext w:val="0"/>
                    <w:keepLines w:val="0"/>
                    <w:pageBreakBefore w:val="0"/>
                    <w:widowControl w:val="0"/>
                    <w:kinsoku/>
                    <w:wordWrap/>
                    <w:overflowPunct/>
                    <w:topLinePunct w:val="0"/>
                    <w:autoSpaceDN/>
                    <w:bidi w:val="0"/>
                    <w:spacing w:line="240" w:lineRule="auto"/>
                    <w:ind w:left="0" w:leftChars="0" w:firstLine="0" w:firstLineChars="0"/>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输送转运产生粉尘废气</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，经</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布袋除尘器（覆膜袋式）</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除尘后通过15m高</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（DA003）达标排放；</w:t>
                  </w:r>
                </w:p>
              </w:tc>
              <w:tc>
                <w:tcPr>
                  <w:tcW w:w="248" w:type="pct"/>
                  <w:noWrap w:val="0"/>
                  <w:vAlign w:val="center"/>
                </w:tcPr>
                <w:p w14:paraId="5C3A892B">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新建</w:t>
                  </w:r>
                </w:p>
              </w:tc>
            </w:tr>
            <w:tr w14:paraId="12E1E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0" w:type="pct"/>
                  <w:vMerge w:val="continue"/>
                  <w:noWrap w:val="0"/>
                  <w:vAlign w:val="center"/>
                </w:tcPr>
                <w:p w14:paraId="506FBE70">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vMerge w:val="continue"/>
                  <w:noWrap w:val="0"/>
                  <w:vAlign w:val="center"/>
                </w:tcPr>
                <w:p w14:paraId="2701B015">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3957" w:type="pct"/>
                  <w:noWrap w:val="0"/>
                  <w:vAlign w:val="center"/>
                </w:tcPr>
                <w:p w14:paraId="11F54A82">
                  <w:pPr>
                    <w:pStyle w:val="79"/>
                    <w:keepNext w:val="0"/>
                    <w:keepLines w:val="0"/>
                    <w:pageBreakBefore w:val="0"/>
                    <w:widowControl w:val="0"/>
                    <w:kinsoku/>
                    <w:wordWrap/>
                    <w:overflowPunct/>
                    <w:topLinePunct w:val="0"/>
                    <w:autoSpaceDN/>
                    <w:bidi w:val="0"/>
                    <w:spacing w:line="240" w:lineRule="auto"/>
                    <w:ind w:left="0" w:leftChars="0" w:firstLine="0" w:firstLineChars="0"/>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lang w:val="en-US" w:eastAsia="zh-CN"/>
                      <w14:textFill>
                        <w14:solidFill>
                          <w14:schemeClr w14:val="tx1"/>
                        </w14:solidFill>
                      </w14:textFill>
                    </w:rPr>
                    <w:t>窑尾喂料仓卸料粉尘</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通过“封闭设备+收集+</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布袋除尘器（覆膜袋式）</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”处理后经1根</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0m高（DA004）</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排放；</w:t>
                  </w:r>
                </w:p>
              </w:tc>
              <w:tc>
                <w:tcPr>
                  <w:tcW w:w="248" w:type="pct"/>
                  <w:noWrap w:val="0"/>
                  <w:vAlign w:val="center"/>
                </w:tcPr>
                <w:p w14:paraId="39DF14CD">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新建</w:t>
                  </w:r>
                </w:p>
              </w:tc>
            </w:tr>
            <w:tr w14:paraId="5BFB3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0" w:type="pct"/>
                  <w:vMerge w:val="continue"/>
                  <w:noWrap w:val="0"/>
                  <w:vAlign w:val="center"/>
                </w:tcPr>
                <w:p w14:paraId="10B69983">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vMerge w:val="continue"/>
                  <w:noWrap w:val="0"/>
                  <w:vAlign w:val="center"/>
                </w:tcPr>
                <w:p w14:paraId="79BFE2AB">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3957" w:type="pct"/>
                  <w:noWrap w:val="0"/>
                  <w:vAlign w:val="center"/>
                </w:tcPr>
                <w:p w14:paraId="678793BE">
                  <w:pPr>
                    <w:pStyle w:val="79"/>
                    <w:keepNext w:val="0"/>
                    <w:keepLines w:val="0"/>
                    <w:pageBreakBefore w:val="0"/>
                    <w:widowControl w:val="0"/>
                    <w:kinsoku/>
                    <w:wordWrap/>
                    <w:overflowPunct/>
                    <w:topLinePunct w:val="0"/>
                    <w:autoSpaceDN/>
                    <w:bidi w:val="0"/>
                    <w:spacing w:line="240" w:lineRule="auto"/>
                    <w:ind w:left="0" w:leftChars="0" w:firstLine="0" w:firstLineChars="0"/>
                    <w:rPr>
                      <w:rFonts w:hint="default" w:ascii="Times New Roman" w:hAnsi="Times New Roman" w:eastAsia="宋体" w:cs="Times New Roman"/>
                      <w:color w:val="000000" w:themeColor="text1"/>
                      <w:spacing w:val="-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pacing w:val="-1"/>
                      <w:sz w:val="21"/>
                      <w:szCs w:val="21"/>
                      <w:highlight w:val="none"/>
                      <w:lang w:val="en-US" w:eastAsia="zh-CN"/>
                      <w14:textFill>
                        <w14:solidFill>
                          <w14:schemeClr w14:val="tx1"/>
                        </w14:solidFill>
                      </w14:textFill>
                    </w:rPr>
                    <w:t>窑尾提升机卸料粉尘</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通过“封闭设备+收集+</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布袋除尘器（覆膜袋式）</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”处理后经1根</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9</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0m高（DA00</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5</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排放；</w:t>
                  </w:r>
                </w:p>
              </w:tc>
              <w:tc>
                <w:tcPr>
                  <w:tcW w:w="248" w:type="pct"/>
                  <w:noWrap w:val="0"/>
                  <w:vAlign w:val="center"/>
                </w:tcPr>
                <w:p w14:paraId="6FBCFF58">
                  <w:pPr>
                    <w:adjustRightInd w:val="0"/>
                    <w:snapToGrid w:val="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新建</w:t>
                  </w:r>
                </w:p>
              </w:tc>
            </w:tr>
            <w:tr w14:paraId="5BA52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0" w:type="pct"/>
                  <w:vMerge w:val="continue"/>
                  <w:noWrap w:val="0"/>
                  <w:vAlign w:val="center"/>
                </w:tcPr>
                <w:p w14:paraId="737E1122">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vMerge w:val="continue"/>
                  <w:noWrap w:val="0"/>
                  <w:vAlign w:val="center"/>
                </w:tcPr>
                <w:p w14:paraId="69E09CB6">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3957" w:type="pct"/>
                  <w:noWrap w:val="0"/>
                  <w:vAlign w:val="center"/>
                </w:tcPr>
                <w:p w14:paraId="3C275E06">
                  <w:pPr>
                    <w:pStyle w:val="79"/>
                    <w:keepNext w:val="0"/>
                    <w:keepLines w:val="0"/>
                    <w:pageBreakBefore w:val="0"/>
                    <w:widowControl w:val="0"/>
                    <w:kinsoku/>
                    <w:wordWrap/>
                    <w:overflowPunct/>
                    <w:topLinePunct w:val="0"/>
                    <w:autoSpaceDN/>
                    <w:bidi w:val="0"/>
                    <w:spacing w:line="240" w:lineRule="auto"/>
                    <w:ind w:left="0" w:leftChars="0" w:firstLine="0" w:firstLineChars="0"/>
                    <w:rPr>
                      <w:rFonts w:hint="default" w:ascii="Times New Roman" w:hAnsi="Times New Roman" w:eastAsia="宋体" w:cs="Times New Roman"/>
                      <w:color w:val="000000" w:themeColor="text1"/>
                      <w:spacing w:val="-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窑尾</w:t>
                  </w:r>
                  <w:r>
                    <w:rPr>
                      <w:rFonts w:hint="default" w:ascii="Times New Roman" w:hAnsi="Times New Roman" w:cs="Times New Roman"/>
                      <w:color w:val="000000" w:themeColor="text1"/>
                      <w:spacing w:val="-1"/>
                      <w:sz w:val="21"/>
                      <w:szCs w:val="21"/>
                      <w:highlight w:val="none"/>
                      <w:lang w:val="en-US" w:eastAsia="zh-CN"/>
                      <w14:textFill>
                        <w14:solidFill>
                          <w14:schemeClr w14:val="tx1"/>
                        </w14:solidFill>
                      </w14:textFill>
                    </w:rPr>
                    <w:t>采用</w:t>
                  </w:r>
                  <w: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“分级燃烧+缺氧燃烧+烟气再循环（FGR）”组合低氮燃烧焙烧后产生的废气</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经脱余热锅炉+</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脱</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硝（</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SNCR</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）装置（脱硝效率</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50</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布袋除尘器（覆膜袋式）</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除尘</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（除尘效率99%）</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+石灰石</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石膏法装置脱硫</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脱硫效率90%，除氨效率50%</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后通过</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42m</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高</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（DA006）达标排放；</w:t>
                  </w:r>
                </w:p>
              </w:tc>
              <w:tc>
                <w:tcPr>
                  <w:tcW w:w="248" w:type="pct"/>
                  <w:noWrap w:val="0"/>
                  <w:vAlign w:val="center"/>
                </w:tcPr>
                <w:p w14:paraId="2B3FBC7D">
                  <w:pPr>
                    <w:adjustRightInd w:val="0"/>
                    <w:snapToGrid w:val="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新建</w:t>
                  </w:r>
                </w:p>
              </w:tc>
            </w:tr>
            <w:tr w14:paraId="089C9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0" w:type="pct"/>
                  <w:vMerge w:val="continue"/>
                  <w:noWrap w:val="0"/>
                  <w:vAlign w:val="center"/>
                </w:tcPr>
                <w:p w14:paraId="58862EC8">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vMerge w:val="continue"/>
                  <w:noWrap w:val="0"/>
                  <w:vAlign w:val="center"/>
                </w:tcPr>
                <w:p w14:paraId="649B6E05">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3957" w:type="pct"/>
                  <w:noWrap w:val="0"/>
                  <w:vAlign w:val="center"/>
                </w:tcPr>
                <w:p w14:paraId="0C74D81A">
                  <w:pPr>
                    <w:pStyle w:val="79"/>
                    <w:keepNext w:val="0"/>
                    <w:keepLines w:val="0"/>
                    <w:pageBreakBefore w:val="0"/>
                    <w:widowControl w:val="0"/>
                    <w:kinsoku/>
                    <w:wordWrap/>
                    <w:overflowPunct/>
                    <w:topLinePunct w:val="0"/>
                    <w:autoSpaceDN/>
                    <w:bidi w:val="0"/>
                    <w:spacing w:line="240" w:lineRule="auto"/>
                    <w:ind w:left="0" w:leftChars="0" w:firstLine="0" w:firstLineChars="0"/>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分选系统中</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打散</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分级</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机废气和粉磨机废气</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分别</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采用“封闭设备+高浓度气箱收集+</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布袋除尘器（覆膜袋式）</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”处理后经</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30</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m高</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（DA00</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7、</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DA00</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8</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）排放；</w:t>
                  </w:r>
                </w:p>
              </w:tc>
              <w:tc>
                <w:tcPr>
                  <w:tcW w:w="248" w:type="pct"/>
                  <w:noWrap w:val="0"/>
                  <w:vAlign w:val="center"/>
                </w:tcPr>
                <w:p w14:paraId="3C3EB763">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新建</w:t>
                  </w:r>
                </w:p>
              </w:tc>
            </w:tr>
            <w:tr w14:paraId="16AA6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0" w:type="pct"/>
                  <w:vMerge w:val="continue"/>
                  <w:noWrap w:val="0"/>
                  <w:vAlign w:val="center"/>
                </w:tcPr>
                <w:p w14:paraId="4DF50EB2">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vMerge w:val="continue"/>
                  <w:noWrap w:val="0"/>
                  <w:vAlign w:val="center"/>
                </w:tcPr>
                <w:p w14:paraId="1F1B0419">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3957" w:type="pct"/>
                  <w:noWrap w:val="0"/>
                  <w:vAlign w:val="center"/>
                </w:tcPr>
                <w:p w14:paraId="475627F9">
                  <w:pPr>
                    <w:pStyle w:val="79"/>
                    <w:keepNext w:val="0"/>
                    <w:keepLines w:val="0"/>
                    <w:pageBreakBefore w:val="0"/>
                    <w:widowControl w:val="0"/>
                    <w:kinsoku/>
                    <w:wordWrap/>
                    <w:overflowPunct/>
                    <w:topLinePunct w:val="0"/>
                    <w:autoSpaceDN/>
                    <w:bidi w:val="0"/>
                    <w:spacing w:line="240" w:lineRule="auto"/>
                    <w:ind w:left="0" w:leftChars="0" w:firstLine="0" w:firstLineChars="0"/>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4个成品筒仓产生的装卸呼吸</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粉尘两两为一组，</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采用“封闭设备+高浓度气箱收集+</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布袋除尘器（覆膜袋式）</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”处理后经</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5</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0m高</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（DA00</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9</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、DA0</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10</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）排放；</w:t>
                  </w:r>
                </w:p>
              </w:tc>
              <w:tc>
                <w:tcPr>
                  <w:tcW w:w="248" w:type="pct"/>
                  <w:noWrap w:val="0"/>
                  <w:vAlign w:val="center"/>
                </w:tcPr>
                <w:p w14:paraId="78D8FC79">
                  <w:pPr>
                    <w:adjustRightInd w:val="0"/>
                    <w:snapToGrid w:val="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新建</w:t>
                  </w:r>
                </w:p>
              </w:tc>
            </w:tr>
            <w:tr w14:paraId="1B2EB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0" w:type="pct"/>
                  <w:vMerge w:val="continue"/>
                  <w:noWrap w:val="0"/>
                  <w:vAlign w:val="center"/>
                </w:tcPr>
                <w:p w14:paraId="768FE97A">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vMerge w:val="continue"/>
                  <w:noWrap w:val="0"/>
                  <w:vAlign w:val="center"/>
                </w:tcPr>
                <w:p w14:paraId="28A9A7FB">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3957" w:type="pct"/>
                  <w:noWrap w:val="0"/>
                  <w:vAlign w:val="center"/>
                </w:tcPr>
                <w:p w14:paraId="44E20C24">
                  <w:pPr>
                    <w:pStyle w:val="79"/>
                    <w:keepNext w:val="0"/>
                    <w:keepLines w:val="0"/>
                    <w:pageBreakBefore w:val="0"/>
                    <w:widowControl w:val="0"/>
                    <w:kinsoku/>
                    <w:wordWrap/>
                    <w:overflowPunct/>
                    <w:topLinePunct w:val="0"/>
                    <w:autoSpaceDN/>
                    <w:bidi w:val="0"/>
                    <w:spacing w:line="240" w:lineRule="auto"/>
                    <w:ind w:left="0" w:leftChars="0" w:firstLine="0" w:firstLineChars="0"/>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8条大包装生产线产生的</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粉尘</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采用“集气罩收集+</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布袋除尘器（覆膜袋式）</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”处理后经</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0m高</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（DA01</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1</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）排放；</w:t>
                  </w:r>
                </w:p>
              </w:tc>
              <w:tc>
                <w:tcPr>
                  <w:tcW w:w="248" w:type="pct"/>
                  <w:noWrap w:val="0"/>
                  <w:vAlign w:val="center"/>
                </w:tcPr>
                <w:p w14:paraId="3CB02AD0">
                  <w:pPr>
                    <w:adjustRightInd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新建</w:t>
                  </w:r>
                </w:p>
              </w:tc>
            </w:tr>
            <w:tr w14:paraId="298DA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6" w:hRule="atLeast"/>
                <w:jc w:val="center"/>
              </w:trPr>
              <w:tc>
                <w:tcPr>
                  <w:tcW w:w="380" w:type="pct"/>
                  <w:vMerge w:val="continue"/>
                  <w:noWrap w:val="0"/>
                  <w:vAlign w:val="center"/>
                </w:tcPr>
                <w:p w14:paraId="30A8625D">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vMerge w:val="continue"/>
                  <w:noWrap w:val="0"/>
                  <w:vAlign w:val="center"/>
                </w:tcPr>
                <w:p w14:paraId="5DAC2128">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3957" w:type="pct"/>
                  <w:noWrap w:val="0"/>
                  <w:vAlign w:val="center"/>
                </w:tcPr>
                <w:p w14:paraId="6CAAAE2E">
                  <w:pPr>
                    <w:pStyle w:val="79"/>
                    <w:keepNext w:val="0"/>
                    <w:keepLines w:val="0"/>
                    <w:pageBreakBefore w:val="0"/>
                    <w:widowControl w:val="0"/>
                    <w:kinsoku/>
                    <w:wordWrap/>
                    <w:overflowPunct/>
                    <w:topLinePunct w:val="0"/>
                    <w:autoSpaceDN/>
                    <w:bidi w:val="0"/>
                    <w:spacing w:line="240" w:lineRule="auto"/>
                    <w:ind w:left="0" w:leftChars="0" w:firstLine="0" w:firstLineChars="0"/>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1个成品筒仓产生废气通过“收集+</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布袋除尘器（覆膜袋式）</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”处理后经1根</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30</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m高（DA01</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排放；</w:t>
                  </w:r>
                </w:p>
              </w:tc>
              <w:tc>
                <w:tcPr>
                  <w:tcW w:w="248" w:type="pct"/>
                  <w:noWrap w:val="0"/>
                  <w:vAlign w:val="center"/>
                </w:tcPr>
                <w:p w14:paraId="08873158">
                  <w:pPr>
                    <w:adjustRightInd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新建</w:t>
                  </w:r>
                </w:p>
              </w:tc>
            </w:tr>
            <w:tr w14:paraId="24ADD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6" w:hRule="atLeast"/>
                <w:jc w:val="center"/>
              </w:trPr>
              <w:tc>
                <w:tcPr>
                  <w:tcW w:w="380" w:type="pct"/>
                  <w:vMerge w:val="continue"/>
                  <w:noWrap w:val="0"/>
                  <w:vAlign w:val="center"/>
                </w:tcPr>
                <w:p w14:paraId="69B4FB19">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vMerge w:val="continue"/>
                  <w:noWrap w:val="0"/>
                  <w:vAlign w:val="center"/>
                </w:tcPr>
                <w:p w14:paraId="2407FFFC">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3957" w:type="pct"/>
                  <w:noWrap w:val="0"/>
                  <w:vAlign w:val="center"/>
                </w:tcPr>
                <w:p w14:paraId="34F568D8">
                  <w:pPr>
                    <w:pStyle w:val="79"/>
                    <w:keepNext w:val="0"/>
                    <w:keepLines w:val="0"/>
                    <w:pageBreakBefore w:val="0"/>
                    <w:widowControl w:val="0"/>
                    <w:kinsoku/>
                    <w:wordWrap/>
                    <w:overflowPunct/>
                    <w:topLinePunct w:val="0"/>
                    <w:autoSpaceDN/>
                    <w:bidi w:val="0"/>
                    <w:spacing w:line="240" w:lineRule="auto"/>
                    <w:ind w:left="0" w:leftChars="0" w:firstLine="0" w:firstLineChars="0"/>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1条小包装产生废气通过“集气罩收集+</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布袋除尘器（覆膜袋式）</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”处理后经1根</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0m高（DA01</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排放；</w:t>
                  </w:r>
                </w:p>
              </w:tc>
              <w:tc>
                <w:tcPr>
                  <w:tcW w:w="248" w:type="pct"/>
                  <w:noWrap w:val="0"/>
                  <w:vAlign w:val="center"/>
                </w:tcPr>
                <w:p w14:paraId="2E6456B1">
                  <w:pPr>
                    <w:adjustRightInd w:val="0"/>
                    <w:snapToGrid w:val="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新建</w:t>
                  </w:r>
                </w:p>
              </w:tc>
            </w:tr>
            <w:tr w14:paraId="2BEC59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6" w:hRule="atLeast"/>
                <w:jc w:val="center"/>
              </w:trPr>
              <w:tc>
                <w:tcPr>
                  <w:tcW w:w="380" w:type="pct"/>
                  <w:vMerge w:val="continue"/>
                  <w:noWrap w:val="0"/>
                  <w:vAlign w:val="center"/>
                </w:tcPr>
                <w:p w14:paraId="2D89ACCE">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vMerge w:val="continue"/>
                  <w:noWrap w:val="0"/>
                  <w:vAlign w:val="center"/>
                </w:tcPr>
                <w:p w14:paraId="3D724A09">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3957" w:type="pct"/>
                  <w:shd w:val="clear" w:color="auto" w:fill="auto"/>
                  <w:noWrap w:val="0"/>
                  <w:vAlign w:val="center"/>
                </w:tcPr>
                <w:p w14:paraId="2CBEA106">
                  <w:pPr>
                    <w:pStyle w:val="79"/>
                    <w:keepNext w:val="0"/>
                    <w:keepLines w:val="0"/>
                    <w:pageBreakBefore w:val="0"/>
                    <w:widowControl w:val="0"/>
                    <w:kinsoku/>
                    <w:wordWrap/>
                    <w:overflowPunct/>
                    <w:topLinePunct w:val="0"/>
                    <w:autoSpaceDN/>
                    <w:bidi w:val="0"/>
                    <w:spacing w:line="240" w:lineRule="auto"/>
                    <w:ind w:left="0" w:leftChars="0" w:firstLine="0" w:firstLineChars="0"/>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2个黄料粉筒仓产生废气</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两两为一组，</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通过“封闭设备+收集+</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布袋除尘器（覆膜袋式）</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”处理后经1根</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15</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m高（DA01</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4</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排放；</w:t>
                  </w:r>
                </w:p>
              </w:tc>
              <w:tc>
                <w:tcPr>
                  <w:tcW w:w="248" w:type="pct"/>
                  <w:shd w:val="clear" w:color="auto" w:fill="auto"/>
                  <w:noWrap w:val="0"/>
                  <w:vAlign w:val="center"/>
                </w:tcPr>
                <w:p w14:paraId="73EB6FF9">
                  <w:pPr>
                    <w:adjustRightInd w:val="0"/>
                    <w:snapToGrid w:val="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新建</w:t>
                  </w:r>
                </w:p>
              </w:tc>
            </w:tr>
            <w:tr w14:paraId="577DAA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6" w:hRule="atLeast"/>
                <w:jc w:val="center"/>
              </w:trPr>
              <w:tc>
                <w:tcPr>
                  <w:tcW w:w="380" w:type="pct"/>
                  <w:vMerge w:val="continue"/>
                  <w:noWrap w:val="0"/>
                  <w:vAlign w:val="center"/>
                </w:tcPr>
                <w:p w14:paraId="088347F9">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vMerge w:val="continue"/>
                  <w:noWrap w:val="0"/>
                  <w:vAlign w:val="center"/>
                </w:tcPr>
                <w:p w14:paraId="72978481">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3957" w:type="pct"/>
                  <w:noWrap w:val="0"/>
                  <w:vAlign w:val="center"/>
                </w:tcPr>
                <w:p w14:paraId="06FC23DD">
                  <w:pPr>
                    <w:pStyle w:val="79"/>
                    <w:keepNext w:val="0"/>
                    <w:keepLines w:val="0"/>
                    <w:pageBreakBefore w:val="0"/>
                    <w:widowControl w:val="0"/>
                    <w:kinsoku/>
                    <w:wordWrap/>
                    <w:overflowPunct/>
                    <w:topLinePunct w:val="0"/>
                    <w:autoSpaceDN/>
                    <w:bidi w:val="0"/>
                    <w:spacing w:line="240" w:lineRule="auto"/>
                    <w:ind w:left="0" w:leftChars="0" w:firstLine="0" w:firstLineChars="0"/>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脱硫剂石灰石粉仓废气</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通过“封闭设备+</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布袋除尘器（覆膜袋式）</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”处理后经1根</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18</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m高（DA01</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5</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排放；</w:t>
                  </w:r>
                </w:p>
              </w:tc>
              <w:tc>
                <w:tcPr>
                  <w:tcW w:w="248" w:type="pct"/>
                  <w:noWrap w:val="0"/>
                  <w:vAlign w:val="center"/>
                </w:tcPr>
                <w:p w14:paraId="208FB231">
                  <w:pPr>
                    <w:adjustRightInd w:val="0"/>
                    <w:snapToGrid w:val="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新建</w:t>
                  </w:r>
                </w:p>
              </w:tc>
            </w:tr>
            <w:tr w14:paraId="3C54A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0" w:type="pct"/>
                  <w:vMerge w:val="continue"/>
                  <w:noWrap w:val="0"/>
                  <w:vAlign w:val="center"/>
                </w:tcPr>
                <w:p w14:paraId="7B424E74">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noWrap w:val="0"/>
                  <w:vAlign w:val="center"/>
                </w:tcPr>
                <w:p w14:paraId="6C5813A0">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废水</w:t>
                  </w:r>
                </w:p>
              </w:tc>
              <w:tc>
                <w:tcPr>
                  <w:tcW w:w="3957" w:type="pct"/>
                  <w:noWrap w:val="0"/>
                  <w:vAlign w:val="center"/>
                </w:tcPr>
                <w:p w14:paraId="16BD3688">
                  <w:pPr>
                    <w:pStyle w:val="79"/>
                    <w:keepNext w:val="0"/>
                    <w:keepLines w:val="0"/>
                    <w:pageBreakBefore w:val="0"/>
                    <w:widowControl w:val="0"/>
                    <w:kinsoku/>
                    <w:wordWrap/>
                    <w:overflowPunct/>
                    <w:topLinePunct w:val="0"/>
                    <w:autoSpaceDN/>
                    <w:bidi w:val="0"/>
                    <w:spacing w:line="240" w:lineRule="auto"/>
                    <w:ind w:left="0" w:leftChars="0" w:firstLine="0" w:firstLineChars="0"/>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spacing w:val="-1"/>
                      <w:sz w:val="21"/>
                      <w:szCs w:val="21"/>
                      <w:highlight w:val="none"/>
                      <w14:textFill>
                        <w14:solidFill>
                          <w14:schemeClr w14:val="tx1"/>
                        </w14:solidFill>
                      </w14:textFill>
                    </w:rPr>
                    <w:t>①</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脱硫废水经三联箱（中和、反应沉降、絮凝）装置处理后综合利用；</w:t>
                  </w:r>
                </w:p>
                <w:p w14:paraId="140F4FA1">
                  <w:pPr>
                    <w:pStyle w:val="79"/>
                    <w:keepNext w:val="0"/>
                    <w:keepLines w:val="0"/>
                    <w:pageBreakBefore w:val="0"/>
                    <w:widowControl w:val="0"/>
                    <w:kinsoku/>
                    <w:wordWrap/>
                    <w:overflowPunct/>
                    <w:topLinePunct w:val="0"/>
                    <w:autoSpaceDN/>
                    <w:bidi w:val="0"/>
                    <w:spacing w:line="240" w:lineRule="auto"/>
                    <w:ind w:left="0" w:leftChars="0" w:firstLine="0" w:firstLineChars="0"/>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②生活污水经厂区办公区域的玻璃钢化粪池处理后，罐车拉运至园区污水处理厂处理；</w:t>
                  </w:r>
                </w:p>
                <w:p w14:paraId="47781E1A">
                  <w:pPr>
                    <w:pStyle w:val="79"/>
                    <w:keepNext w:val="0"/>
                    <w:keepLines w:val="0"/>
                    <w:pageBreakBefore w:val="0"/>
                    <w:widowControl w:val="0"/>
                    <w:kinsoku/>
                    <w:wordWrap/>
                    <w:overflowPunct/>
                    <w:topLinePunct w:val="0"/>
                    <w:autoSpaceDN/>
                    <w:bidi w:val="0"/>
                    <w:spacing w:line="240" w:lineRule="auto"/>
                    <w:ind w:left="0" w:leftChars="0" w:firstLine="0" w:firstLineChars="0"/>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③软水制备排水</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通过</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罐车拉运至园区生产废水处理厂处理；</w:t>
                  </w:r>
                </w:p>
                <w:p w14:paraId="626DE0FB">
                  <w:pPr>
                    <w:pStyle w:val="79"/>
                    <w:keepNext w:val="0"/>
                    <w:keepLines w:val="0"/>
                    <w:pageBreakBefore w:val="0"/>
                    <w:widowControl w:val="0"/>
                    <w:kinsoku/>
                    <w:wordWrap/>
                    <w:overflowPunct/>
                    <w:topLinePunct w:val="0"/>
                    <w:autoSpaceDN/>
                    <w:bidi w:val="0"/>
                    <w:spacing w:line="240" w:lineRule="auto"/>
                    <w:ind w:left="0" w:leftChars="0" w:firstLine="0" w:firstLineChars="0"/>
                    <w:rPr>
                      <w:rFonts w:hint="default" w:ascii="Times New Roman" w:hAnsi="Times New Roman" w:eastAsia="宋体" w:cs="Times New Roman"/>
                      <w:b w:val="0"/>
                      <w:bCs w:val="0"/>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④余热锅炉排水</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通过</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罐车拉运至园区生产废水处理厂处理</w:t>
                  </w:r>
                  <w:r>
                    <w:rPr>
                      <w:rFonts w:hint="eastAsia" w:ascii="Times New Roman" w:hAnsi="Times New Roman" w:cs="Times New Roman"/>
                      <w:color w:val="000000" w:themeColor="text1"/>
                      <w:kern w:val="0"/>
                      <w:sz w:val="21"/>
                      <w:szCs w:val="21"/>
                      <w:highlight w:val="none"/>
                      <w:lang w:val="en-US" w:eastAsia="zh-CN" w:bidi="ar"/>
                      <w14:textFill>
                        <w14:solidFill>
                          <w14:schemeClr w14:val="tx1"/>
                        </w14:solidFill>
                      </w14:textFill>
                    </w:rPr>
                    <w:t>。</w:t>
                  </w:r>
                </w:p>
              </w:tc>
              <w:tc>
                <w:tcPr>
                  <w:tcW w:w="248" w:type="pct"/>
                  <w:noWrap w:val="0"/>
                  <w:vAlign w:val="center"/>
                </w:tcPr>
                <w:p w14:paraId="6C637CA7">
                  <w:pPr>
                    <w:adjustRightInd w:val="0"/>
                    <w:snapToGrid w:val="0"/>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新建</w:t>
                  </w:r>
                </w:p>
              </w:tc>
            </w:tr>
            <w:tr w14:paraId="5BD8A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0" w:type="pct"/>
                  <w:vMerge w:val="continue"/>
                  <w:noWrap w:val="0"/>
                  <w:vAlign w:val="center"/>
                </w:tcPr>
                <w:p w14:paraId="610F60B8">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noWrap w:val="0"/>
                  <w:vAlign w:val="center"/>
                </w:tcPr>
                <w:p w14:paraId="116EFF40">
                  <w:pPr>
                    <w:autoSpaceDE w:val="0"/>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噪声</w:t>
                  </w:r>
                </w:p>
                <w:p w14:paraId="66F3C736">
                  <w:pPr>
                    <w:autoSpaceDE w:val="0"/>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治理</w:t>
                  </w:r>
                </w:p>
              </w:tc>
              <w:tc>
                <w:tcPr>
                  <w:tcW w:w="3957" w:type="pct"/>
                  <w:noWrap w:val="0"/>
                  <w:vAlign w:val="center"/>
                </w:tcPr>
                <w:p w14:paraId="07E7CB5F">
                  <w:pPr>
                    <w:pStyle w:val="86"/>
                    <w:keepNext w:val="0"/>
                    <w:keepLines w:val="0"/>
                    <w:pageBreakBefore w:val="0"/>
                    <w:widowControl w:val="0"/>
                    <w:kinsoku/>
                    <w:wordWrap/>
                    <w:overflowPunct/>
                    <w:topLinePunct w:val="0"/>
                    <w:autoSpaceDE w:val="0"/>
                    <w:autoSpaceDN/>
                    <w:bidi w:val="0"/>
                    <w:snapToGrid w:val="0"/>
                    <w:spacing w:line="240" w:lineRule="auto"/>
                    <w:ind w:firstLine="0" w:firstLineChars="0"/>
                    <w:jc w:val="both"/>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pacing w:val="-1"/>
                      <w:sz w:val="21"/>
                      <w:szCs w:val="21"/>
                      <w:highlight w:val="none"/>
                      <w14:textFill>
                        <w14:solidFill>
                          <w14:schemeClr w14:val="tx1"/>
                        </w14:solidFill>
                      </w14:textFill>
                    </w:rPr>
                    <w:t>选用低噪声设备、采取吸声、隔声、基础</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减振、封闭厂房内安装措施。</w:t>
                  </w:r>
                </w:p>
              </w:tc>
              <w:tc>
                <w:tcPr>
                  <w:tcW w:w="248" w:type="pct"/>
                  <w:noWrap w:val="0"/>
                  <w:vAlign w:val="center"/>
                </w:tcPr>
                <w:p w14:paraId="65DC519F">
                  <w:pPr>
                    <w:autoSpaceDE w:val="0"/>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新建</w:t>
                  </w:r>
                </w:p>
              </w:tc>
            </w:tr>
            <w:tr w14:paraId="68A05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80" w:type="pct"/>
                  <w:vMerge w:val="continue"/>
                  <w:noWrap w:val="0"/>
                  <w:vAlign w:val="center"/>
                </w:tcPr>
                <w:p w14:paraId="763D63C9">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vMerge w:val="restart"/>
                  <w:noWrap w:val="0"/>
                  <w:vAlign w:val="center"/>
                </w:tcPr>
                <w:p w14:paraId="12C3196E">
                  <w:pPr>
                    <w:autoSpaceDE w:val="0"/>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固废</w:t>
                  </w:r>
                </w:p>
                <w:p w14:paraId="47E98157">
                  <w:pPr>
                    <w:autoSpaceDE w:val="0"/>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处理</w:t>
                  </w:r>
                </w:p>
              </w:tc>
              <w:tc>
                <w:tcPr>
                  <w:tcW w:w="3957" w:type="pct"/>
                  <w:noWrap w:val="0"/>
                  <w:vAlign w:val="center"/>
                </w:tcPr>
                <w:p w14:paraId="7B897E49">
                  <w:pPr>
                    <w:pStyle w:val="116"/>
                    <w:keepNext w:val="0"/>
                    <w:keepLines w:val="0"/>
                    <w:pageBreakBefore w:val="0"/>
                    <w:widowControl w:val="0"/>
                    <w:kinsoku/>
                    <w:wordWrap/>
                    <w:overflowPunct/>
                    <w:topLinePunct w:val="0"/>
                    <w:autoSpaceDN/>
                    <w:bidi w:val="0"/>
                    <w:spacing w:before="39" w:line="237" w:lineRule="auto"/>
                    <w:ind w:left="1" w:right="20" w:firstLine="0" w:firstLineChars="0"/>
                    <w:jc w:val="both"/>
                    <w:rPr>
                      <w:rFonts w:hint="default" w:ascii="Times New Roman" w:hAnsi="Times New Roman" w:cs="Times New Roman"/>
                      <w:color w:val="000000" w:themeColor="text1"/>
                      <w:spacing w:val="-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pacing w:val="-1"/>
                      <w:sz w:val="21"/>
                      <w:szCs w:val="21"/>
                      <w:highlight w:val="none"/>
                      <w14:textFill>
                        <w14:solidFill>
                          <w14:schemeClr w14:val="tx1"/>
                        </w14:solidFill>
                      </w14:textFill>
                    </w:rPr>
                    <w:t>①</w:t>
                  </w:r>
                  <w:r>
                    <w:rPr>
                      <w:rFonts w:hint="default" w:ascii="Times New Roman" w:hAnsi="Times New Roman" w:cs="Times New Roman"/>
                      <w:color w:val="000000" w:themeColor="text1"/>
                      <w:spacing w:val="-1"/>
                      <w:sz w:val="21"/>
                      <w:szCs w:val="21"/>
                      <w:highlight w:val="none"/>
                      <w14:textFill>
                        <w14:solidFill>
                          <w14:schemeClr w14:val="tx1"/>
                        </w14:solidFill>
                      </w14:textFill>
                    </w:rPr>
                    <w:t>脱硫石膏外售至</w:t>
                  </w:r>
                  <w:r>
                    <w:rPr>
                      <w:rFonts w:hint="default" w:ascii="Times New Roman" w:hAnsi="Times New Roman" w:cs="Times New Roman"/>
                      <w:color w:val="000000" w:themeColor="text1"/>
                      <w:spacing w:val="-1"/>
                      <w:sz w:val="21"/>
                      <w:szCs w:val="21"/>
                      <w:highlight w:val="none"/>
                      <w:lang w:val="en-US" w:eastAsia="zh-CN"/>
                      <w14:textFill>
                        <w14:solidFill>
                          <w14:schemeClr w14:val="tx1"/>
                        </w14:solidFill>
                      </w14:textFill>
                    </w:rPr>
                    <w:t>附近建材企业综合利用</w:t>
                  </w:r>
                  <w:r>
                    <w:rPr>
                      <w:rFonts w:hint="default" w:ascii="Times New Roman" w:hAnsi="Times New Roman" w:cs="Times New Roman"/>
                      <w:color w:val="000000" w:themeColor="text1"/>
                      <w:spacing w:val="-1"/>
                      <w:sz w:val="21"/>
                      <w:szCs w:val="21"/>
                      <w:highlight w:val="none"/>
                      <w14:textFill>
                        <w14:solidFill>
                          <w14:schemeClr w14:val="tx1"/>
                        </w14:solidFill>
                      </w14:textFill>
                    </w:rPr>
                    <w:t>；</w:t>
                  </w:r>
                </w:p>
                <w:p w14:paraId="06CEB8E9">
                  <w:pPr>
                    <w:pStyle w:val="12"/>
                    <w:jc w:val="both"/>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②</w:t>
                  </w:r>
                  <w:r>
                    <w:rPr>
                      <w:rFonts w:hint="default" w:ascii="Times New Roman" w:hAnsi="Times New Roman" w:cs="Times New Roman"/>
                      <w:color w:val="000000" w:themeColor="text1"/>
                      <w:spacing w:val="-1"/>
                      <w:sz w:val="21"/>
                      <w:szCs w:val="21"/>
                      <w:highlight w:val="none"/>
                      <w14:textFill>
                        <w14:solidFill>
                          <w14:schemeClr w14:val="tx1"/>
                        </w14:solidFill>
                      </w14:textFill>
                    </w:rPr>
                    <w:t>三联箱装置产生的脱硫废水处理</w:t>
                  </w:r>
                  <w:r>
                    <w:rPr>
                      <w:rFonts w:hint="default" w:ascii="Times New Roman" w:hAnsi="Times New Roman" w:cs="Times New Roman"/>
                      <w:color w:val="000000" w:themeColor="text1"/>
                      <w:spacing w:val="1"/>
                      <w:sz w:val="21"/>
                      <w:szCs w:val="21"/>
                      <w:highlight w:val="none"/>
                      <w:lang w:val="en-US" w:eastAsia="zh-CN"/>
                      <w14:textFill>
                        <w14:solidFill>
                          <w14:schemeClr w14:val="tx1"/>
                        </w14:solidFill>
                      </w14:textFill>
                    </w:rPr>
                    <w:t>污泥桶装，暂存危废库，暂时按照危废进行管理，鉴别为一般固废的，按照一般固废管理并处理</w:t>
                  </w:r>
                  <w:r>
                    <w:rPr>
                      <w:rFonts w:hint="default" w:ascii="Times New Roman" w:hAnsi="Times New Roman" w:cs="Times New Roman"/>
                      <w:color w:val="000000" w:themeColor="text1"/>
                      <w:spacing w:val="1"/>
                      <w:sz w:val="21"/>
                      <w:szCs w:val="21"/>
                      <w:highlight w:val="none"/>
                      <w14:textFill>
                        <w14:solidFill>
                          <w14:schemeClr w14:val="tx1"/>
                        </w14:solidFill>
                      </w14:textFill>
                    </w:rPr>
                    <w:t>；</w:t>
                  </w:r>
                </w:p>
                <w:p w14:paraId="2E8385FB">
                  <w:pPr>
                    <w:pStyle w:val="86"/>
                    <w:keepNext w:val="0"/>
                    <w:keepLines w:val="0"/>
                    <w:pageBreakBefore w:val="0"/>
                    <w:widowControl w:val="0"/>
                    <w:kinsoku/>
                    <w:wordWrap/>
                    <w:overflowPunct/>
                    <w:topLinePunct w:val="0"/>
                    <w:autoSpaceDE w:val="0"/>
                    <w:autoSpaceDN/>
                    <w:bidi w:val="0"/>
                    <w:snapToGrid w:val="0"/>
                    <w:spacing w:line="240" w:lineRule="auto"/>
                    <w:ind w:firstLine="0" w:firstLineChars="0"/>
                    <w:jc w:val="both"/>
                    <w:rPr>
                      <w:rFonts w:hint="default" w:ascii="Times New Roman" w:hAnsi="Times New Roman" w:eastAsia="宋体" w:cs="Times New Roman"/>
                      <w:b w:val="0"/>
                      <w:bCs w:val="0"/>
                      <w:color w:val="000000" w:themeColor="text1"/>
                      <w:spacing w:val="2"/>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pacing w:val="-5"/>
                      <w:sz w:val="21"/>
                      <w:szCs w:val="21"/>
                      <w:highlight w:val="none"/>
                      <w14:textFill>
                        <w14:solidFill>
                          <w14:schemeClr w14:val="tx1"/>
                        </w14:solidFill>
                      </w14:textFill>
                    </w:rPr>
                    <w:t>③</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废润滑油</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及废铁桶</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：新建一座</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30</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m²危废暂存间，</w:t>
                  </w:r>
                  <w:r>
                    <w:rPr>
                      <w:rFonts w:hint="default" w:ascii="Times New Roman" w:hAnsi="Times New Roman" w:eastAsia="宋体" w:cs="Times New Roman"/>
                      <w:b w:val="0"/>
                      <w:bCs w:val="0"/>
                      <w:color w:val="000000" w:themeColor="text1"/>
                      <w:spacing w:val="-5"/>
                      <w:sz w:val="21"/>
                      <w:szCs w:val="21"/>
                      <w:highlight w:val="none"/>
                      <w14:textFill>
                        <w14:solidFill>
                          <w14:schemeClr w14:val="tx1"/>
                        </w14:solidFill>
                      </w14:textFill>
                    </w:rPr>
                    <w:t>设备维修产生的废润滑油</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及废铁桶</w:t>
                  </w:r>
                  <w:r>
                    <w:rPr>
                      <w:rFonts w:hint="default" w:ascii="Times New Roman" w:hAnsi="Times New Roman" w:eastAsia="宋体" w:cs="Times New Roman"/>
                      <w:b w:val="0"/>
                      <w:bCs w:val="0"/>
                      <w:color w:val="000000" w:themeColor="text1"/>
                      <w:spacing w:val="-5"/>
                      <w:sz w:val="21"/>
                      <w:szCs w:val="21"/>
                      <w:highlight w:val="none"/>
                      <w14:textFill>
                        <w14:solidFill>
                          <w14:schemeClr w14:val="tx1"/>
                        </w14:solidFill>
                      </w14:textFill>
                    </w:rPr>
                    <w:t>暂存于危废暂存</w:t>
                  </w:r>
                  <w:r>
                    <w:rPr>
                      <w:rFonts w:hint="default" w:ascii="Times New Roman" w:hAnsi="Times New Roman" w:eastAsia="宋体" w:cs="Times New Roman"/>
                      <w:b w:val="0"/>
                      <w:bCs w:val="0"/>
                      <w:color w:val="000000" w:themeColor="text1"/>
                      <w:spacing w:val="-10"/>
                      <w:sz w:val="21"/>
                      <w:szCs w:val="21"/>
                      <w:highlight w:val="none"/>
                      <w14:textFill>
                        <w14:solidFill>
                          <w14:schemeClr w14:val="tx1"/>
                        </w14:solidFill>
                      </w14:textFill>
                    </w:rPr>
                    <w:t>间，定期交由有资质的单位处置，不外排</w:t>
                  </w:r>
                  <w:r>
                    <w:rPr>
                      <w:rFonts w:hint="default" w:ascii="Times New Roman" w:hAnsi="Times New Roman" w:eastAsia="宋体" w:cs="Times New Roman"/>
                      <w:b w:val="0"/>
                      <w:bCs w:val="0"/>
                      <w:color w:val="000000" w:themeColor="text1"/>
                      <w:spacing w:val="-10"/>
                      <w:sz w:val="21"/>
                      <w:szCs w:val="21"/>
                      <w:highlight w:val="none"/>
                      <w:lang w:eastAsia="zh-CN"/>
                      <w14:textFill>
                        <w14:solidFill>
                          <w14:schemeClr w14:val="tx1"/>
                        </w14:solidFill>
                      </w14:textFill>
                    </w:rPr>
                    <w:t>；</w:t>
                  </w:r>
                </w:p>
                <w:p w14:paraId="40313F3A">
                  <w:pPr>
                    <w:pStyle w:val="86"/>
                    <w:keepNext w:val="0"/>
                    <w:keepLines w:val="0"/>
                    <w:pageBreakBefore w:val="0"/>
                    <w:widowControl w:val="0"/>
                    <w:kinsoku/>
                    <w:wordWrap/>
                    <w:overflowPunct/>
                    <w:topLinePunct w:val="0"/>
                    <w:autoSpaceDE w:val="0"/>
                    <w:autoSpaceDN/>
                    <w:bidi w:val="0"/>
                    <w:snapToGrid w:val="0"/>
                    <w:spacing w:line="240" w:lineRule="auto"/>
                    <w:ind w:firstLine="0" w:firstLineChars="0"/>
                    <w:jc w:val="both"/>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pacing w:val="-5"/>
                      <w:sz w:val="21"/>
                      <w:szCs w:val="21"/>
                      <w:highlight w:val="none"/>
                      <w:lang w:val="en-US" w:eastAsia="zh-CN"/>
                      <w14:textFill>
                        <w14:solidFill>
                          <w14:schemeClr w14:val="tx1"/>
                        </w14:solidFill>
                      </w14:textFill>
                    </w:rPr>
                    <w:t>④</w:t>
                  </w:r>
                  <w:r>
                    <w:rPr>
                      <w:rFonts w:hint="default" w:ascii="Times New Roman" w:hAnsi="Times New Roman" w:eastAsia="宋体" w:cs="Times New Roman"/>
                      <w:b w:val="0"/>
                      <w:bCs w:val="0"/>
                      <w:color w:val="000000" w:themeColor="text1"/>
                      <w:spacing w:val="-5"/>
                      <w:sz w:val="21"/>
                      <w:szCs w:val="21"/>
                      <w:highlight w:val="none"/>
                      <w14:textFill>
                        <w14:solidFill>
                          <w14:schemeClr w14:val="tx1"/>
                        </w14:solidFill>
                      </w14:textFill>
                    </w:rPr>
                    <w:t>生活垃圾：在厂区内集中收集，定期由</w:t>
                  </w:r>
                  <w:r>
                    <w:rPr>
                      <w:rFonts w:hint="default" w:ascii="Times New Roman" w:hAnsi="Times New Roman" w:eastAsia="宋体" w:cs="Times New Roman"/>
                      <w:b w:val="0"/>
                      <w:bCs w:val="0"/>
                      <w:color w:val="000000" w:themeColor="text1"/>
                      <w:spacing w:val="-4"/>
                      <w:sz w:val="21"/>
                      <w:szCs w:val="21"/>
                      <w:highlight w:val="none"/>
                      <w14:textFill>
                        <w14:solidFill>
                          <w14:schemeClr w14:val="tx1"/>
                        </w14:solidFill>
                      </w14:textFill>
                    </w:rPr>
                    <w:t>环卫部门清运。</w:t>
                  </w:r>
                </w:p>
              </w:tc>
              <w:tc>
                <w:tcPr>
                  <w:tcW w:w="248" w:type="pct"/>
                  <w:noWrap w:val="0"/>
                  <w:vAlign w:val="center"/>
                </w:tcPr>
                <w:p w14:paraId="0AEFFB89">
                  <w:pPr>
                    <w:autoSpaceDE w:val="0"/>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新建</w:t>
                  </w:r>
                </w:p>
              </w:tc>
            </w:tr>
            <w:tr w14:paraId="6DC9E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380" w:type="pct"/>
                  <w:vMerge w:val="continue"/>
                  <w:noWrap w:val="0"/>
                  <w:vAlign w:val="center"/>
                </w:tcPr>
                <w:p w14:paraId="73511BDD">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vMerge w:val="continue"/>
                  <w:noWrap w:val="0"/>
                  <w:vAlign w:val="center"/>
                </w:tcPr>
                <w:p w14:paraId="2FB676BE">
                  <w:pPr>
                    <w:autoSpaceDE w:val="0"/>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3957" w:type="pct"/>
                  <w:noWrap w:val="0"/>
                  <w:vAlign w:val="center"/>
                </w:tcPr>
                <w:p w14:paraId="12C007C0">
                  <w:pPr>
                    <w:pStyle w:val="86"/>
                    <w:keepNext w:val="0"/>
                    <w:keepLines w:val="0"/>
                    <w:pageBreakBefore w:val="0"/>
                    <w:widowControl w:val="0"/>
                    <w:kinsoku/>
                    <w:wordWrap/>
                    <w:overflowPunct/>
                    <w:topLinePunct w:val="0"/>
                    <w:autoSpaceDE w:val="0"/>
                    <w:autoSpaceDN/>
                    <w:bidi w:val="0"/>
                    <w:snapToGrid w:val="0"/>
                    <w:spacing w:line="240" w:lineRule="auto"/>
                    <w:ind w:firstLine="0" w:firstLineChars="0"/>
                    <w:jc w:val="both"/>
                    <w:rPr>
                      <w:rFonts w:hint="default" w:ascii="Times New Roman" w:hAnsi="Times New Roman" w:eastAsia="宋体" w:cs="Times New Roman"/>
                      <w:b w:val="0"/>
                      <w:bCs w:val="0"/>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lang w:val="en-US" w:eastAsia="zh-CN"/>
                      <w14:textFill>
                        <w14:solidFill>
                          <w14:schemeClr w14:val="tx1"/>
                        </w14:solidFill>
                      </w14:textFill>
                    </w:rPr>
                    <w:t>在脱硫系统设置</w:t>
                  </w:r>
                  <w:r>
                    <w:rPr>
                      <w:rFonts w:hint="default" w:ascii="Times New Roman" w:hAnsi="Times New Roman" w:cs="Times New Roman"/>
                      <w:color w:val="000000" w:themeColor="text1"/>
                      <w:spacing w:val="-1"/>
                      <w:sz w:val="21"/>
                      <w:szCs w:val="21"/>
                      <w:highlight w:val="none"/>
                      <w14:textFill>
                        <w14:solidFill>
                          <w14:schemeClr w14:val="tx1"/>
                        </w14:solidFill>
                      </w14:textFill>
                    </w:rPr>
                    <w:t>1座</w:t>
                  </w:r>
                  <w:r>
                    <w:rPr>
                      <w:rFonts w:hint="default" w:ascii="Times New Roman" w:hAnsi="Times New Roman" w:cs="Times New Roman"/>
                      <w:color w:val="000000" w:themeColor="text1"/>
                      <w:spacing w:val="-1"/>
                      <w:sz w:val="21"/>
                      <w:szCs w:val="21"/>
                      <w:highlight w:val="none"/>
                      <w:lang w:val="en-US" w:eastAsia="zh-CN"/>
                      <w14:textFill>
                        <w14:solidFill>
                          <w14:schemeClr w14:val="tx1"/>
                        </w14:solidFill>
                      </w14:textFill>
                    </w:rPr>
                    <w:t>存储3天的脱硫石膏</w:t>
                  </w:r>
                  <w:r>
                    <w:rPr>
                      <w:rFonts w:hint="default" w:ascii="Times New Roman" w:hAnsi="Times New Roman" w:cs="Times New Roman"/>
                      <w:color w:val="000000" w:themeColor="text1"/>
                      <w:spacing w:val="-1"/>
                      <w:sz w:val="21"/>
                      <w:szCs w:val="21"/>
                      <w:highlight w:val="none"/>
                      <w14:textFill>
                        <w14:solidFill>
                          <w14:schemeClr w14:val="tx1"/>
                        </w14:solidFill>
                      </w14:textFill>
                    </w:rPr>
                    <w:t>暂存</w:t>
                  </w:r>
                  <w:r>
                    <w:rPr>
                      <w:rFonts w:hint="default" w:ascii="Times New Roman" w:hAnsi="Times New Roman" w:cs="Times New Roman"/>
                      <w:color w:val="000000" w:themeColor="text1"/>
                      <w:spacing w:val="4"/>
                      <w:sz w:val="21"/>
                      <w:szCs w:val="21"/>
                      <w:highlight w:val="none"/>
                      <w14:textFill>
                        <w14:solidFill>
                          <w14:schemeClr w14:val="tx1"/>
                        </w14:solidFill>
                      </w14:textFill>
                    </w:rPr>
                    <w:t>库，建筑面积为50m²</w:t>
                  </w:r>
                  <w:r>
                    <w:rPr>
                      <w:rFonts w:hint="default" w:ascii="Times New Roman" w:hAnsi="Times New Roman" w:cs="Times New Roman"/>
                      <w:color w:val="000000" w:themeColor="text1"/>
                      <w:spacing w:val="4"/>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pacing w:val="4"/>
                      <w:sz w:val="21"/>
                      <w:szCs w:val="21"/>
                      <w:highlight w:val="none"/>
                      <w14:textFill>
                        <w14:solidFill>
                          <w14:schemeClr w14:val="tx1"/>
                        </w14:solidFill>
                      </w14:textFill>
                    </w:rPr>
                    <w:t>全封闭建设</w:t>
                  </w:r>
                  <w:r>
                    <w:rPr>
                      <w:rFonts w:hint="default" w:ascii="Times New Roman" w:hAnsi="Times New Roman" w:cs="Times New Roman"/>
                      <w:color w:val="000000" w:themeColor="text1"/>
                      <w:spacing w:val="4"/>
                      <w:sz w:val="21"/>
                      <w:szCs w:val="21"/>
                      <w:highlight w:val="none"/>
                      <w:lang w:eastAsia="zh-CN"/>
                      <w14:textFill>
                        <w14:solidFill>
                          <w14:schemeClr w14:val="tx1"/>
                        </w14:solidFill>
                      </w14:textFill>
                    </w:rPr>
                    <w:t>，对</w:t>
                  </w:r>
                  <w:r>
                    <w:rPr>
                      <w:rFonts w:hint="default" w:ascii="Times New Roman" w:hAnsi="Times New Roman" w:cs="Times New Roman"/>
                      <w:color w:val="000000" w:themeColor="text1"/>
                      <w:spacing w:val="4"/>
                      <w:sz w:val="21"/>
                      <w:szCs w:val="21"/>
                      <w:highlight w:val="none"/>
                      <w14:textFill>
                        <w14:solidFill>
                          <w14:schemeClr w14:val="tx1"/>
                        </w14:solidFill>
                      </w14:textFill>
                    </w:rPr>
                    <w:t>地面进行硬化防渗</w:t>
                  </w:r>
                  <w:r>
                    <w:rPr>
                      <w:rFonts w:hint="default" w:ascii="Times New Roman" w:hAnsi="Times New Roman" w:cs="Times New Roman"/>
                      <w:color w:val="000000" w:themeColor="text1"/>
                      <w:sz w:val="21"/>
                      <w:szCs w:val="21"/>
                      <w:highlight w:val="none"/>
                      <w14:textFill>
                        <w14:solidFill>
                          <w14:schemeClr w14:val="tx1"/>
                        </w14:solidFill>
                      </w14:textFill>
                    </w:rPr>
                    <w:t>处理，用于临时贮存</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空压机站产生的</w:t>
                  </w:r>
                  <w:r>
                    <w:rPr>
                      <w:rFonts w:hint="default" w:ascii="Times New Roman" w:hAnsi="Times New Roman" w:cs="Times New Roman"/>
                      <w:color w:val="000000" w:themeColor="text1"/>
                      <w:sz w:val="21"/>
                      <w:szCs w:val="21"/>
                      <w:highlight w:val="none"/>
                      <w14:textFill>
                        <w14:solidFill>
                          <w14:schemeClr w14:val="tx1"/>
                        </w14:solidFill>
                      </w14:textFill>
                    </w:rPr>
                    <w:t>废过滤器、脱硫</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产生的</w:t>
                  </w:r>
                  <w:r>
                    <w:rPr>
                      <w:rFonts w:hint="default" w:ascii="Times New Roman" w:hAnsi="Times New Roman" w:cs="Times New Roman"/>
                      <w:color w:val="000000" w:themeColor="text1"/>
                      <w:sz w:val="21"/>
                      <w:szCs w:val="21"/>
                      <w:highlight w:val="none"/>
                      <w14:textFill>
                        <w14:solidFill>
                          <w14:schemeClr w14:val="tx1"/>
                        </w14:solidFill>
                      </w14:textFill>
                    </w:rPr>
                    <w:t>石膏和</w:t>
                  </w:r>
                  <w:r>
                    <w:rPr>
                      <w:rFonts w:hint="default" w:ascii="Times New Roman" w:hAnsi="Times New Roman" w:cs="Times New Roman"/>
                      <w:color w:val="000000" w:themeColor="text1"/>
                      <w:spacing w:val="-1"/>
                      <w:sz w:val="21"/>
                      <w:szCs w:val="21"/>
                      <w:highlight w:val="none"/>
                      <w14:textFill>
                        <w14:solidFill>
                          <w14:schemeClr w14:val="tx1"/>
                        </w14:solidFill>
                      </w14:textFill>
                    </w:rPr>
                    <w:t>脱硫废水处理</w:t>
                  </w:r>
                  <w:r>
                    <w:rPr>
                      <w:rFonts w:hint="default" w:ascii="Times New Roman" w:hAnsi="Times New Roman" w:cs="Times New Roman"/>
                      <w:color w:val="000000" w:themeColor="text1"/>
                      <w:spacing w:val="-1"/>
                      <w:sz w:val="21"/>
                      <w:szCs w:val="21"/>
                      <w:highlight w:val="none"/>
                      <w:lang w:val="en-US" w:eastAsia="zh-CN"/>
                      <w14:textFill>
                        <w14:solidFill>
                          <w14:schemeClr w14:val="tx1"/>
                        </w14:solidFill>
                      </w14:textFill>
                    </w:rPr>
                    <w:t>产生的</w:t>
                  </w:r>
                  <w:r>
                    <w:rPr>
                      <w:rFonts w:hint="default" w:ascii="Times New Roman" w:hAnsi="Times New Roman" w:cs="Times New Roman"/>
                      <w:color w:val="000000" w:themeColor="text1"/>
                      <w:spacing w:val="-1"/>
                      <w:sz w:val="21"/>
                      <w:szCs w:val="21"/>
                      <w:highlight w:val="none"/>
                      <w14:textFill>
                        <w14:solidFill>
                          <w14:schemeClr w14:val="tx1"/>
                        </w14:solidFill>
                      </w14:textFill>
                    </w:rPr>
                    <w:t>沉渣。</w:t>
                  </w:r>
                </w:p>
              </w:tc>
              <w:tc>
                <w:tcPr>
                  <w:tcW w:w="248" w:type="pct"/>
                  <w:noWrap w:val="0"/>
                  <w:vAlign w:val="center"/>
                </w:tcPr>
                <w:p w14:paraId="638FE59C">
                  <w:pPr>
                    <w:autoSpaceDE w:val="0"/>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新建</w:t>
                  </w:r>
                </w:p>
              </w:tc>
            </w:tr>
            <w:tr w14:paraId="45403C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3" w:hRule="atLeast"/>
                <w:jc w:val="center"/>
              </w:trPr>
              <w:tc>
                <w:tcPr>
                  <w:tcW w:w="380" w:type="pct"/>
                  <w:vMerge w:val="continue"/>
                  <w:noWrap w:val="0"/>
                  <w:vAlign w:val="center"/>
                </w:tcPr>
                <w:p w14:paraId="1048EE56">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noWrap w:val="0"/>
                  <w:vAlign w:val="center"/>
                </w:tcPr>
                <w:p w14:paraId="503D0624">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危废暂存间</w:t>
                  </w:r>
                </w:p>
              </w:tc>
              <w:tc>
                <w:tcPr>
                  <w:tcW w:w="3957" w:type="pct"/>
                  <w:noWrap w:val="0"/>
                  <w:vAlign w:val="center"/>
                </w:tcPr>
                <w:p w14:paraId="011F2363">
                  <w:pPr>
                    <w:keepNext w:val="0"/>
                    <w:keepLines w:val="0"/>
                    <w:pageBreakBefore w:val="0"/>
                    <w:widowControl w:val="0"/>
                    <w:kinsoku/>
                    <w:wordWrap/>
                    <w:overflowPunct/>
                    <w:topLinePunct w:val="0"/>
                    <w:autoSpaceDN/>
                    <w:bidi w:val="0"/>
                    <w:ind w:firstLine="0" w:firstLineChars="0"/>
                    <w:jc w:val="both"/>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在</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机修车间</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内建设</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1间30m</w:t>
                  </w:r>
                  <w:r>
                    <w:rPr>
                      <w:rFonts w:hint="default" w:ascii="Times New Roman" w:hAnsi="Times New Roman" w:eastAsia="宋体" w:cs="Times New Roman"/>
                      <w:b w:val="0"/>
                      <w:bCs w:val="0"/>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危废暂存间，存储本项目产生的废机油及废油桶，</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定期委托有危废处理资质单位进行处置。</w:t>
                  </w:r>
                </w:p>
              </w:tc>
              <w:tc>
                <w:tcPr>
                  <w:tcW w:w="248" w:type="pct"/>
                  <w:noWrap w:val="0"/>
                  <w:vAlign w:val="center"/>
                </w:tcPr>
                <w:p w14:paraId="229009C5">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新建</w:t>
                  </w:r>
                </w:p>
              </w:tc>
            </w:tr>
            <w:tr w14:paraId="384E9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380" w:type="pct"/>
                  <w:vMerge w:val="continue"/>
                  <w:noWrap w:val="0"/>
                  <w:vAlign w:val="center"/>
                </w:tcPr>
                <w:p w14:paraId="4787E964">
                  <w:pPr>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14" w:type="pct"/>
                  <w:noWrap w:val="0"/>
                  <w:vAlign w:val="center"/>
                </w:tcPr>
                <w:p w14:paraId="026B400C">
                  <w:pPr>
                    <w:autoSpaceDE w:val="0"/>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防渗</w:t>
                  </w:r>
                </w:p>
              </w:tc>
              <w:tc>
                <w:tcPr>
                  <w:tcW w:w="3957" w:type="pct"/>
                  <w:noWrap w:val="0"/>
                  <w:vAlign w:val="center"/>
                </w:tcPr>
                <w:p w14:paraId="3E16536C">
                  <w:pPr>
                    <w:keepNext w:val="0"/>
                    <w:keepLines w:val="0"/>
                    <w:widowControl/>
                    <w:suppressLineNumbers w:val="0"/>
                    <w:jc w:val="both"/>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成品堆场、</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车间地面、厂区道路硬化</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pacing w:val="1"/>
                      <w:sz w:val="21"/>
                      <w:szCs w:val="21"/>
                      <w:highlight w:val="none"/>
                      <w:lang w:val="en-US" w:eastAsia="zh-CN"/>
                      <w14:textFill>
                        <w14:solidFill>
                          <w14:schemeClr w14:val="tx1"/>
                        </w14:solidFill>
                      </w14:textFill>
                    </w:rPr>
                    <w:t>原料粉</w:t>
                  </w:r>
                  <w: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筒仓、机修车间</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分选</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车间、</w:t>
                  </w:r>
                  <w: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悬浮炉和回转窑区</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w:t>
                  </w:r>
                  <w:r>
                    <w:rPr>
                      <w:rFonts w:hint="default" w:ascii="Times New Roman" w:hAnsi="Times New Roman" w:cs="Times New Roman"/>
                      <w:color w:val="000000" w:themeColor="text1"/>
                      <w:spacing w:val="1"/>
                      <w:sz w:val="21"/>
                      <w:szCs w:val="21"/>
                      <w:highlight w:val="none"/>
                      <w:lang w:val="en-US" w:eastAsia="zh-CN"/>
                      <w14:textFill>
                        <w14:solidFill>
                          <w14:schemeClr w14:val="tx1"/>
                        </w14:solidFill>
                      </w14:textFill>
                    </w:rPr>
                    <w:t>冷却系统区、</w:t>
                  </w:r>
                  <w: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成品</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堆棚、</w:t>
                  </w:r>
                  <w: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黄料筒仓</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等</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一般防渗</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区</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等效黏土防渗层Mb≥1.5m，K≤1×10</w:t>
                  </w:r>
                  <w:r>
                    <w:rPr>
                      <w:rFonts w:hint="default" w:ascii="Times New Roman" w:hAnsi="Times New Roman" w:eastAsia="宋体" w:cs="Times New Roman"/>
                      <w:b w:val="0"/>
                      <w:bCs w:val="0"/>
                      <w:color w:val="000000" w:themeColor="text1"/>
                      <w:sz w:val="21"/>
                      <w:szCs w:val="21"/>
                      <w:highlight w:val="none"/>
                      <w:vertAlign w:val="superscript"/>
                      <w14:textFill>
                        <w14:solidFill>
                          <w14:schemeClr w14:val="tx1"/>
                        </w14:solidFill>
                      </w14:textFill>
                    </w:rPr>
                    <w:t>-7</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cm/s</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石灰石-石膏脱硫装置区、</w:t>
                  </w:r>
                  <w:r>
                    <w:rPr>
                      <w:rFonts w:hint="default" w:ascii="Times New Roman" w:hAnsi="Times New Roman" w:cs="Times New Roman"/>
                      <w:color w:val="000000" w:themeColor="text1"/>
                      <w:highlight w:val="none"/>
                      <w14:textFill>
                        <w14:solidFill>
                          <w14:schemeClr w14:val="tx1"/>
                        </w14:solidFill>
                      </w14:textFill>
                    </w:rPr>
                    <w:t>三联箱装置</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bCs/>
                      <w:color w:val="000000" w:themeColor="text1"/>
                      <w:szCs w:val="21"/>
                      <w:highlight w:val="none"/>
                      <w14:textFill>
                        <w14:solidFill>
                          <w14:schemeClr w14:val="tx1"/>
                        </w14:solidFill>
                      </w14:textFill>
                    </w:rPr>
                    <w:t>氨水罐区</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等为</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重点防渗</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区</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，等效黏土防渗层Mb≥6.0m，K≤1×10</w:t>
                  </w:r>
                  <w:r>
                    <w:rPr>
                      <w:rFonts w:hint="default" w:ascii="Times New Roman" w:hAnsi="Times New Roman" w:eastAsia="宋体" w:cs="Times New Roman"/>
                      <w:b w:val="0"/>
                      <w:bCs w:val="0"/>
                      <w:color w:val="000000" w:themeColor="text1"/>
                      <w:sz w:val="21"/>
                      <w:szCs w:val="21"/>
                      <w:highlight w:val="none"/>
                      <w:vertAlign w:val="superscript"/>
                      <w14:textFill>
                        <w14:solidFill>
                          <w14:schemeClr w14:val="tx1"/>
                        </w14:solidFill>
                      </w14:textFill>
                    </w:rPr>
                    <w:t>-7</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cm/s</w:t>
                  </w: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或</w:t>
                  </w:r>
                  <w:r>
                    <w:rPr>
                      <w:rFonts w:hint="default" w:ascii="Times New Roman" w:hAnsi="Times New Roman" w:cs="Times New Roman"/>
                      <w:color w:val="000000" w:themeColor="text1"/>
                      <w:spacing w:val="1"/>
                      <w:sz w:val="21"/>
                      <w:szCs w:val="21"/>
                      <w:highlight w:val="none"/>
                      <w:lang w:val="en-US" w:eastAsia="zh-CN"/>
                      <w14:textFill>
                        <w14:solidFill>
                          <w14:schemeClr w14:val="tx1"/>
                        </w14:solidFill>
                      </w14:textFill>
                    </w:rPr>
                    <w:t>GB18598执行；</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危废暂存间</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按照《危险废物贮存污染控制标准》（GB18597-2023）要求进行防渗，1、库房应按规范要求采取必要的防风、防晒、防雨、防漏、防渗、防腐以及其他环境污染防治措施；危废库房地面要求硬化、耐腐蚀、防渗漏，且表面无裂隙；2、</w:t>
                  </w:r>
                  <w:r>
                    <w:rPr>
                      <w:rFonts w:hint="default" w:ascii="Times New Roman" w:hAnsi="Times New Roman" w:eastAsia="宋体" w:cs="Times New Roman"/>
                      <w:color w:val="000000" w:themeColor="text1"/>
                      <w:kern w:val="0"/>
                      <w:sz w:val="20"/>
                      <w:szCs w:val="20"/>
                      <w:highlight w:val="none"/>
                      <w:lang w:val="en-US" w:eastAsia="zh-CN" w:bidi="ar"/>
                      <w14:textFill>
                        <w14:solidFill>
                          <w14:schemeClr w14:val="tx1"/>
                        </w14:solidFill>
                      </w14:textFill>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cs="Times New Roman"/>
                      <w:color w:val="000000" w:themeColor="text1"/>
                      <w:kern w:val="0"/>
                      <w:sz w:val="20"/>
                      <w:szCs w:val="20"/>
                      <w:highlight w:val="none"/>
                      <w:vertAlign w:val="superscript"/>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vertAlign w:val="superscript"/>
                      <w:lang w:val="en-US" w:eastAsia="zh-CN" w:bidi="ar"/>
                      <w14:textFill>
                        <w14:solidFill>
                          <w14:schemeClr w14:val="tx1"/>
                        </w14:solidFill>
                      </w14:textFill>
                    </w:rPr>
                    <w:t>7</w:t>
                  </w:r>
                  <w:r>
                    <w:rPr>
                      <w:rFonts w:hint="default" w:ascii="Times New Roman" w:hAnsi="Times New Roman" w:eastAsia="宋体" w:cs="Times New Roman"/>
                      <w:color w:val="000000" w:themeColor="text1"/>
                      <w:kern w:val="0"/>
                      <w:sz w:val="20"/>
                      <w:szCs w:val="20"/>
                      <w:highlight w:val="none"/>
                      <w:lang w:val="en-US" w:eastAsia="zh-CN" w:bidi="ar"/>
                      <w14:textFill>
                        <w14:solidFill>
                          <w14:schemeClr w14:val="tx1"/>
                        </w14:solidFill>
                      </w14:textFill>
                    </w:rPr>
                    <w:t>cm/s），或至少2mm厚高密度聚乙烯膜等人工防渗材料（渗透系数不大于10</w:t>
                  </w:r>
                  <w:r>
                    <w:rPr>
                      <w:rFonts w:hint="eastAsia" w:cs="Times New Roman"/>
                      <w:color w:val="000000" w:themeColor="text1"/>
                      <w:kern w:val="0"/>
                      <w:sz w:val="20"/>
                      <w:szCs w:val="20"/>
                      <w:highlight w:val="none"/>
                      <w:vertAlign w:val="superscript"/>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vertAlign w:val="superscript"/>
                      <w:lang w:val="en-US" w:eastAsia="zh-CN" w:bidi="ar"/>
                      <w14:textFill>
                        <w14:solidFill>
                          <w14:schemeClr w14:val="tx1"/>
                        </w14:solidFill>
                      </w14:textFill>
                    </w:rPr>
                    <w:t>10</w:t>
                  </w:r>
                  <w:r>
                    <w:rPr>
                      <w:rFonts w:hint="default" w:ascii="Times New Roman" w:hAnsi="Times New Roman" w:eastAsia="宋体" w:cs="Times New Roman"/>
                      <w:color w:val="000000" w:themeColor="text1"/>
                      <w:kern w:val="0"/>
                      <w:sz w:val="20"/>
                      <w:szCs w:val="20"/>
                      <w:highlight w:val="none"/>
                      <w:lang w:val="en-US" w:eastAsia="zh-CN" w:bidi="ar"/>
                      <w14:textFill>
                        <w14:solidFill>
                          <w14:schemeClr w14:val="tx1"/>
                        </w14:solidFill>
                      </w14:textFill>
                    </w:rPr>
                    <w:t>cm/s），或其他防渗性能等效的材料。</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3、设置0.3m墙裙，四周设置导流槽，墙角设置集液池。</w:t>
                  </w:r>
                </w:p>
              </w:tc>
              <w:tc>
                <w:tcPr>
                  <w:tcW w:w="248" w:type="pct"/>
                  <w:noWrap w:val="0"/>
                  <w:vAlign w:val="center"/>
                </w:tcPr>
                <w:p w14:paraId="60ACD17A">
                  <w:pPr>
                    <w:autoSpaceDE w:val="0"/>
                    <w:adjustRightInd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新建</w:t>
                  </w:r>
                </w:p>
              </w:tc>
            </w:tr>
          </w:tbl>
          <w:p w14:paraId="5F6EA1E8">
            <w:pPr>
              <w:keepNext w:val="0"/>
              <w:keepLines w:val="0"/>
              <w:pageBreakBefore w:val="0"/>
              <w:widowControl/>
              <w:kinsoku/>
              <w:wordWrap/>
              <w:overflowPunct/>
              <w:topLinePunct w:val="0"/>
              <w:autoSpaceDE/>
              <w:autoSpaceDN/>
              <w:bidi w:val="0"/>
              <w:adjustRightInd/>
              <w:snapToGrid/>
              <w:spacing w:line="240" w:lineRule="auto"/>
              <w:ind w:firstLine="482"/>
              <w:jc w:val="center"/>
              <w:textAlignment w:val="auto"/>
              <w:rPr>
                <w:rFonts w:hint="default" w:ascii="Times New Roman" w:hAnsi="Times New Roman" w:eastAsia="宋体" w:cs="Times New Roman"/>
                <w:b/>
                <w:bCs/>
                <w:color w:val="000000" w:themeColor="text1"/>
                <w:sz w:val="24"/>
                <w:highlight w:val="none"/>
                <w:lang w:val="en-US"/>
                <w14:textFill>
                  <w14:solidFill>
                    <w14:schemeClr w14:val="tx1"/>
                  </w14:solidFill>
                </w14:textFill>
              </w:rPr>
            </w:pPr>
            <w:r>
              <w:rPr>
                <w:rFonts w:hint="default" w:ascii="Times New Roman" w:hAnsi="Times New Roman" w:eastAsia="宋体" w:cs="Times New Roman"/>
                <w:b/>
                <w:bCs/>
                <w:color w:val="000000" w:themeColor="text1"/>
                <w:spacing w:val="-3"/>
                <w:sz w:val="24"/>
                <w:szCs w:val="24"/>
                <w:highlight w:val="none"/>
                <w14:textFill>
                  <w14:solidFill>
                    <w14:schemeClr w14:val="tx1"/>
                  </w14:solidFill>
                </w14:textFill>
              </w:rPr>
              <w:t>表</w:t>
            </w:r>
            <w:r>
              <w:rPr>
                <w:rFonts w:hint="default" w:ascii="Times New Roman" w:hAnsi="Times New Roman" w:eastAsia="宋体" w:cs="Times New Roman"/>
                <w:b/>
                <w:bCs/>
                <w:color w:val="000000" w:themeColor="text1"/>
                <w:spacing w:val="-3"/>
                <w:sz w:val="24"/>
                <w:szCs w:val="24"/>
                <w:highlight w:val="none"/>
                <w:lang w:val="en-US" w:eastAsia="zh-CN"/>
                <w14:textFill>
                  <w14:solidFill>
                    <w14:schemeClr w14:val="tx1"/>
                  </w14:solidFill>
                </w14:textFill>
              </w:rPr>
              <w:t>2-3主要建、构筑物一览表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
            <w:tblGrid>
              <w:gridCol w:w="1590"/>
              <w:gridCol w:w="1465"/>
              <w:gridCol w:w="3697"/>
              <w:gridCol w:w="1624"/>
            </w:tblGrid>
            <w:tr w14:paraId="25B96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949" w:type="pct"/>
                  <w:tcBorders>
                    <w:tl2br w:val="nil"/>
                    <w:tr2bl w:val="nil"/>
                  </w:tcBorders>
                  <w:noWrap w:val="0"/>
                  <w:tcMar>
                    <w:top w:w="60" w:type="dxa"/>
                    <w:left w:w="120" w:type="dxa"/>
                    <w:bottom w:w="30" w:type="dxa"/>
                    <w:right w:w="120" w:type="dxa"/>
                  </w:tcMar>
                  <w:vAlign w:val="center"/>
                </w:tcPr>
                <w:p w14:paraId="47F8E24F">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建筑物或构筑物名称</w:t>
                  </w:r>
                </w:p>
              </w:tc>
              <w:tc>
                <w:tcPr>
                  <w:tcW w:w="874" w:type="pct"/>
                  <w:tcBorders>
                    <w:tl2br w:val="nil"/>
                    <w:tr2bl w:val="nil"/>
                  </w:tcBorders>
                  <w:noWrap w:val="0"/>
                  <w:tcMar>
                    <w:top w:w="60" w:type="dxa"/>
                    <w:left w:w="120" w:type="dxa"/>
                    <w:bottom w:w="30" w:type="dxa"/>
                    <w:right w:w="120" w:type="dxa"/>
                  </w:tcMar>
                  <w:vAlign w:val="center"/>
                </w:tcPr>
                <w:p w14:paraId="173C0770">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结构形式</w:t>
                  </w:r>
                </w:p>
              </w:tc>
              <w:tc>
                <w:tcPr>
                  <w:tcW w:w="2206" w:type="pct"/>
                  <w:tcBorders>
                    <w:tl2br w:val="nil"/>
                    <w:tr2bl w:val="nil"/>
                  </w:tcBorders>
                  <w:noWrap w:val="0"/>
                  <w:tcMar>
                    <w:top w:w="60" w:type="dxa"/>
                    <w:left w:w="120" w:type="dxa"/>
                    <w:bottom w:w="30" w:type="dxa"/>
                    <w:right w:w="120" w:type="dxa"/>
                  </w:tcMar>
                  <w:vAlign w:val="center"/>
                </w:tcPr>
                <w:p w14:paraId="5464EE2C">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关键尺寸（占地及建筑面积、</w:t>
                  </w:r>
                </w:p>
                <w:p w14:paraId="332DCF62">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外形尺寸等）/规模</w:t>
                  </w:r>
                </w:p>
              </w:tc>
              <w:tc>
                <w:tcPr>
                  <w:tcW w:w="969" w:type="pct"/>
                  <w:tcBorders>
                    <w:tl2br w:val="nil"/>
                    <w:tr2bl w:val="nil"/>
                  </w:tcBorders>
                  <w:noWrap w:val="0"/>
                  <w:tcMar>
                    <w:top w:w="60" w:type="dxa"/>
                    <w:left w:w="120" w:type="dxa"/>
                    <w:bottom w:w="30" w:type="dxa"/>
                    <w:right w:w="120" w:type="dxa"/>
                  </w:tcMar>
                  <w:vAlign w:val="center"/>
                </w:tcPr>
                <w:p w14:paraId="6E37C2C7">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建筑高度</w:t>
                  </w:r>
                </w:p>
              </w:tc>
            </w:tr>
            <w:tr w14:paraId="4AA8B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949" w:type="pct"/>
                  <w:tcBorders>
                    <w:tl2br w:val="nil"/>
                    <w:tr2bl w:val="nil"/>
                  </w:tcBorders>
                  <w:noWrap w:val="0"/>
                  <w:tcMar>
                    <w:top w:w="60" w:type="dxa"/>
                    <w:left w:w="120" w:type="dxa"/>
                    <w:bottom w:w="30" w:type="dxa"/>
                    <w:right w:w="120" w:type="dxa"/>
                  </w:tcMar>
                  <w:vAlign w:val="center"/>
                </w:tcPr>
                <w:p w14:paraId="58FA1635">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门卫室</w:t>
                  </w:r>
                </w:p>
              </w:tc>
              <w:tc>
                <w:tcPr>
                  <w:tcW w:w="874" w:type="pct"/>
                  <w:tcBorders>
                    <w:tl2br w:val="nil"/>
                    <w:tr2bl w:val="nil"/>
                  </w:tcBorders>
                  <w:noWrap w:val="0"/>
                  <w:tcMar>
                    <w:top w:w="60" w:type="dxa"/>
                    <w:left w:w="120" w:type="dxa"/>
                    <w:bottom w:w="30" w:type="dxa"/>
                    <w:right w:w="120" w:type="dxa"/>
                  </w:tcMar>
                  <w:vAlign w:val="center"/>
                </w:tcPr>
                <w:p w14:paraId="3588713C">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混凝土框架</w:t>
                  </w:r>
                </w:p>
              </w:tc>
              <w:tc>
                <w:tcPr>
                  <w:tcW w:w="2206" w:type="pct"/>
                  <w:tcBorders>
                    <w:tl2br w:val="nil"/>
                    <w:tr2bl w:val="nil"/>
                  </w:tcBorders>
                  <w:noWrap w:val="0"/>
                  <w:tcMar>
                    <w:top w:w="60" w:type="dxa"/>
                    <w:left w:w="120" w:type="dxa"/>
                    <w:bottom w:w="30" w:type="dxa"/>
                    <w:right w:w="120" w:type="dxa"/>
                  </w:tcMar>
                  <w:vAlign w:val="center"/>
                </w:tcPr>
                <w:p w14:paraId="7A702928">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建筑面积约20m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2</w:t>
                  </w:r>
                </w:p>
              </w:tc>
              <w:tc>
                <w:tcPr>
                  <w:tcW w:w="969" w:type="pct"/>
                  <w:tcBorders>
                    <w:tl2br w:val="nil"/>
                    <w:tr2bl w:val="nil"/>
                  </w:tcBorders>
                  <w:noWrap w:val="0"/>
                  <w:tcMar>
                    <w:top w:w="60" w:type="dxa"/>
                    <w:left w:w="120" w:type="dxa"/>
                    <w:bottom w:w="30" w:type="dxa"/>
                    <w:right w:w="120" w:type="dxa"/>
                  </w:tcMar>
                  <w:vAlign w:val="center"/>
                </w:tcPr>
                <w:p w14:paraId="2EE4666F">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4.2m</w:t>
                  </w:r>
                </w:p>
              </w:tc>
            </w:tr>
            <w:tr w14:paraId="4A8CC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949" w:type="pct"/>
                  <w:tcBorders>
                    <w:tl2br w:val="nil"/>
                    <w:tr2bl w:val="nil"/>
                  </w:tcBorders>
                  <w:noWrap w:val="0"/>
                  <w:tcMar>
                    <w:top w:w="60" w:type="dxa"/>
                    <w:left w:w="120" w:type="dxa"/>
                    <w:bottom w:w="30" w:type="dxa"/>
                    <w:right w:w="120" w:type="dxa"/>
                  </w:tcMar>
                  <w:vAlign w:val="center"/>
                </w:tcPr>
                <w:p w14:paraId="27F8BEF6">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原料粉</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储存及输送车间</w:t>
                  </w:r>
                </w:p>
              </w:tc>
              <w:tc>
                <w:tcPr>
                  <w:tcW w:w="874" w:type="pct"/>
                  <w:tcBorders>
                    <w:tl2br w:val="nil"/>
                    <w:tr2bl w:val="nil"/>
                  </w:tcBorders>
                  <w:noWrap w:val="0"/>
                  <w:tcMar>
                    <w:top w:w="60" w:type="dxa"/>
                    <w:left w:w="120" w:type="dxa"/>
                    <w:bottom w:w="30" w:type="dxa"/>
                    <w:right w:w="120" w:type="dxa"/>
                  </w:tcMar>
                  <w:vAlign w:val="center"/>
                </w:tcPr>
                <w:p w14:paraId="03F51A1A">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混凝土框架，利浦仓</w:t>
                  </w:r>
                </w:p>
              </w:tc>
              <w:tc>
                <w:tcPr>
                  <w:tcW w:w="2206" w:type="pct"/>
                  <w:tcBorders>
                    <w:tl2br w:val="nil"/>
                    <w:tr2bl w:val="nil"/>
                  </w:tcBorders>
                  <w:noWrap w:val="0"/>
                  <w:tcMar>
                    <w:top w:w="60" w:type="dxa"/>
                    <w:left w:w="120" w:type="dxa"/>
                    <w:bottom w:w="30" w:type="dxa"/>
                    <w:right w:w="120" w:type="dxa"/>
                  </w:tcMar>
                  <w:vAlign w:val="center"/>
                </w:tcPr>
                <w:p w14:paraId="53B64AB4">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建筑面积约255.02，利浦仓规格φ12×24</w:t>
                  </w: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m</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，数量2个储量共3300吨</w:t>
                  </w:r>
                </w:p>
              </w:tc>
              <w:tc>
                <w:tcPr>
                  <w:tcW w:w="969" w:type="pct"/>
                  <w:tcBorders>
                    <w:tl2br w:val="nil"/>
                    <w:tr2bl w:val="nil"/>
                  </w:tcBorders>
                  <w:noWrap w:val="0"/>
                  <w:tcMar>
                    <w:top w:w="60" w:type="dxa"/>
                    <w:left w:w="120" w:type="dxa"/>
                    <w:bottom w:w="30" w:type="dxa"/>
                    <w:right w:w="120" w:type="dxa"/>
                  </w:tcMar>
                  <w:vAlign w:val="center"/>
                </w:tcPr>
                <w:p w14:paraId="3FCDD1DC">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41.5m</w:t>
                  </w:r>
                </w:p>
              </w:tc>
            </w:tr>
            <w:tr w14:paraId="4D79F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949" w:type="pct"/>
                  <w:tcBorders>
                    <w:tl2br w:val="nil"/>
                    <w:tr2bl w:val="nil"/>
                  </w:tcBorders>
                  <w:noWrap w:val="0"/>
                  <w:tcMar>
                    <w:top w:w="60" w:type="dxa"/>
                    <w:left w:w="120" w:type="dxa"/>
                    <w:bottom w:w="30" w:type="dxa"/>
                    <w:right w:w="120" w:type="dxa"/>
                  </w:tcMar>
                  <w:vAlign w:val="center"/>
                </w:tcPr>
                <w:p w14:paraId="5591FBF5">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高岭土</w:t>
                  </w:r>
                </w:p>
                <w:p w14:paraId="7D3F239D">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煅烧窑尾</w:t>
                  </w:r>
                </w:p>
              </w:tc>
              <w:tc>
                <w:tcPr>
                  <w:tcW w:w="874" w:type="pct"/>
                  <w:tcBorders>
                    <w:tl2br w:val="nil"/>
                    <w:tr2bl w:val="nil"/>
                  </w:tcBorders>
                  <w:noWrap w:val="0"/>
                  <w:tcMar>
                    <w:top w:w="60" w:type="dxa"/>
                    <w:left w:w="120" w:type="dxa"/>
                    <w:bottom w:w="30" w:type="dxa"/>
                    <w:right w:w="120" w:type="dxa"/>
                  </w:tcMar>
                  <w:vAlign w:val="center"/>
                </w:tcPr>
                <w:p w14:paraId="455CA671">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钢筋混凝土框架+钢塔架</w:t>
                  </w:r>
                </w:p>
              </w:tc>
              <w:tc>
                <w:tcPr>
                  <w:tcW w:w="2206" w:type="pct"/>
                  <w:tcBorders>
                    <w:tl2br w:val="nil"/>
                    <w:tr2bl w:val="nil"/>
                  </w:tcBorders>
                  <w:noWrap w:val="0"/>
                  <w:tcMar>
                    <w:top w:w="60" w:type="dxa"/>
                    <w:left w:w="120" w:type="dxa"/>
                    <w:bottom w:w="30" w:type="dxa"/>
                    <w:right w:w="120" w:type="dxa"/>
                  </w:tcMar>
                  <w:vAlign w:val="center"/>
                </w:tcPr>
                <w:p w14:paraId="53CEE4FE">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建筑面积约1717.52m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，悬浮炉φ4000mm，旋风筒C1φ4300mm、C2-C4φ5500mm</w:t>
                  </w:r>
                </w:p>
              </w:tc>
              <w:tc>
                <w:tcPr>
                  <w:tcW w:w="969" w:type="pct"/>
                  <w:tcBorders>
                    <w:tl2br w:val="nil"/>
                    <w:tr2bl w:val="nil"/>
                  </w:tcBorders>
                  <w:noWrap w:val="0"/>
                  <w:tcMar>
                    <w:top w:w="60" w:type="dxa"/>
                    <w:left w:w="120" w:type="dxa"/>
                    <w:bottom w:w="30" w:type="dxa"/>
                    <w:right w:w="120" w:type="dxa"/>
                  </w:tcMar>
                  <w:vAlign w:val="center"/>
                </w:tcPr>
                <w:p w14:paraId="3460E016">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钢塔架高78.78m；塔架含设备总高约100m</w:t>
                  </w:r>
                </w:p>
              </w:tc>
            </w:tr>
            <w:tr w14:paraId="14DCC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949" w:type="pct"/>
                  <w:tcBorders>
                    <w:tl2br w:val="nil"/>
                    <w:tr2bl w:val="nil"/>
                  </w:tcBorders>
                  <w:noWrap w:val="0"/>
                  <w:tcMar>
                    <w:top w:w="60" w:type="dxa"/>
                    <w:left w:w="120" w:type="dxa"/>
                    <w:bottom w:w="30" w:type="dxa"/>
                    <w:right w:w="120" w:type="dxa"/>
                  </w:tcMar>
                  <w:vAlign w:val="center"/>
                </w:tcPr>
                <w:p w14:paraId="6B6BA5A8">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高岭土煅烧</w:t>
                  </w:r>
                </w:p>
                <w:p w14:paraId="7928131E">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废气处理车间</w:t>
                  </w:r>
                </w:p>
              </w:tc>
              <w:tc>
                <w:tcPr>
                  <w:tcW w:w="874" w:type="pct"/>
                  <w:tcBorders>
                    <w:tl2br w:val="nil"/>
                    <w:tr2bl w:val="nil"/>
                  </w:tcBorders>
                  <w:noWrap w:val="0"/>
                  <w:tcMar>
                    <w:top w:w="60" w:type="dxa"/>
                    <w:left w:w="120" w:type="dxa"/>
                    <w:bottom w:w="30" w:type="dxa"/>
                    <w:right w:w="120" w:type="dxa"/>
                  </w:tcMar>
                  <w:vAlign w:val="center"/>
                </w:tcPr>
                <w:p w14:paraId="2F0DC928">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钢筋</w:t>
                  </w:r>
                </w:p>
                <w:p w14:paraId="090A34D3">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混凝土框架</w:t>
                  </w:r>
                </w:p>
              </w:tc>
              <w:tc>
                <w:tcPr>
                  <w:tcW w:w="2206" w:type="pct"/>
                  <w:tcBorders>
                    <w:tl2br w:val="nil"/>
                    <w:tr2bl w:val="nil"/>
                  </w:tcBorders>
                  <w:noWrap w:val="0"/>
                  <w:tcMar>
                    <w:top w:w="60" w:type="dxa"/>
                    <w:left w:w="120" w:type="dxa"/>
                    <w:bottom w:w="30" w:type="dxa"/>
                    <w:right w:w="120" w:type="dxa"/>
                  </w:tcMar>
                  <w:vAlign w:val="center"/>
                </w:tcPr>
                <w:p w14:paraId="2DE39E1B">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建筑面积约196.42m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2</w:t>
                  </w:r>
                </w:p>
              </w:tc>
              <w:tc>
                <w:tcPr>
                  <w:tcW w:w="969" w:type="pct"/>
                  <w:tcBorders>
                    <w:tl2br w:val="nil"/>
                    <w:tr2bl w:val="nil"/>
                  </w:tcBorders>
                  <w:noWrap w:val="0"/>
                  <w:tcMar>
                    <w:top w:w="60" w:type="dxa"/>
                    <w:left w:w="120" w:type="dxa"/>
                    <w:bottom w:w="30" w:type="dxa"/>
                    <w:right w:w="120" w:type="dxa"/>
                  </w:tcMar>
                  <w:vAlign w:val="center"/>
                </w:tcPr>
                <w:p w14:paraId="790A1D63">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4.5m</w:t>
                  </w:r>
                </w:p>
              </w:tc>
            </w:tr>
            <w:tr w14:paraId="72B59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949" w:type="pct"/>
                  <w:tcBorders>
                    <w:tl2br w:val="nil"/>
                    <w:tr2bl w:val="nil"/>
                  </w:tcBorders>
                  <w:noWrap w:val="0"/>
                  <w:tcMar>
                    <w:top w:w="60" w:type="dxa"/>
                    <w:left w:w="120" w:type="dxa"/>
                    <w:bottom w:w="30" w:type="dxa"/>
                    <w:right w:w="120" w:type="dxa"/>
                  </w:tcMar>
                  <w:vAlign w:val="center"/>
                </w:tcPr>
                <w:p w14:paraId="7DC03E29">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高岭土</w:t>
                  </w:r>
                </w:p>
                <w:p w14:paraId="514451DE">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煅烧窑中</w:t>
                  </w:r>
                </w:p>
              </w:tc>
              <w:tc>
                <w:tcPr>
                  <w:tcW w:w="874" w:type="pct"/>
                  <w:tcBorders>
                    <w:tl2br w:val="nil"/>
                    <w:tr2bl w:val="nil"/>
                  </w:tcBorders>
                  <w:noWrap w:val="0"/>
                  <w:tcMar>
                    <w:top w:w="60" w:type="dxa"/>
                    <w:left w:w="120" w:type="dxa"/>
                    <w:bottom w:w="30" w:type="dxa"/>
                    <w:right w:w="120" w:type="dxa"/>
                  </w:tcMar>
                  <w:vAlign w:val="center"/>
                </w:tcPr>
                <w:p w14:paraId="09EB1937">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钢筋混凝土窑墩+敞开式钢结构围护</w:t>
                  </w:r>
                </w:p>
              </w:tc>
              <w:tc>
                <w:tcPr>
                  <w:tcW w:w="2206" w:type="pct"/>
                  <w:tcBorders>
                    <w:tl2br w:val="nil"/>
                    <w:tr2bl w:val="nil"/>
                  </w:tcBorders>
                  <w:noWrap w:val="0"/>
                  <w:tcMar>
                    <w:top w:w="60" w:type="dxa"/>
                    <w:left w:w="120" w:type="dxa"/>
                    <w:bottom w:w="30" w:type="dxa"/>
                    <w:right w:w="120" w:type="dxa"/>
                  </w:tcMar>
                  <w:vAlign w:val="center"/>
                </w:tcPr>
                <w:p w14:paraId="2901CC7B">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建筑面积约121m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，回转窑φ4.2×70m</w:t>
                  </w:r>
                </w:p>
              </w:tc>
              <w:tc>
                <w:tcPr>
                  <w:tcW w:w="969" w:type="pct"/>
                  <w:tcBorders>
                    <w:tl2br w:val="nil"/>
                    <w:tr2bl w:val="nil"/>
                  </w:tcBorders>
                  <w:noWrap w:val="0"/>
                  <w:tcMar>
                    <w:top w:w="60" w:type="dxa"/>
                    <w:left w:w="120" w:type="dxa"/>
                    <w:bottom w:w="30" w:type="dxa"/>
                    <w:right w:w="120" w:type="dxa"/>
                  </w:tcMar>
                  <w:vAlign w:val="center"/>
                </w:tcPr>
                <w:p w14:paraId="03810F43">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10.9m</w:t>
                  </w:r>
                </w:p>
              </w:tc>
            </w:tr>
            <w:tr w14:paraId="41929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949" w:type="pct"/>
                  <w:tcBorders>
                    <w:tl2br w:val="nil"/>
                    <w:tr2bl w:val="nil"/>
                  </w:tcBorders>
                  <w:noWrap w:val="0"/>
                  <w:tcMar>
                    <w:top w:w="60" w:type="dxa"/>
                    <w:left w:w="120" w:type="dxa"/>
                    <w:bottom w:w="30" w:type="dxa"/>
                    <w:right w:w="120" w:type="dxa"/>
                  </w:tcMar>
                  <w:vAlign w:val="center"/>
                </w:tcPr>
                <w:p w14:paraId="7E08DF57">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高岭土</w:t>
                  </w:r>
                </w:p>
                <w:p w14:paraId="6DA16A25">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冷却车间</w:t>
                  </w:r>
                </w:p>
              </w:tc>
              <w:tc>
                <w:tcPr>
                  <w:tcW w:w="874" w:type="pct"/>
                  <w:tcBorders>
                    <w:tl2br w:val="nil"/>
                    <w:tr2bl w:val="nil"/>
                  </w:tcBorders>
                  <w:noWrap w:val="0"/>
                  <w:tcMar>
                    <w:top w:w="60" w:type="dxa"/>
                    <w:left w:w="120" w:type="dxa"/>
                    <w:bottom w:w="30" w:type="dxa"/>
                    <w:right w:w="120" w:type="dxa"/>
                  </w:tcMar>
                  <w:vAlign w:val="center"/>
                </w:tcPr>
                <w:p w14:paraId="36ACF392">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钢筋混凝土框架结构</w:t>
                  </w:r>
                </w:p>
              </w:tc>
              <w:tc>
                <w:tcPr>
                  <w:tcW w:w="2206" w:type="pct"/>
                  <w:tcBorders>
                    <w:tl2br w:val="nil"/>
                    <w:tr2bl w:val="nil"/>
                  </w:tcBorders>
                  <w:noWrap w:val="0"/>
                  <w:tcMar>
                    <w:top w:w="60" w:type="dxa"/>
                    <w:left w:w="120" w:type="dxa"/>
                    <w:bottom w:w="30" w:type="dxa"/>
                    <w:right w:w="120" w:type="dxa"/>
                  </w:tcMar>
                  <w:vAlign w:val="center"/>
                </w:tcPr>
                <w:p w14:paraId="4CAE7535">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建筑面积约843.03m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，适配700t/d冷却能力</w:t>
                  </w:r>
                </w:p>
              </w:tc>
              <w:tc>
                <w:tcPr>
                  <w:tcW w:w="969" w:type="pct"/>
                  <w:tcBorders>
                    <w:tl2br w:val="nil"/>
                    <w:tr2bl w:val="nil"/>
                  </w:tcBorders>
                  <w:noWrap w:val="0"/>
                  <w:tcMar>
                    <w:top w:w="60" w:type="dxa"/>
                    <w:left w:w="120" w:type="dxa"/>
                    <w:bottom w:w="30" w:type="dxa"/>
                    <w:right w:w="120" w:type="dxa"/>
                  </w:tcMar>
                  <w:vAlign w:val="center"/>
                </w:tcPr>
                <w:p w14:paraId="660A0BFD">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18.6m</w:t>
                  </w:r>
                </w:p>
              </w:tc>
            </w:tr>
            <w:tr w14:paraId="58777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949" w:type="pct"/>
                  <w:tcBorders>
                    <w:tl2br w:val="nil"/>
                    <w:tr2bl w:val="nil"/>
                  </w:tcBorders>
                  <w:noWrap w:val="0"/>
                  <w:tcMar>
                    <w:top w:w="60" w:type="dxa"/>
                    <w:left w:w="120" w:type="dxa"/>
                    <w:bottom w:w="30" w:type="dxa"/>
                    <w:right w:w="120" w:type="dxa"/>
                  </w:tcMar>
                  <w:vAlign w:val="center"/>
                </w:tcPr>
                <w:p w14:paraId="217D912E">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高岭土</w:t>
                  </w:r>
                </w:p>
                <w:p w14:paraId="450AC2C7">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分选车间</w:t>
                  </w:r>
                </w:p>
              </w:tc>
              <w:tc>
                <w:tcPr>
                  <w:tcW w:w="874" w:type="pct"/>
                  <w:tcBorders>
                    <w:tl2br w:val="nil"/>
                    <w:tr2bl w:val="nil"/>
                  </w:tcBorders>
                  <w:noWrap w:val="0"/>
                  <w:tcMar>
                    <w:top w:w="60" w:type="dxa"/>
                    <w:left w:w="120" w:type="dxa"/>
                    <w:bottom w:w="30" w:type="dxa"/>
                    <w:right w:w="120" w:type="dxa"/>
                  </w:tcMar>
                  <w:vAlign w:val="center"/>
                </w:tcPr>
                <w:p w14:paraId="14B102FF">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钢筋混凝土框架+局部钢结构夹层</w:t>
                  </w:r>
                </w:p>
              </w:tc>
              <w:tc>
                <w:tcPr>
                  <w:tcW w:w="2206" w:type="pct"/>
                  <w:tcBorders>
                    <w:tl2br w:val="nil"/>
                    <w:tr2bl w:val="nil"/>
                  </w:tcBorders>
                  <w:noWrap w:val="0"/>
                  <w:tcMar>
                    <w:top w:w="60" w:type="dxa"/>
                    <w:left w:w="120" w:type="dxa"/>
                    <w:bottom w:w="30" w:type="dxa"/>
                    <w:right w:w="120" w:type="dxa"/>
                  </w:tcMar>
                  <w:vAlign w:val="center"/>
                </w:tcPr>
                <w:p w14:paraId="3CAD1FDE">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建筑面积约2200m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2</w:t>
                  </w:r>
                </w:p>
              </w:tc>
              <w:tc>
                <w:tcPr>
                  <w:tcW w:w="969" w:type="pct"/>
                  <w:tcBorders>
                    <w:tl2br w:val="nil"/>
                    <w:tr2bl w:val="nil"/>
                  </w:tcBorders>
                  <w:noWrap w:val="0"/>
                  <w:tcMar>
                    <w:top w:w="60" w:type="dxa"/>
                    <w:left w:w="120" w:type="dxa"/>
                    <w:bottom w:w="30" w:type="dxa"/>
                    <w:right w:w="120" w:type="dxa"/>
                  </w:tcMar>
                  <w:vAlign w:val="center"/>
                </w:tcPr>
                <w:p w14:paraId="2742942D">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25m</w:t>
                  </w:r>
                </w:p>
              </w:tc>
            </w:tr>
            <w:tr w14:paraId="05D1A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949" w:type="pct"/>
                  <w:tcBorders>
                    <w:tl2br w:val="nil"/>
                    <w:tr2bl w:val="nil"/>
                  </w:tcBorders>
                  <w:noWrap w:val="0"/>
                  <w:tcMar>
                    <w:top w:w="60" w:type="dxa"/>
                    <w:left w:w="120" w:type="dxa"/>
                    <w:bottom w:w="30" w:type="dxa"/>
                    <w:right w:w="120" w:type="dxa"/>
                  </w:tcMar>
                  <w:vAlign w:val="center"/>
                </w:tcPr>
                <w:p w14:paraId="3A993485">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成品高岭土储存库、高岭土大袋包装车间</w:t>
                  </w:r>
                </w:p>
              </w:tc>
              <w:tc>
                <w:tcPr>
                  <w:tcW w:w="874" w:type="pct"/>
                  <w:tcBorders>
                    <w:tl2br w:val="nil"/>
                    <w:tr2bl w:val="nil"/>
                  </w:tcBorders>
                  <w:noWrap w:val="0"/>
                  <w:tcMar>
                    <w:top w:w="60" w:type="dxa"/>
                    <w:left w:w="120" w:type="dxa"/>
                    <w:bottom w:w="30" w:type="dxa"/>
                    <w:right w:w="120" w:type="dxa"/>
                  </w:tcMar>
                  <w:vAlign w:val="center"/>
                </w:tcPr>
                <w:p w14:paraId="5B4A8955">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混凝土框架，利浦仓</w:t>
                  </w:r>
                </w:p>
              </w:tc>
              <w:tc>
                <w:tcPr>
                  <w:tcW w:w="2206" w:type="pct"/>
                  <w:tcBorders>
                    <w:tl2br w:val="nil"/>
                    <w:tr2bl w:val="nil"/>
                  </w:tcBorders>
                  <w:noWrap w:val="0"/>
                  <w:tcMar>
                    <w:top w:w="60" w:type="dxa"/>
                    <w:left w:w="120" w:type="dxa"/>
                    <w:bottom w:w="30" w:type="dxa"/>
                    <w:right w:w="120" w:type="dxa"/>
                  </w:tcMar>
                  <w:vAlign w:val="center"/>
                </w:tcPr>
                <w:p w14:paraId="1768E6D7">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建筑面积约2693.43m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2</w:t>
                  </w:r>
                </w:p>
              </w:tc>
              <w:tc>
                <w:tcPr>
                  <w:tcW w:w="969" w:type="pct"/>
                  <w:tcBorders>
                    <w:tl2br w:val="nil"/>
                    <w:tr2bl w:val="nil"/>
                  </w:tcBorders>
                  <w:noWrap w:val="0"/>
                  <w:tcMar>
                    <w:top w:w="60" w:type="dxa"/>
                    <w:left w:w="120" w:type="dxa"/>
                    <w:bottom w:w="30" w:type="dxa"/>
                    <w:right w:w="120" w:type="dxa"/>
                  </w:tcMar>
                  <w:vAlign w:val="center"/>
                </w:tcPr>
                <w:p w14:paraId="0B5D756F">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39.5m</w:t>
                  </w:r>
                </w:p>
              </w:tc>
            </w:tr>
            <w:tr w14:paraId="5C78C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949" w:type="pct"/>
                  <w:tcBorders>
                    <w:tl2br w:val="nil"/>
                    <w:tr2bl w:val="nil"/>
                  </w:tcBorders>
                  <w:noWrap w:val="0"/>
                  <w:tcMar>
                    <w:top w:w="60" w:type="dxa"/>
                    <w:left w:w="120" w:type="dxa"/>
                    <w:bottom w:w="30" w:type="dxa"/>
                    <w:right w:w="120" w:type="dxa"/>
                  </w:tcMar>
                  <w:vAlign w:val="center"/>
                </w:tcPr>
                <w:p w14:paraId="3CD83ECD">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高岭土小袋包装、成品堆棚</w:t>
                  </w:r>
                </w:p>
              </w:tc>
              <w:tc>
                <w:tcPr>
                  <w:tcW w:w="874" w:type="pct"/>
                  <w:tcBorders>
                    <w:tl2br w:val="nil"/>
                    <w:tr2bl w:val="nil"/>
                  </w:tcBorders>
                  <w:noWrap w:val="0"/>
                  <w:tcMar>
                    <w:top w:w="60" w:type="dxa"/>
                    <w:left w:w="120" w:type="dxa"/>
                    <w:bottom w:w="30" w:type="dxa"/>
                    <w:right w:w="120" w:type="dxa"/>
                  </w:tcMar>
                  <w:vAlign w:val="center"/>
                </w:tcPr>
                <w:p w14:paraId="23427F34">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钢筋混凝土框架</w:t>
                  </w:r>
                </w:p>
              </w:tc>
              <w:tc>
                <w:tcPr>
                  <w:tcW w:w="2206" w:type="pct"/>
                  <w:tcBorders>
                    <w:tl2br w:val="nil"/>
                    <w:tr2bl w:val="nil"/>
                  </w:tcBorders>
                  <w:noWrap w:val="0"/>
                  <w:tcMar>
                    <w:top w:w="60" w:type="dxa"/>
                    <w:left w:w="120" w:type="dxa"/>
                    <w:bottom w:w="30" w:type="dxa"/>
                    <w:right w:w="120" w:type="dxa"/>
                  </w:tcMar>
                  <w:vAlign w:val="center"/>
                </w:tcPr>
                <w:p w14:paraId="089366C9">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建筑面积约3722.88m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2</w:t>
                  </w:r>
                </w:p>
              </w:tc>
              <w:tc>
                <w:tcPr>
                  <w:tcW w:w="969" w:type="pct"/>
                  <w:tcBorders>
                    <w:tl2br w:val="nil"/>
                    <w:tr2bl w:val="nil"/>
                  </w:tcBorders>
                  <w:noWrap w:val="0"/>
                  <w:tcMar>
                    <w:top w:w="60" w:type="dxa"/>
                    <w:left w:w="120" w:type="dxa"/>
                    <w:bottom w:w="30" w:type="dxa"/>
                    <w:right w:w="120" w:type="dxa"/>
                  </w:tcMar>
                  <w:vAlign w:val="center"/>
                </w:tcPr>
                <w:p w14:paraId="743DF5AA">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19.5m</w:t>
                  </w:r>
                </w:p>
              </w:tc>
            </w:tr>
            <w:tr w14:paraId="1603B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949" w:type="pct"/>
                  <w:tcBorders>
                    <w:tl2br w:val="nil"/>
                    <w:tr2bl w:val="nil"/>
                  </w:tcBorders>
                  <w:noWrap w:val="0"/>
                  <w:tcMar>
                    <w:top w:w="60" w:type="dxa"/>
                    <w:left w:w="120" w:type="dxa"/>
                    <w:bottom w:w="30" w:type="dxa"/>
                    <w:right w:w="120" w:type="dxa"/>
                  </w:tcMar>
                  <w:vAlign w:val="center"/>
                </w:tcPr>
                <w:p w14:paraId="6115B923">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中控室、办公楼</w:t>
                  </w:r>
                </w:p>
              </w:tc>
              <w:tc>
                <w:tcPr>
                  <w:tcW w:w="874" w:type="pct"/>
                  <w:tcBorders>
                    <w:tl2br w:val="nil"/>
                    <w:tr2bl w:val="nil"/>
                  </w:tcBorders>
                  <w:noWrap w:val="0"/>
                  <w:tcMar>
                    <w:top w:w="60" w:type="dxa"/>
                    <w:left w:w="120" w:type="dxa"/>
                    <w:bottom w:w="30" w:type="dxa"/>
                    <w:right w:w="120" w:type="dxa"/>
                  </w:tcMar>
                  <w:vAlign w:val="center"/>
                </w:tcPr>
                <w:p w14:paraId="4B3C3284">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钢筋混凝土框架结构</w:t>
                  </w:r>
                </w:p>
              </w:tc>
              <w:tc>
                <w:tcPr>
                  <w:tcW w:w="2206" w:type="pct"/>
                  <w:tcBorders>
                    <w:tl2br w:val="nil"/>
                    <w:tr2bl w:val="nil"/>
                  </w:tcBorders>
                  <w:noWrap w:val="0"/>
                  <w:tcMar>
                    <w:top w:w="60" w:type="dxa"/>
                    <w:left w:w="120" w:type="dxa"/>
                    <w:bottom w:w="30" w:type="dxa"/>
                    <w:right w:w="120" w:type="dxa"/>
                  </w:tcMar>
                  <w:vAlign w:val="center"/>
                </w:tcPr>
                <w:p w14:paraId="37C640B9">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建筑面积约1361.36m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，地上2层</w:t>
                  </w:r>
                </w:p>
              </w:tc>
              <w:tc>
                <w:tcPr>
                  <w:tcW w:w="969" w:type="pct"/>
                  <w:tcBorders>
                    <w:tl2br w:val="nil"/>
                    <w:tr2bl w:val="nil"/>
                  </w:tcBorders>
                  <w:noWrap w:val="0"/>
                  <w:tcMar>
                    <w:top w:w="60" w:type="dxa"/>
                    <w:left w:w="120" w:type="dxa"/>
                    <w:bottom w:w="30" w:type="dxa"/>
                    <w:right w:w="120" w:type="dxa"/>
                  </w:tcMar>
                  <w:vAlign w:val="center"/>
                </w:tcPr>
                <w:p w14:paraId="464ACC24">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9.7m</w:t>
                  </w:r>
                </w:p>
              </w:tc>
            </w:tr>
            <w:tr w14:paraId="1C5AA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949" w:type="pct"/>
                  <w:tcBorders>
                    <w:tl2br w:val="nil"/>
                    <w:tr2bl w:val="nil"/>
                  </w:tcBorders>
                  <w:noWrap w:val="0"/>
                  <w:tcMar>
                    <w:top w:w="60" w:type="dxa"/>
                    <w:left w:w="120" w:type="dxa"/>
                    <w:bottom w:w="30" w:type="dxa"/>
                    <w:right w:w="120" w:type="dxa"/>
                  </w:tcMar>
                  <w:vAlign w:val="center"/>
                </w:tcPr>
                <w:p w14:paraId="5C3F352A">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窑头电气室</w:t>
                  </w:r>
                </w:p>
              </w:tc>
              <w:tc>
                <w:tcPr>
                  <w:tcW w:w="874" w:type="pct"/>
                  <w:tcBorders>
                    <w:tl2br w:val="nil"/>
                    <w:tr2bl w:val="nil"/>
                  </w:tcBorders>
                  <w:noWrap w:val="0"/>
                  <w:tcMar>
                    <w:top w:w="60" w:type="dxa"/>
                    <w:left w:w="120" w:type="dxa"/>
                    <w:bottom w:w="30" w:type="dxa"/>
                    <w:right w:w="120" w:type="dxa"/>
                  </w:tcMar>
                  <w:vAlign w:val="center"/>
                </w:tcPr>
                <w:p w14:paraId="2CA70011">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钢筋混凝土框架</w:t>
                  </w:r>
                </w:p>
              </w:tc>
              <w:tc>
                <w:tcPr>
                  <w:tcW w:w="2206" w:type="pct"/>
                  <w:tcBorders>
                    <w:tl2br w:val="nil"/>
                    <w:tr2bl w:val="nil"/>
                  </w:tcBorders>
                  <w:noWrap w:val="0"/>
                  <w:tcMar>
                    <w:top w:w="60" w:type="dxa"/>
                    <w:left w:w="120" w:type="dxa"/>
                    <w:bottom w:w="30" w:type="dxa"/>
                    <w:right w:w="120" w:type="dxa"/>
                  </w:tcMar>
                  <w:vAlign w:val="center"/>
                </w:tcPr>
                <w:p w14:paraId="27112B59">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占地面积约308m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2</w:t>
                  </w:r>
                </w:p>
              </w:tc>
              <w:tc>
                <w:tcPr>
                  <w:tcW w:w="969" w:type="pct"/>
                  <w:tcBorders>
                    <w:tl2br w:val="nil"/>
                    <w:tr2bl w:val="nil"/>
                  </w:tcBorders>
                  <w:noWrap w:val="0"/>
                  <w:tcMar>
                    <w:top w:w="60" w:type="dxa"/>
                    <w:left w:w="120" w:type="dxa"/>
                    <w:bottom w:w="30" w:type="dxa"/>
                    <w:right w:w="120" w:type="dxa"/>
                  </w:tcMar>
                  <w:vAlign w:val="center"/>
                </w:tcPr>
                <w:p w14:paraId="5CAFBE32">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4.5m</w:t>
                  </w:r>
                </w:p>
              </w:tc>
            </w:tr>
            <w:tr w14:paraId="30E114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949" w:type="pct"/>
                  <w:tcBorders>
                    <w:tl2br w:val="nil"/>
                    <w:tr2bl w:val="nil"/>
                  </w:tcBorders>
                  <w:noWrap w:val="0"/>
                  <w:tcMar>
                    <w:top w:w="60" w:type="dxa"/>
                    <w:left w:w="120" w:type="dxa"/>
                    <w:bottom w:w="30" w:type="dxa"/>
                    <w:right w:w="120" w:type="dxa"/>
                  </w:tcMar>
                  <w:vAlign w:val="center"/>
                </w:tcPr>
                <w:p w14:paraId="45AD8596">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窑尾电气室</w:t>
                  </w:r>
                </w:p>
              </w:tc>
              <w:tc>
                <w:tcPr>
                  <w:tcW w:w="874" w:type="pct"/>
                  <w:tcBorders>
                    <w:tl2br w:val="nil"/>
                    <w:tr2bl w:val="nil"/>
                  </w:tcBorders>
                  <w:noWrap w:val="0"/>
                  <w:tcMar>
                    <w:top w:w="60" w:type="dxa"/>
                    <w:left w:w="120" w:type="dxa"/>
                    <w:bottom w:w="30" w:type="dxa"/>
                    <w:right w:w="120" w:type="dxa"/>
                  </w:tcMar>
                  <w:vAlign w:val="center"/>
                </w:tcPr>
                <w:p w14:paraId="3EAE58B9">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钢筋混凝土框架</w:t>
                  </w:r>
                </w:p>
              </w:tc>
              <w:tc>
                <w:tcPr>
                  <w:tcW w:w="2206" w:type="pct"/>
                  <w:tcBorders>
                    <w:tl2br w:val="nil"/>
                    <w:tr2bl w:val="nil"/>
                  </w:tcBorders>
                  <w:noWrap w:val="0"/>
                  <w:tcMar>
                    <w:top w:w="60" w:type="dxa"/>
                    <w:left w:w="120" w:type="dxa"/>
                    <w:bottom w:w="30" w:type="dxa"/>
                    <w:right w:w="120" w:type="dxa"/>
                  </w:tcMar>
                  <w:vAlign w:val="center"/>
                </w:tcPr>
                <w:p w14:paraId="4EFF031E">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占地面积约248m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2</w:t>
                  </w:r>
                </w:p>
              </w:tc>
              <w:tc>
                <w:tcPr>
                  <w:tcW w:w="969" w:type="pct"/>
                  <w:tcBorders>
                    <w:tl2br w:val="nil"/>
                    <w:tr2bl w:val="nil"/>
                  </w:tcBorders>
                  <w:noWrap w:val="0"/>
                  <w:tcMar>
                    <w:top w:w="60" w:type="dxa"/>
                    <w:left w:w="120" w:type="dxa"/>
                    <w:bottom w:w="30" w:type="dxa"/>
                    <w:right w:w="120" w:type="dxa"/>
                  </w:tcMar>
                  <w:vAlign w:val="center"/>
                </w:tcPr>
                <w:p w14:paraId="7AFD5257">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4.5m</w:t>
                  </w:r>
                </w:p>
              </w:tc>
            </w:tr>
            <w:tr w14:paraId="7EA02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949" w:type="pct"/>
                  <w:tcBorders>
                    <w:tl2br w:val="nil"/>
                    <w:tr2bl w:val="nil"/>
                  </w:tcBorders>
                  <w:noWrap w:val="0"/>
                  <w:tcMar>
                    <w:top w:w="60" w:type="dxa"/>
                    <w:left w:w="120" w:type="dxa"/>
                    <w:bottom w:w="30" w:type="dxa"/>
                    <w:right w:w="120" w:type="dxa"/>
                  </w:tcMar>
                  <w:vAlign w:val="center"/>
                </w:tcPr>
                <w:p w14:paraId="611D6EF6">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空压机站</w:t>
                  </w:r>
                </w:p>
              </w:tc>
              <w:tc>
                <w:tcPr>
                  <w:tcW w:w="874" w:type="pct"/>
                  <w:tcBorders>
                    <w:tl2br w:val="nil"/>
                    <w:tr2bl w:val="nil"/>
                  </w:tcBorders>
                  <w:noWrap w:val="0"/>
                  <w:tcMar>
                    <w:top w:w="60" w:type="dxa"/>
                    <w:left w:w="120" w:type="dxa"/>
                    <w:bottom w:w="30" w:type="dxa"/>
                    <w:right w:w="120" w:type="dxa"/>
                  </w:tcMar>
                  <w:vAlign w:val="center"/>
                </w:tcPr>
                <w:p w14:paraId="542FB6BB">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钢筋混凝土框架+敞开式侧墙</w:t>
                  </w:r>
                </w:p>
              </w:tc>
              <w:tc>
                <w:tcPr>
                  <w:tcW w:w="2206" w:type="pct"/>
                  <w:tcBorders>
                    <w:tl2br w:val="nil"/>
                    <w:tr2bl w:val="nil"/>
                  </w:tcBorders>
                  <w:noWrap w:val="0"/>
                  <w:tcMar>
                    <w:top w:w="60" w:type="dxa"/>
                    <w:left w:w="120" w:type="dxa"/>
                    <w:bottom w:w="30" w:type="dxa"/>
                    <w:right w:w="120" w:type="dxa"/>
                  </w:tcMar>
                  <w:vAlign w:val="center"/>
                </w:tcPr>
                <w:p w14:paraId="76FB87C6">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建筑面积约300m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2</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p>
                <w:p w14:paraId="1BC14C42">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容纳</w:t>
                  </w:r>
                  <w:r>
                    <w:rPr>
                      <w:rFonts w:hint="default" w:ascii="Times New Roman" w:hAnsi="Times New Roman" w:cs="Times New Roman"/>
                      <w:b w:val="0"/>
                      <w:bCs/>
                      <w:color w:val="000000" w:themeColor="text1"/>
                      <w:sz w:val="21"/>
                      <w:szCs w:val="21"/>
                      <w:highlight w:val="none"/>
                      <w:lang w:val="en-US" w:eastAsia="zh-CN"/>
                      <w14:textFill>
                        <w14:solidFill>
                          <w14:schemeClr w14:val="tx1"/>
                        </w14:solidFill>
                      </w14:textFill>
                    </w:rPr>
                    <w:t>3</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台螺杆式空压机</w:t>
                  </w:r>
                </w:p>
              </w:tc>
              <w:tc>
                <w:tcPr>
                  <w:tcW w:w="969" w:type="pct"/>
                  <w:tcBorders>
                    <w:tl2br w:val="nil"/>
                    <w:tr2bl w:val="nil"/>
                  </w:tcBorders>
                  <w:noWrap w:val="0"/>
                  <w:tcMar>
                    <w:top w:w="60" w:type="dxa"/>
                    <w:left w:w="120" w:type="dxa"/>
                    <w:bottom w:w="30" w:type="dxa"/>
                    <w:right w:w="120" w:type="dxa"/>
                  </w:tcMar>
                  <w:vAlign w:val="center"/>
                </w:tcPr>
                <w:p w14:paraId="16DF5ACB">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5.5m</w:t>
                  </w:r>
                </w:p>
              </w:tc>
            </w:tr>
            <w:tr w14:paraId="59302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949" w:type="pct"/>
                  <w:tcBorders>
                    <w:tl2br w:val="nil"/>
                    <w:tr2bl w:val="nil"/>
                  </w:tcBorders>
                  <w:noWrap w:val="0"/>
                  <w:tcMar>
                    <w:top w:w="60" w:type="dxa"/>
                    <w:left w:w="120" w:type="dxa"/>
                    <w:bottom w:w="30" w:type="dxa"/>
                    <w:right w:w="120" w:type="dxa"/>
                  </w:tcMar>
                  <w:vAlign w:val="center"/>
                </w:tcPr>
                <w:p w14:paraId="18C2FBAB">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循环水泵房及水池</w:t>
                  </w:r>
                </w:p>
              </w:tc>
              <w:tc>
                <w:tcPr>
                  <w:tcW w:w="874" w:type="pct"/>
                  <w:tcBorders>
                    <w:tl2br w:val="nil"/>
                    <w:tr2bl w:val="nil"/>
                  </w:tcBorders>
                  <w:noWrap w:val="0"/>
                  <w:tcMar>
                    <w:top w:w="60" w:type="dxa"/>
                    <w:left w:w="120" w:type="dxa"/>
                    <w:bottom w:w="30" w:type="dxa"/>
                    <w:right w:w="120" w:type="dxa"/>
                  </w:tcMar>
                  <w:vAlign w:val="center"/>
                </w:tcPr>
                <w:p w14:paraId="586575DF">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钢筋混凝土结构（水池地下，泵房地上）</w:t>
                  </w:r>
                </w:p>
              </w:tc>
              <w:tc>
                <w:tcPr>
                  <w:tcW w:w="2206" w:type="pct"/>
                  <w:tcBorders>
                    <w:tl2br w:val="nil"/>
                    <w:tr2bl w:val="nil"/>
                  </w:tcBorders>
                  <w:noWrap w:val="0"/>
                  <w:tcMar>
                    <w:top w:w="60" w:type="dxa"/>
                    <w:left w:w="120" w:type="dxa"/>
                    <w:bottom w:w="30" w:type="dxa"/>
                    <w:right w:w="120" w:type="dxa"/>
                  </w:tcMar>
                  <w:vAlign w:val="center"/>
                </w:tcPr>
                <w:p w14:paraId="1739DA17">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水池利用高新材料公司循环水池及泵房，原水池有效容积约1500m³（含1247m³消防储备水，东晟公司消防需求量486m³），泵房建筑面积约226m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2</w:t>
                  </w:r>
                </w:p>
              </w:tc>
              <w:tc>
                <w:tcPr>
                  <w:tcW w:w="969" w:type="pct"/>
                  <w:tcBorders>
                    <w:tl2br w:val="nil"/>
                    <w:tr2bl w:val="nil"/>
                  </w:tcBorders>
                  <w:noWrap w:val="0"/>
                  <w:tcMar>
                    <w:top w:w="60" w:type="dxa"/>
                    <w:left w:w="120" w:type="dxa"/>
                    <w:bottom w:w="30" w:type="dxa"/>
                    <w:right w:w="120" w:type="dxa"/>
                  </w:tcMar>
                  <w:vAlign w:val="center"/>
                </w:tcPr>
                <w:p w14:paraId="1DBEAF98">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6.1m</w:t>
                  </w:r>
                </w:p>
              </w:tc>
            </w:tr>
            <w:tr w14:paraId="2271F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949" w:type="pct"/>
                  <w:tcBorders>
                    <w:tl2br w:val="nil"/>
                    <w:tr2bl w:val="nil"/>
                  </w:tcBorders>
                  <w:noWrap w:val="0"/>
                  <w:tcMar>
                    <w:top w:w="60" w:type="dxa"/>
                    <w:left w:w="120" w:type="dxa"/>
                    <w:bottom w:w="30" w:type="dxa"/>
                    <w:right w:w="120" w:type="dxa"/>
                  </w:tcMar>
                  <w:vAlign w:val="center"/>
                </w:tcPr>
                <w:p w14:paraId="210CC992">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eastAsia" w:cs="Times New Roman"/>
                      <w:b w:val="0"/>
                      <w:bCs/>
                      <w:color w:val="000000" w:themeColor="text1"/>
                      <w:sz w:val="21"/>
                      <w:szCs w:val="21"/>
                      <w:highlight w:val="none"/>
                      <w:lang w:eastAsia="zh-CN"/>
                      <w14:textFill>
                        <w14:solidFill>
                          <w14:schemeClr w14:val="tx1"/>
                        </w14:solidFill>
                      </w14:textFill>
                    </w:rPr>
                    <w:t>软水</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处理车间</w:t>
                  </w:r>
                </w:p>
              </w:tc>
              <w:tc>
                <w:tcPr>
                  <w:tcW w:w="874" w:type="pct"/>
                  <w:tcBorders>
                    <w:tl2br w:val="nil"/>
                    <w:tr2bl w:val="nil"/>
                  </w:tcBorders>
                  <w:noWrap w:val="0"/>
                  <w:tcMar>
                    <w:top w:w="60" w:type="dxa"/>
                    <w:left w:w="120" w:type="dxa"/>
                    <w:bottom w:w="30" w:type="dxa"/>
                    <w:right w:w="120" w:type="dxa"/>
                  </w:tcMar>
                  <w:vAlign w:val="center"/>
                </w:tcPr>
                <w:p w14:paraId="15E6DD4C">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钢筋混凝土框架结构</w:t>
                  </w:r>
                </w:p>
              </w:tc>
              <w:tc>
                <w:tcPr>
                  <w:tcW w:w="2206" w:type="pct"/>
                  <w:tcBorders>
                    <w:tl2br w:val="nil"/>
                    <w:tr2bl w:val="nil"/>
                  </w:tcBorders>
                  <w:noWrap w:val="0"/>
                  <w:tcMar>
                    <w:top w:w="60" w:type="dxa"/>
                    <w:left w:w="120" w:type="dxa"/>
                    <w:bottom w:w="30" w:type="dxa"/>
                    <w:right w:w="120" w:type="dxa"/>
                  </w:tcMar>
                  <w:vAlign w:val="center"/>
                </w:tcPr>
                <w:p w14:paraId="761E3270">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建筑面积约275m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2</w:t>
                  </w:r>
                </w:p>
              </w:tc>
              <w:tc>
                <w:tcPr>
                  <w:tcW w:w="969" w:type="pct"/>
                  <w:tcBorders>
                    <w:tl2br w:val="nil"/>
                    <w:tr2bl w:val="nil"/>
                  </w:tcBorders>
                  <w:noWrap w:val="0"/>
                  <w:tcMar>
                    <w:top w:w="60" w:type="dxa"/>
                    <w:left w:w="120" w:type="dxa"/>
                    <w:bottom w:w="30" w:type="dxa"/>
                    <w:right w:w="120" w:type="dxa"/>
                  </w:tcMar>
                  <w:vAlign w:val="center"/>
                </w:tcPr>
                <w:p w14:paraId="6BBEBFAC">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6.5m</w:t>
                  </w:r>
                </w:p>
              </w:tc>
            </w:tr>
            <w:tr w14:paraId="6FD0E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949" w:type="pct"/>
                  <w:tcBorders>
                    <w:tl2br w:val="nil"/>
                    <w:tr2bl w:val="nil"/>
                  </w:tcBorders>
                  <w:noWrap w:val="0"/>
                  <w:tcMar>
                    <w:top w:w="60" w:type="dxa"/>
                    <w:left w:w="120" w:type="dxa"/>
                    <w:bottom w:w="30" w:type="dxa"/>
                    <w:right w:w="120" w:type="dxa"/>
                  </w:tcMar>
                  <w:vAlign w:val="center"/>
                </w:tcPr>
                <w:p w14:paraId="13E906E5">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余热锅炉车间</w:t>
                  </w:r>
                </w:p>
              </w:tc>
              <w:tc>
                <w:tcPr>
                  <w:tcW w:w="874" w:type="pct"/>
                  <w:tcBorders>
                    <w:tl2br w:val="nil"/>
                    <w:tr2bl w:val="nil"/>
                  </w:tcBorders>
                  <w:noWrap w:val="0"/>
                  <w:tcMar>
                    <w:top w:w="60" w:type="dxa"/>
                    <w:left w:w="120" w:type="dxa"/>
                    <w:bottom w:w="30" w:type="dxa"/>
                    <w:right w:w="120" w:type="dxa"/>
                  </w:tcMar>
                  <w:vAlign w:val="center"/>
                </w:tcPr>
                <w:p w14:paraId="4B7A36DE">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钢筋混凝土框架+钢支架</w:t>
                  </w:r>
                </w:p>
              </w:tc>
              <w:tc>
                <w:tcPr>
                  <w:tcW w:w="2206" w:type="pct"/>
                  <w:tcBorders>
                    <w:tl2br w:val="nil"/>
                    <w:tr2bl w:val="nil"/>
                  </w:tcBorders>
                  <w:noWrap w:val="0"/>
                  <w:tcMar>
                    <w:top w:w="60" w:type="dxa"/>
                    <w:left w:w="120" w:type="dxa"/>
                    <w:bottom w:w="30" w:type="dxa"/>
                    <w:right w:w="120" w:type="dxa"/>
                  </w:tcMar>
                  <w:vAlign w:val="center"/>
                </w:tcPr>
                <w:p w14:paraId="7ED237C0">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建筑面积约600m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2</w:t>
                  </w:r>
                </w:p>
              </w:tc>
              <w:tc>
                <w:tcPr>
                  <w:tcW w:w="969" w:type="pct"/>
                  <w:tcBorders>
                    <w:tl2br w:val="nil"/>
                    <w:tr2bl w:val="nil"/>
                  </w:tcBorders>
                  <w:noWrap w:val="0"/>
                  <w:tcMar>
                    <w:top w:w="60" w:type="dxa"/>
                    <w:left w:w="120" w:type="dxa"/>
                    <w:bottom w:w="30" w:type="dxa"/>
                    <w:right w:w="120" w:type="dxa"/>
                  </w:tcMar>
                  <w:vAlign w:val="center"/>
                </w:tcPr>
                <w:p w14:paraId="70F45D7D">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30m</w:t>
                  </w:r>
                </w:p>
              </w:tc>
            </w:tr>
            <w:tr w14:paraId="70D55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949" w:type="pct"/>
                  <w:tcBorders>
                    <w:tl2br w:val="nil"/>
                    <w:tr2bl w:val="nil"/>
                  </w:tcBorders>
                  <w:noWrap w:val="0"/>
                  <w:tcMar>
                    <w:top w:w="60" w:type="dxa"/>
                    <w:left w:w="120" w:type="dxa"/>
                    <w:bottom w:w="30" w:type="dxa"/>
                    <w:right w:w="120" w:type="dxa"/>
                  </w:tcMar>
                  <w:vAlign w:val="center"/>
                </w:tcPr>
                <w:p w14:paraId="73551B39">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脱硫系统</w:t>
                  </w:r>
                </w:p>
              </w:tc>
              <w:tc>
                <w:tcPr>
                  <w:tcW w:w="874" w:type="pct"/>
                  <w:tcBorders>
                    <w:tl2br w:val="nil"/>
                    <w:tr2bl w:val="nil"/>
                  </w:tcBorders>
                  <w:noWrap w:val="0"/>
                  <w:tcMar>
                    <w:top w:w="60" w:type="dxa"/>
                    <w:left w:w="120" w:type="dxa"/>
                    <w:bottom w:w="30" w:type="dxa"/>
                    <w:right w:w="120" w:type="dxa"/>
                  </w:tcMar>
                  <w:vAlign w:val="center"/>
                </w:tcPr>
                <w:p w14:paraId="3844E1F9">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钢筋混凝土基础+钢结构支架</w:t>
                  </w:r>
                </w:p>
              </w:tc>
              <w:tc>
                <w:tcPr>
                  <w:tcW w:w="2206" w:type="pct"/>
                  <w:tcBorders>
                    <w:tl2br w:val="nil"/>
                    <w:tr2bl w:val="nil"/>
                  </w:tcBorders>
                  <w:noWrap w:val="0"/>
                  <w:tcMar>
                    <w:top w:w="60" w:type="dxa"/>
                    <w:left w:w="120" w:type="dxa"/>
                    <w:bottom w:w="30" w:type="dxa"/>
                    <w:right w:w="120" w:type="dxa"/>
                  </w:tcMar>
                  <w:vAlign w:val="center"/>
                </w:tcPr>
                <w:p w14:paraId="563B5264">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脱硫塔基础为环形独立基础，建筑面积约384m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2</w:t>
                  </w:r>
                </w:p>
              </w:tc>
              <w:tc>
                <w:tcPr>
                  <w:tcW w:w="969" w:type="pct"/>
                  <w:tcBorders>
                    <w:tl2br w:val="nil"/>
                    <w:tr2bl w:val="nil"/>
                  </w:tcBorders>
                  <w:noWrap w:val="0"/>
                  <w:tcMar>
                    <w:top w:w="60" w:type="dxa"/>
                    <w:left w:w="120" w:type="dxa"/>
                    <w:bottom w:w="30" w:type="dxa"/>
                    <w:right w:w="120" w:type="dxa"/>
                  </w:tcMar>
                  <w:vAlign w:val="center"/>
                </w:tcPr>
                <w:p w14:paraId="657280FD">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脱硫塔</w:t>
                  </w:r>
                </w:p>
                <w:p w14:paraId="2DAF41BE">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带烟囱高度</w:t>
                  </w:r>
                </w:p>
                <w:p w14:paraId="7BB36EB0">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42</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p>
              </w:tc>
            </w:tr>
            <w:tr w14:paraId="397DA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949" w:type="pct"/>
                  <w:tcBorders>
                    <w:tl2br w:val="nil"/>
                    <w:tr2bl w:val="nil"/>
                  </w:tcBorders>
                  <w:noWrap w:val="0"/>
                  <w:tcMar>
                    <w:top w:w="60" w:type="dxa"/>
                    <w:left w:w="120" w:type="dxa"/>
                    <w:bottom w:w="30" w:type="dxa"/>
                    <w:right w:w="120" w:type="dxa"/>
                  </w:tcMar>
                  <w:vAlign w:val="center"/>
                </w:tcPr>
                <w:p w14:paraId="2A9C9EDE">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脱硝系统</w:t>
                  </w:r>
                </w:p>
              </w:tc>
              <w:tc>
                <w:tcPr>
                  <w:tcW w:w="874" w:type="pct"/>
                  <w:tcBorders>
                    <w:tl2br w:val="nil"/>
                    <w:tr2bl w:val="nil"/>
                  </w:tcBorders>
                  <w:noWrap w:val="0"/>
                  <w:tcMar>
                    <w:top w:w="60" w:type="dxa"/>
                    <w:left w:w="120" w:type="dxa"/>
                    <w:bottom w:w="30" w:type="dxa"/>
                    <w:right w:w="120" w:type="dxa"/>
                  </w:tcMar>
                  <w:vAlign w:val="center"/>
                </w:tcPr>
                <w:p w14:paraId="126E24AB">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钢框架</w:t>
                  </w:r>
                </w:p>
              </w:tc>
              <w:tc>
                <w:tcPr>
                  <w:tcW w:w="2206" w:type="pct"/>
                  <w:tcBorders>
                    <w:tl2br w:val="nil"/>
                    <w:tr2bl w:val="nil"/>
                  </w:tcBorders>
                  <w:noWrap w:val="0"/>
                  <w:tcMar>
                    <w:top w:w="60" w:type="dxa"/>
                    <w:left w:w="120" w:type="dxa"/>
                    <w:bottom w:w="30" w:type="dxa"/>
                    <w:right w:w="120" w:type="dxa"/>
                  </w:tcMar>
                  <w:vAlign w:val="center"/>
                </w:tcPr>
                <w:p w14:paraId="331070EE">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建筑面积约为64.24m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2</w:t>
                  </w:r>
                </w:p>
              </w:tc>
              <w:tc>
                <w:tcPr>
                  <w:tcW w:w="969" w:type="pct"/>
                  <w:tcBorders>
                    <w:tl2br w:val="nil"/>
                    <w:tr2bl w:val="nil"/>
                  </w:tcBorders>
                  <w:noWrap w:val="0"/>
                  <w:tcMar>
                    <w:top w:w="60" w:type="dxa"/>
                    <w:left w:w="120" w:type="dxa"/>
                    <w:bottom w:w="30" w:type="dxa"/>
                    <w:right w:w="120" w:type="dxa"/>
                  </w:tcMar>
                  <w:vAlign w:val="center"/>
                </w:tcPr>
                <w:p w14:paraId="10346B4E">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7m</w:t>
                  </w:r>
                </w:p>
              </w:tc>
            </w:tr>
            <w:tr w14:paraId="3BD325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949" w:type="pct"/>
                  <w:tcBorders>
                    <w:tl2br w:val="nil"/>
                    <w:tr2bl w:val="nil"/>
                  </w:tcBorders>
                  <w:noWrap w:val="0"/>
                  <w:tcMar>
                    <w:top w:w="60" w:type="dxa"/>
                    <w:left w:w="120" w:type="dxa"/>
                    <w:bottom w:w="30" w:type="dxa"/>
                    <w:right w:w="120" w:type="dxa"/>
                  </w:tcMar>
                  <w:vAlign w:val="center"/>
                </w:tcPr>
                <w:p w14:paraId="0F649227">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换热站</w:t>
                  </w:r>
                </w:p>
              </w:tc>
              <w:tc>
                <w:tcPr>
                  <w:tcW w:w="874" w:type="pct"/>
                  <w:tcBorders>
                    <w:tl2br w:val="nil"/>
                    <w:tr2bl w:val="nil"/>
                  </w:tcBorders>
                  <w:noWrap w:val="0"/>
                  <w:tcMar>
                    <w:top w:w="60" w:type="dxa"/>
                    <w:left w:w="120" w:type="dxa"/>
                    <w:bottom w:w="30" w:type="dxa"/>
                    <w:right w:w="120" w:type="dxa"/>
                  </w:tcMar>
                  <w:vAlign w:val="center"/>
                </w:tcPr>
                <w:p w14:paraId="2E64ABCF">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硬化地面</w:t>
                  </w:r>
                </w:p>
              </w:tc>
              <w:tc>
                <w:tcPr>
                  <w:tcW w:w="2206" w:type="pct"/>
                  <w:tcBorders>
                    <w:tl2br w:val="nil"/>
                    <w:tr2bl w:val="nil"/>
                  </w:tcBorders>
                  <w:noWrap w:val="0"/>
                  <w:tcMar>
                    <w:top w:w="60" w:type="dxa"/>
                    <w:left w:w="120" w:type="dxa"/>
                    <w:bottom w:w="30" w:type="dxa"/>
                    <w:right w:w="120" w:type="dxa"/>
                  </w:tcMar>
                  <w:vAlign w:val="center"/>
                </w:tcPr>
                <w:p w14:paraId="4D75DE64">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占地面积约40m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2</w:t>
                  </w:r>
                </w:p>
              </w:tc>
              <w:tc>
                <w:tcPr>
                  <w:tcW w:w="969" w:type="pct"/>
                  <w:tcBorders>
                    <w:tl2br w:val="nil"/>
                    <w:tr2bl w:val="nil"/>
                  </w:tcBorders>
                  <w:noWrap w:val="0"/>
                  <w:tcMar>
                    <w:top w:w="60" w:type="dxa"/>
                    <w:left w:w="120" w:type="dxa"/>
                    <w:bottom w:w="30" w:type="dxa"/>
                    <w:right w:w="120" w:type="dxa"/>
                  </w:tcMar>
                  <w:vAlign w:val="center"/>
                </w:tcPr>
                <w:p w14:paraId="2BC8AFEC">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4m</w:t>
                  </w:r>
                </w:p>
              </w:tc>
            </w:tr>
            <w:tr w14:paraId="19656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949" w:type="pct"/>
                  <w:tcBorders>
                    <w:tl2br w:val="nil"/>
                    <w:tr2bl w:val="nil"/>
                  </w:tcBorders>
                  <w:noWrap w:val="0"/>
                  <w:tcMar>
                    <w:top w:w="60" w:type="dxa"/>
                    <w:left w:w="120" w:type="dxa"/>
                    <w:bottom w:w="30" w:type="dxa"/>
                    <w:right w:w="120" w:type="dxa"/>
                  </w:tcMar>
                  <w:vAlign w:val="center"/>
                </w:tcPr>
                <w:p w14:paraId="08846799">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机电修车间及材料库</w:t>
                  </w:r>
                </w:p>
              </w:tc>
              <w:tc>
                <w:tcPr>
                  <w:tcW w:w="874" w:type="pct"/>
                  <w:tcBorders>
                    <w:tl2br w:val="nil"/>
                    <w:tr2bl w:val="nil"/>
                  </w:tcBorders>
                  <w:noWrap w:val="0"/>
                  <w:tcMar>
                    <w:top w:w="60" w:type="dxa"/>
                    <w:left w:w="120" w:type="dxa"/>
                    <w:bottom w:w="30" w:type="dxa"/>
                    <w:right w:w="120" w:type="dxa"/>
                  </w:tcMar>
                  <w:vAlign w:val="center"/>
                </w:tcPr>
                <w:p w14:paraId="52C2B198">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钢框架</w:t>
                  </w:r>
                </w:p>
              </w:tc>
              <w:tc>
                <w:tcPr>
                  <w:tcW w:w="2206" w:type="pct"/>
                  <w:tcBorders>
                    <w:tl2br w:val="nil"/>
                    <w:tr2bl w:val="nil"/>
                  </w:tcBorders>
                  <w:noWrap w:val="0"/>
                  <w:tcMar>
                    <w:top w:w="60" w:type="dxa"/>
                    <w:left w:w="120" w:type="dxa"/>
                    <w:bottom w:w="30" w:type="dxa"/>
                    <w:right w:w="120" w:type="dxa"/>
                  </w:tcMar>
                  <w:vAlign w:val="center"/>
                </w:tcPr>
                <w:p w14:paraId="40BDAF2D">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建筑面积约243.49m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2</w:t>
                  </w:r>
                </w:p>
              </w:tc>
              <w:tc>
                <w:tcPr>
                  <w:tcW w:w="969" w:type="pct"/>
                  <w:tcBorders>
                    <w:tl2br w:val="nil"/>
                    <w:tr2bl w:val="nil"/>
                  </w:tcBorders>
                  <w:noWrap w:val="0"/>
                  <w:tcMar>
                    <w:top w:w="60" w:type="dxa"/>
                    <w:left w:w="120" w:type="dxa"/>
                    <w:bottom w:w="30" w:type="dxa"/>
                    <w:right w:w="120" w:type="dxa"/>
                  </w:tcMar>
                  <w:vAlign w:val="center"/>
                </w:tcPr>
                <w:p w14:paraId="48BE91AD">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4.2m</w:t>
                  </w:r>
                </w:p>
              </w:tc>
            </w:tr>
            <w:tr w14:paraId="21FF5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949" w:type="pct"/>
                  <w:tcBorders>
                    <w:tl2br w:val="nil"/>
                    <w:tr2bl w:val="nil"/>
                  </w:tcBorders>
                  <w:noWrap w:val="0"/>
                  <w:tcMar>
                    <w:top w:w="60" w:type="dxa"/>
                    <w:left w:w="120" w:type="dxa"/>
                    <w:bottom w:w="30" w:type="dxa"/>
                    <w:right w:w="120" w:type="dxa"/>
                  </w:tcMar>
                  <w:vAlign w:val="center"/>
                </w:tcPr>
                <w:p w14:paraId="6C9E1206">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一般固废暂存库</w:t>
                  </w:r>
                </w:p>
              </w:tc>
              <w:tc>
                <w:tcPr>
                  <w:tcW w:w="874" w:type="pct"/>
                  <w:tcBorders>
                    <w:tl2br w:val="nil"/>
                    <w:tr2bl w:val="nil"/>
                  </w:tcBorders>
                  <w:noWrap w:val="0"/>
                  <w:tcMar>
                    <w:top w:w="60" w:type="dxa"/>
                    <w:left w:w="120" w:type="dxa"/>
                    <w:bottom w:w="30" w:type="dxa"/>
                    <w:right w:w="120" w:type="dxa"/>
                  </w:tcMar>
                  <w:vAlign w:val="center"/>
                </w:tcPr>
                <w:p w14:paraId="5CB53097">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钢筋混凝土框架结构</w:t>
                  </w:r>
                </w:p>
              </w:tc>
              <w:tc>
                <w:tcPr>
                  <w:tcW w:w="2206" w:type="pct"/>
                  <w:tcBorders>
                    <w:tl2br w:val="nil"/>
                    <w:tr2bl w:val="nil"/>
                  </w:tcBorders>
                  <w:noWrap w:val="0"/>
                  <w:tcMar>
                    <w:top w:w="60" w:type="dxa"/>
                    <w:left w:w="120" w:type="dxa"/>
                    <w:bottom w:w="30" w:type="dxa"/>
                    <w:right w:w="120" w:type="dxa"/>
                  </w:tcMar>
                  <w:vAlign w:val="center"/>
                </w:tcPr>
                <w:p w14:paraId="319BBDE4">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占地面积约50m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2</w:t>
                  </w:r>
                </w:p>
              </w:tc>
              <w:tc>
                <w:tcPr>
                  <w:tcW w:w="969" w:type="pct"/>
                  <w:tcBorders>
                    <w:tl2br w:val="nil"/>
                    <w:tr2bl w:val="nil"/>
                  </w:tcBorders>
                  <w:noWrap w:val="0"/>
                  <w:tcMar>
                    <w:top w:w="60" w:type="dxa"/>
                    <w:left w:w="120" w:type="dxa"/>
                    <w:bottom w:w="30" w:type="dxa"/>
                    <w:right w:w="120" w:type="dxa"/>
                  </w:tcMar>
                  <w:vAlign w:val="center"/>
                </w:tcPr>
                <w:p w14:paraId="009B1BD2">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4m</w:t>
                  </w:r>
                </w:p>
              </w:tc>
            </w:tr>
            <w:tr w14:paraId="5FF7E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0" w:hRule="atLeast"/>
                <w:jc w:val="center"/>
              </w:trPr>
              <w:tc>
                <w:tcPr>
                  <w:tcW w:w="949" w:type="pct"/>
                  <w:tcBorders>
                    <w:tl2br w:val="nil"/>
                    <w:tr2bl w:val="nil"/>
                  </w:tcBorders>
                  <w:noWrap w:val="0"/>
                  <w:tcMar>
                    <w:top w:w="60" w:type="dxa"/>
                    <w:left w:w="120" w:type="dxa"/>
                    <w:bottom w:w="30" w:type="dxa"/>
                    <w:right w:w="120" w:type="dxa"/>
                  </w:tcMar>
                  <w:vAlign w:val="center"/>
                </w:tcPr>
                <w:p w14:paraId="378D8AC7">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危废暂存库</w:t>
                  </w:r>
                </w:p>
              </w:tc>
              <w:tc>
                <w:tcPr>
                  <w:tcW w:w="874" w:type="pct"/>
                  <w:tcBorders>
                    <w:tl2br w:val="nil"/>
                    <w:tr2bl w:val="nil"/>
                  </w:tcBorders>
                  <w:noWrap w:val="0"/>
                  <w:tcMar>
                    <w:top w:w="60" w:type="dxa"/>
                    <w:left w:w="120" w:type="dxa"/>
                    <w:bottom w:w="30" w:type="dxa"/>
                    <w:right w:w="120" w:type="dxa"/>
                  </w:tcMar>
                  <w:vAlign w:val="center"/>
                </w:tcPr>
                <w:p w14:paraId="2793132E">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硬化地面</w:t>
                  </w:r>
                </w:p>
              </w:tc>
              <w:tc>
                <w:tcPr>
                  <w:tcW w:w="2206" w:type="pct"/>
                  <w:tcBorders>
                    <w:tl2br w:val="nil"/>
                    <w:tr2bl w:val="nil"/>
                  </w:tcBorders>
                  <w:noWrap w:val="0"/>
                  <w:tcMar>
                    <w:top w:w="60" w:type="dxa"/>
                    <w:left w:w="120" w:type="dxa"/>
                    <w:bottom w:w="30" w:type="dxa"/>
                    <w:right w:w="120" w:type="dxa"/>
                  </w:tcMar>
                  <w:vAlign w:val="center"/>
                </w:tcPr>
                <w:p w14:paraId="647E0CD4">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占地面积约30m</w:t>
                  </w:r>
                  <w:r>
                    <w:rPr>
                      <w:rFonts w:hint="default" w:ascii="Times New Roman" w:hAnsi="Times New Roman" w:eastAsia="宋体" w:cs="Times New Roman"/>
                      <w:b w:val="0"/>
                      <w:bCs/>
                      <w:color w:val="000000" w:themeColor="text1"/>
                      <w:sz w:val="21"/>
                      <w:szCs w:val="21"/>
                      <w:highlight w:val="none"/>
                      <w:vertAlign w:val="superscript"/>
                      <w14:textFill>
                        <w14:solidFill>
                          <w14:schemeClr w14:val="tx1"/>
                        </w14:solidFill>
                      </w14:textFill>
                    </w:rPr>
                    <w:t>2</w:t>
                  </w:r>
                </w:p>
              </w:tc>
              <w:tc>
                <w:tcPr>
                  <w:tcW w:w="969" w:type="pct"/>
                  <w:tcBorders>
                    <w:tl2br w:val="nil"/>
                    <w:tr2bl w:val="nil"/>
                  </w:tcBorders>
                  <w:noWrap w:val="0"/>
                  <w:tcMar>
                    <w:top w:w="60" w:type="dxa"/>
                    <w:left w:w="120" w:type="dxa"/>
                    <w:bottom w:w="30" w:type="dxa"/>
                    <w:right w:w="120" w:type="dxa"/>
                  </w:tcMar>
                  <w:vAlign w:val="center"/>
                </w:tcPr>
                <w:p w14:paraId="3A961367">
                  <w:pPr>
                    <w:keepNext w:val="0"/>
                    <w:keepLines w:val="0"/>
                    <w:pageBreakBefore w:val="0"/>
                    <w:widowControl w:val="0"/>
                    <w:kinsoku/>
                    <w:wordWrap/>
                    <w:overflowPunct/>
                    <w:topLinePunct w:val="0"/>
                    <w:autoSpaceDE/>
                    <w:autoSpaceDN/>
                    <w:bidi w:val="0"/>
                    <w:adjustRightInd/>
                    <w:snapToGrid/>
                    <w:jc w:val="center"/>
                    <w:textAlignment w:val="baseline"/>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3m</w:t>
                  </w:r>
                </w:p>
              </w:tc>
            </w:tr>
          </w:tbl>
          <w:p w14:paraId="522CF495">
            <w:pPr>
              <w:keepNext w:val="0"/>
              <w:keepLines w:val="0"/>
              <w:pageBreakBefore w:val="0"/>
              <w:widowControl w:val="0"/>
              <w:kinsoku/>
              <w:wordWrap/>
              <w:overflowPunct/>
              <w:topLinePunct w:val="0"/>
              <w:bidi w:val="0"/>
              <w:snapToGrid/>
              <w:spacing w:line="360" w:lineRule="auto"/>
              <w:ind w:firstLine="482" w:firstLineChars="200"/>
              <w:jc w:val="both"/>
              <w:textAlignment w:val="auto"/>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1.</w:t>
            </w:r>
            <w:r>
              <w:rPr>
                <w:rFonts w:hint="default" w:ascii="Times New Roman" w:hAnsi="Times New Roman" w:cs="Times New Roman"/>
                <w:b/>
                <w:bCs/>
                <w:color w:val="000000" w:themeColor="text1"/>
                <w:sz w:val="24"/>
                <w:highlight w:val="none"/>
                <w:lang w:val="en-US" w:eastAsia="zh-CN"/>
                <w14:textFill>
                  <w14:solidFill>
                    <w14:schemeClr w14:val="tx1"/>
                  </w14:solidFill>
                </w14:textFill>
              </w:rPr>
              <w:t>4</w:t>
            </w:r>
            <w:r>
              <w:rPr>
                <w:rFonts w:hint="default" w:ascii="Times New Roman" w:hAnsi="Times New Roman" w:eastAsia="宋体" w:cs="Times New Roman"/>
                <w:b/>
                <w:bCs/>
                <w:color w:val="000000" w:themeColor="text1"/>
                <w:sz w:val="24"/>
                <w:highlight w:val="none"/>
                <w14:textFill>
                  <w14:solidFill>
                    <w14:schemeClr w14:val="tx1"/>
                  </w14:solidFill>
                </w14:textFill>
              </w:rPr>
              <w:t>产品方案</w:t>
            </w:r>
          </w:p>
          <w:p w14:paraId="1F3D7A2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1）产品</w:t>
            </w:r>
          </w:p>
          <w:p w14:paraId="2FF2252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本项目产品</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为</w:t>
            </w:r>
            <w:r>
              <w:rPr>
                <w:rFonts w:hint="default" w:ascii="Times New Roman" w:hAnsi="Times New Roman" w:eastAsia="宋体" w:cs="Times New Roman"/>
                <w:color w:val="000000" w:themeColor="text1"/>
                <w:sz w:val="24"/>
                <w:szCs w:val="24"/>
                <w:highlight w:val="none"/>
                <w14:textFill>
                  <w14:solidFill>
                    <w14:schemeClr w14:val="tx1"/>
                  </w14:solidFill>
                </w14:textFill>
              </w:rPr>
              <w:t>煅烧高岭土1号</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和</w:t>
            </w:r>
            <w:r>
              <w:rPr>
                <w:rFonts w:hint="default" w:ascii="Times New Roman" w:hAnsi="Times New Roman" w:eastAsia="宋体" w:cs="Times New Roman"/>
                <w:color w:val="000000" w:themeColor="text1"/>
                <w:sz w:val="24"/>
                <w:szCs w:val="24"/>
                <w:highlight w:val="none"/>
                <w14:textFill>
                  <w14:solidFill>
                    <w14:schemeClr w14:val="tx1"/>
                  </w14:solidFill>
                </w14:textFill>
              </w:rPr>
              <w:t>煅烧高岭土</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14:textFill>
                  <w14:solidFill>
                    <w14:schemeClr w14:val="tx1"/>
                  </w14:solidFill>
                </w14:textFill>
              </w:rPr>
              <w:t>号</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产品</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方案和产品质量标准性能</w:t>
            </w:r>
            <w:r>
              <w:rPr>
                <w:rFonts w:hint="default" w:ascii="Times New Roman" w:hAnsi="Times New Roman" w:eastAsia="宋体" w:cs="Times New Roman"/>
                <w:color w:val="000000" w:themeColor="text1"/>
                <w:sz w:val="24"/>
                <w:highlight w:val="none"/>
                <w14:textFill>
                  <w14:solidFill>
                    <w14:schemeClr w14:val="tx1"/>
                  </w14:solidFill>
                </w14:textFill>
              </w:rPr>
              <w:t>见下表</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p>
          <w:p w14:paraId="24977269">
            <w:pPr>
              <w:ind w:firstLine="470" w:firstLineChars="200"/>
              <w:jc w:val="center"/>
              <w:rPr>
                <w:rFonts w:hint="default" w:ascii="Times New Roman" w:hAnsi="Times New Roman" w:eastAsia="宋体" w:cs="Times New Roman"/>
                <w:b/>
                <w:bCs/>
                <w:color w:val="000000" w:themeColor="text1"/>
                <w:spacing w:val="-3"/>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pacing w:val="-3"/>
                <w:sz w:val="24"/>
                <w:szCs w:val="24"/>
                <w:highlight w:val="none"/>
                <w14:textFill>
                  <w14:solidFill>
                    <w14:schemeClr w14:val="tx1"/>
                  </w14:solidFill>
                </w14:textFill>
              </w:rPr>
              <w:t>表</w:t>
            </w:r>
            <w:r>
              <w:rPr>
                <w:rFonts w:hint="default" w:ascii="Times New Roman" w:hAnsi="Times New Roman" w:eastAsia="宋体" w:cs="Times New Roman"/>
                <w:b/>
                <w:bCs/>
                <w:color w:val="000000" w:themeColor="text1"/>
                <w:spacing w:val="-3"/>
                <w:sz w:val="24"/>
                <w:szCs w:val="24"/>
                <w:highlight w:val="none"/>
                <w:lang w:val="en-US" w:eastAsia="zh-CN"/>
                <w14:textFill>
                  <w14:solidFill>
                    <w14:schemeClr w14:val="tx1"/>
                  </w14:solidFill>
                </w14:textFill>
              </w:rPr>
              <w:t>2-4</w:t>
            </w:r>
            <w:r>
              <w:rPr>
                <w:rFonts w:hint="default" w:ascii="Times New Roman" w:hAnsi="Times New Roman" w:eastAsia="宋体" w:cs="Times New Roman"/>
                <w:b/>
                <w:bCs/>
                <w:color w:val="000000" w:themeColor="text1"/>
                <w:spacing w:val="-3"/>
                <w:sz w:val="24"/>
                <w:szCs w:val="24"/>
                <w:highlight w:val="none"/>
                <w:lang w:eastAsia="zh-CN"/>
                <w14:textFill>
                  <w14:solidFill>
                    <w14:schemeClr w14:val="tx1"/>
                  </w14:solidFill>
                </w14:textFill>
              </w:rPr>
              <w:t>产品方案</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1"/>
              <w:gridCol w:w="2131"/>
              <w:gridCol w:w="1310"/>
              <w:gridCol w:w="1416"/>
              <w:gridCol w:w="2798"/>
            </w:tblGrid>
            <w:tr w14:paraId="73ADB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1" w:type="pct"/>
                  <w:noWrap w:val="0"/>
                  <w:vAlign w:val="center"/>
                </w:tcPr>
                <w:p w14:paraId="08F2452F">
                  <w:pPr>
                    <w:tabs>
                      <w:tab w:val="left" w:pos="2700"/>
                    </w:tabs>
                    <w:adjustRightInd w:val="0"/>
                    <w:snapToGrid w:val="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序号</w:t>
                  </w:r>
                </w:p>
              </w:tc>
              <w:tc>
                <w:tcPr>
                  <w:tcW w:w="1272" w:type="pct"/>
                  <w:noWrap w:val="0"/>
                  <w:vAlign w:val="center"/>
                </w:tcPr>
                <w:p w14:paraId="63E6919E">
                  <w:pPr>
                    <w:tabs>
                      <w:tab w:val="left" w:pos="2700"/>
                    </w:tabs>
                    <w:adjustRightInd w:val="0"/>
                    <w:snapToGrid w:val="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名称</w:t>
                  </w:r>
                </w:p>
              </w:tc>
              <w:tc>
                <w:tcPr>
                  <w:tcW w:w="782" w:type="pct"/>
                  <w:noWrap w:val="0"/>
                  <w:vAlign w:val="center"/>
                </w:tcPr>
                <w:p w14:paraId="207C5D33">
                  <w:pPr>
                    <w:tabs>
                      <w:tab w:val="left" w:pos="2700"/>
                    </w:tabs>
                    <w:adjustRightInd w:val="0"/>
                    <w:snapToGrid w:val="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产品</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类型</w:t>
                  </w:r>
                </w:p>
              </w:tc>
              <w:tc>
                <w:tcPr>
                  <w:tcW w:w="845" w:type="pct"/>
                  <w:noWrap w:val="0"/>
                  <w:vAlign w:val="center"/>
                </w:tcPr>
                <w:p w14:paraId="52880B4E">
                  <w:pPr>
                    <w:tabs>
                      <w:tab w:val="left" w:pos="2700"/>
                    </w:tabs>
                    <w:adjustRightInd w:val="0"/>
                    <w:snapToGrid w:val="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产量</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（万</w:t>
                  </w:r>
                  <w:r>
                    <w:rPr>
                      <w:rFonts w:hint="default" w:ascii="Times New Roman" w:hAnsi="Times New Roman" w:eastAsia="宋体" w:cs="Times New Roman"/>
                      <w:b w:val="0"/>
                      <w:bCs/>
                      <w:color w:val="000000" w:themeColor="text1"/>
                      <w:szCs w:val="21"/>
                      <w:highlight w:val="none"/>
                      <w:vertAlign w:val="baseline"/>
                      <w:lang w:val="en-US" w:eastAsia="zh-CN"/>
                      <w14:textFill>
                        <w14:solidFill>
                          <w14:schemeClr w14:val="tx1"/>
                        </w14:solidFill>
                      </w14:textFill>
                    </w:rPr>
                    <w:t>/a）</w:t>
                  </w:r>
                </w:p>
              </w:tc>
              <w:tc>
                <w:tcPr>
                  <w:tcW w:w="1668" w:type="pct"/>
                  <w:noWrap w:val="0"/>
                  <w:vAlign w:val="center"/>
                </w:tcPr>
                <w:p w14:paraId="6DABA0B3">
                  <w:pPr>
                    <w:tabs>
                      <w:tab w:val="left" w:pos="2700"/>
                    </w:tabs>
                    <w:adjustRightInd w:val="0"/>
                    <w:snapToGrid w:val="0"/>
                    <w:jc w:val="cente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t>备注</w:t>
                  </w:r>
                </w:p>
              </w:tc>
            </w:tr>
            <w:tr w14:paraId="137EC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1" w:type="pct"/>
                  <w:noWrap w:val="0"/>
                  <w:vAlign w:val="center"/>
                </w:tcPr>
                <w:p w14:paraId="585C2FFE">
                  <w:pPr>
                    <w:adjustRightInd w:val="0"/>
                    <w:snapToGrid w:val="0"/>
                    <w:jc w:val="center"/>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1</w:t>
                  </w:r>
                </w:p>
              </w:tc>
              <w:tc>
                <w:tcPr>
                  <w:tcW w:w="1272" w:type="pct"/>
                  <w:noWrap w:val="0"/>
                  <w:vAlign w:val="center"/>
                </w:tcPr>
                <w:p w14:paraId="2561A9DD">
                  <w:pPr>
                    <w:adjustRightInd w:val="0"/>
                    <w:snapToGrid w:val="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煅烧高岭土1号</w:t>
                  </w:r>
                </w:p>
              </w:tc>
              <w:tc>
                <w:tcPr>
                  <w:tcW w:w="782" w:type="pct"/>
                  <w:noWrap w:val="0"/>
                  <w:vAlign w:val="center"/>
                </w:tcPr>
                <w:p w14:paraId="7D937624">
                  <w:pPr>
                    <w:adjustRightInd w:val="0"/>
                    <w:snapToGrid w:val="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TT</w:t>
                  </w:r>
                </w:p>
              </w:tc>
              <w:tc>
                <w:tcPr>
                  <w:tcW w:w="845" w:type="pct"/>
                  <w:noWrap w:val="0"/>
                  <w:vAlign w:val="center"/>
                </w:tcPr>
                <w:p w14:paraId="4C2D740C">
                  <w:pPr>
                    <w:adjustRightInd w:val="0"/>
                    <w:snapToGrid w:val="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10</w:t>
                  </w:r>
                </w:p>
              </w:tc>
              <w:tc>
                <w:tcPr>
                  <w:tcW w:w="1668" w:type="pct"/>
                  <w:noWrap w:val="0"/>
                  <w:vAlign w:val="center"/>
                </w:tcPr>
                <w:p w14:paraId="5DBB6DD1">
                  <w:pPr>
                    <w:adjustRightInd w:val="0"/>
                    <w:snapToGrid w:val="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用于陶瓷釉料</w:t>
                  </w:r>
                </w:p>
              </w:tc>
            </w:tr>
            <w:tr w14:paraId="1C50F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1" w:type="pct"/>
                  <w:noWrap w:val="0"/>
                  <w:vAlign w:val="center"/>
                </w:tcPr>
                <w:p w14:paraId="3EB93758">
                  <w:pPr>
                    <w:adjustRightInd w:val="0"/>
                    <w:snapToGrid w:val="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w:t>
                  </w:r>
                </w:p>
              </w:tc>
              <w:tc>
                <w:tcPr>
                  <w:tcW w:w="1272" w:type="pct"/>
                  <w:noWrap w:val="0"/>
                  <w:vAlign w:val="center"/>
                </w:tcPr>
                <w:p w14:paraId="0DDFA97F">
                  <w:pPr>
                    <w:adjustRightInd w:val="0"/>
                    <w:snapToGrid w:val="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煅烧高岭土</w:t>
                  </w: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号</w:t>
                  </w:r>
                </w:p>
              </w:tc>
              <w:tc>
                <w:tcPr>
                  <w:tcW w:w="782" w:type="pct"/>
                  <w:noWrap w:val="0"/>
                  <w:vAlign w:val="center"/>
                </w:tcPr>
                <w:p w14:paraId="61C9607B">
                  <w:pPr>
                    <w:adjustRightInd w:val="0"/>
                    <w:snapToGrid w:val="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TC</w:t>
                  </w:r>
                </w:p>
              </w:tc>
              <w:tc>
                <w:tcPr>
                  <w:tcW w:w="845" w:type="pct"/>
                  <w:noWrap w:val="0"/>
                  <w:vAlign w:val="center"/>
                </w:tcPr>
                <w:p w14:paraId="57A1B663">
                  <w:pPr>
                    <w:adjustRightInd w:val="0"/>
                    <w:snapToGrid w:val="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10</w:t>
                  </w:r>
                </w:p>
              </w:tc>
              <w:tc>
                <w:tcPr>
                  <w:tcW w:w="1668" w:type="pct"/>
                  <w:noWrap w:val="0"/>
                  <w:vAlign w:val="center"/>
                </w:tcPr>
                <w:p w14:paraId="478D2418">
                  <w:pPr>
                    <w:adjustRightInd w:val="0"/>
                    <w:snapToGrid w:val="0"/>
                    <w:jc w:val="cente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用于玻纤原料</w:t>
                  </w:r>
                </w:p>
              </w:tc>
            </w:tr>
            <w:tr w14:paraId="614212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noWrap w:val="0"/>
                  <w:vAlign w:val="center"/>
                </w:tcPr>
                <w:p w14:paraId="6BC22394">
                  <w:pPr>
                    <w:adjustRightInd w:val="0"/>
                    <w:snapToGrid w:val="0"/>
                    <w:jc w:val="left"/>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注：煅烧高岭土1号（用于陶瓷釉料）烧成热耗480kCal/kg；</w:t>
                  </w:r>
                </w:p>
                <w:p w14:paraId="5AEB3480">
                  <w:pPr>
                    <w:adjustRightInd w:val="0"/>
                    <w:snapToGrid w:val="0"/>
                    <w:jc w:val="left"/>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煅烧高岭土2号（用于玻纤原料）烧成热耗240kCal/kg</w:t>
                  </w:r>
                </w:p>
              </w:tc>
            </w:tr>
          </w:tbl>
          <w:p w14:paraId="63FBAFC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煅烧高岭土1号（用于陶瓷釉料）烧成要求：原料烧后指标满足Fe</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O</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≤0.4%、TiO</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≤0.9%、Al</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O</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≥43%、K</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O≤0.3%、Na</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O≤0.15%且原料烧失量≤19%时，要求煅烧后产品自然白度值≥87%。</w:t>
            </w:r>
          </w:p>
          <w:p w14:paraId="2E1417C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煅烧高岭土2号（用于玻纤原料）烧成要求：要求煅烧后产品的残碳率≤0.5%；产品用于玻纤产品时应保证煅烧后的COD≤150ppm。</w:t>
            </w:r>
          </w:p>
          <w:p w14:paraId="565E226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highlight w:val="none"/>
                <w:lang w:eastAsia="zh-CN"/>
                <w14:textFill>
                  <w14:solidFill>
                    <w14:schemeClr w14:val="tx1"/>
                  </w14:solidFill>
                </w14:textFill>
              </w:rPr>
              <w:t>本项目产品出厂设计大袋包装机8台，单台最大能力25t/h，小袋包装1台，单台能力90t/h；大小袋包装各按50%分配，全部汽车运输出厂。</w:t>
            </w:r>
          </w:p>
          <w:p w14:paraId="5EBC900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highlight w:val="none"/>
                <w:lang w:eastAsia="zh-CN"/>
                <w14:textFill>
                  <w14:solidFill>
                    <w14:schemeClr w14:val="tx1"/>
                  </w14:solidFill>
                </w14:textFill>
              </w:rPr>
              <w:t>煅烧高岭土1号</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和</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煅烧高岭土</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号目前无国家产品质量标准，参考《高岭土及其试验方法》（GB/T14563-2020）中煅烧高岭土质量标准。</w:t>
            </w:r>
          </w:p>
          <w:p w14:paraId="100ECDC9">
            <w:pPr>
              <w:ind w:firstLine="470" w:firstLineChars="200"/>
              <w:jc w:val="center"/>
              <w:rPr>
                <w:rFonts w:hint="default" w:ascii="Times New Roman" w:hAnsi="Times New Roman" w:eastAsia="宋体" w:cs="Times New Roman"/>
                <w:b/>
                <w:bCs/>
                <w:color w:val="000000" w:themeColor="text1"/>
                <w:spacing w:val="-3"/>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pacing w:val="-3"/>
                <w:sz w:val="24"/>
                <w:szCs w:val="24"/>
                <w:highlight w:val="none"/>
                <w:lang w:val="en-US" w:eastAsia="zh-CN"/>
                <w14:textFill>
                  <w14:solidFill>
                    <w14:schemeClr w14:val="tx1"/>
                  </w14:solidFill>
                </w14:textFill>
              </w:rPr>
              <w:t>表2-5搪瓷工业用高岭土产品理化性能要求</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48"/>
              <w:gridCol w:w="3664"/>
            </w:tblGrid>
            <w:tr w14:paraId="3A0FA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8" w:type="dxa"/>
                  <w:noWrap w:val="0"/>
                  <w:vAlign w:val="top"/>
                </w:tcPr>
                <w:p w14:paraId="7F476337">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项目</w:t>
                  </w:r>
                </w:p>
              </w:tc>
              <w:tc>
                <w:tcPr>
                  <w:tcW w:w="3664" w:type="dxa"/>
                  <w:noWrap w:val="0"/>
                  <w:vAlign w:val="top"/>
                </w:tcPr>
                <w:p w14:paraId="2B88A567">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TT</w:t>
                  </w:r>
                </w:p>
              </w:tc>
            </w:tr>
            <w:tr w14:paraId="680267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8" w:type="dxa"/>
                  <w:noWrap w:val="0"/>
                  <w:vAlign w:val="top"/>
                </w:tcPr>
                <w:p w14:paraId="66533FA2">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三氧化二铝（质量分数）/%</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2</w:t>
                  </w:r>
                </w:p>
              </w:tc>
              <w:tc>
                <w:tcPr>
                  <w:tcW w:w="3664" w:type="dxa"/>
                  <w:noWrap w:val="0"/>
                  <w:vAlign w:val="top"/>
                </w:tcPr>
                <w:p w14:paraId="3A78AA3B">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36.00</w:t>
                  </w:r>
                </w:p>
              </w:tc>
            </w:tr>
            <w:tr w14:paraId="35413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8" w:type="dxa"/>
                  <w:noWrap w:val="0"/>
                  <w:vAlign w:val="top"/>
                </w:tcPr>
                <w:p w14:paraId="61C1DE0B">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三氧化二铁含量（质量分数）/%</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3664" w:type="dxa"/>
                  <w:noWrap w:val="0"/>
                  <w:vAlign w:val="top"/>
                </w:tcPr>
                <w:p w14:paraId="2643C499">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0.8</w:t>
                  </w:r>
                </w:p>
              </w:tc>
            </w:tr>
            <w:tr w14:paraId="695C22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8" w:type="dxa"/>
                  <w:noWrap w:val="0"/>
                  <w:vAlign w:val="top"/>
                </w:tcPr>
                <w:p w14:paraId="2C67DDEF">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三氧化硫含量（质量分数）/%</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3664" w:type="dxa"/>
                  <w:noWrap w:val="0"/>
                  <w:vAlign w:val="top"/>
                </w:tcPr>
                <w:p w14:paraId="37E553B9">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1.5</w:t>
                  </w:r>
                </w:p>
              </w:tc>
            </w:tr>
            <w:tr w14:paraId="7C587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4648" w:type="dxa"/>
                  <w:noWrap w:val="0"/>
                  <w:vAlign w:val="top"/>
                </w:tcPr>
                <w:p w14:paraId="531740F7">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白度/%</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3664" w:type="dxa"/>
                  <w:noWrap w:val="0"/>
                  <w:vAlign w:val="top"/>
                </w:tcPr>
                <w:p w14:paraId="19C537C4">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78.0</w:t>
                  </w:r>
                </w:p>
              </w:tc>
            </w:tr>
            <w:tr w14:paraId="479CE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8" w:type="dxa"/>
                  <w:noWrap w:val="0"/>
                  <w:vAlign w:val="top"/>
                </w:tcPr>
                <w:p w14:paraId="29EDED2C">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45微m筛余量/%</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3664" w:type="dxa"/>
                  <w:noWrap w:val="0"/>
                  <w:vAlign w:val="top"/>
                </w:tcPr>
                <w:p w14:paraId="0DCACDD2">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0.07</w:t>
                  </w:r>
                </w:p>
              </w:tc>
            </w:tr>
            <w:tr w14:paraId="7FA62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8" w:type="dxa"/>
                  <w:noWrap w:val="0"/>
                  <w:vAlign w:val="top"/>
                </w:tcPr>
                <w:p w14:paraId="4195A922">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悬浮物/ml</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3664" w:type="dxa"/>
                  <w:noWrap w:val="0"/>
                  <w:vAlign w:val="top"/>
                </w:tcPr>
                <w:p w14:paraId="0649314D">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60</w:t>
                  </w:r>
                </w:p>
              </w:tc>
            </w:tr>
          </w:tbl>
          <w:p w14:paraId="5A499135">
            <w:pPr>
              <w:ind w:firstLine="470" w:firstLineChars="200"/>
              <w:jc w:val="center"/>
              <w:rPr>
                <w:rFonts w:hint="default" w:ascii="Times New Roman" w:hAnsi="Times New Roman" w:eastAsia="宋体" w:cs="Times New Roman"/>
                <w:b/>
                <w:bCs/>
                <w:color w:val="000000" w:themeColor="text1"/>
                <w:spacing w:val="-3"/>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pacing w:val="-3"/>
                <w:sz w:val="24"/>
                <w:szCs w:val="24"/>
                <w:highlight w:val="none"/>
                <w:lang w:val="en-US" w:eastAsia="zh-CN"/>
                <w14:textFill>
                  <w14:solidFill>
                    <w14:schemeClr w14:val="tx1"/>
                  </w14:solidFill>
                </w14:textFill>
              </w:rPr>
              <w:t>表2-6陶瓷工业用高岭土和煅烧高岭土产品理化性能要求</w:t>
            </w:r>
          </w:p>
          <w:tbl>
            <w:tblPr>
              <w:tblStyle w:val="25"/>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99"/>
              <w:gridCol w:w="1889"/>
              <w:gridCol w:w="1889"/>
            </w:tblGrid>
            <w:tr w14:paraId="2E09B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4" w:type="pct"/>
                  <w:noWrap w:val="0"/>
                  <w:vAlign w:val="top"/>
                </w:tcPr>
                <w:p w14:paraId="7FD849F1">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项目</w:t>
                  </w:r>
                </w:p>
              </w:tc>
              <w:tc>
                <w:tcPr>
                  <w:tcW w:w="1127" w:type="pct"/>
                  <w:noWrap w:val="0"/>
                  <w:vAlign w:val="top"/>
                </w:tcPr>
                <w:p w14:paraId="78D1BE3D">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TC</w:t>
                  </w:r>
                </w:p>
              </w:tc>
              <w:tc>
                <w:tcPr>
                  <w:tcW w:w="1127" w:type="pct"/>
                  <w:noWrap w:val="0"/>
                  <w:vAlign w:val="top"/>
                </w:tcPr>
                <w:p w14:paraId="23A39826">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TC-(D)</w:t>
                  </w:r>
                </w:p>
              </w:tc>
            </w:tr>
            <w:tr w14:paraId="66D20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4" w:type="pct"/>
                  <w:noWrap w:val="0"/>
                  <w:vAlign w:val="top"/>
                </w:tcPr>
                <w:p w14:paraId="45F361D1">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三氧化二铝（质量分数）/%</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1127" w:type="pct"/>
                  <w:noWrap w:val="0"/>
                  <w:vAlign w:val="top"/>
                </w:tcPr>
                <w:p w14:paraId="342E4E65">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28.00</w:t>
                  </w:r>
                </w:p>
              </w:tc>
              <w:tc>
                <w:tcPr>
                  <w:tcW w:w="1127" w:type="pct"/>
                  <w:noWrap w:val="0"/>
                  <w:vAlign w:val="top"/>
                </w:tcPr>
                <w:p w14:paraId="0FCD6461">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42.0</w:t>
                  </w:r>
                </w:p>
              </w:tc>
            </w:tr>
            <w:tr w14:paraId="1B5C4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4" w:type="pct"/>
                  <w:noWrap w:val="0"/>
                  <w:vAlign w:val="top"/>
                </w:tcPr>
                <w:p w14:paraId="55BB274E">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三氧化二铁含量（质量分数）/%</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1127" w:type="pct"/>
                  <w:noWrap w:val="0"/>
                  <w:vAlign w:val="top"/>
                </w:tcPr>
                <w:p w14:paraId="4CF20AB8">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1.5</w:t>
                  </w:r>
                </w:p>
              </w:tc>
              <w:tc>
                <w:tcPr>
                  <w:tcW w:w="1127" w:type="pct"/>
                  <w:noWrap w:val="0"/>
                  <w:vAlign w:val="top"/>
                </w:tcPr>
                <w:p w14:paraId="3D545A34">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0.8</w:t>
                  </w:r>
                </w:p>
              </w:tc>
            </w:tr>
            <w:tr w14:paraId="2BF66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4" w:type="pct"/>
                  <w:noWrap w:val="0"/>
                  <w:vAlign w:val="top"/>
                </w:tcPr>
                <w:p w14:paraId="0F163589">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二氧化钛含量（质量分数）/%</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1127" w:type="pct"/>
                  <w:noWrap w:val="0"/>
                  <w:vAlign w:val="top"/>
                </w:tcPr>
                <w:p w14:paraId="4BF14D57">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0.4</w:t>
                  </w:r>
                </w:p>
              </w:tc>
              <w:tc>
                <w:tcPr>
                  <w:tcW w:w="1127" w:type="pct"/>
                  <w:noWrap w:val="0"/>
                  <w:vAlign w:val="top"/>
                </w:tcPr>
                <w:p w14:paraId="12695920">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1.5</w:t>
                  </w:r>
                </w:p>
              </w:tc>
            </w:tr>
            <w:tr w14:paraId="63026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4" w:type="pct"/>
                  <w:noWrap w:val="0"/>
                  <w:vAlign w:val="top"/>
                </w:tcPr>
                <w:p w14:paraId="3581564E">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三氧化硫含量（质量分数）/%</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1127" w:type="pct"/>
                  <w:noWrap w:val="0"/>
                  <w:vAlign w:val="top"/>
                </w:tcPr>
                <w:p w14:paraId="737AC6D5">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0.8</w:t>
                  </w:r>
                </w:p>
              </w:tc>
              <w:tc>
                <w:tcPr>
                  <w:tcW w:w="1127" w:type="pct"/>
                  <w:noWrap w:val="0"/>
                  <w:vAlign w:val="top"/>
                </w:tcPr>
                <w:p w14:paraId="09E46383">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w:t>
                  </w:r>
                </w:p>
              </w:tc>
            </w:tr>
            <w:tr w14:paraId="49BFD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44" w:type="pct"/>
                  <w:noWrap w:val="0"/>
                  <w:vAlign w:val="top"/>
                </w:tcPr>
                <w:p w14:paraId="41869D6D">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63微米筛余量/%</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1127" w:type="pct"/>
                  <w:noWrap w:val="0"/>
                  <w:vAlign w:val="top"/>
                </w:tcPr>
                <w:p w14:paraId="4B36E4B1">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1.0</w:t>
                  </w:r>
                </w:p>
              </w:tc>
              <w:tc>
                <w:tcPr>
                  <w:tcW w:w="1127" w:type="pct"/>
                  <w:noWrap w:val="0"/>
                  <w:vAlign w:val="top"/>
                </w:tcPr>
                <w:p w14:paraId="10E19638">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w:t>
                  </w:r>
                </w:p>
              </w:tc>
            </w:tr>
          </w:tbl>
          <w:p w14:paraId="474A27E1">
            <w:pPr>
              <w:ind w:firstLine="470" w:firstLineChars="200"/>
              <w:jc w:val="center"/>
              <w:rPr>
                <w:rFonts w:hint="default" w:ascii="Times New Roman" w:hAnsi="Times New Roman" w:eastAsia="宋体" w:cs="Times New Roman"/>
                <w:b/>
                <w:bCs/>
                <w:color w:val="000000" w:themeColor="text1"/>
                <w:spacing w:val="-3"/>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pacing w:val="-3"/>
                <w:sz w:val="24"/>
                <w:szCs w:val="24"/>
                <w:highlight w:val="none"/>
                <w:lang w:val="en-US" w:eastAsia="zh-CN"/>
                <w14:textFill>
                  <w14:solidFill>
                    <w14:schemeClr w14:val="tx1"/>
                  </w14:solidFill>
                </w14:textFill>
              </w:rPr>
              <w:t>表2-7各类高岭土产品的水分含量</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56"/>
              <w:gridCol w:w="4156"/>
            </w:tblGrid>
            <w:tr w14:paraId="44A254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56" w:type="dxa"/>
                  <w:noWrap w:val="0"/>
                  <w:vAlign w:val="top"/>
                </w:tcPr>
                <w:p w14:paraId="45F0644D">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产品形态</w:t>
                  </w:r>
                </w:p>
              </w:tc>
              <w:tc>
                <w:tcPr>
                  <w:tcW w:w="4156" w:type="dxa"/>
                  <w:noWrap w:val="0"/>
                  <w:vAlign w:val="top"/>
                </w:tcPr>
                <w:p w14:paraId="290F0557">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水分含量要求%/</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r>
            <w:tr w14:paraId="286517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56" w:type="dxa"/>
                  <w:noWrap w:val="0"/>
                  <w:vAlign w:val="top"/>
                </w:tcPr>
                <w:p w14:paraId="4B1487FC">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膏状</w:t>
                  </w:r>
                </w:p>
              </w:tc>
              <w:tc>
                <w:tcPr>
                  <w:tcW w:w="4156" w:type="dxa"/>
                  <w:noWrap w:val="0"/>
                  <w:vAlign w:val="top"/>
                </w:tcPr>
                <w:p w14:paraId="7F09E1EB">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35.0</w:t>
                  </w:r>
                </w:p>
              </w:tc>
            </w:tr>
            <w:tr w14:paraId="1C0FF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56" w:type="dxa"/>
                  <w:noWrap w:val="0"/>
                  <w:vAlign w:val="top"/>
                </w:tcPr>
                <w:p w14:paraId="7947E073">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块（粒）状</w:t>
                  </w:r>
                </w:p>
              </w:tc>
              <w:tc>
                <w:tcPr>
                  <w:tcW w:w="4156" w:type="dxa"/>
                  <w:noWrap w:val="0"/>
                  <w:vAlign w:val="top"/>
                </w:tcPr>
                <w:p w14:paraId="2578308C">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18.0</w:t>
                  </w:r>
                </w:p>
              </w:tc>
            </w:tr>
            <w:tr w14:paraId="68E0C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56" w:type="dxa"/>
                  <w:noWrap w:val="0"/>
                  <w:vAlign w:val="top"/>
                </w:tcPr>
                <w:p w14:paraId="2A38C741">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粉状</w:t>
                  </w:r>
                </w:p>
              </w:tc>
              <w:tc>
                <w:tcPr>
                  <w:tcW w:w="4156" w:type="dxa"/>
                  <w:noWrap w:val="0"/>
                  <w:vAlign w:val="top"/>
                </w:tcPr>
                <w:p w14:paraId="5C6B7789">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10.0</w:t>
                  </w:r>
                </w:p>
              </w:tc>
            </w:tr>
            <w:tr w14:paraId="6A474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trPr>
              <w:tc>
                <w:tcPr>
                  <w:tcW w:w="4156" w:type="dxa"/>
                  <w:noWrap w:val="0"/>
                  <w:vAlign w:val="top"/>
                </w:tcPr>
                <w:p w14:paraId="10494E25">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干粉状</w:t>
                  </w:r>
                </w:p>
              </w:tc>
              <w:tc>
                <w:tcPr>
                  <w:tcW w:w="4156" w:type="dxa"/>
                  <w:noWrap w:val="0"/>
                  <w:vAlign w:val="top"/>
                </w:tcPr>
                <w:p w14:paraId="5AAD23CD">
                  <w:pPr>
                    <w:pStyle w:val="116"/>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2.0</w:t>
                  </w:r>
                </w:p>
              </w:tc>
            </w:tr>
            <w:tr w14:paraId="04ED9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12" w:type="dxa"/>
                  <w:gridSpan w:val="2"/>
                  <w:noWrap w:val="0"/>
                  <w:vAlign w:val="top"/>
                </w:tcPr>
                <w:p w14:paraId="1B97E013">
                  <w:pPr>
                    <w:pStyle w:val="116"/>
                    <w:keepNext w:val="0"/>
                    <w:keepLines w:val="0"/>
                    <w:pageBreakBefore w:val="0"/>
                    <w:widowControl w:val="0"/>
                    <w:kinsoku/>
                    <w:wordWrap/>
                    <w:overflowPunct/>
                    <w:topLinePunct w:val="0"/>
                    <w:autoSpaceDE/>
                    <w:autoSpaceDN/>
                    <w:bidi w:val="0"/>
                    <w:adjustRightInd/>
                    <w:snapToGrid/>
                    <w:spacing w:line="240" w:lineRule="auto"/>
                    <w:ind w:right="0"/>
                    <w:jc w:val="both"/>
                    <w:textAlignment w:val="auto"/>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vertAlign w:val="baseline"/>
                      <w:lang w:val="en-US" w:eastAsia="zh-CN"/>
                      <w14:textFill>
                        <w14:solidFill>
                          <w14:schemeClr w14:val="tx1"/>
                        </w14:solidFill>
                      </w14:textFill>
                    </w:rPr>
                    <w:t>注：上述要求将作为双方数量补差依据，不作质量验收标准</w:t>
                  </w:r>
                </w:p>
              </w:tc>
            </w:tr>
          </w:tbl>
          <w:p w14:paraId="0EF11A8C">
            <w:pPr>
              <w:ind w:firstLine="470" w:firstLineChars="200"/>
              <w:jc w:val="center"/>
              <w:rPr>
                <w:rFonts w:hint="default" w:ascii="Times New Roman" w:hAnsi="Times New Roman" w:cs="Times New Roman"/>
                <w:b/>
                <w:bCs/>
                <w:color w:val="000000" w:themeColor="text1"/>
                <w:spacing w:val="-3"/>
                <w:sz w:val="23"/>
                <w:szCs w:val="23"/>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pacing w:val="-3"/>
                <w:sz w:val="24"/>
                <w:szCs w:val="24"/>
                <w:highlight w:val="none"/>
                <w14:textFill>
                  <w14:solidFill>
                    <w14:schemeClr w14:val="tx1"/>
                  </w14:solidFill>
                </w14:textFill>
              </w:rPr>
              <w:t>表</w:t>
            </w:r>
            <w:r>
              <w:rPr>
                <w:rFonts w:hint="default" w:ascii="Times New Roman" w:hAnsi="Times New Roman" w:eastAsia="宋体" w:cs="Times New Roman"/>
                <w:b/>
                <w:bCs/>
                <w:color w:val="000000" w:themeColor="text1"/>
                <w:spacing w:val="-3"/>
                <w:sz w:val="24"/>
                <w:szCs w:val="24"/>
                <w:highlight w:val="none"/>
                <w:lang w:val="en-US" w:eastAsia="zh-CN"/>
                <w14:textFill>
                  <w14:solidFill>
                    <w14:schemeClr w14:val="tx1"/>
                  </w14:solidFill>
                </w14:textFill>
              </w:rPr>
              <w:t>2-8</w:t>
            </w:r>
            <w:r>
              <w:rPr>
                <w:rFonts w:hint="default" w:ascii="Times New Roman" w:hAnsi="Times New Roman" w:eastAsia="宋体" w:cs="Times New Roman"/>
                <w:b/>
                <w:bCs/>
                <w:color w:val="000000" w:themeColor="text1"/>
                <w:spacing w:val="-3"/>
                <w:sz w:val="24"/>
                <w:szCs w:val="24"/>
                <w:highlight w:val="none"/>
                <w14:textFill>
                  <w14:solidFill>
                    <w14:schemeClr w14:val="tx1"/>
                  </w14:solidFill>
                </w14:textFill>
              </w:rPr>
              <w:t>高岭土产品质量</w:t>
            </w:r>
            <w:r>
              <w:rPr>
                <w:rFonts w:hint="default" w:ascii="Times New Roman" w:hAnsi="Times New Roman" w:cs="Times New Roman"/>
                <w:b/>
                <w:bCs/>
                <w:color w:val="000000" w:themeColor="text1"/>
                <w:spacing w:val="-3"/>
                <w:sz w:val="24"/>
                <w:szCs w:val="24"/>
                <w:highlight w:val="none"/>
                <w14:textFill>
                  <w14:solidFill>
                    <w14:schemeClr w14:val="tx1"/>
                  </w14:solidFill>
                </w14:textFill>
              </w:rPr>
              <w:t>指标</w:t>
            </w:r>
            <w:r>
              <w:rPr>
                <w:rFonts w:hint="default" w:ascii="Times New Roman" w:hAnsi="Times New Roman" w:cs="Times New Roman"/>
                <w:b/>
                <w:bCs/>
                <w:color w:val="000000" w:themeColor="text1"/>
                <w:spacing w:val="-3"/>
                <w:sz w:val="24"/>
                <w:szCs w:val="24"/>
                <w:highlight w:val="none"/>
                <w:lang w:val="en-US" w:eastAsia="zh-CN"/>
                <w14:textFill>
                  <w14:solidFill>
                    <w14:schemeClr w14:val="tx1"/>
                  </w14:solidFill>
                </w14:textFill>
              </w:rPr>
              <w:t>（%）</w:t>
            </w:r>
          </w:p>
          <w:tbl>
            <w:tblPr>
              <w:tblStyle w:val="25"/>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9"/>
              <w:gridCol w:w="929"/>
              <w:gridCol w:w="929"/>
              <w:gridCol w:w="929"/>
              <w:gridCol w:w="930"/>
              <w:gridCol w:w="930"/>
              <w:gridCol w:w="930"/>
              <w:gridCol w:w="930"/>
              <w:gridCol w:w="935"/>
            </w:tblGrid>
            <w:tr w14:paraId="0BEFF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1" w:type="dxa"/>
                  <w:noWrap w:val="0"/>
                  <w:vAlign w:val="center"/>
                </w:tcPr>
                <w:p w14:paraId="3F3CF44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pacing w:val="-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SiO</w:t>
                  </w:r>
                  <w:r>
                    <w:rPr>
                      <w:rFonts w:hint="default" w:ascii="Times New Roman" w:hAnsi="Times New Roman" w:eastAsia="宋体" w:cs="Times New Roman"/>
                      <w:bCs/>
                      <w:color w:val="000000" w:themeColor="text1"/>
                      <w:sz w:val="21"/>
                      <w:szCs w:val="21"/>
                      <w:highlight w:val="none"/>
                      <w:vertAlign w:val="subscript"/>
                      <w14:textFill>
                        <w14:solidFill>
                          <w14:schemeClr w14:val="tx1"/>
                        </w14:solidFill>
                      </w14:textFill>
                    </w:rPr>
                    <w:t>2</w:t>
                  </w:r>
                </w:p>
              </w:tc>
              <w:tc>
                <w:tcPr>
                  <w:tcW w:w="921" w:type="dxa"/>
                  <w:noWrap w:val="0"/>
                  <w:vAlign w:val="center"/>
                </w:tcPr>
                <w:p w14:paraId="0D143A2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Al</w:t>
                  </w:r>
                  <w:r>
                    <w:rPr>
                      <w:rFonts w:hint="default" w:ascii="Times New Roman" w:hAnsi="Times New Roman" w:eastAsia="宋体" w:cs="Times New Roman"/>
                      <w:bCs/>
                      <w:color w:val="000000" w:themeColor="text1"/>
                      <w:sz w:val="21"/>
                      <w:szCs w:val="21"/>
                      <w:highlight w:val="none"/>
                      <w:vertAlign w:val="subscript"/>
                      <w14:textFill>
                        <w14:solidFill>
                          <w14:schemeClr w14:val="tx1"/>
                        </w14:solidFill>
                      </w14:textFill>
                    </w:rPr>
                    <w:t>2</w:t>
                  </w:r>
                  <w:r>
                    <w:rPr>
                      <w:rFonts w:hint="default" w:ascii="Times New Roman" w:hAnsi="Times New Roman" w:eastAsia="宋体" w:cs="Times New Roman"/>
                      <w:bCs/>
                      <w:color w:val="000000" w:themeColor="text1"/>
                      <w:sz w:val="21"/>
                      <w:szCs w:val="21"/>
                      <w:highlight w:val="none"/>
                      <w14:textFill>
                        <w14:solidFill>
                          <w14:schemeClr w14:val="tx1"/>
                        </w14:solidFill>
                      </w14:textFill>
                    </w:rPr>
                    <w:t>O</w:t>
                  </w:r>
                  <w:r>
                    <w:rPr>
                      <w:rFonts w:hint="default" w:ascii="Times New Roman" w:hAnsi="Times New Roman" w:eastAsia="宋体" w:cs="Times New Roman"/>
                      <w:bCs/>
                      <w:color w:val="000000" w:themeColor="text1"/>
                      <w:sz w:val="21"/>
                      <w:szCs w:val="21"/>
                      <w:highlight w:val="none"/>
                      <w:vertAlign w:val="subscript"/>
                      <w14:textFill>
                        <w14:solidFill>
                          <w14:schemeClr w14:val="tx1"/>
                        </w14:solidFill>
                      </w14:textFill>
                    </w:rPr>
                    <w:t>3</w:t>
                  </w:r>
                </w:p>
              </w:tc>
              <w:tc>
                <w:tcPr>
                  <w:tcW w:w="921" w:type="dxa"/>
                  <w:noWrap w:val="0"/>
                  <w:vAlign w:val="center"/>
                </w:tcPr>
                <w:p w14:paraId="576A574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Fe</w:t>
                  </w:r>
                  <w:r>
                    <w:rPr>
                      <w:rFonts w:hint="default" w:ascii="Times New Roman" w:hAnsi="Times New Roman" w:eastAsia="宋体" w:cs="Times New Roman"/>
                      <w:bCs/>
                      <w:color w:val="000000" w:themeColor="text1"/>
                      <w:sz w:val="21"/>
                      <w:szCs w:val="21"/>
                      <w:highlight w:val="none"/>
                      <w:vertAlign w:val="subscript"/>
                      <w14:textFill>
                        <w14:solidFill>
                          <w14:schemeClr w14:val="tx1"/>
                        </w14:solidFill>
                      </w14:textFill>
                    </w:rPr>
                    <w:t>2</w:t>
                  </w:r>
                  <w:r>
                    <w:rPr>
                      <w:rFonts w:hint="default" w:ascii="Times New Roman" w:hAnsi="Times New Roman" w:eastAsia="宋体" w:cs="Times New Roman"/>
                      <w:bCs/>
                      <w:color w:val="000000" w:themeColor="text1"/>
                      <w:sz w:val="21"/>
                      <w:szCs w:val="21"/>
                      <w:highlight w:val="none"/>
                      <w14:textFill>
                        <w14:solidFill>
                          <w14:schemeClr w14:val="tx1"/>
                        </w14:solidFill>
                      </w14:textFill>
                    </w:rPr>
                    <w:t>O</w:t>
                  </w:r>
                  <w:r>
                    <w:rPr>
                      <w:rFonts w:hint="default" w:ascii="Times New Roman" w:hAnsi="Times New Roman" w:eastAsia="宋体" w:cs="Times New Roman"/>
                      <w:bCs/>
                      <w:color w:val="000000" w:themeColor="text1"/>
                      <w:sz w:val="21"/>
                      <w:szCs w:val="21"/>
                      <w:highlight w:val="none"/>
                      <w:vertAlign w:val="subscript"/>
                      <w14:textFill>
                        <w14:solidFill>
                          <w14:schemeClr w14:val="tx1"/>
                        </w14:solidFill>
                      </w14:textFill>
                    </w:rPr>
                    <w:t>3</w:t>
                  </w:r>
                </w:p>
              </w:tc>
              <w:tc>
                <w:tcPr>
                  <w:tcW w:w="921" w:type="dxa"/>
                  <w:noWrap w:val="0"/>
                  <w:vAlign w:val="center"/>
                </w:tcPr>
                <w:p w14:paraId="1BB850B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CaO</w:t>
                  </w:r>
                </w:p>
              </w:tc>
              <w:tc>
                <w:tcPr>
                  <w:tcW w:w="921" w:type="dxa"/>
                  <w:noWrap w:val="0"/>
                  <w:vAlign w:val="center"/>
                </w:tcPr>
                <w:p w14:paraId="3762EF4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MgO</w:t>
                  </w:r>
                </w:p>
              </w:tc>
              <w:tc>
                <w:tcPr>
                  <w:tcW w:w="921" w:type="dxa"/>
                  <w:noWrap w:val="0"/>
                  <w:vAlign w:val="center"/>
                </w:tcPr>
                <w:p w14:paraId="1B49BE0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Na</w:t>
                  </w:r>
                  <w:r>
                    <w:rPr>
                      <w:rFonts w:hint="default" w:ascii="Times New Roman" w:hAnsi="Times New Roman" w:eastAsia="宋体" w:cs="Times New Roman"/>
                      <w:bCs/>
                      <w:color w:val="000000" w:themeColor="text1"/>
                      <w:sz w:val="21"/>
                      <w:szCs w:val="21"/>
                      <w:highlight w:val="none"/>
                      <w:vertAlign w:val="subscript"/>
                      <w14:textFill>
                        <w14:solidFill>
                          <w14:schemeClr w14:val="tx1"/>
                        </w14:solidFill>
                      </w14:textFill>
                    </w:rPr>
                    <w:t>2</w:t>
                  </w:r>
                  <w:r>
                    <w:rPr>
                      <w:rFonts w:hint="default" w:ascii="Times New Roman" w:hAnsi="Times New Roman" w:eastAsia="宋体" w:cs="Times New Roman"/>
                      <w:bCs/>
                      <w:color w:val="000000" w:themeColor="text1"/>
                      <w:sz w:val="21"/>
                      <w:szCs w:val="21"/>
                      <w:highlight w:val="none"/>
                      <w14:textFill>
                        <w14:solidFill>
                          <w14:schemeClr w14:val="tx1"/>
                        </w14:solidFill>
                      </w14:textFill>
                    </w:rPr>
                    <w:t>O</w:t>
                  </w:r>
                </w:p>
              </w:tc>
              <w:tc>
                <w:tcPr>
                  <w:tcW w:w="921" w:type="dxa"/>
                  <w:noWrap w:val="0"/>
                  <w:vAlign w:val="center"/>
                </w:tcPr>
                <w:p w14:paraId="747661A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K</w:t>
                  </w:r>
                  <w:r>
                    <w:rPr>
                      <w:rFonts w:hint="default" w:ascii="Times New Roman" w:hAnsi="Times New Roman" w:eastAsia="宋体" w:cs="Times New Roman"/>
                      <w:bCs/>
                      <w:color w:val="000000" w:themeColor="text1"/>
                      <w:sz w:val="21"/>
                      <w:szCs w:val="21"/>
                      <w:highlight w:val="none"/>
                      <w:vertAlign w:val="subscript"/>
                      <w14:textFill>
                        <w14:solidFill>
                          <w14:schemeClr w14:val="tx1"/>
                        </w14:solidFill>
                      </w14:textFill>
                    </w:rPr>
                    <w:t>2</w:t>
                  </w:r>
                  <w:r>
                    <w:rPr>
                      <w:rFonts w:hint="default" w:ascii="Times New Roman" w:hAnsi="Times New Roman" w:eastAsia="宋体" w:cs="Times New Roman"/>
                      <w:bCs/>
                      <w:color w:val="000000" w:themeColor="text1"/>
                      <w:sz w:val="21"/>
                      <w:szCs w:val="21"/>
                      <w:highlight w:val="none"/>
                      <w14:textFill>
                        <w14:solidFill>
                          <w14:schemeClr w14:val="tx1"/>
                        </w14:solidFill>
                      </w14:textFill>
                    </w:rPr>
                    <w:t>O</w:t>
                  </w:r>
                </w:p>
              </w:tc>
              <w:tc>
                <w:tcPr>
                  <w:tcW w:w="921" w:type="dxa"/>
                  <w:noWrap w:val="0"/>
                  <w:vAlign w:val="center"/>
                </w:tcPr>
                <w:p w14:paraId="4AB562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TiO</w:t>
                  </w:r>
                  <w:r>
                    <w:rPr>
                      <w:rFonts w:hint="default" w:ascii="Times New Roman" w:hAnsi="Times New Roman" w:eastAsia="宋体" w:cs="Times New Roman"/>
                      <w:bCs/>
                      <w:color w:val="000000" w:themeColor="text1"/>
                      <w:sz w:val="21"/>
                      <w:szCs w:val="21"/>
                      <w:highlight w:val="none"/>
                      <w:vertAlign w:val="subscript"/>
                      <w14:textFill>
                        <w14:solidFill>
                          <w14:schemeClr w14:val="tx1"/>
                        </w14:solidFill>
                      </w14:textFill>
                    </w:rPr>
                    <w:t>2</w:t>
                  </w:r>
                </w:p>
              </w:tc>
              <w:tc>
                <w:tcPr>
                  <w:tcW w:w="926" w:type="dxa"/>
                  <w:noWrap w:val="0"/>
                  <w:vAlign w:val="center"/>
                </w:tcPr>
                <w:p w14:paraId="5D6FCDB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Cl</w:t>
                  </w:r>
                  <w:r>
                    <w:rPr>
                      <w:rFonts w:hint="default" w:ascii="Times New Roman" w:hAnsi="Times New Roman" w:eastAsia="宋体" w:cs="Times New Roman"/>
                      <w:bCs/>
                      <w:color w:val="000000" w:themeColor="text1"/>
                      <w:sz w:val="21"/>
                      <w:szCs w:val="21"/>
                      <w:highlight w:val="none"/>
                      <w:vertAlign w:val="superscript"/>
                      <w14:textFill>
                        <w14:solidFill>
                          <w14:schemeClr w14:val="tx1"/>
                        </w14:solidFill>
                      </w14:textFill>
                    </w:rPr>
                    <w:t>-</w:t>
                  </w:r>
                </w:p>
              </w:tc>
            </w:tr>
            <w:tr w14:paraId="4CD9A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1" w:type="dxa"/>
                  <w:noWrap w:val="0"/>
                  <w:vAlign w:val="center"/>
                </w:tcPr>
                <w:p w14:paraId="63B3057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000000" w:themeColor="text1"/>
                      <w:spacing w:val="-2"/>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53.12</w:t>
                  </w:r>
                </w:p>
              </w:tc>
              <w:tc>
                <w:tcPr>
                  <w:tcW w:w="921" w:type="dxa"/>
                  <w:noWrap w:val="0"/>
                  <w:vAlign w:val="center"/>
                </w:tcPr>
                <w:p w14:paraId="1E4DDF1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45.78</w:t>
                  </w:r>
                </w:p>
              </w:tc>
              <w:tc>
                <w:tcPr>
                  <w:tcW w:w="921" w:type="dxa"/>
                  <w:noWrap w:val="0"/>
                  <w:vAlign w:val="center"/>
                </w:tcPr>
                <w:p w14:paraId="4FC1D9A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0.47</w:t>
                  </w:r>
                </w:p>
              </w:tc>
              <w:tc>
                <w:tcPr>
                  <w:tcW w:w="921" w:type="dxa"/>
                  <w:noWrap w:val="0"/>
                  <w:vAlign w:val="center"/>
                </w:tcPr>
                <w:p w14:paraId="52AD2FA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0.04</w:t>
                  </w:r>
                </w:p>
              </w:tc>
              <w:tc>
                <w:tcPr>
                  <w:tcW w:w="921" w:type="dxa"/>
                  <w:noWrap w:val="0"/>
                  <w:vAlign w:val="center"/>
                </w:tcPr>
                <w:p w14:paraId="0363B5F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0.04</w:t>
                  </w:r>
                </w:p>
              </w:tc>
              <w:tc>
                <w:tcPr>
                  <w:tcW w:w="921" w:type="dxa"/>
                  <w:noWrap w:val="0"/>
                  <w:vAlign w:val="center"/>
                </w:tcPr>
                <w:p w14:paraId="0FE806C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0.04</w:t>
                  </w:r>
                </w:p>
              </w:tc>
              <w:tc>
                <w:tcPr>
                  <w:tcW w:w="921" w:type="dxa"/>
                  <w:noWrap w:val="0"/>
                  <w:vAlign w:val="center"/>
                </w:tcPr>
                <w:p w14:paraId="70CC3FA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0.05</w:t>
                  </w:r>
                </w:p>
              </w:tc>
              <w:tc>
                <w:tcPr>
                  <w:tcW w:w="921" w:type="dxa"/>
                  <w:noWrap w:val="0"/>
                  <w:vAlign w:val="center"/>
                </w:tcPr>
                <w:p w14:paraId="1F5D3D2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0.46</w:t>
                  </w:r>
                </w:p>
              </w:tc>
              <w:tc>
                <w:tcPr>
                  <w:tcW w:w="926" w:type="dxa"/>
                  <w:noWrap w:val="0"/>
                  <w:vAlign w:val="center"/>
                </w:tcPr>
                <w:p w14:paraId="128A300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0.00</w:t>
                  </w:r>
                </w:p>
              </w:tc>
            </w:tr>
          </w:tbl>
          <w:p w14:paraId="7B599F25">
            <w:pPr>
              <w:pStyle w:val="11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2）副产</w:t>
            </w:r>
          </w:p>
          <w:p w14:paraId="5E73DB6F">
            <w:pPr>
              <w:pStyle w:val="116"/>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系统产生1MPa-420℃的过热蒸汽15</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.09</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t/h，除去</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余热</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锅炉自身给水加热及供汽管道疏水，可以对蒸汽用户提供约9.5t/h的蒸汽；东晟公司计划用该蒸汽给三个公司供暖，同时计划供汽给生产新产品开发使用。</w:t>
            </w:r>
          </w:p>
          <w:p w14:paraId="419D2AA0">
            <w:pPr>
              <w:keepNext w:val="0"/>
              <w:keepLines w:val="0"/>
              <w:pageBreakBefore w:val="0"/>
              <w:widowControl w:val="0"/>
              <w:kinsoku/>
              <w:wordWrap/>
              <w:overflowPunct/>
              <w:topLinePunct w:val="0"/>
              <w:autoSpaceDE/>
              <w:autoSpaceDN/>
              <w:bidi w:val="0"/>
              <w:spacing w:line="360" w:lineRule="auto"/>
              <w:ind w:firstLine="482" w:firstLineChars="200"/>
              <w:jc w:val="both"/>
              <w:textAlignment w:val="auto"/>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1.</w:t>
            </w:r>
            <w:r>
              <w:rPr>
                <w:rFonts w:hint="default" w:ascii="Times New Roman" w:hAnsi="Times New Roman" w:cs="Times New Roman"/>
                <w:b/>
                <w:bCs/>
                <w:color w:val="000000" w:themeColor="text1"/>
                <w:sz w:val="24"/>
                <w:highlight w:val="none"/>
                <w:lang w:val="en-US" w:eastAsia="zh-CN"/>
                <w14:textFill>
                  <w14:solidFill>
                    <w14:schemeClr w14:val="tx1"/>
                  </w14:solidFill>
                </w14:textFill>
              </w:rPr>
              <w:t>5</w:t>
            </w:r>
            <w:r>
              <w:rPr>
                <w:rFonts w:hint="default" w:ascii="Times New Roman" w:hAnsi="Times New Roman" w:eastAsia="宋体" w:cs="Times New Roman"/>
                <w:b/>
                <w:bCs/>
                <w:color w:val="000000" w:themeColor="text1"/>
                <w:sz w:val="24"/>
                <w:highlight w:val="none"/>
                <w14:textFill>
                  <w14:solidFill>
                    <w14:schemeClr w14:val="tx1"/>
                  </w14:solidFill>
                </w14:textFill>
              </w:rPr>
              <w:t>主要设备</w:t>
            </w:r>
          </w:p>
          <w:p w14:paraId="0433F367">
            <w:pPr>
              <w:pStyle w:val="86"/>
              <w:keepNext w:val="0"/>
              <w:keepLines w:val="0"/>
              <w:pageBreakBefore w:val="0"/>
              <w:widowControl w:val="0"/>
              <w:kinsoku/>
              <w:wordWrap/>
              <w:overflowPunct/>
              <w:topLinePunct w:val="0"/>
              <w:autoSpaceDE/>
              <w:autoSpaceDN/>
              <w:bidi w:val="0"/>
              <w:snapToGrid w:val="0"/>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全厂主机设备详见</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下</w:t>
            </w:r>
            <w:r>
              <w:rPr>
                <w:rFonts w:hint="default" w:ascii="Times New Roman" w:hAnsi="Times New Roman" w:eastAsia="宋体" w:cs="Times New Roman"/>
                <w:color w:val="000000" w:themeColor="text1"/>
                <w:sz w:val="24"/>
                <w:szCs w:val="24"/>
                <w:highlight w:val="none"/>
                <w14:textFill>
                  <w14:solidFill>
                    <w14:schemeClr w14:val="tx1"/>
                  </w14:solidFill>
                </w14:textFill>
              </w:rPr>
              <w:t>表。</w:t>
            </w:r>
          </w:p>
          <w:p w14:paraId="5A6ADF48">
            <w:pPr>
              <w:ind w:firstLine="470" w:firstLineChars="200"/>
              <w:jc w:val="center"/>
              <w:rPr>
                <w:rFonts w:hint="default" w:ascii="Times New Roman" w:hAnsi="Times New Roman" w:eastAsia="宋体" w:cs="Times New Roman"/>
                <w:b/>
                <w:bCs/>
                <w:color w:val="000000" w:themeColor="text1"/>
                <w:spacing w:val="-3"/>
                <w:sz w:val="24"/>
                <w:szCs w:val="24"/>
                <w:highlight w:val="none"/>
                <w14:textFill>
                  <w14:solidFill>
                    <w14:schemeClr w14:val="tx1"/>
                  </w14:solidFill>
                </w14:textFill>
              </w:rPr>
            </w:pPr>
          </w:p>
          <w:p w14:paraId="5409A5D7">
            <w:pPr>
              <w:ind w:firstLine="470" w:firstLineChars="200"/>
              <w:jc w:val="center"/>
              <w:rPr>
                <w:rFonts w:hint="default" w:ascii="Times New Roman" w:hAnsi="Times New Roman" w:eastAsia="宋体" w:cs="Times New Roman"/>
                <w:b/>
                <w:bCs/>
                <w:color w:val="000000" w:themeColor="text1"/>
                <w:spacing w:val="-3"/>
                <w:sz w:val="24"/>
                <w:szCs w:val="24"/>
                <w:highlight w:val="none"/>
                <w14:textFill>
                  <w14:solidFill>
                    <w14:schemeClr w14:val="tx1"/>
                  </w14:solidFill>
                </w14:textFill>
              </w:rPr>
            </w:pPr>
          </w:p>
          <w:p w14:paraId="6E3D0875">
            <w:pPr>
              <w:ind w:firstLine="470" w:firstLineChars="200"/>
              <w:jc w:val="center"/>
              <w:rPr>
                <w:rFonts w:hint="default" w:ascii="Times New Roman" w:hAnsi="Times New Roman" w:eastAsia="宋体" w:cs="Times New Roman"/>
                <w:b/>
                <w:bCs/>
                <w:color w:val="000000" w:themeColor="text1"/>
                <w:spacing w:val="-3"/>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pacing w:val="-3"/>
                <w:sz w:val="24"/>
                <w:szCs w:val="24"/>
                <w:highlight w:val="none"/>
                <w14:textFill>
                  <w14:solidFill>
                    <w14:schemeClr w14:val="tx1"/>
                  </w14:solidFill>
                </w14:textFill>
              </w:rPr>
              <w:t>表</w:t>
            </w:r>
            <w:r>
              <w:rPr>
                <w:rFonts w:hint="default" w:ascii="Times New Roman" w:hAnsi="Times New Roman" w:eastAsia="宋体" w:cs="Times New Roman"/>
                <w:b/>
                <w:bCs/>
                <w:color w:val="000000" w:themeColor="text1"/>
                <w:spacing w:val="-3"/>
                <w:sz w:val="24"/>
                <w:szCs w:val="24"/>
                <w:highlight w:val="none"/>
                <w:lang w:val="en-US" w:eastAsia="zh-CN"/>
                <w14:textFill>
                  <w14:solidFill>
                    <w14:schemeClr w14:val="tx1"/>
                  </w14:solidFill>
                </w14:textFill>
              </w:rPr>
              <w:t>2-9</w:t>
            </w:r>
            <w:r>
              <w:rPr>
                <w:rFonts w:hint="default" w:ascii="Times New Roman" w:hAnsi="Times New Roman" w:eastAsia="宋体" w:cs="Times New Roman"/>
                <w:b/>
                <w:bCs/>
                <w:color w:val="000000" w:themeColor="text1"/>
                <w:spacing w:val="-3"/>
                <w:sz w:val="24"/>
                <w:szCs w:val="24"/>
                <w:highlight w:val="none"/>
                <w14:textFill>
                  <w14:solidFill>
                    <w14:schemeClr w14:val="tx1"/>
                  </w14:solidFill>
                </w14:textFill>
              </w:rPr>
              <w:t>本项目主要生产设备一览表</w:t>
            </w:r>
          </w:p>
          <w:tbl>
            <w:tblPr>
              <w:tblStyle w:val="24"/>
              <w:tblW w:w="830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0"/>
              <w:gridCol w:w="707"/>
              <w:gridCol w:w="4207"/>
              <w:gridCol w:w="916"/>
              <w:gridCol w:w="690"/>
              <w:gridCol w:w="1152"/>
            </w:tblGrid>
            <w:tr w14:paraId="742B2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630" w:type="dxa"/>
                  <w:tcBorders>
                    <w:bottom w:val="single" w:color="auto" w:sz="4" w:space="0"/>
                  </w:tcBorders>
                  <w:noWrap/>
                  <w:vAlign w:val="center"/>
                </w:tcPr>
                <w:p w14:paraId="75542E5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序号</w:t>
                  </w:r>
                </w:p>
              </w:tc>
              <w:tc>
                <w:tcPr>
                  <w:tcW w:w="707" w:type="dxa"/>
                  <w:tcBorders>
                    <w:bottom w:val="single" w:color="auto" w:sz="4" w:space="0"/>
                  </w:tcBorders>
                  <w:noWrap/>
                  <w:vAlign w:val="center"/>
                </w:tcPr>
                <w:p w14:paraId="6DB1DDB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子项</w:t>
                  </w:r>
                </w:p>
                <w:p w14:paraId="45E43E3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名称</w:t>
                  </w:r>
                </w:p>
              </w:tc>
              <w:tc>
                <w:tcPr>
                  <w:tcW w:w="4207" w:type="dxa"/>
                  <w:tcBorders>
                    <w:bottom w:val="single" w:color="auto" w:sz="4" w:space="0"/>
                  </w:tcBorders>
                  <w:noWrap/>
                  <w:vAlign w:val="center"/>
                </w:tcPr>
                <w:p w14:paraId="4D04BAD4">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设备名称、规格及技术性能</w:t>
                  </w:r>
                </w:p>
              </w:tc>
              <w:tc>
                <w:tcPr>
                  <w:tcW w:w="916" w:type="dxa"/>
                  <w:tcBorders>
                    <w:bottom w:val="single" w:color="auto" w:sz="4" w:space="0"/>
                  </w:tcBorders>
                  <w:noWrap/>
                  <w:vAlign w:val="center"/>
                </w:tcPr>
                <w:p w14:paraId="69B7C2D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能力</w:t>
                  </w:r>
                </w:p>
                <w:p w14:paraId="6EB96B8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t/h</w:t>
                  </w:r>
                  <w:r>
                    <w:rPr>
                      <w:rFonts w:hint="default" w:ascii="Times New Roman" w:hAnsi="Times New Roman" w:cs="Times New Roman"/>
                      <w:b w:val="0"/>
                      <w:bCs/>
                      <w:color w:val="000000" w:themeColor="text1"/>
                      <w:sz w:val="21"/>
                      <w:szCs w:val="21"/>
                      <w:highlight w:val="none"/>
                      <w:lang w:eastAsia="zh-CN"/>
                      <w14:textFill>
                        <w14:solidFill>
                          <w14:schemeClr w14:val="tx1"/>
                        </w14:solidFill>
                      </w14:textFill>
                    </w:rPr>
                    <w:t>)</w:t>
                  </w:r>
                </w:p>
              </w:tc>
              <w:tc>
                <w:tcPr>
                  <w:tcW w:w="690" w:type="dxa"/>
                  <w:tcBorders>
                    <w:bottom w:val="single" w:color="auto" w:sz="4" w:space="0"/>
                  </w:tcBorders>
                  <w:noWrap/>
                  <w:vAlign w:val="center"/>
                </w:tcPr>
                <w:p w14:paraId="7CAE628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台数</w:t>
                  </w:r>
                </w:p>
              </w:tc>
              <w:tc>
                <w:tcPr>
                  <w:tcW w:w="1152" w:type="dxa"/>
                  <w:tcBorders>
                    <w:bottom w:val="single" w:color="auto" w:sz="4" w:space="0"/>
                  </w:tcBorders>
                  <w:noWrap/>
                  <w:vAlign w:val="center"/>
                </w:tcPr>
                <w:p w14:paraId="26FD859F">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b w:val="0"/>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年利用</w:t>
                  </w:r>
                </w:p>
                <w:p w14:paraId="018ECA63">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率</w:t>
                  </w:r>
                  <w: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color w:val="000000" w:themeColor="text1"/>
                      <w:sz w:val="21"/>
                      <w:szCs w:val="21"/>
                      <w:highlight w:val="none"/>
                      <w:lang w:eastAsia="zh-CN"/>
                      <w14:textFill>
                        <w14:solidFill>
                          <w14:schemeClr w14:val="tx1"/>
                        </w14:solidFill>
                      </w14:textFill>
                    </w:rPr>
                    <w:t>）</w:t>
                  </w:r>
                </w:p>
              </w:tc>
            </w:tr>
            <w:tr w14:paraId="09602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30" w:type="dxa"/>
                  <w:vMerge w:val="restart"/>
                  <w:tcBorders>
                    <w:top w:val="single" w:color="auto" w:sz="4" w:space="0"/>
                    <w:left w:val="single" w:color="auto" w:sz="4" w:space="0"/>
                    <w:right w:val="single" w:color="auto" w:sz="4" w:space="0"/>
                  </w:tcBorders>
                  <w:noWrap/>
                  <w:vAlign w:val="center"/>
                </w:tcPr>
                <w:p w14:paraId="5498281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707" w:type="dxa"/>
                  <w:vMerge w:val="restart"/>
                  <w:tcBorders>
                    <w:top w:val="single" w:color="auto" w:sz="4" w:space="0"/>
                    <w:left w:val="single" w:color="auto" w:sz="4" w:space="0"/>
                    <w:right w:val="single" w:color="auto" w:sz="4" w:space="0"/>
                  </w:tcBorders>
                  <w:noWrap/>
                  <w:vAlign w:val="center"/>
                </w:tcPr>
                <w:p w14:paraId="2EFA121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煅烧废气处理</w:t>
                  </w:r>
                </w:p>
              </w:tc>
              <w:tc>
                <w:tcPr>
                  <w:tcW w:w="4207" w:type="dxa"/>
                  <w:tcBorders>
                    <w:top w:val="single" w:color="auto" w:sz="4" w:space="0"/>
                    <w:left w:val="single" w:color="auto" w:sz="4" w:space="0"/>
                    <w:bottom w:val="single" w:color="auto" w:sz="4" w:space="0"/>
                    <w:right w:val="single" w:color="auto" w:sz="4" w:space="0"/>
                  </w:tcBorders>
                  <w:noWrap/>
                  <w:vAlign w:val="center"/>
                </w:tcPr>
                <w:p w14:paraId="6D270988">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窑尾袋收尘器</w:t>
                  </w:r>
                </w:p>
                <w:p w14:paraId="5F78FE7A">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处理风量：</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24</w:t>
                  </w:r>
                  <w:r>
                    <w:rPr>
                      <w:rFonts w:hint="default" w:ascii="Times New Roman" w:hAnsi="Times New Roman" w:eastAsia="宋体" w:cs="Times New Roman"/>
                      <w:color w:val="000000" w:themeColor="text1"/>
                      <w:sz w:val="21"/>
                      <w:szCs w:val="21"/>
                      <w:highlight w:val="none"/>
                      <w14:textFill>
                        <w14:solidFill>
                          <w14:schemeClr w14:val="tx1"/>
                        </w14:solidFill>
                      </w14:textFill>
                    </w:rPr>
                    <w:t>0000m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/h</w:t>
                  </w:r>
                </w:p>
                <w:p w14:paraId="11EC98A7">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含尘气体温度：200℃（max:250℃）</w:t>
                  </w:r>
                </w:p>
                <w:p w14:paraId="2BB4E865">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净过滤面积</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5444</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2</w:t>
                  </w:r>
                </w:p>
                <w:p w14:paraId="6B0033FE">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净过滤风速</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75</w:t>
                  </w:r>
                  <w:r>
                    <w:rPr>
                      <w:rFonts w:hint="default" w:ascii="Times New Roman" w:hAnsi="Times New Roman" w:eastAsia="宋体" w:cs="Times New Roman"/>
                      <w:color w:val="000000" w:themeColor="text1"/>
                      <w:sz w:val="21"/>
                      <w:szCs w:val="21"/>
                      <w:highlight w:val="none"/>
                      <w14:textFill>
                        <w14:solidFill>
                          <w14:schemeClr w14:val="tx1"/>
                        </w14:solidFill>
                      </w14:textFill>
                    </w:rPr>
                    <w:t>m/min</w:t>
                  </w:r>
                </w:p>
                <w:p w14:paraId="4F1F082A">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壳体承受</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11</w:t>
                  </w:r>
                  <w:r>
                    <w:rPr>
                      <w:rFonts w:hint="default" w:ascii="Times New Roman" w:hAnsi="Times New Roman" w:eastAsia="宋体" w:cs="Times New Roman"/>
                      <w:color w:val="000000" w:themeColor="text1"/>
                      <w:sz w:val="21"/>
                      <w:szCs w:val="21"/>
                      <w:highlight w:val="none"/>
                      <w14:textFill>
                        <w14:solidFill>
                          <w14:schemeClr w14:val="tx1"/>
                        </w14:solidFill>
                      </w14:textFill>
                    </w:rPr>
                    <w:t>000Pa</w:t>
                  </w:r>
                </w:p>
                <w:p w14:paraId="485769AC">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入口气体含尘浓度：≤</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00g/Nm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p w14:paraId="3B981714">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出口气体含尘浓度：≤</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0mg/Nm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tc>
              <w:tc>
                <w:tcPr>
                  <w:tcW w:w="916" w:type="dxa"/>
                  <w:vMerge w:val="restart"/>
                  <w:tcBorders>
                    <w:top w:val="single" w:color="auto" w:sz="4" w:space="0"/>
                    <w:left w:val="single" w:color="auto" w:sz="4" w:space="0"/>
                    <w:right w:val="single" w:color="auto" w:sz="4" w:space="0"/>
                  </w:tcBorders>
                  <w:noWrap/>
                  <w:vAlign w:val="center"/>
                </w:tcPr>
                <w:p w14:paraId="5CE29E3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690" w:type="dxa"/>
                  <w:tcBorders>
                    <w:top w:val="single" w:color="auto" w:sz="4" w:space="0"/>
                    <w:left w:val="single" w:color="auto" w:sz="4" w:space="0"/>
                    <w:bottom w:val="single" w:color="auto" w:sz="4" w:space="0"/>
                    <w:right w:val="single" w:color="auto" w:sz="4" w:space="0"/>
                  </w:tcBorders>
                  <w:noWrap/>
                  <w:vAlign w:val="center"/>
                </w:tcPr>
                <w:p w14:paraId="594BCE8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1152" w:type="dxa"/>
                  <w:vMerge w:val="restart"/>
                  <w:tcBorders>
                    <w:top w:val="single" w:color="auto" w:sz="4" w:space="0"/>
                    <w:left w:val="single" w:color="auto" w:sz="4" w:space="0"/>
                    <w:right w:val="single" w:color="auto" w:sz="4" w:space="0"/>
                  </w:tcBorders>
                  <w:noWrap/>
                  <w:vAlign w:val="center"/>
                </w:tcPr>
                <w:p w14:paraId="1FAC256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82.19</w:t>
                  </w:r>
                </w:p>
              </w:tc>
            </w:tr>
            <w:tr w14:paraId="4E9C3F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30" w:type="dxa"/>
                  <w:vMerge w:val="continue"/>
                  <w:tcBorders>
                    <w:left w:val="single" w:color="auto" w:sz="4" w:space="0"/>
                    <w:bottom w:val="single" w:color="auto" w:sz="4" w:space="0"/>
                    <w:right w:val="single" w:color="auto" w:sz="4" w:space="0"/>
                  </w:tcBorders>
                  <w:noWrap/>
                  <w:vAlign w:val="center"/>
                </w:tcPr>
                <w:p w14:paraId="5955450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707" w:type="dxa"/>
                  <w:vMerge w:val="continue"/>
                  <w:tcBorders>
                    <w:left w:val="single" w:color="auto" w:sz="4" w:space="0"/>
                    <w:bottom w:val="single" w:color="auto" w:sz="4" w:space="0"/>
                    <w:right w:val="single" w:color="auto" w:sz="4" w:space="0"/>
                  </w:tcBorders>
                  <w:noWrap/>
                  <w:vAlign w:val="center"/>
                </w:tcPr>
                <w:p w14:paraId="6A53DDFC">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207" w:type="dxa"/>
                  <w:tcBorders>
                    <w:top w:val="single" w:color="auto" w:sz="4" w:space="0"/>
                    <w:left w:val="single" w:color="auto" w:sz="4" w:space="0"/>
                    <w:bottom w:val="single" w:color="auto" w:sz="4" w:space="0"/>
                    <w:right w:val="single" w:color="auto" w:sz="4" w:space="0"/>
                  </w:tcBorders>
                  <w:noWrap/>
                  <w:vAlign w:val="center"/>
                </w:tcPr>
                <w:p w14:paraId="0C0BD014">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窑尾废气风机（高效风机）</w:t>
                  </w:r>
                </w:p>
                <w:p w14:paraId="0D09BD57">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流量：</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25</w:t>
                  </w:r>
                  <w:r>
                    <w:rPr>
                      <w:rFonts w:hint="default" w:ascii="Times New Roman" w:hAnsi="Times New Roman" w:eastAsia="宋体" w:cs="Times New Roman"/>
                      <w:color w:val="000000" w:themeColor="text1"/>
                      <w:sz w:val="21"/>
                      <w:szCs w:val="21"/>
                      <w:highlight w:val="none"/>
                      <w14:textFill>
                        <w14:solidFill>
                          <w14:schemeClr w14:val="tx1"/>
                        </w14:solidFill>
                      </w14:textFill>
                    </w:rPr>
                    <w:t>0000m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/h</w:t>
                  </w:r>
                </w:p>
                <w:p w14:paraId="5FEE8994">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入口静压：-</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z w:val="21"/>
                      <w:szCs w:val="21"/>
                      <w:highlight w:val="none"/>
                      <w14:textFill>
                        <w14:solidFill>
                          <w14:schemeClr w14:val="tx1"/>
                        </w14:solidFill>
                      </w14:textFill>
                    </w:rPr>
                    <w:t>500Pa</w:t>
                  </w:r>
                </w:p>
                <w:p w14:paraId="0E3E05EF">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出口静压：</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20</w:t>
                  </w:r>
                  <w:r>
                    <w:rPr>
                      <w:rFonts w:hint="default" w:ascii="Times New Roman" w:hAnsi="Times New Roman" w:eastAsia="宋体" w:cs="Times New Roman"/>
                      <w:color w:val="000000" w:themeColor="text1"/>
                      <w:sz w:val="21"/>
                      <w:szCs w:val="21"/>
                      <w:highlight w:val="none"/>
                      <w14:textFill>
                        <w14:solidFill>
                          <w14:schemeClr w14:val="tx1"/>
                        </w14:solidFill>
                      </w14:textFill>
                    </w:rPr>
                    <w:t>00Pa</w:t>
                  </w:r>
                </w:p>
                <w:p w14:paraId="6CA8DA8B">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转速：</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145</w:t>
                  </w:r>
                  <w:r>
                    <w:rPr>
                      <w:rFonts w:hint="default" w:ascii="Times New Roman" w:hAnsi="Times New Roman" w:eastAsia="宋体" w:cs="Times New Roman"/>
                      <w:color w:val="000000" w:themeColor="text1"/>
                      <w:sz w:val="21"/>
                      <w:szCs w:val="21"/>
                      <w:highlight w:val="none"/>
                      <w14:textFill>
                        <w14:solidFill>
                          <w14:schemeClr w14:val="tx1"/>
                        </w14:solidFill>
                      </w14:textFill>
                    </w:rPr>
                    <w:t>0r/min</w:t>
                  </w:r>
                </w:p>
                <w:p w14:paraId="513DE3D0">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风温：</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18</w:t>
                  </w:r>
                  <w:r>
                    <w:rPr>
                      <w:rFonts w:hint="default" w:ascii="Times New Roman" w:hAnsi="Times New Roman" w:eastAsia="宋体" w:cs="Times New Roman"/>
                      <w:color w:val="000000" w:themeColor="text1"/>
                      <w:sz w:val="21"/>
                      <w:szCs w:val="21"/>
                      <w:highlight w:val="none"/>
                      <w14:textFill>
                        <w14:solidFill>
                          <w14:schemeClr w14:val="tx1"/>
                        </w14:solidFill>
                      </w14:textFill>
                    </w:rPr>
                    <w:t>0℃</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max2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z w:val="21"/>
                      <w:szCs w:val="21"/>
                      <w:highlight w:val="none"/>
                      <w14:textFill>
                        <w14:solidFill>
                          <w14:schemeClr w14:val="tx1"/>
                        </w14:solidFill>
                      </w14:textFill>
                    </w:rPr>
                    <w:t>0℃</w:t>
                  </w:r>
                </w:p>
                <w:p w14:paraId="7F30866C">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电机功率：</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1120</w:t>
                  </w:r>
                  <w:r>
                    <w:rPr>
                      <w:rFonts w:hint="default" w:ascii="Times New Roman" w:hAnsi="Times New Roman" w:eastAsia="宋体" w:cs="Times New Roman"/>
                      <w:color w:val="000000" w:themeColor="text1"/>
                      <w:sz w:val="21"/>
                      <w:szCs w:val="21"/>
                      <w:highlight w:val="none"/>
                      <w14:textFill>
                        <w14:solidFill>
                          <w14:schemeClr w14:val="tx1"/>
                        </w14:solidFill>
                      </w14:textFill>
                    </w:rPr>
                    <w:t>kW（变频调速）</w:t>
                  </w:r>
                </w:p>
              </w:tc>
              <w:tc>
                <w:tcPr>
                  <w:tcW w:w="916" w:type="dxa"/>
                  <w:vMerge w:val="continue"/>
                  <w:tcBorders>
                    <w:left w:val="single" w:color="auto" w:sz="4" w:space="0"/>
                    <w:bottom w:val="single" w:color="auto" w:sz="4" w:space="0"/>
                    <w:right w:val="single" w:color="auto" w:sz="4" w:space="0"/>
                  </w:tcBorders>
                  <w:noWrap/>
                  <w:vAlign w:val="center"/>
                </w:tcPr>
                <w:p w14:paraId="3E4F170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90" w:type="dxa"/>
                  <w:tcBorders>
                    <w:top w:val="single" w:color="auto" w:sz="4" w:space="0"/>
                    <w:left w:val="single" w:color="auto" w:sz="4" w:space="0"/>
                    <w:bottom w:val="single" w:color="auto" w:sz="4" w:space="0"/>
                    <w:right w:val="single" w:color="auto" w:sz="4" w:space="0"/>
                  </w:tcBorders>
                  <w:noWrap/>
                  <w:vAlign w:val="center"/>
                </w:tcPr>
                <w:p w14:paraId="0C4F0D6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1152" w:type="dxa"/>
                  <w:vMerge w:val="continue"/>
                  <w:tcBorders>
                    <w:left w:val="single" w:color="auto" w:sz="4" w:space="0"/>
                    <w:bottom w:val="single" w:color="auto" w:sz="4" w:space="0"/>
                    <w:right w:val="single" w:color="auto" w:sz="4" w:space="0"/>
                  </w:tcBorders>
                  <w:noWrap/>
                  <w:vAlign w:val="center"/>
                </w:tcPr>
                <w:p w14:paraId="5533B21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3142A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30" w:type="dxa"/>
                  <w:vMerge w:val="restart"/>
                  <w:tcBorders>
                    <w:top w:val="single" w:color="auto" w:sz="4" w:space="0"/>
                    <w:left w:val="single" w:color="auto" w:sz="4" w:space="0"/>
                    <w:right w:val="single" w:color="auto" w:sz="4" w:space="0"/>
                  </w:tcBorders>
                  <w:noWrap/>
                  <w:vAlign w:val="center"/>
                </w:tcPr>
                <w:p w14:paraId="0BD529D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c>
                <w:tcPr>
                  <w:tcW w:w="707" w:type="dxa"/>
                  <w:vMerge w:val="restart"/>
                  <w:tcBorders>
                    <w:top w:val="single" w:color="auto" w:sz="4" w:space="0"/>
                    <w:left w:val="single" w:color="auto" w:sz="4" w:space="0"/>
                    <w:right w:val="single" w:color="auto" w:sz="4" w:space="0"/>
                  </w:tcBorders>
                  <w:noWrap/>
                  <w:vAlign w:val="center"/>
                </w:tcPr>
                <w:p w14:paraId="421DB39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煅烧</w:t>
                  </w:r>
                </w:p>
                <w:p w14:paraId="499422F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窑尾</w:t>
                  </w:r>
                </w:p>
              </w:tc>
              <w:tc>
                <w:tcPr>
                  <w:tcW w:w="4207" w:type="dxa"/>
                  <w:tcBorders>
                    <w:top w:val="single" w:color="auto" w:sz="4" w:space="0"/>
                    <w:left w:val="single" w:color="auto" w:sz="4" w:space="0"/>
                    <w:bottom w:val="single" w:color="auto" w:sz="4" w:space="0"/>
                    <w:right w:val="single" w:color="auto" w:sz="4" w:space="0"/>
                  </w:tcBorders>
                  <w:noWrap/>
                  <w:vAlign w:val="center"/>
                </w:tcPr>
                <w:p w14:paraId="180EE50F">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悬浮煅烧系统</w:t>
                  </w:r>
                </w:p>
                <w:p w14:paraId="480FAD04">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旋风筒规格</w:t>
                  </w:r>
                </w:p>
                <w:p w14:paraId="2FE970DE">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2-C1</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φ</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43</w:t>
                  </w:r>
                  <w:r>
                    <w:rPr>
                      <w:rFonts w:hint="default" w:ascii="Times New Roman" w:hAnsi="Times New Roman" w:eastAsia="宋体" w:cs="Times New Roman"/>
                      <w:color w:val="000000" w:themeColor="text1"/>
                      <w:sz w:val="21"/>
                      <w:szCs w:val="21"/>
                      <w:highlight w:val="none"/>
                      <w14:textFill>
                        <w14:solidFill>
                          <w14:schemeClr w14:val="tx1"/>
                        </w14:solidFill>
                      </w14:textFill>
                    </w:rPr>
                    <w:t>00mm</w:t>
                  </w:r>
                </w:p>
                <w:p w14:paraId="71AA6D4B">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C2</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φ5500mm</w:t>
                  </w:r>
                </w:p>
                <w:p w14:paraId="6815C1E8">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C3</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φ5500mm</w:t>
                  </w:r>
                </w:p>
                <w:p w14:paraId="78797900">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C4</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φ5500mm</w:t>
                  </w:r>
                </w:p>
                <w:p w14:paraId="29196E04">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悬浮炉规格：φ4000mm</w:t>
                  </w:r>
                </w:p>
              </w:tc>
              <w:tc>
                <w:tcPr>
                  <w:tcW w:w="916" w:type="dxa"/>
                  <w:vMerge w:val="restart"/>
                  <w:tcBorders>
                    <w:top w:val="single" w:color="auto" w:sz="4" w:space="0"/>
                    <w:left w:val="single" w:color="auto" w:sz="4" w:space="0"/>
                    <w:right w:val="single" w:color="auto" w:sz="4" w:space="0"/>
                  </w:tcBorders>
                  <w:noWrap/>
                  <w:vAlign w:val="center"/>
                </w:tcPr>
                <w:p w14:paraId="5DD1AA5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667</w:t>
                  </w:r>
                  <w:r>
                    <w:rPr>
                      <w:rFonts w:hint="default" w:ascii="Times New Roman" w:hAnsi="Times New Roman" w:eastAsia="宋体" w:cs="Times New Roman"/>
                      <w:color w:val="000000" w:themeColor="text1"/>
                      <w:sz w:val="21"/>
                      <w:szCs w:val="21"/>
                      <w:highlight w:val="none"/>
                      <w14:textFill>
                        <w14:solidFill>
                          <w14:schemeClr w14:val="tx1"/>
                        </w14:solidFill>
                      </w14:textFill>
                    </w:rPr>
                    <w:t>t/d</w:t>
                  </w:r>
                </w:p>
              </w:tc>
              <w:tc>
                <w:tcPr>
                  <w:tcW w:w="690" w:type="dxa"/>
                  <w:tcBorders>
                    <w:top w:val="single" w:color="auto" w:sz="4" w:space="0"/>
                    <w:left w:val="single" w:color="auto" w:sz="4" w:space="0"/>
                    <w:bottom w:val="single" w:color="auto" w:sz="4" w:space="0"/>
                    <w:right w:val="single" w:color="auto" w:sz="4" w:space="0"/>
                  </w:tcBorders>
                  <w:noWrap/>
                  <w:vAlign w:val="center"/>
                </w:tcPr>
                <w:p w14:paraId="628D6EF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1152" w:type="dxa"/>
                  <w:vMerge w:val="restart"/>
                  <w:tcBorders>
                    <w:top w:val="single" w:color="auto" w:sz="4" w:space="0"/>
                    <w:left w:val="single" w:color="auto" w:sz="4" w:space="0"/>
                    <w:right w:val="single" w:color="auto" w:sz="4" w:space="0"/>
                  </w:tcBorders>
                  <w:noWrap/>
                  <w:vAlign w:val="center"/>
                </w:tcPr>
                <w:p w14:paraId="2C71D79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82.19</w:t>
                  </w:r>
                </w:p>
              </w:tc>
            </w:tr>
            <w:tr w14:paraId="7E438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30" w:type="dxa"/>
                  <w:vMerge w:val="continue"/>
                  <w:tcBorders>
                    <w:top w:val="single" w:color="auto" w:sz="4" w:space="0"/>
                    <w:left w:val="single" w:color="auto" w:sz="4" w:space="0"/>
                    <w:right w:val="single" w:color="auto" w:sz="4" w:space="0"/>
                  </w:tcBorders>
                  <w:noWrap/>
                  <w:vAlign w:val="center"/>
                </w:tcPr>
                <w:p w14:paraId="46B7D3C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707" w:type="dxa"/>
                  <w:vMerge w:val="continue"/>
                  <w:tcBorders>
                    <w:top w:val="single" w:color="auto" w:sz="4" w:space="0"/>
                    <w:left w:val="single" w:color="auto" w:sz="4" w:space="0"/>
                    <w:right w:val="single" w:color="auto" w:sz="4" w:space="0"/>
                  </w:tcBorders>
                  <w:noWrap/>
                  <w:vAlign w:val="center"/>
                </w:tcPr>
                <w:p w14:paraId="5C63021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207" w:type="dxa"/>
                  <w:tcBorders>
                    <w:top w:val="single" w:color="auto" w:sz="4" w:space="0"/>
                    <w:left w:val="single" w:color="auto" w:sz="4" w:space="0"/>
                    <w:bottom w:val="single" w:color="auto" w:sz="4" w:space="0"/>
                    <w:right w:val="single" w:color="auto" w:sz="4" w:space="0"/>
                  </w:tcBorders>
                  <w:noWrap/>
                  <w:vAlign w:val="center"/>
                </w:tcPr>
                <w:p w14:paraId="621455E4">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高温风机（高效风机）</w:t>
                  </w:r>
                </w:p>
                <w:p w14:paraId="46CBA78A">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风量：180000m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/h</w:t>
                  </w:r>
                </w:p>
                <w:p w14:paraId="51A2B5E1">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进口静压：7000Pa</w:t>
                  </w:r>
                </w:p>
                <w:p w14:paraId="08D52298">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工作温度：200℃</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max350℃</w:t>
                  </w:r>
                </w:p>
                <w:p w14:paraId="602415D6">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最高瞬时温度：450℃</w:t>
                  </w:r>
                </w:p>
                <w:p w14:paraId="3DD81ADE">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转速：980r/min</w:t>
                  </w:r>
                </w:p>
                <w:p w14:paraId="17D27970">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主电机功率：560kW</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变频调速</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tc>
              <w:tc>
                <w:tcPr>
                  <w:tcW w:w="916" w:type="dxa"/>
                  <w:vMerge w:val="continue"/>
                  <w:tcBorders>
                    <w:top w:val="single" w:color="auto" w:sz="4" w:space="0"/>
                    <w:left w:val="single" w:color="auto" w:sz="4" w:space="0"/>
                    <w:right w:val="single" w:color="auto" w:sz="4" w:space="0"/>
                  </w:tcBorders>
                  <w:noWrap/>
                  <w:vAlign w:val="center"/>
                </w:tcPr>
                <w:p w14:paraId="7ADEFD9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90" w:type="dxa"/>
                  <w:tcBorders>
                    <w:top w:val="single" w:color="auto" w:sz="4" w:space="0"/>
                    <w:left w:val="single" w:color="auto" w:sz="4" w:space="0"/>
                    <w:bottom w:val="single" w:color="auto" w:sz="4" w:space="0"/>
                    <w:right w:val="single" w:color="auto" w:sz="4" w:space="0"/>
                  </w:tcBorders>
                  <w:noWrap/>
                  <w:vAlign w:val="center"/>
                </w:tcPr>
                <w:p w14:paraId="12D6574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1152" w:type="dxa"/>
                  <w:vMerge w:val="continue"/>
                  <w:tcBorders>
                    <w:top w:val="single" w:color="auto" w:sz="4" w:space="0"/>
                    <w:left w:val="single" w:color="auto" w:sz="4" w:space="0"/>
                    <w:right w:val="single" w:color="auto" w:sz="4" w:space="0"/>
                  </w:tcBorders>
                  <w:noWrap/>
                  <w:vAlign w:val="center"/>
                </w:tcPr>
                <w:p w14:paraId="4129ADC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13833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30" w:type="dxa"/>
                  <w:tcBorders>
                    <w:top w:val="single" w:color="auto" w:sz="4" w:space="0"/>
                    <w:left w:val="single" w:color="auto" w:sz="4" w:space="0"/>
                    <w:right w:val="single" w:color="auto" w:sz="4" w:space="0"/>
                  </w:tcBorders>
                  <w:noWrap/>
                  <w:vAlign w:val="center"/>
                </w:tcPr>
                <w:p w14:paraId="038E3BD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p>
              </w:tc>
              <w:tc>
                <w:tcPr>
                  <w:tcW w:w="707" w:type="dxa"/>
                  <w:tcBorders>
                    <w:top w:val="single" w:color="auto" w:sz="4" w:space="0"/>
                    <w:left w:val="single" w:color="auto" w:sz="4" w:space="0"/>
                    <w:right w:val="single" w:color="auto" w:sz="4" w:space="0"/>
                  </w:tcBorders>
                  <w:noWrap/>
                  <w:vAlign w:val="center"/>
                </w:tcPr>
                <w:p w14:paraId="7BB73E6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煅烧</w:t>
                  </w:r>
                </w:p>
                <w:p w14:paraId="2A484C8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窑中</w:t>
                  </w:r>
                </w:p>
              </w:tc>
              <w:tc>
                <w:tcPr>
                  <w:tcW w:w="4207" w:type="dxa"/>
                  <w:tcBorders>
                    <w:top w:val="single" w:color="auto" w:sz="4" w:space="0"/>
                    <w:left w:val="single" w:color="auto" w:sz="4" w:space="0"/>
                    <w:bottom w:val="single" w:color="auto" w:sz="4" w:space="0"/>
                    <w:right w:val="single" w:color="auto" w:sz="4" w:space="0"/>
                  </w:tcBorders>
                  <w:noWrap/>
                  <w:vAlign w:val="center"/>
                </w:tcPr>
                <w:p w14:paraId="3EDD231D">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回转窑</w:t>
                  </w:r>
                </w:p>
                <w:p w14:paraId="01169EFE">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规格：ф4</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70</w:t>
                  </w:r>
                  <w:r>
                    <w:rPr>
                      <w:rFonts w:hint="default" w:ascii="Times New Roman" w:hAnsi="Times New Roman" w:eastAsia="宋体" w:cs="Times New Roman"/>
                      <w:color w:val="000000" w:themeColor="text1"/>
                      <w:sz w:val="21"/>
                      <w:szCs w:val="21"/>
                      <w:highlight w:val="none"/>
                      <w14:textFill>
                        <w14:solidFill>
                          <w14:schemeClr w14:val="tx1"/>
                        </w14:solidFill>
                      </w14:textFill>
                    </w:rPr>
                    <w:t>m</w:t>
                  </w:r>
                </w:p>
                <w:p w14:paraId="44545397">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转速：0.37～3.7r/min</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主传</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p w14:paraId="5BA0C8C4">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主电机功率：</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40</w:t>
                  </w:r>
                  <w:r>
                    <w:rPr>
                      <w:rFonts w:hint="default" w:ascii="Times New Roman" w:hAnsi="Times New Roman" w:eastAsia="宋体" w:cs="Times New Roman"/>
                      <w:color w:val="000000" w:themeColor="text1"/>
                      <w:sz w:val="21"/>
                      <w:szCs w:val="21"/>
                      <w:highlight w:val="none"/>
                      <w14:textFill>
                        <w14:solidFill>
                          <w14:schemeClr w14:val="tx1"/>
                        </w14:solidFill>
                      </w14:textFill>
                    </w:rPr>
                    <w:t>0kW</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变频调速</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tc>
              <w:tc>
                <w:tcPr>
                  <w:tcW w:w="916" w:type="dxa"/>
                  <w:tcBorders>
                    <w:top w:val="single" w:color="auto" w:sz="4" w:space="0"/>
                    <w:left w:val="single" w:color="auto" w:sz="4" w:space="0"/>
                    <w:right w:val="single" w:color="auto" w:sz="4" w:space="0"/>
                  </w:tcBorders>
                  <w:noWrap/>
                  <w:vAlign w:val="center"/>
                </w:tcPr>
                <w:p w14:paraId="5A1F1F0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667</w:t>
                  </w:r>
                  <w:r>
                    <w:rPr>
                      <w:rFonts w:hint="default" w:ascii="Times New Roman" w:hAnsi="Times New Roman" w:eastAsia="宋体" w:cs="Times New Roman"/>
                      <w:color w:val="000000" w:themeColor="text1"/>
                      <w:sz w:val="21"/>
                      <w:szCs w:val="21"/>
                      <w:highlight w:val="none"/>
                      <w14:textFill>
                        <w14:solidFill>
                          <w14:schemeClr w14:val="tx1"/>
                        </w14:solidFill>
                      </w14:textFill>
                    </w:rPr>
                    <w:t>t/d</w:t>
                  </w:r>
                </w:p>
              </w:tc>
              <w:tc>
                <w:tcPr>
                  <w:tcW w:w="690" w:type="dxa"/>
                  <w:tcBorders>
                    <w:top w:val="single" w:color="auto" w:sz="4" w:space="0"/>
                    <w:left w:val="single" w:color="auto" w:sz="4" w:space="0"/>
                    <w:bottom w:val="single" w:color="auto" w:sz="4" w:space="0"/>
                    <w:right w:val="single" w:color="auto" w:sz="4" w:space="0"/>
                  </w:tcBorders>
                  <w:noWrap/>
                  <w:vAlign w:val="center"/>
                </w:tcPr>
                <w:p w14:paraId="5190834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1152" w:type="dxa"/>
                  <w:tcBorders>
                    <w:top w:val="single" w:color="auto" w:sz="4" w:space="0"/>
                    <w:left w:val="single" w:color="auto" w:sz="4" w:space="0"/>
                    <w:right w:val="single" w:color="auto" w:sz="4" w:space="0"/>
                  </w:tcBorders>
                  <w:noWrap/>
                  <w:vAlign w:val="center"/>
                </w:tcPr>
                <w:p w14:paraId="6A50235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82.19</w:t>
                  </w:r>
                </w:p>
              </w:tc>
            </w:tr>
            <w:tr w14:paraId="2DEC5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30" w:type="dxa"/>
                  <w:vMerge w:val="restart"/>
                  <w:tcBorders>
                    <w:left w:val="single" w:color="auto" w:sz="4" w:space="0"/>
                    <w:right w:val="single" w:color="auto" w:sz="4" w:space="0"/>
                  </w:tcBorders>
                  <w:noWrap/>
                  <w:vAlign w:val="center"/>
                </w:tcPr>
                <w:p w14:paraId="52D0D14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w:t>
                  </w:r>
                </w:p>
              </w:tc>
              <w:tc>
                <w:tcPr>
                  <w:tcW w:w="707" w:type="dxa"/>
                  <w:vMerge w:val="restart"/>
                  <w:tcBorders>
                    <w:left w:val="single" w:color="auto" w:sz="4" w:space="0"/>
                    <w:right w:val="single" w:color="auto" w:sz="4" w:space="0"/>
                  </w:tcBorders>
                  <w:noWrap/>
                  <w:vAlign w:val="center"/>
                </w:tcPr>
                <w:p w14:paraId="7A4B40A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高岭土冷却</w:t>
                  </w:r>
                </w:p>
              </w:tc>
              <w:tc>
                <w:tcPr>
                  <w:tcW w:w="4207" w:type="dxa"/>
                  <w:tcBorders>
                    <w:top w:val="single" w:color="auto" w:sz="4" w:space="0"/>
                    <w:left w:val="single" w:color="auto" w:sz="4" w:space="0"/>
                    <w:bottom w:val="single" w:color="auto" w:sz="4" w:space="0"/>
                    <w:right w:val="single" w:color="auto" w:sz="4" w:space="0"/>
                  </w:tcBorders>
                  <w:noWrap/>
                  <w:vAlign w:val="center"/>
                </w:tcPr>
                <w:p w14:paraId="70B695E1">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燃气热风炉</w:t>
                  </w:r>
                </w:p>
                <w:p w14:paraId="7601F885">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能力：18GCal/h</w:t>
                  </w:r>
                </w:p>
                <w:p w14:paraId="0A8038AF">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荒煤气消耗量：8000Nm</w:t>
                  </w:r>
                  <w:r>
                    <w:rPr>
                      <w:rFonts w:hint="default" w:ascii="Times New Roman" w:hAnsi="Times New Roman" w:eastAsia="宋体" w:cs="Times New Roman"/>
                      <w:color w:val="000000" w:themeColor="text1"/>
                      <w:kern w:val="0"/>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/h</w:t>
                  </w:r>
                </w:p>
                <w:p w14:paraId="164C31E7">
                  <w:pPr>
                    <w:keepNext w:val="0"/>
                    <w:keepLines w:val="0"/>
                    <w:widowControl/>
                    <w:suppressLineNumbers w:val="0"/>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荒煤气低位热值：1635kCal/Nm</w:t>
                  </w:r>
                  <w:r>
                    <w:rPr>
                      <w:rFonts w:hint="default" w:ascii="Times New Roman" w:hAnsi="Times New Roman" w:eastAsia="宋体" w:cs="Times New Roman"/>
                      <w:color w:val="000000" w:themeColor="text1"/>
                      <w:kern w:val="0"/>
                      <w:sz w:val="21"/>
                      <w:szCs w:val="21"/>
                      <w:highlight w:val="none"/>
                      <w:vertAlign w:val="superscript"/>
                      <w:lang w:val="en-US" w:eastAsia="zh-CN" w:bidi="ar"/>
                      <w14:textFill>
                        <w14:solidFill>
                          <w14:schemeClr w14:val="tx1"/>
                        </w14:solidFill>
                      </w14:textFill>
                    </w:rPr>
                    <w:t>3</w:t>
                  </w:r>
                </w:p>
              </w:tc>
              <w:tc>
                <w:tcPr>
                  <w:tcW w:w="916" w:type="dxa"/>
                  <w:tcBorders>
                    <w:top w:val="single" w:color="auto" w:sz="4" w:space="0"/>
                    <w:left w:val="single" w:color="auto" w:sz="4" w:space="0"/>
                    <w:right w:val="single" w:color="auto" w:sz="4" w:space="0"/>
                  </w:tcBorders>
                  <w:noWrap/>
                  <w:vAlign w:val="center"/>
                </w:tcPr>
                <w:p w14:paraId="0865112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690" w:type="dxa"/>
                  <w:tcBorders>
                    <w:top w:val="single" w:color="auto" w:sz="4" w:space="0"/>
                    <w:left w:val="single" w:color="auto" w:sz="4" w:space="0"/>
                    <w:bottom w:val="single" w:color="auto" w:sz="4" w:space="0"/>
                    <w:right w:val="single" w:color="auto" w:sz="4" w:space="0"/>
                  </w:tcBorders>
                  <w:noWrap/>
                  <w:vAlign w:val="center"/>
                </w:tcPr>
                <w:p w14:paraId="2D2AD22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1152" w:type="dxa"/>
                  <w:tcBorders>
                    <w:top w:val="single" w:color="auto" w:sz="4" w:space="0"/>
                    <w:left w:val="single" w:color="auto" w:sz="4" w:space="0"/>
                    <w:right w:val="single" w:color="auto" w:sz="4" w:space="0"/>
                  </w:tcBorders>
                  <w:noWrap/>
                  <w:vAlign w:val="center"/>
                </w:tcPr>
                <w:p w14:paraId="602E162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82.19</w:t>
                  </w:r>
                </w:p>
              </w:tc>
            </w:tr>
            <w:tr w14:paraId="48DA0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30" w:type="dxa"/>
                  <w:vMerge w:val="continue"/>
                  <w:tcBorders>
                    <w:left w:val="single" w:color="auto" w:sz="4" w:space="0"/>
                    <w:right w:val="single" w:color="auto" w:sz="4" w:space="0"/>
                  </w:tcBorders>
                  <w:noWrap/>
                  <w:vAlign w:val="center"/>
                </w:tcPr>
                <w:p w14:paraId="266453F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707" w:type="dxa"/>
                  <w:vMerge w:val="continue"/>
                  <w:tcBorders>
                    <w:left w:val="single" w:color="auto" w:sz="4" w:space="0"/>
                    <w:right w:val="single" w:color="auto" w:sz="4" w:space="0"/>
                  </w:tcBorders>
                  <w:noWrap/>
                  <w:vAlign w:val="center"/>
                </w:tcPr>
                <w:p w14:paraId="0BA6A6F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207" w:type="dxa"/>
                  <w:tcBorders>
                    <w:top w:val="single" w:color="auto" w:sz="4" w:space="0"/>
                    <w:left w:val="single" w:color="auto" w:sz="4" w:space="0"/>
                    <w:bottom w:val="single" w:color="auto" w:sz="4" w:space="0"/>
                    <w:right w:val="single" w:color="auto" w:sz="4" w:space="0"/>
                  </w:tcBorders>
                  <w:noWrap/>
                  <w:vAlign w:val="center"/>
                </w:tcPr>
                <w:p w14:paraId="0BB7A600">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高温粉体冷却机</w:t>
                  </w:r>
                </w:p>
                <w:p w14:paraId="1A7AB2AD">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用途：粉体冷却与热回收</w:t>
                  </w:r>
                </w:p>
                <w:p w14:paraId="02681247">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入料温度：900～1150℃</w:t>
                  </w:r>
                </w:p>
                <w:p w14:paraId="129F5854">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出料温度：≤400℃</w:t>
                  </w:r>
                </w:p>
                <w:p w14:paraId="45F58E8A">
                  <w:pPr>
                    <w:keepNext w:val="0"/>
                    <w:keepLines w:val="0"/>
                    <w:widowControl/>
                    <w:suppressLineNumbers w:val="0"/>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装机功率</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330kW</w:t>
                  </w:r>
                </w:p>
              </w:tc>
              <w:tc>
                <w:tcPr>
                  <w:tcW w:w="916" w:type="dxa"/>
                  <w:tcBorders>
                    <w:top w:val="single" w:color="auto" w:sz="4" w:space="0"/>
                    <w:left w:val="single" w:color="auto" w:sz="4" w:space="0"/>
                    <w:right w:val="single" w:color="auto" w:sz="4" w:space="0"/>
                  </w:tcBorders>
                  <w:noWrap/>
                  <w:vAlign w:val="center"/>
                </w:tcPr>
                <w:p w14:paraId="2377FDA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667</w:t>
                  </w:r>
                  <w:r>
                    <w:rPr>
                      <w:rFonts w:hint="default" w:ascii="Times New Roman" w:hAnsi="Times New Roman" w:eastAsia="宋体" w:cs="Times New Roman"/>
                      <w:color w:val="000000" w:themeColor="text1"/>
                      <w:sz w:val="21"/>
                      <w:szCs w:val="21"/>
                      <w:highlight w:val="none"/>
                      <w14:textFill>
                        <w14:solidFill>
                          <w14:schemeClr w14:val="tx1"/>
                        </w14:solidFill>
                      </w14:textFill>
                    </w:rPr>
                    <w:t>t/d</w:t>
                  </w:r>
                </w:p>
              </w:tc>
              <w:tc>
                <w:tcPr>
                  <w:tcW w:w="690" w:type="dxa"/>
                  <w:tcBorders>
                    <w:top w:val="single" w:color="auto" w:sz="4" w:space="0"/>
                    <w:left w:val="single" w:color="auto" w:sz="4" w:space="0"/>
                    <w:bottom w:val="single" w:color="auto" w:sz="4" w:space="0"/>
                    <w:right w:val="single" w:color="auto" w:sz="4" w:space="0"/>
                  </w:tcBorders>
                  <w:noWrap/>
                  <w:vAlign w:val="center"/>
                </w:tcPr>
                <w:p w14:paraId="2FAC33B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1152" w:type="dxa"/>
                  <w:tcBorders>
                    <w:top w:val="single" w:color="auto" w:sz="4" w:space="0"/>
                    <w:left w:val="single" w:color="auto" w:sz="4" w:space="0"/>
                    <w:right w:val="single" w:color="auto" w:sz="4" w:space="0"/>
                  </w:tcBorders>
                  <w:noWrap/>
                  <w:vAlign w:val="center"/>
                </w:tcPr>
                <w:p w14:paraId="02F9492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82.19</w:t>
                  </w:r>
                </w:p>
              </w:tc>
            </w:tr>
            <w:tr w14:paraId="1731D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30" w:type="dxa"/>
                  <w:vMerge w:val="continue"/>
                  <w:tcBorders>
                    <w:left w:val="single" w:color="auto" w:sz="4" w:space="0"/>
                    <w:right w:val="single" w:color="auto" w:sz="4" w:space="0"/>
                  </w:tcBorders>
                  <w:noWrap/>
                  <w:vAlign w:val="center"/>
                </w:tcPr>
                <w:p w14:paraId="2B69B0B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707" w:type="dxa"/>
                  <w:vMerge w:val="continue"/>
                  <w:tcBorders>
                    <w:left w:val="single" w:color="auto" w:sz="4" w:space="0"/>
                    <w:right w:val="single" w:color="auto" w:sz="4" w:space="0"/>
                  </w:tcBorders>
                  <w:noWrap/>
                  <w:vAlign w:val="center"/>
                </w:tcPr>
                <w:p w14:paraId="57A1B36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207" w:type="dxa"/>
                  <w:tcBorders>
                    <w:top w:val="single" w:color="auto" w:sz="4" w:space="0"/>
                    <w:left w:val="single" w:color="auto" w:sz="4" w:space="0"/>
                    <w:bottom w:val="single" w:color="auto" w:sz="4" w:space="0"/>
                    <w:right w:val="single" w:color="auto" w:sz="4" w:space="0"/>
                  </w:tcBorders>
                  <w:noWrap/>
                  <w:vAlign w:val="center"/>
                </w:tcPr>
                <w:p w14:paraId="7B34EC90">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窑头冷却高温风机</w:t>
                  </w:r>
                </w:p>
                <w:p w14:paraId="14C8C742">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流量：37000m</w:t>
                  </w:r>
                  <w:r>
                    <w:rPr>
                      <w:rFonts w:hint="default" w:ascii="Times New Roman" w:hAnsi="Times New Roman" w:eastAsia="宋体" w:cs="Times New Roman"/>
                      <w:color w:val="000000" w:themeColor="text1"/>
                      <w:kern w:val="0"/>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/h</w:t>
                  </w:r>
                </w:p>
                <w:p w14:paraId="081D6EB8">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全压：4300Pa</w:t>
                  </w:r>
                </w:p>
                <w:p w14:paraId="59BCECA1">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转速：1450r/min</w:t>
                  </w:r>
                </w:p>
                <w:p w14:paraId="54A38AFA">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风温：450℃</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max550℃</w:t>
                  </w:r>
                </w:p>
                <w:p w14:paraId="5595D915">
                  <w:pPr>
                    <w:keepNext w:val="0"/>
                    <w:keepLines w:val="0"/>
                    <w:widowControl/>
                    <w:suppressLineNumbers w:val="0"/>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电机功率：75kW（变频调速）</w:t>
                  </w:r>
                </w:p>
              </w:tc>
              <w:tc>
                <w:tcPr>
                  <w:tcW w:w="916" w:type="dxa"/>
                  <w:tcBorders>
                    <w:top w:val="single" w:color="auto" w:sz="4" w:space="0"/>
                    <w:left w:val="single" w:color="auto" w:sz="4" w:space="0"/>
                    <w:right w:val="single" w:color="auto" w:sz="4" w:space="0"/>
                  </w:tcBorders>
                  <w:noWrap/>
                  <w:vAlign w:val="center"/>
                </w:tcPr>
                <w:p w14:paraId="03B98CC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p>
              </w:tc>
              <w:tc>
                <w:tcPr>
                  <w:tcW w:w="690" w:type="dxa"/>
                  <w:tcBorders>
                    <w:top w:val="single" w:color="auto" w:sz="4" w:space="0"/>
                    <w:left w:val="single" w:color="auto" w:sz="4" w:space="0"/>
                    <w:bottom w:val="single" w:color="auto" w:sz="4" w:space="0"/>
                    <w:right w:val="single" w:color="auto" w:sz="4" w:space="0"/>
                  </w:tcBorders>
                  <w:noWrap/>
                  <w:vAlign w:val="center"/>
                </w:tcPr>
                <w:p w14:paraId="01729F3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1152" w:type="dxa"/>
                  <w:tcBorders>
                    <w:top w:val="single" w:color="auto" w:sz="4" w:space="0"/>
                    <w:left w:val="single" w:color="auto" w:sz="4" w:space="0"/>
                    <w:right w:val="single" w:color="auto" w:sz="4" w:space="0"/>
                  </w:tcBorders>
                  <w:noWrap/>
                  <w:vAlign w:val="center"/>
                </w:tcPr>
                <w:p w14:paraId="52CCECD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16152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30" w:type="dxa"/>
                  <w:vMerge w:val="restart"/>
                  <w:tcBorders>
                    <w:top w:val="single" w:color="auto" w:sz="4" w:space="0"/>
                    <w:left w:val="single" w:color="auto" w:sz="4" w:space="0"/>
                    <w:right w:val="single" w:color="auto" w:sz="4" w:space="0"/>
                  </w:tcBorders>
                  <w:noWrap/>
                  <w:vAlign w:val="center"/>
                </w:tcPr>
                <w:p w14:paraId="605A1E7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5</w:t>
                  </w:r>
                </w:p>
              </w:tc>
              <w:tc>
                <w:tcPr>
                  <w:tcW w:w="707" w:type="dxa"/>
                  <w:vMerge w:val="restart"/>
                  <w:tcBorders>
                    <w:top w:val="single" w:color="auto" w:sz="4" w:space="0"/>
                    <w:left w:val="single" w:color="auto" w:sz="4" w:space="0"/>
                    <w:right w:val="single" w:color="auto" w:sz="4" w:space="0"/>
                  </w:tcBorders>
                  <w:noWrap/>
                  <w:vAlign w:val="center"/>
                </w:tcPr>
                <w:p w14:paraId="7C5D3ED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高岭土</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分选</w:t>
                  </w:r>
                </w:p>
              </w:tc>
              <w:tc>
                <w:tcPr>
                  <w:tcW w:w="4207" w:type="dxa"/>
                  <w:tcBorders>
                    <w:top w:val="single" w:color="auto" w:sz="4" w:space="0"/>
                    <w:left w:val="single" w:color="auto" w:sz="4" w:space="0"/>
                    <w:bottom w:val="single" w:color="auto" w:sz="4" w:space="0"/>
                    <w:right w:val="single" w:color="auto" w:sz="4" w:space="0"/>
                  </w:tcBorders>
                  <w:noWrap/>
                  <w:vAlign w:val="center"/>
                </w:tcPr>
                <w:p w14:paraId="5E5CEAC8">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分级机</w:t>
                  </w:r>
                </w:p>
                <w:p w14:paraId="0FA78EFD">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喂料量：35t/h</w:t>
                  </w:r>
                </w:p>
                <w:p w14:paraId="794BF273">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处理风量：160000m</w:t>
                  </w:r>
                  <w:r>
                    <w:rPr>
                      <w:rFonts w:hint="default" w:ascii="Times New Roman" w:hAnsi="Times New Roman" w:eastAsia="宋体" w:cs="Times New Roman"/>
                      <w:color w:val="000000" w:themeColor="text1"/>
                      <w:kern w:val="0"/>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/h</w:t>
                  </w:r>
                </w:p>
                <w:p w14:paraId="67EE34C4">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进口风速：30m/s</w:t>
                  </w:r>
                </w:p>
                <w:p w14:paraId="113430CB">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出口风速：≤18m/s</w:t>
                  </w:r>
                </w:p>
                <w:p w14:paraId="44BEADE1">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设备阻力：＜3000Pa</w:t>
                  </w:r>
                </w:p>
                <w:p w14:paraId="00043E52">
                  <w:pPr>
                    <w:keepNext w:val="0"/>
                    <w:keepLines w:val="0"/>
                    <w:widowControl/>
                    <w:suppressLineNumbers w:val="0"/>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主电机功率：160kW（变频调速）</w:t>
                  </w:r>
                </w:p>
              </w:tc>
              <w:tc>
                <w:tcPr>
                  <w:tcW w:w="916" w:type="dxa"/>
                  <w:vMerge w:val="restart"/>
                  <w:tcBorders>
                    <w:top w:val="single" w:color="auto" w:sz="4" w:space="0"/>
                    <w:left w:val="single" w:color="auto" w:sz="4" w:space="0"/>
                    <w:right w:val="single" w:color="auto" w:sz="4" w:space="0"/>
                  </w:tcBorders>
                  <w:noWrap/>
                  <w:vAlign w:val="center"/>
                </w:tcPr>
                <w:p w14:paraId="75EDD72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667</w:t>
                  </w:r>
                  <w:r>
                    <w:rPr>
                      <w:rFonts w:hint="default" w:ascii="Times New Roman" w:hAnsi="Times New Roman" w:eastAsia="宋体" w:cs="Times New Roman"/>
                      <w:color w:val="000000" w:themeColor="text1"/>
                      <w:sz w:val="21"/>
                      <w:szCs w:val="21"/>
                      <w:highlight w:val="none"/>
                      <w14:textFill>
                        <w14:solidFill>
                          <w14:schemeClr w14:val="tx1"/>
                        </w14:solidFill>
                      </w14:textFill>
                    </w:rPr>
                    <w:t>t/d</w:t>
                  </w:r>
                </w:p>
              </w:tc>
              <w:tc>
                <w:tcPr>
                  <w:tcW w:w="690" w:type="dxa"/>
                  <w:tcBorders>
                    <w:top w:val="single" w:color="auto" w:sz="4" w:space="0"/>
                    <w:left w:val="single" w:color="auto" w:sz="4" w:space="0"/>
                    <w:bottom w:val="single" w:color="auto" w:sz="4" w:space="0"/>
                    <w:right w:val="single" w:color="auto" w:sz="4" w:space="0"/>
                  </w:tcBorders>
                  <w:noWrap/>
                  <w:vAlign w:val="center"/>
                </w:tcPr>
                <w:p w14:paraId="6A66989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1152" w:type="dxa"/>
                  <w:vMerge w:val="restart"/>
                  <w:tcBorders>
                    <w:top w:val="single" w:color="auto" w:sz="4" w:space="0"/>
                    <w:left w:val="single" w:color="auto" w:sz="4" w:space="0"/>
                    <w:right w:val="single" w:color="auto" w:sz="4" w:space="0"/>
                  </w:tcBorders>
                  <w:noWrap/>
                  <w:vAlign w:val="center"/>
                </w:tcPr>
                <w:p w14:paraId="66FCB52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82.19</w:t>
                  </w:r>
                </w:p>
              </w:tc>
            </w:tr>
            <w:tr w14:paraId="418FA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30" w:type="dxa"/>
                  <w:vMerge w:val="continue"/>
                  <w:tcBorders>
                    <w:left w:val="single" w:color="auto" w:sz="4" w:space="0"/>
                    <w:right w:val="single" w:color="auto" w:sz="4" w:space="0"/>
                  </w:tcBorders>
                  <w:noWrap/>
                  <w:vAlign w:val="center"/>
                </w:tcPr>
                <w:p w14:paraId="594CA6A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707" w:type="dxa"/>
                  <w:vMerge w:val="continue"/>
                  <w:tcBorders>
                    <w:left w:val="single" w:color="auto" w:sz="4" w:space="0"/>
                    <w:right w:val="single" w:color="auto" w:sz="4" w:space="0"/>
                  </w:tcBorders>
                  <w:noWrap/>
                  <w:vAlign w:val="center"/>
                </w:tcPr>
                <w:p w14:paraId="03D8FC1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207" w:type="dxa"/>
                  <w:tcBorders>
                    <w:top w:val="single" w:color="auto" w:sz="4" w:space="0"/>
                    <w:left w:val="single" w:color="auto" w:sz="4" w:space="0"/>
                    <w:bottom w:val="single" w:color="auto" w:sz="4" w:space="0"/>
                    <w:right w:val="single" w:color="auto" w:sz="4" w:space="0"/>
                  </w:tcBorders>
                  <w:noWrap/>
                  <w:vAlign w:val="center"/>
                </w:tcPr>
                <w:p w14:paraId="5DC605FB">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冷却输送高浓度袋收尘器</w:t>
                  </w:r>
                </w:p>
                <w:p w14:paraId="2CF7B321">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处理风量：160000m</w:t>
                  </w:r>
                  <w:r>
                    <w:rPr>
                      <w:rFonts w:hint="default" w:ascii="Times New Roman" w:hAnsi="Times New Roman" w:eastAsia="宋体" w:cs="Times New Roman"/>
                      <w:color w:val="000000" w:themeColor="text1"/>
                      <w:kern w:val="0"/>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/h</w:t>
                  </w:r>
                </w:p>
                <w:p w14:paraId="12D7DE34">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含尘气体温度：150℃（max:200℃）</w:t>
                  </w:r>
                </w:p>
                <w:p w14:paraId="72980558">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净过滤面积</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3556m</w:t>
                  </w:r>
                  <w:r>
                    <w:rPr>
                      <w:rFonts w:hint="default" w:ascii="Times New Roman" w:hAnsi="Times New Roman" w:cs="Times New Roman"/>
                      <w:color w:val="000000" w:themeColor="text1"/>
                      <w:kern w:val="0"/>
                      <w:sz w:val="21"/>
                      <w:szCs w:val="21"/>
                      <w:highlight w:val="none"/>
                      <w:vertAlign w:val="superscript"/>
                      <w:lang w:val="en-US" w:eastAsia="zh-CN" w:bidi="ar"/>
                      <w14:textFill>
                        <w14:solidFill>
                          <w14:schemeClr w14:val="tx1"/>
                        </w14:solidFill>
                      </w14:textFill>
                    </w:rPr>
                    <w:t>2</w:t>
                  </w:r>
                </w:p>
                <w:p w14:paraId="2F3BD953">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净过滤风速</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0.75m/min</w:t>
                  </w:r>
                </w:p>
                <w:p w14:paraId="6B00FC90">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壳体承受</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10000Pa</w:t>
                  </w:r>
                </w:p>
                <w:p w14:paraId="27BC9EE0">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入口气体含尘浓度：≤500g/m</w:t>
                  </w:r>
                  <w:r>
                    <w:rPr>
                      <w:rFonts w:hint="default" w:ascii="Times New Roman" w:hAnsi="Times New Roman" w:eastAsia="宋体" w:cs="Times New Roman"/>
                      <w:color w:val="000000" w:themeColor="text1"/>
                      <w:kern w:val="0"/>
                      <w:sz w:val="21"/>
                      <w:szCs w:val="21"/>
                      <w:highlight w:val="none"/>
                      <w:vertAlign w:val="superscript"/>
                      <w:lang w:val="en-US" w:eastAsia="zh-CN" w:bidi="ar"/>
                      <w14:textFill>
                        <w14:solidFill>
                          <w14:schemeClr w14:val="tx1"/>
                        </w14:solidFill>
                      </w14:textFill>
                    </w:rPr>
                    <w:t>3</w:t>
                  </w:r>
                </w:p>
                <w:p w14:paraId="485E0B4A">
                  <w:pPr>
                    <w:keepNext w:val="0"/>
                    <w:keepLines w:val="0"/>
                    <w:widowControl/>
                    <w:suppressLineNumbers w:val="0"/>
                    <w:jc w:val="left"/>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出口气体含尘浓度：≤30mg/Nm</w:t>
                  </w:r>
                  <w:r>
                    <w:rPr>
                      <w:rFonts w:hint="default" w:ascii="Times New Roman" w:hAnsi="Times New Roman" w:eastAsia="宋体" w:cs="Times New Roman"/>
                      <w:color w:val="000000" w:themeColor="text1"/>
                      <w:kern w:val="0"/>
                      <w:sz w:val="21"/>
                      <w:szCs w:val="21"/>
                      <w:highlight w:val="none"/>
                      <w:vertAlign w:val="superscript"/>
                      <w:lang w:val="en-US" w:eastAsia="zh-CN" w:bidi="ar"/>
                      <w14:textFill>
                        <w14:solidFill>
                          <w14:schemeClr w14:val="tx1"/>
                        </w14:solidFill>
                      </w14:textFill>
                    </w:rPr>
                    <w:t>3</w:t>
                  </w:r>
                </w:p>
              </w:tc>
              <w:tc>
                <w:tcPr>
                  <w:tcW w:w="916" w:type="dxa"/>
                  <w:vMerge w:val="continue"/>
                  <w:tcBorders>
                    <w:left w:val="single" w:color="auto" w:sz="4" w:space="0"/>
                    <w:right w:val="single" w:color="auto" w:sz="4" w:space="0"/>
                  </w:tcBorders>
                  <w:noWrap/>
                  <w:vAlign w:val="center"/>
                </w:tcPr>
                <w:p w14:paraId="0632E6E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90" w:type="dxa"/>
                  <w:tcBorders>
                    <w:top w:val="single" w:color="auto" w:sz="4" w:space="0"/>
                    <w:left w:val="single" w:color="auto" w:sz="4" w:space="0"/>
                    <w:bottom w:val="single" w:color="auto" w:sz="4" w:space="0"/>
                    <w:right w:val="single" w:color="auto" w:sz="4" w:space="0"/>
                  </w:tcBorders>
                  <w:noWrap/>
                  <w:vAlign w:val="center"/>
                </w:tcPr>
                <w:p w14:paraId="5451AE9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1152" w:type="dxa"/>
                  <w:vMerge w:val="continue"/>
                  <w:tcBorders>
                    <w:left w:val="single" w:color="auto" w:sz="4" w:space="0"/>
                    <w:right w:val="single" w:color="auto" w:sz="4" w:space="0"/>
                  </w:tcBorders>
                  <w:noWrap/>
                  <w:vAlign w:val="center"/>
                </w:tcPr>
                <w:p w14:paraId="6E23FD6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0C48D7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30" w:type="dxa"/>
                  <w:vMerge w:val="continue"/>
                  <w:tcBorders>
                    <w:left w:val="single" w:color="auto" w:sz="4" w:space="0"/>
                    <w:right w:val="single" w:color="auto" w:sz="4" w:space="0"/>
                  </w:tcBorders>
                  <w:noWrap/>
                  <w:vAlign w:val="center"/>
                </w:tcPr>
                <w:p w14:paraId="600B8F0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707" w:type="dxa"/>
                  <w:vMerge w:val="continue"/>
                  <w:tcBorders>
                    <w:left w:val="single" w:color="auto" w:sz="4" w:space="0"/>
                    <w:right w:val="single" w:color="auto" w:sz="4" w:space="0"/>
                  </w:tcBorders>
                  <w:noWrap/>
                  <w:vAlign w:val="center"/>
                </w:tcPr>
                <w:p w14:paraId="58B2453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207" w:type="dxa"/>
                  <w:tcBorders>
                    <w:top w:val="single" w:color="auto" w:sz="4" w:space="0"/>
                    <w:left w:val="single" w:color="auto" w:sz="4" w:space="0"/>
                    <w:bottom w:val="single" w:color="auto" w:sz="4" w:space="0"/>
                    <w:right w:val="single" w:color="auto" w:sz="4" w:space="0"/>
                  </w:tcBorders>
                  <w:noWrap/>
                  <w:vAlign w:val="center"/>
                </w:tcPr>
                <w:p w14:paraId="7A3A3D00">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冷却输送排风机</w:t>
                  </w:r>
                </w:p>
                <w:p w14:paraId="645A7677">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流量：170000m</w:t>
                  </w:r>
                  <w:r>
                    <w:rPr>
                      <w:rFonts w:hint="default" w:ascii="Times New Roman" w:hAnsi="Times New Roman" w:eastAsia="宋体" w:cs="Times New Roman"/>
                      <w:color w:val="000000" w:themeColor="text1"/>
                      <w:kern w:val="0"/>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/h</w:t>
                  </w:r>
                </w:p>
                <w:p w14:paraId="0962081D">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全压：8500Pa</w:t>
                  </w:r>
                </w:p>
                <w:p w14:paraId="68AA1377">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转速：1450r/min</w:t>
                  </w:r>
                </w:p>
                <w:p w14:paraId="4B45D1CA">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风温：150℃</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max200℃</w:t>
                  </w:r>
                </w:p>
                <w:p w14:paraId="51A852AC">
                  <w:pPr>
                    <w:keepNext w:val="0"/>
                    <w:keepLines w:val="0"/>
                    <w:widowControl/>
                    <w:suppressLineNumbers w:val="0"/>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电机功率：630kW（变频调速）</w:t>
                  </w:r>
                </w:p>
              </w:tc>
              <w:tc>
                <w:tcPr>
                  <w:tcW w:w="916" w:type="dxa"/>
                  <w:vMerge w:val="continue"/>
                  <w:tcBorders>
                    <w:left w:val="single" w:color="auto" w:sz="4" w:space="0"/>
                    <w:right w:val="single" w:color="auto" w:sz="4" w:space="0"/>
                  </w:tcBorders>
                  <w:noWrap/>
                  <w:vAlign w:val="center"/>
                </w:tcPr>
                <w:p w14:paraId="6DD745D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90" w:type="dxa"/>
                  <w:tcBorders>
                    <w:top w:val="single" w:color="auto" w:sz="4" w:space="0"/>
                    <w:left w:val="single" w:color="auto" w:sz="4" w:space="0"/>
                    <w:bottom w:val="single" w:color="auto" w:sz="4" w:space="0"/>
                    <w:right w:val="single" w:color="auto" w:sz="4" w:space="0"/>
                  </w:tcBorders>
                  <w:noWrap/>
                  <w:vAlign w:val="center"/>
                </w:tcPr>
                <w:p w14:paraId="7B6AE44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1152" w:type="dxa"/>
                  <w:vMerge w:val="continue"/>
                  <w:tcBorders>
                    <w:left w:val="single" w:color="auto" w:sz="4" w:space="0"/>
                    <w:right w:val="single" w:color="auto" w:sz="4" w:space="0"/>
                  </w:tcBorders>
                  <w:noWrap/>
                  <w:vAlign w:val="center"/>
                </w:tcPr>
                <w:p w14:paraId="3962AE6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32A5AD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30" w:type="dxa"/>
                  <w:vMerge w:val="continue"/>
                  <w:tcBorders>
                    <w:left w:val="single" w:color="auto" w:sz="4" w:space="0"/>
                    <w:right w:val="single" w:color="auto" w:sz="4" w:space="0"/>
                  </w:tcBorders>
                  <w:noWrap/>
                  <w:vAlign w:val="center"/>
                </w:tcPr>
                <w:p w14:paraId="7933FCA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707" w:type="dxa"/>
                  <w:vMerge w:val="continue"/>
                  <w:tcBorders>
                    <w:left w:val="single" w:color="auto" w:sz="4" w:space="0"/>
                    <w:right w:val="single" w:color="auto" w:sz="4" w:space="0"/>
                  </w:tcBorders>
                  <w:noWrap/>
                  <w:vAlign w:val="center"/>
                </w:tcPr>
                <w:p w14:paraId="59DFC26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207" w:type="dxa"/>
                  <w:tcBorders>
                    <w:top w:val="single" w:color="auto" w:sz="4" w:space="0"/>
                    <w:left w:val="single" w:color="auto" w:sz="4" w:space="0"/>
                    <w:bottom w:val="single" w:color="auto" w:sz="4" w:space="0"/>
                    <w:right w:val="single" w:color="auto" w:sz="4" w:space="0"/>
                  </w:tcBorders>
                  <w:noWrap/>
                  <w:vAlign w:val="center"/>
                </w:tcPr>
                <w:p w14:paraId="7696A08D">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分选高浓度袋收尘器</w:t>
                  </w:r>
                </w:p>
                <w:p w14:paraId="24A7F373">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处理风量：160000m</w:t>
                  </w:r>
                  <w:r>
                    <w:rPr>
                      <w:rFonts w:hint="default" w:ascii="Times New Roman" w:hAnsi="Times New Roman" w:eastAsia="宋体" w:cs="Times New Roman"/>
                      <w:color w:val="000000" w:themeColor="text1"/>
                      <w:kern w:val="0"/>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/h</w:t>
                  </w:r>
                </w:p>
                <w:p w14:paraId="7772BB3C">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含尘气体温度：50℃（max:70℃）</w:t>
                  </w:r>
                </w:p>
                <w:p w14:paraId="0DB75A5C">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净过滤面积</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3556m</w:t>
                  </w:r>
                  <w:r>
                    <w:rPr>
                      <w:rFonts w:hint="default" w:ascii="Times New Roman" w:hAnsi="Times New Roman" w:eastAsia="宋体" w:cs="Times New Roman"/>
                      <w:color w:val="000000" w:themeColor="text1"/>
                      <w:kern w:val="0"/>
                      <w:sz w:val="21"/>
                      <w:szCs w:val="21"/>
                      <w:highlight w:val="none"/>
                      <w:vertAlign w:val="superscript"/>
                      <w:lang w:val="en-US" w:eastAsia="zh-CN" w:bidi="ar"/>
                      <w14:textFill>
                        <w14:solidFill>
                          <w14:schemeClr w14:val="tx1"/>
                        </w14:solidFill>
                      </w14:textFill>
                    </w:rPr>
                    <w:t>2</w:t>
                  </w:r>
                </w:p>
                <w:p w14:paraId="13B8AC7B">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净过滤风速</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0.75m/min</w:t>
                  </w:r>
                </w:p>
                <w:p w14:paraId="350706C9">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壳体承受</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10000Pa</w:t>
                  </w:r>
                </w:p>
                <w:p w14:paraId="75DB3D37">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入口气体含尘浓度：≤500g/m</w:t>
                  </w:r>
                  <w:r>
                    <w:rPr>
                      <w:rFonts w:hint="default" w:ascii="Times New Roman" w:hAnsi="Times New Roman" w:eastAsia="宋体" w:cs="Times New Roman"/>
                      <w:color w:val="000000" w:themeColor="text1"/>
                      <w:kern w:val="0"/>
                      <w:sz w:val="21"/>
                      <w:szCs w:val="21"/>
                      <w:highlight w:val="none"/>
                      <w:vertAlign w:val="superscript"/>
                      <w:lang w:val="en-US" w:eastAsia="zh-CN" w:bidi="ar"/>
                      <w14:textFill>
                        <w14:solidFill>
                          <w14:schemeClr w14:val="tx1"/>
                        </w14:solidFill>
                      </w14:textFill>
                    </w:rPr>
                    <w:t>3</w:t>
                  </w:r>
                </w:p>
                <w:p w14:paraId="29A1FF47">
                  <w:pPr>
                    <w:keepNext w:val="0"/>
                    <w:keepLines w:val="0"/>
                    <w:widowControl/>
                    <w:suppressLineNumbers w:val="0"/>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出口气体含尘浓度：≤30mg/Nm</w:t>
                  </w:r>
                  <w:r>
                    <w:rPr>
                      <w:rFonts w:hint="default" w:ascii="Times New Roman" w:hAnsi="Times New Roman" w:eastAsia="宋体" w:cs="Times New Roman"/>
                      <w:color w:val="000000" w:themeColor="text1"/>
                      <w:kern w:val="0"/>
                      <w:sz w:val="21"/>
                      <w:szCs w:val="21"/>
                      <w:highlight w:val="none"/>
                      <w:vertAlign w:val="superscript"/>
                      <w:lang w:val="en-US" w:eastAsia="zh-CN" w:bidi="ar"/>
                      <w14:textFill>
                        <w14:solidFill>
                          <w14:schemeClr w14:val="tx1"/>
                        </w14:solidFill>
                      </w14:textFill>
                    </w:rPr>
                    <w:t>3</w:t>
                  </w:r>
                </w:p>
              </w:tc>
              <w:tc>
                <w:tcPr>
                  <w:tcW w:w="916" w:type="dxa"/>
                  <w:vMerge w:val="continue"/>
                  <w:tcBorders>
                    <w:left w:val="single" w:color="auto" w:sz="4" w:space="0"/>
                    <w:right w:val="single" w:color="auto" w:sz="4" w:space="0"/>
                  </w:tcBorders>
                  <w:noWrap/>
                  <w:vAlign w:val="center"/>
                </w:tcPr>
                <w:p w14:paraId="51273D8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90" w:type="dxa"/>
                  <w:tcBorders>
                    <w:top w:val="single" w:color="auto" w:sz="4" w:space="0"/>
                    <w:left w:val="single" w:color="auto" w:sz="4" w:space="0"/>
                    <w:bottom w:val="single" w:color="auto" w:sz="4" w:space="0"/>
                    <w:right w:val="single" w:color="auto" w:sz="4" w:space="0"/>
                  </w:tcBorders>
                  <w:noWrap/>
                  <w:vAlign w:val="center"/>
                </w:tcPr>
                <w:p w14:paraId="5CCF33B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1152" w:type="dxa"/>
                  <w:tcBorders>
                    <w:top w:val="single" w:color="auto" w:sz="4" w:space="0"/>
                    <w:left w:val="single" w:color="auto" w:sz="4" w:space="0"/>
                    <w:right w:val="single" w:color="auto" w:sz="4" w:space="0"/>
                  </w:tcBorders>
                  <w:noWrap/>
                  <w:vAlign w:val="center"/>
                </w:tcPr>
                <w:p w14:paraId="2326CFB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23.97</w:t>
                  </w:r>
                </w:p>
              </w:tc>
            </w:tr>
            <w:tr w14:paraId="40A37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30" w:type="dxa"/>
                  <w:vMerge w:val="continue"/>
                  <w:tcBorders>
                    <w:left w:val="single" w:color="auto" w:sz="4" w:space="0"/>
                    <w:right w:val="single" w:color="auto" w:sz="4" w:space="0"/>
                  </w:tcBorders>
                  <w:noWrap/>
                  <w:vAlign w:val="center"/>
                </w:tcPr>
                <w:p w14:paraId="6016DCF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707" w:type="dxa"/>
                  <w:vMerge w:val="continue"/>
                  <w:tcBorders>
                    <w:left w:val="single" w:color="auto" w:sz="4" w:space="0"/>
                    <w:right w:val="single" w:color="auto" w:sz="4" w:space="0"/>
                  </w:tcBorders>
                  <w:noWrap/>
                  <w:vAlign w:val="center"/>
                </w:tcPr>
                <w:p w14:paraId="57AA345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207" w:type="dxa"/>
                  <w:tcBorders>
                    <w:top w:val="single" w:color="auto" w:sz="4" w:space="0"/>
                    <w:left w:val="single" w:color="auto" w:sz="4" w:space="0"/>
                    <w:bottom w:val="single" w:color="auto" w:sz="4" w:space="0"/>
                    <w:right w:val="single" w:color="auto" w:sz="4" w:space="0"/>
                  </w:tcBorders>
                  <w:shd w:val="clear" w:color="auto" w:fill="auto"/>
                  <w:noWrap/>
                  <w:vAlign w:val="center"/>
                </w:tcPr>
                <w:p w14:paraId="3A5060BC">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分选排风机</w:t>
                  </w:r>
                </w:p>
                <w:p w14:paraId="43E0579A">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流量：170000m</w:t>
                  </w:r>
                  <w:r>
                    <w:rPr>
                      <w:rFonts w:hint="default" w:ascii="Times New Roman" w:hAnsi="Times New Roman" w:eastAsia="宋体" w:cs="Times New Roman"/>
                      <w:color w:val="000000" w:themeColor="text1"/>
                      <w:kern w:val="0"/>
                      <w:sz w:val="21"/>
                      <w:szCs w:val="21"/>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/h</w:t>
                  </w:r>
                </w:p>
                <w:p w14:paraId="05B1DA15">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全压：8500Pa</w:t>
                  </w:r>
                </w:p>
                <w:p w14:paraId="74DA04D0">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转速：1450r/min</w:t>
                  </w:r>
                </w:p>
                <w:p w14:paraId="24396D3B">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风温：50℃</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max80℃</w:t>
                  </w:r>
                </w:p>
                <w:p w14:paraId="1754091D">
                  <w:pPr>
                    <w:keepNext w:val="0"/>
                    <w:keepLines w:val="0"/>
                    <w:widowControl/>
                    <w:suppressLineNumbers w:val="0"/>
                    <w:jc w:val="left"/>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电机功率：630kW（变频调速）</w:t>
                  </w:r>
                </w:p>
              </w:tc>
              <w:tc>
                <w:tcPr>
                  <w:tcW w:w="916" w:type="dxa"/>
                  <w:tcBorders>
                    <w:top w:val="single" w:color="auto" w:sz="4" w:space="0"/>
                    <w:left w:val="single" w:color="auto" w:sz="4" w:space="0"/>
                    <w:right w:val="single" w:color="auto" w:sz="4" w:space="0"/>
                  </w:tcBorders>
                  <w:shd w:val="clear" w:color="auto" w:fill="auto"/>
                  <w:noWrap/>
                  <w:vAlign w:val="center"/>
                </w:tcPr>
                <w:p w14:paraId="03965CC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690" w:type="dxa"/>
                  <w:tcBorders>
                    <w:top w:val="single" w:color="auto" w:sz="4" w:space="0"/>
                    <w:left w:val="single" w:color="auto" w:sz="4" w:space="0"/>
                    <w:bottom w:val="single" w:color="auto" w:sz="4" w:space="0"/>
                    <w:right w:val="single" w:color="auto" w:sz="4" w:space="0"/>
                  </w:tcBorders>
                  <w:shd w:val="clear" w:color="auto" w:fill="auto"/>
                  <w:noWrap/>
                  <w:vAlign w:val="center"/>
                </w:tcPr>
                <w:p w14:paraId="52E3F6D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6</w:t>
                  </w:r>
                </w:p>
              </w:tc>
              <w:tc>
                <w:tcPr>
                  <w:tcW w:w="1152" w:type="dxa"/>
                  <w:tcBorders>
                    <w:top w:val="single" w:color="auto" w:sz="4" w:space="0"/>
                    <w:left w:val="single" w:color="auto" w:sz="4" w:space="0"/>
                    <w:right w:val="single" w:color="auto" w:sz="4" w:space="0"/>
                  </w:tcBorders>
                  <w:shd w:val="clear" w:color="auto" w:fill="auto"/>
                  <w:noWrap/>
                  <w:vAlign w:val="center"/>
                </w:tcPr>
                <w:p w14:paraId="49D18FB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9.58</w:t>
                  </w:r>
                </w:p>
              </w:tc>
            </w:tr>
            <w:tr w14:paraId="6ABB9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30" w:type="dxa"/>
                  <w:vMerge w:val="continue"/>
                  <w:tcBorders>
                    <w:left w:val="single" w:color="auto" w:sz="4" w:space="0"/>
                    <w:right w:val="single" w:color="auto" w:sz="4" w:space="0"/>
                  </w:tcBorders>
                  <w:noWrap/>
                  <w:vAlign w:val="center"/>
                </w:tcPr>
                <w:p w14:paraId="73789AC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707" w:type="dxa"/>
                  <w:vMerge w:val="continue"/>
                  <w:tcBorders>
                    <w:left w:val="single" w:color="auto" w:sz="4" w:space="0"/>
                    <w:right w:val="single" w:color="auto" w:sz="4" w:space="0"/>
                  </w:tcBorders>
                  <w:noWrap/>
                  <w:vAlign w:val="center"/>
                </w:tcPr>
                <w:p w14:paraId="3B7E314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4207" w:type="dxa"/>
                  <w:tcBorders>
                    <w:top w:val="single" w:color="auto" w:sz="4" w:space="0"/>
                    <w:left w:val="single" w:color="auto" w:sz="4" w:space="0"/>
                    <w:bottom w:val="single" w:color="auto" w:sz="4" w:space="0"/>
                    <w:right w:val="single" w:color="auto" w:sz="4" w:space="0"/>
                  </w:tcBorders>
                  <w:noWrap/>
                  <w:vAlign w:val="center"/>
                </w:tcPr>
                <w:p w14:paraId="39641C45">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振动筛</w:t>
                  </w:r>
                </w:p>
                <w:p w14:paraId="689F496F">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筛面层数：1</w:t>
                  </w:r>
                </w:p>
                <w:p w14:paraId="6C05D3DD">
                  <w:pPr>
                    <w:keepNext w:val="0"/>
                    <w:keepLines w:val="0"/>
                    <w:widowControl/>
                    <w:suppressLineNumbers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筛孔规格：40目</w:t>
                  </w:r>
                </w:p>
                <w:p w14:paraId="7AADCFCB">
                  <w:pPr>
                    <w:keepNext w:val="0"/>
                    <w:keepLines w:val="0"/>
                    <w:widowControl/>
                    <w:suppressLineNumbers w:val="0"/>
                    <w:jc w:val="left"/>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电机功率：7kW（变频调速）</w:t>
                  </w:r>
                </w:p>
              </w:tc>
              <w:tc>
                <w:tcPr>
                  <w:tcW w:w="916" w:type="dxa"/>
                  <w:tcBorders>
                    <w:top w:val="single" w:color="auto" w:sz="4" w:space="0"/>
                    <w:left w:val="single" w:color="auto" w:sz="4" w:space="0"/>
                    <w:right w:val="single" w:color="auto" w:sz="4" w:space="0"/>
                  </w:tcBorders>
                  <w:noWrap/>
                  <w:vAlign w:val="center"/>
                </w:tcPr>
                <w:p w14:paraId="1A36988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10</w:t>
                  </w:r>
                </w:p>
              </w:tc>
              <w:tc>
                <w:tcPr>
                  <w:tcW w:w="690" w:type="dxa"/>
                  <w:tcBorders>
                    <w:top w:val="single" w:color="auto" w:sz="4" w:space="0"/>
                    <w:left w:val="single" w:color="auto" w:sz="4" w:space="0"/>
                    <w:bottom w:val="single" w:color="auto" w:sz="4" w:space="0"/>
                    <w:right w:val="single" w:color="auto" w:sz="4" w:space="0"/>
                  </w:tcBorders>
                  <w:noWrap/>
                  <w:vAlign w:val="center"/>
                </w:tcPr>
                <w:p w14:paraId="32CF25F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w:t>
                  </w:r>
                </w:p>
              </w:tc>
              <w:tc>
                <w:tcPr>
                  <w:tcW w:w="1152" w:type="dxa"/>
                  <w:tcBorders>
                    <w:top w:val="single" w:color="auto" w:sz="4" w:space="0"/>
                    <w:left w:val="single" w:color="auto" w:sz="4" w:space="0"/>
                    <w:right w:val="single" w:color="auto" w:sz="4" w:space="0"/>
                  </w:tcBorders>
                  <w:noWrap/>
                  <w:vAlign w:val="center"/>
                </w:tcPr>
                <w:p w14:paraId="2E02429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43BF8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30" w:type="dxa"/>
                  <w:tcBorders>
                    <w:top w:val="single" w:color="auto" w:sz="4" w:space="0"/>
                    <w:left w:val="single" w:color="auto" w:sz="4" w:space="0"/>
                    <w:bottom w:val="single" w:color="auto" w:sz="4" w:space="0"/>
                    <w:right w:val="single" w:color="auto" w:sz="4" w:space="0"/>
                  </w:tcBorders>
                  <w:noWrap/>
                  <w:vAlign w:val="center"/>
                </w:tcPr>
                <w:p w14:paraId="6E1B214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w:t>
                  </w:r>
                </w:p>
              </w:tc>
              <w:tc>
                <w:tcPr>
                  <w:tcW w:w="707" w:type="dxa"/>
                  <w:tcBorders>
                    <w:top w:val="single" w:color="auto" w:sz="4" w:space="0"/>
                    <w:left w:val="single" w:color="auto" w:sz="4" w:space="0"/>
                    <w:bottom w:val="single" w:color="auto" w:sz="4" w:space="0"/>
                    <w:right w:val="single" w:color="auto" w:sz="4" w:space="0"/>
                  </w:tcBorders>
                  <w:noWrap/>
                  <w:vAlign w:val="center"/>
                </w:tcPr>
                <w:p w14:paraId="6134D2A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空压机站</w:t>
                  </w:r>
                </w:p>
              </w:tc>
              <w:tc>
                <w:tcPr>
                  <w:tcW w:w="4207" w:type="dxa"/>
                  <w:tcBorders>
                    <w:top w:val="single" w:color="auto" w:sz="4" w:space="0"/>
                    <w:left w:val="single" w:color="auto" w:sz="4" w:space="0"/>
                    <w:bottom w:val="single" w:color="auto" w:sz="4" w:space="0"/>
                    <w:right w:val="single" w:color="auto" w:sz="4" w:space="0"/>
                  </w:tcBorders>
                  <w:noWrap/>
                  <w:vAlign w:val="center"/>
                </w:tcPr>
                <w:p w14:paraId="61C385C2">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螺杆式空气压缩机</w:t>
                  </w:r>
                </w:p>
                <w:p w14:paraId="6FD32239">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额定排气量：20m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highlight w:val="none"/>
                      <w14:textFill>
                        <w14:solidFill>
                          <w14:schemeClr w14:val="tx1"/>
                        </w14:solidFill>
                      </w14:textFill>
                    </w:rPr>
                    <w:t>/min</w:t>
                  </w:r>
                </w:p>
                <w:p w14:paraId="2209877D">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排气压力：0.8MPa</w:t>
                  </w:r>
                </w:p>
                <w:p w14:paraId="110C5367">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电机功率：110kW</w:t>
                  </w:r>
                </w:p>
              </w:tc>
              <w:tc>
                <w:tcPr>
                  <w:tcW w:w="916" w:type="dxa"/>
                  <w:tcBorders>
                    <w:top w:val="single" w:color="auto" w:sz="4" w:space="0"/>
                    <w:left w:val="single" w:color="auto" w:sz="4" w:space="0"/>
                    <w:bottom w:val="single" w:color="auto" w:sz="4" w:space="0"/>
                    <w:right w:val="single" w:color="auto" w:sz="4" w:space="0"/>
                  </w:tcBorders>
                  <w:noWrap/>
                  <w:vAlign w:val="center"/>
                </w:tcPr>
                <w:p w14:paraId="6A23CC6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690" w:type="dxa"/>
                  <w:tcBorders>
                    <w:top w:val="single" w:color="auto" w:sz="4" w:space="0"/>
                    <w:left w:val="single" w:color="auto" w:sz="4" w:space="0"/>
                    <w:bottom w:val="single" w:color="auto" w:sz="4" w:space="0"/>
                    <w:right w:val="single" w:color="auto" w:sz="4" w:space="0"/>
                  </w:tcBorders>
                  <w:noWrap/>
                  <w:vAlign w:val="center"/>
                </w:tcPr>
                <w:p w14:paraId="5CF8599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w:t>
                  </w:r>
                </w:p>
              </w:tc>
              <w:tc>
                <w:tcPr>
                  <w:tcW w:w="1152" w:type="dxa"/>
                  <w:tcBorders>
                    <w:top w:val="single" w:color="auto" w:sz="4" w:space="0"/>
                    <w:left w:val="single" w:color="auto" w:sz="4" w:space="0"/>
                    <w:bottom w:val="single" w:color="auto" w:sz="4" w:space="0"/>
                    <w:right w:val="single" w:color="auto" w:sz="4" w:space="0"/>
                  </w:tcBorders>
                  <w:noWrap/>
                  <w:vAlign w:val="center"/>
                </w:tcPr>
                <w:p w14:paraId="5FDD1D8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82.19</w:t>
                  </w:r>
                </w:p>
              </w:tc>
            </w:tr>
          </w:tbl>
          <w:p w14:paraId="3474046B">
            <w:pPr>
              <w:spacing w:line="240" w:lineRule="auto"/>
              <w:jc w:val="center"/>
              <w:rPr>
                <w:rFonts w:hint="default" w:ascii="Times New Roman" w:hAnsi="Times New Roman" w:eastAsia="宋体" w:cs="Times New Roman"/>
                <w:b/>
                <w:bCs/>
                <w:color w:val="000000" w:themeColor="text1"/>
                <w:sz w:val="28"/>
                <w:szCs w:val="28"/>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表2-10全厂物料计量设备表</w:t>
            </w:r>
          </w:p>
          <w:tbl>
            <w:tblPr>
              <w:tblStyle w:val="24"/>
              <w:tblW w:w="5000" w:type="pct"/>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43"/>
              <w:gridCol w:w="2706"/>
              <w:gridCol w:w="2706"/>
              <w:gridCol w:w="1480"/>
              <w:gridCol w:w="744"/>
            </w:tblGrid>
            <w:tr w14:paraId="799EEF7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0" w:hRule="atLeast"/>
                <w:tblHeader/>
                <w:jc w:val="center"/>
              </w:trPr>
              <w:tc>
                <w:tcPr>
                  <w:tcW w:w="743" w:type="dxa"/>
                  <w:tcBorders>
                    <w:top w:val="single" w:color="auto" w:sz="4" w:space="0"/>
                    <w:left w:val="single" w:color="auto" w:sz="4" w:space="0"/>
                    <w:bottom w:val="single" w:color="auto" w:sz="4" w:space="0"/>
                    <w:right w:val="single" w:color="auto" w:sz="4" w:space="0"/>
                  </w:tcBorders>
                  <w:noWrap w:val="0"/>
                  <w:vAlign w:val="center"/>
                </w:tcPr>
                <w:p w14:paraId="367D84E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序号</w:t>
                  </w:r>
                </w:p>
              </w:tc>
              <w:tc>
                <w:tcPr>
                  <w:tcW w:w="2706" w:type="dxa"/>
                  <w:tcBorders>
                    <w:top w:val="single" w:color="auto" w:sz="4" w:space="0"/>
                    <w:left w:val="single" w:color="auto" w:sz="4" w:space="0"/>
                    <w:bottom w:val="single" w:color="auto" w:sz="4" w:space="0"/>
                    <w:right w:val="single" w:color="auto" w:sz="4" w:space="0"/>
                  </w:tcBorders>
                  <w:noWrap w:val="0"/>
                  <w:vAlign w:val="center"/>
                </w:tcPr>
                <w:p w14:paraId="7B2A8C4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计量物料名称</w:t>
                  </w:r>
                </w:p>
              </w:tc>
              <w:tc>
                <w:tcPr>
                  <w:tcW w:w="2706" w:type="dxa"/>
                  <w:tcBorders>
                    <w:top w:val="single" w:color="auto" w:sz="4" w:space="0"/>
                    <w:left w:val="single" w:color="auto" w:sz="4" w:space="0"/>
                    <w:bottom w:val="single" w:color="auto" w:sz="4" w:space="0"/>
                    <w:right w:val="single" w:color="auto" w:sz="4" w:space="0"/>
                  </w:tcBorders>
                  <w:noWrap w:val="0"/>
                  <w:vAlign w:val="center"/>
                </w:tcPr>
                <w:p w14:paraId="4198768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计量设施安装位置</w:t>
                  </w:r>
                </w:p>
              </w:tc>
              <w:tc>
                <w:tcPr>
                  <w:tcW w:w="1480" w:type="dxa"/>
                  <w:tcBorders>
                    <w:top w:val="single" w:color="auto" w:sz="4" w:space="0"/>
                    <w:left w:val="single" w:color="auto" w:sz="4" w:space="0"/>
                    <w:bottom w:val="single" w:color="auto" w:sz="4" w:space="0"/>
                    <w:right w:val="single" w:color="auto" w:sz="4" w:space="0"/>
                  </w:tcBorders>
                  <w:noWrap w:val="0"/>
                  <w:vAlign w:val="center"/>
                </w:tcPr>
                <w:p w14:paraId="287EAA4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设施形式</w:t>
                  </w:r>
                </w:p>
              </w:tc>
              <w:tc>
                <w:tcPr>
                  <w:tcW w:w="744" w:type="dxa"/>
                  <w:tcBorders>
                    <w:top w:val="single" w:color="auto" w:sz="4" w:space="0"/>
                    <w:left w:val="single" w:color="auto" w:sz="4" w:space="0"/>
                    <w:bottom w:val="single" w:color="auto" w:sz="4" w:space="0"/>
                    <w:right w:val="single" w:color="auto" w:sz="4" w:space="0"/>
                  </w:tcBorders>
                  <w:noWrap w:val="0"/>
                  <w:vAlign w:val="center"/>
                </w:tcPr>
                <w:p w14:paraId="0D800B1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数量</w:t>
                  </w:r>
                </w:p>
              </w:tc>
            </w:tr>
            <w:tr w14:paraId="09BB617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43" w:type="dxa"/>
                  <w:tcBorders>
                    <w:top w:val="single" w:color="auto" w:sz="4" w:space="0"/>
                    <w:left w:val="single" w:color="auto" w:sz="4" w:space="0"/>
                    <w:bottom w:val="single" w:color="auto" w:sz="4" w:space="0"/>
                    <w:right w:val="single" w:color="auto" w:sz="4" w:space="0"/>
                  </w:tcBorders>
                  <w:noWrap w:val="0"/>
                  <w:vAlign w:val="center"/>
                </w:tcPr>
                <w:p w14:paraId="0F56D29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2706" w:type="dxa"/>
                  <w:tcBorders>
                    <w:top w:val="single" w:color="auto" w:sz="4" w:space="0"/>
                    <w:left w:val="single" w:color="auto" w:sz="4" w:space="0"/>
                    <w:bottom w:val="single" w:color="auto" w:sz="4" w:space="0"/>
                    <w:right w:val="single" w:color="auto" w:sz="4" w:space="0"/>
                  </w:tcBorders>
                  <w:noWrap w:val="0"/>
                  <w:vAlign w:val="center"/>
                </w:tcPr>
                <w:p w14:paraId="78B4439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入窑原料粉</w:t>
                  </w:r>
                </w:p>
              </w:tc>
              <w:tc>
                <w:tcPr>
                  <w:tcW w:w="2706" w:type="dxa"/>
                  <w:tcBorders>
                    <w:top w:val="single" w:color="auto" w:sz="4" w:space="0"/>
                    <w:left w:val="single" w:color="auto" w:sz="4" w:space="0"/>
                    <w:bottom w:val="single" w:color="auto" w:sz="4" w:space="0"/>
                    <w:right w:val="single" w:color="auto" w:sz="4" w:space="0"/>
                  </w:tcBorders>
                  <w:noWrap w:val="0"/>
                  <w:vAlign w:val="center"/>
                </w:tcPr>
                <w:p w14:paraId="1FD5E52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原料粉</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喂料仓出口</w:t>
                  </w:r>
                </w:p>
              </w:tc>
              <w:tc>
                <w:tcPr>
                  <w:tcW w:w="1480" w:type="dxa"/>
                  <w:tcBorders>
                    <w:top w:val="single" w:color="auto" w:sz="4" w:space="0"/>
                    <w:left w:val="single" w:color="auto" w:sz="4" w:space="0"/>
                    <w:bottom w:val="single" w:color="auto" w:sz="4" w:space="0"/>
                    <w:right w:val="single" w:color="auto" w:sz="4" w:space="0"/>
                  </w:tcBorders>
                  <w:noWrap w:val="0"/>
                  <w:vAlign w:val="center"/>
                </w:tcPr>
                <w:p w14:paraId="04674A4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转子</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计量</w:t>
                  </w:r>
                  <w:r>
                    <w:rPr>
                      <w:rFonts w:hint="default" w:ascii="Times New Roman" w:hAnsi="Times New Roman" w:eastAsia="宋体" w:cs="Times New Roman"/>
                      <w:color w:val="000000" w:themeColor="text1"/>
                      <w:sz w:val="21"/>
                      <w:szCs w:val="21"/>
                      <w:highlight w:val="none"/>
                      <w14:textFill>
                        <w14:solidFill>
                          <w14:schemeClr w14:val="tx1"/>
                        </w14:solidFill>
                      </w14:textFill>
                    </w:rPr>
                    <w:t>秤</w:t>
                  </w:r>
                </w:p>
              </w:tc>
              <w:tc>
                <w:tcPr>
                  <w:tcW w:w="744" w:type="dxa"/>
                  <w:tcBorders>
                    <w:top w:val="single" w:color="auto" w:sz="4" w:space="0"/>
                    <w:left w:val="single" w:color="auto" w:sz="4" w:space="0"/>
                    <w:bottom w:val="single" w:color="auto" w:sz="4" w:space="0"/>
                    <w:right w:val="single" w:color="auto" w:sz="4" w:space="0"/>
                  </w:tcBorders>
                  <w:noWrap w:val="0"/>
                  <w:vAlign w:val="center"/>
                </w:tcPr>
                <w:p w14:paraId="153AF9D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w:t>
                  </w:r>
                </w:p>
              </w:tc>
            </w:tr>
            <w:tr w14:paraId="39237E1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43" w:type="dxa"/>
                  <w:tcBorders>
                    <w:top w:val="single" w:color="auto" w:sz="4" w:space="0"/>
                    <w:left w:val="single" w:color="auto" w:sz="4" w:space="0"/>
                    <w:bottom w:val="single" w:color="auto" w:sz="4" w:space="0"/>
                    <w:right w:val="single" w:color="auto" w:sz="4" w:space="0"/>
                  </w:tcBorders>
                  <w:noWrap w:val="0"/>
                  <w:vAlign w:val="center"/>
                </w:tcPr>
                <w:p w14:paraId="4DCF02B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c>
                <w:tcPr>
                  <w:tcW w:w="270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177B8F6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入窑气体燃料</w:t>
                  </w:r>
                </w:p>
              </w:tc>
              <w:tc>
                <w:tcPr>
                  <w:tcW w:w="270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71F160E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高岭土冷却</w:t>
                  </w:r>
                </w:p>
              </w:tc>
              <w:tc>
                <w:tcPr>
                  <w:tcW w:w="1480"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4613EA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气体流量计</w:t>
                  </w:r>
                </w:p>
              </w:tc>
              <w:tc>
                <w:tcPr>
                  <w:tcW w:w="74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87470D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w:t>
                  </w:r>
                </w:p>
              </w:tc>
            </w:tr>
            <w:tr w14:paraId="7A2D700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247" w:hRule="atLeast"/>
                <w:jc w:val="center"/>
              </w:trPr>
              <w:tc>
                <w:tcPr>
                  <w:tcW w:w="743" w:type="dxa"/>
                  <w:tcBorders>
                    <w:top w:val="single" w:color="auto" w:sz="4" w:space="0"/>
                    <w:left w:val="single" w:color="auto" w:sz="4" w:space="0"/>
                    <w:bottom w:val="single" w:color="auto" w:sz="4" w:space="0"/>
                    <w:right w:val="single" w:color="auto" w:sz="4" w:space="0"/>
                  </w:tcBorders>
                  <w:noWrap w:val="0"/>
                  <w:vAlign w:val="center"/>
                </w:tcPr>
                <w:p w14:paraId="5050B7F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p>
              </w:tc>
              <w:tc>
                <w:tcPr>
                  <w:tcW w:w="270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99AF30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高岭土粗料</w:t>
                  </w:r>
                </w:p>
              </w:tc>
              <w:tc>
                <w:tcPr>
                  <w:tcW w:w="270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22F5E00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磨头钢仓下入磨</w:t>
                  </w:r>
                </w:p>
              </w:tc>
              <w:tc>
                <w:tcPr>
                  <w:tcW w:w="1480"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40C86BB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定量给料机</w:t>
                  </w:r>
                </w:p>
              </w:tc>
              <w:tc>
                <w:tcPr>
                  <w:tcW w:w="74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961A7D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27374A4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43" w:type="dxa"/>
                  <w:tcBorders>
                    <w:top w:val="single" w:color="auto" w:sz="4" w:space="0"/>
                    <w:left w:val="single" w:color="auto" w:sz="4" w:space="0"/>
                    <w:bottom w:val="single" w:color="auto" w:sz="4" w:space="0"/>
                    <w:right w:val="single" w:color="auto" w:sz="4" w:space="0"/>
                  </w:tcBorders>
                  <w:noWrap w:val="0"/>
                  <w:vAlign w:val="center"/>
                </w:tcPr>
                <w:p w14:paraId="40B6EE7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w:t>
                  </w:r>
                </w:p>
              </w:tc>
              <w:tc>
                <w:tcPr>
                  <w:tcW w:w="2706" w:type="dxa"/>
                  <w:tcBorders>
                    <w:top w:val="single" w:color="auto" w:sz="4" w:space="0"/>
                    <w:left w:val="single" w:color="auto" w:sz="4" w:space="0"/>
                    <w:bottom w:val="single" w:color="auto" w:sz="4" w:space="0"/>
                    <w:right w:val="single" w:color="auto" w:sz="4" w:space="0"/>
                  </w:tcBorders>
                  <w:noWrap w:val="0"/>
                  <w:vAlign w:val="center"/>
                </w:tcPr>
                <w:p w14:paraId="638B08D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高岭土粗料</w:t>
                  </w:r>
                </w:p>
              </w:tc>
              <w:tc>
                <w:tcPr>
                  <w:tcW w:w="2706" w:type="dxa"/>
                  <w:tcBorders>
                    <w:top w:val="single" w:color="auto" w:sz="4" w:space="0"/>
                    <w:left w:val="single" w:color="auto" w:sz="4" w:space="0"/>
                    <w:bottom w:val="single" w:color="auto" w:sz="4" w:space="0"/>
                    <w:right w:val="single" w:color="auto" w:sz="4" w:space="0"/>
                  </w:tcBorders>
                  <w:noWrap w:val="0"/>
                  <w:vAlign w:val="center"/>
                </w:tcPr>
                <w:p w14:paraId="45133F1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磨头钢仓下入大袋包装</w:t>
                  </w:r>
                </w:p>
              </w:tc>
              <w:tc>
                <w:tcPr>
                  <w:tcW w:w="1480" w:type="dxa"/>
                  <w:tcBorders>
                    <w:top w:val="single" w:color="auto" w:sz="4" w:space="0"/>
                    <w:left w:val="single" w:color="auto" w:sz="4" w:space="0"/>
                    <w:bottom w:val="single" w:color="auto" w:sz="4" w:space="0"/>
                    <w:right w:val="single" w:color="auto" w:sz="4" w:space="0"/>
                  </w:tcBorders>
                  <w:noWrap w:val="0"/>
                  <w:vAlign w:val="center"/>
                </w:tcPr>
                <w:p w14:paraId="481EEA6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定量给料机</w:t>
                  </w:r>
                </w:p>
              </w:tc>
              <w:tc>
                <w:tcPr>
                  <w:tcW w:w="744" w:type="dxa"/>
                  <w:tcBorders>
                    <w:top w:val="single" w:color="auto" w:sz="4" w:space="0"/>
                    <w:left w:val="single" w:color="auto" w:sz="4" w:space="0"/>
                    <w:bottom w:val="single" w:color="auto" w:sz="4" w:space="0"/>
                    <w:right w:val="single" w:color="auto" w:sz="4" w:space="0"/>
                  </w:tcBorders>
                  <w:noWrap w:val="0"/>
                  <w:vAlign w:val="center"/>
                </w:tcPr>
                <w:p w14:paraId="6E778DE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2B96ADC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743" w:type="dxa"/>
                  <w:tcBorders>
                    <w:top w:val="single" w:color="auto" w:sz="4" w:space="0"/>
                    <w:left w:val="single" w:color="auto" w:sz="4" w:space="0"/>
                    <w:bottom w:val="single" w:color="auto" w:sz="4" w:space="0"/>
                    <w:right w:val="single" w:color="auto" w:sz="4" w:space="0"/>
                  </w:tcBorders>
                  <w:noWrap w:val="0"/>
                  <w:vAlign w:val="center"/>
                </w:tcPr>
                <w:p w14:paraId="7F596C8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5</w:t>
                  </w:r>
                </w:p>
              </w:tc>
              <w:tc>
                <w:tcPr>
                  <w:tcW w:w="2706" w:type="dxa"/>
                  <w:tcBorders>
                    <w:top w:val="single" w:color="auto" w:sz="4" w:space="0"/>
                    <w:left w:val="single" w:color="auto" w:sz="4" w:space="0"/>
                    <w:bottom w:val="single" w:color="auto" w:sz="4" w:space="0"/>
                    <w:right w:val="single" w:color="auto" w:sz="4" w:space="0"/>
                  </w:tcBorders>
                  <w:noWrap w:val="0"/>
                  <w:vAlign w:val="center"/>
                </w:tcPr>
                <w:p w14:paraId="66D5EAC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高岭土粗料</w:t>
                  </w:r>
                </w:p>
              </w:tc>
              <w:tc>
                <w:tcPr>
                  <w:tcW w:w="2706" w:type="dxa"/>
                  <w:tcBorders>
                    <w:top w:val="single" w:color="auto" w:sz="4" w:space="0"/>
                    <w:left w:val="single" w:color="auto" w:sz="4" w:space="0"/>
                    <w:bottom w:val="single" w:color="auto" w:sz="4" w:space="0"/>
                    <w:right w:val="single" w:color="auto" w:sz="4" w:space="0"/>
                  </w:tcBorders>
                  <w:noWrap w:val="0"/>
                  <w:vAlign w:val="center"/>
                </w:tcPr>
                <w:p w14:paraId="6AA544E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大袋包装机下</w:t>
                  </w:r>
                </w:p>
              </w:tc>
              <w:tc>
                <w:tcPr>
                  <w:tcW w:w="1480" w:type="dxa"/>
                  <w:tcBorders>
                    <w:top w:val="single" w:color="auto" w:sz="4" w:space="0"/>
                    <w:left w:val="single" w:color="auto" w:sz="4" w:space="0"/>
                    <w:bottom w:val="single" w:color="auto" w:sz="4" w:space="0"/>
                    <w:right w:val="single" w:color="auto" w:sz="4" w:space="0"/>
                  </w:tcBorders>
                  <w:noWrap w:val="0"/>
                  <w:vAlign w:val="center"/>
                </w:tcPr>
                <w:p w14:paraId="0922F54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称重盘</w:t>
                  </w:r>
                </w:p>
              </w:tc>
              <w:tc>
                <w:tcPr>
                  <w:tcW w:w="744" w:type="dxa"/>
                  <w:tcBorders>
                    <w:top w:val="single" w:color="auto" w:sz="4" w:space="0"/>
                    <w:left w:val="single" w:color="auto" w:sz="4" w:space="0"/>
                    <w:bottom w:val="single" w:color="auto" w:sz="4" w:space="0"/>
                    <w:right w:val="single" w:color="auto" w:sz="4" w:space="0"/>
                  </w:tcBorders>
                  <w:noWrap w:val="0"/>
                  <w:vAlign w:val="center"/>
                </w:tcPr>
                <w:p w14:paraId="1B43CB9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r>
            <w:tr w14:paraId="6C6A1E7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18" w:hRule="atLeast"/>
                <w:jc w:val="center"/>
              </w:trPr>
              <w:tc>
                <w:tcPr>
                  <w:tcW w:w="743" w:type="dxa"/>
                  <w:tcBorders>
                    <w:top w:val="single" w:color="auto" w:sz="4" w:space="0"/>
                    <w:left w:val="single" w:color="auto" w:sz="4" w:space="0"/>
                    <w:bottom w:val="single" w:color="auto" w:sz="4" w:space="0"/>
                    <w:right w:val="single" w:color="auto" w:sz="4" w:space="0"/>
                  </w:tcBorders>
                  <w:noWrap w:val="0"/>
                  <w:vAlign w:val="center"/>
                </w:tcPr>
                <w:p w14:paraId="600DEE5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6</w:t>
                  </w:r>
                </w:p>
              </w:tc>
              <w:tc>
                <w:tcPr>
                  <w:tcW w:w="2706" w:type="dxa"/>
                  <w:tcBorders>
                    <w:top w:val="single" w:color="auto" w:sz="4" w:space="0"/>
                    <w:left w:val="single" w:color="auto" w:sz="4" w:space="0"/>
                    <w:bottom w:val="single" w:color="auto" w:sz="4" w:space="0"/>
                    <w:right w:val="single" w:color="auto" w:sz="4" w:space="0"/>
                  </w:tcBorders>
                  <w:noWrap w:val="0"/>
                  <w:vAlign w:val="center"/>
                </w:tcPr>
                <w:p w14:paraId="3745A82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高岭土细料（</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分选</w:t>
                  </w:r>
                  <w:r>
                    <w:rPr>
                      <w:rFonts w:hint="default" w:ascii="Times New Roman" w:hAnsi="Times New Roman" w:eastAsia="宋体" w:cs="Times New Roman"/>
                      <w:color w:val="000000" w:themeColor="text1"/>
                      <w:sz w:val="21"/>
                      <w:szCs w:val="21"/>
                      <w:highlight w:val="none"/>
                      <w14:textFill>
                        <w14:solidFill>
                          <w14:schemeClr w14:val="tx1"/>
                        </w14:solidFill>
                      </w14:textFill>
                    </w:rPr>
                    <w:t>后）</w:t>
                  </w:r>
                </w:p>
              </w:tc>
              <w:tc>
                <w:tcPr>
                  <w:tcW w:w="2706" w:type="dxa"/>
                  <w:tcBorders>
                    <w:top w:val="single" w:color="auto" w:sz="4" w:space="0"/>
                    <w:left w:val="single" w:color="auto" w:sz="4" w:space="0"/>
                    <w:bottom w:val="single" w:color="auto" w:sz="4" w:space="0"/>
                    <w:right w:val="single" w:color="auto" w:sz="4" w:space="0"/>
                  </w:tcBorders>
                  <w:noWrap w:val="0"/>
                  <w:vAlign w:val="center"/>
                </w:tcPr>
                <w:p w14:paraId="39CAF2C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大</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小</w:t>
                  </w:r>
                  <w:r>
                    <w:rPr>
                      <w:rFonts w:hint="default" w:ascii="Times New Roman" w:hAnsi="Times New Roman" w:eastAsia="宋体" w:cs="Times New Roman"/>
                      <w:color w:val="000000" w:themeColor="text1"/>
                      <w:sz w:val="21"/>
                      <w:szCs w:val="21"/>
                      <w:highlight w:val="none"/>
                      <w14:textFill>
                        <w14:solidFill>
                          <w14:schemeClr w14:val="tx1"/>
                        </w14:solidFill>
                      </w14:textFill>
                    </w:rPr>
                    <w:t>袋包装机下</w:t>
                  </w:r>
                </w:p>
              </w:tc>
              <w:tc>
                <w:tcPr>
                  <w:tcW w:w="1480" w:type="dxa"/>
                  <w:tcBorders>
                    <w:top w:val="single" w:color="auto" w:sz="4" w:space="0"/>
                    <w:left w:val="single" w:color="auto" w:sz="4" w:space="0"/>
                    <w:bottom w:val="single" w:color="auto" w:sz="4" w:space="0"/>
                    <w:right w:val="single" w:color="auto" w:sz="4" w:space="0"/>
                  </w:tcBorders>
                  <w:noWrap w:val="0"/>
                  <w:vAlign w:val="center"/>
                </w:tcPr>
                <w:p w14:paraId="4019291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称重盘</w:t>
                  </w:r>
                </w:p>
              </w:tc>
              <w:tc>
                <w:tcPr>
                  <w:tcW w:w="744" w:type="dxa"/>
                  <w:tcBorders>
                    <w:top w:val="single" w:color="auto" w:sz="4" w:space="0"/>
                    <w:left w:val="single" w:color="auto" w:sz="4" w:space="0"/>
                    <w:bottom w:val="single" w:color="auto" w:sz="4" w:space="0"/>
                    <w:right w:val="single" w:color="auto" w:sz="4" w:space="0"/>
                  </w:tcBorders>
                  <w:noWrap w:val="0"/>
                  <w:vAlign w:val="center"/>
                </w:tcPr>
                <w:p w14:paraId="767DDD3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p>
              </w:tc>
            </w:tr>
          </w:tbl>
          <w:p w14:paraId="3D80E72C">
            <w:pPr>
              <w:spacing w:line="240" w:lineRule="auto"/>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表2-11脱硫工艺</w:t>
            </w: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（FGD）</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主机设备表</w:t>
            </w:r>
          </w:p>
          <w:tbl>
            <w:tblPr>
              <w:tblStyle w:val="2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5"/>
              <w:gridCol w:w="3738"/>
              <w:gridCol w:w="799"/>
              <w:gridCol w:w="1612"/>
              <w:gridCol w:w="920"/>
            </w:tblGrid>
            <w:tr w14:paraId="66B5F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tblHeader/>
                <w:jc w:val="center"/>
              </w:trPr>
              <w:tc>
                <w:tcPr>
                  <w:tcW w:w="779" w:type="pct"/>
                  <w:noWrap w:val="0"/>
                  <w:vAlign w:val="center"/>
                </w:tcPr>
                <w:p w14:paraId="0B7038C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序号</w:t>
                  </w:r>
                </w:p>
              </w:tc>
              <w:tc>
                <w:tcPr>
                  <w:tcW w:w="2231" w:type="pct"/>
                  <w:noWrap w:val="0"/>
                  <w:vAlign w:val="center"/>
                </w:tcPr>
                <w:p w14:paraId="5E61F83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设备名称、规格及技术性能</w:t>
                  </w:r>
                </w:p>
              </w:tc>
              <w:tc>
                <w:tcPr>
                  <w:tcW w:w="477" w:type="pct"/>
                  <w:noWrap w:val="0"/>
                  <w:vAlign w:val="center"/>
                </w:tcPr>
                <w:p w14:paraId="7FC354A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台数</w:t>
                  </w:r>
                </w:p>
              </w:tc>
              <w:tc>
                <w:tcPr>
                  <w:tcW w:w="962" w:type="pct"/>
                  <w:noWrap w:val="0"/>
                  <w:vAlign w:val="center"/>
                </w:tcPr>
                <w:p w14:paraId="5021104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年利用率</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p>
              </w:tc>
              <w:tc>
                <w:tcPr>
                  <w:tcW w:w="549" w:type="pct"/>
                  <w:noWrap w:val="0"/>
                  <w:vAlign w:val="center"/>
                </w:tcPr>
                <w:p w14:paraId="3596544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备注</w:t>
                  </w:r>
                </w:p>
              </w:tc>
            </w:tr>
            <w:tr w14:paraId="366D4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779" w:type="pct"/>
                  <w:vMerge w:val="restart"/>
                  <w:noWrap w:val="0"/>
                  <w:vAlign w:val="center"/>
                </w:tcPr>
                <w:p w14:paraId="79052E8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HO01</w:t>
                  </w:r>
                </w:p>
              </w:tc>
              <w:tc>
                <w:tcPr>
                  <w:tcW w:w="2231" w:type="pct"/>
                  <w:noWrap w:val="0"/>
                  <w:vAlign w:val="center"/>
                </w:tcPr>
                <w:p w14:paraId="5D7B90D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石灰石粉仓</w:t>
                  </w:r>
                </w:p>
              </w:tc>
              <w:tc>
                <w:tcPr>
                  <w:tcW w:w="477" w:type="pct"/>
                  <w:noWrap w:val="0"/>
                  <w:vAlign w:val="top"/>
                </w:tcPr>
                <w:p w14:paraId="5A897C7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962" w:type="pct"/>
                  <w:noWrap w:val="0"/>
                  <w:vAlign w:val="center"/>
                </w:tcPr>
                <w:p w14:paraId="5BD90E1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82.19</w:t>
                  </w:r>
                </w:p>
              </w:tc>
              <w:tc>
                <w:tcPr>
                  <w:tcW w:w="549" w:type="pct"/>
                  <w:noWrap w:val="0"/>
                  <w:vAlign w:val="center"/>
                </w:tcPr>
                <w:p w14:paraId="2A138490">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2E176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779" w:type="pct"/>
                  <w:vMerge w:val="continue"/>
                  <w:noWrap w:val="0"/>
                  <w:vAlign w:val="center"/>
                </w:tcPr>
                <w:p w14:paraId="5B3D418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197A53BD">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w:t>
                  </w:r>
                </w:p>
              </w:tc>
              <w:tc>
                <w:tcPr>
                  <w:tcW w:w="477" w:type="pct"/>
                  <w:noWrap w:val="0"/>
                  <w:vAlign w:val="top"/>
                </w:tcPr>
                <w:p w14:paraId="20274D3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5A7659B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52C3D8A6">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378E2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779" w:type="pct"/>
                  <w:vMerge w:val="continue"/>
                  <w:noWrap w:val="0"/>
                  <w:vAlign w:val="bottom"/>
                </w:tcPr>
                <w:p w14:paraId="774AE02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1D4A0C3A">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容积：</w:t>
                  </w:r>
                </w:p>
              </w:tc>
              <w:tc>
                <w:tcPr>
                  <w:tcW w:w="477" w:type="pct"/>
                  <w:noWrap w:val="0"/>
                  <w:vAlign w:val="top"/>
                </w:tcPr>
                <w:p w14:paraId="7CE380D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4220F18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71FE05B9">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3C7B8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779" w:type="pct"/>
                  <w:vMerge w:val="continue"/>
                  <w:noWrap w:val="0"/>
                  <w:vAlign w:val="center"/>
                </w:tcPr>
                <w:p w14:paraId="003D4B3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70B3D928">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材质：</w:t>
                  </w:r>
                </w:p>
              </w:tc>
              <w:tc>
                <w:tcPr>
                  <w:tcW w:w="477" w:type="pct"/>
                  <w:noWrap w:val="0"/>
                  <w:vAlign w:val="top"/>
                </w:tcPr>
                <w:p w14:paraId="55B4304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4369B6D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464F4D2D">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20917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restart"/>
                  <w:noWrap w:val="0"/>
                  <w:vAlign w:val="center"/>
                </w:tcPr>
                <w:p w14:paraId="29520D0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BF01</w:t>
                  </w:r>
                </w:p>
                <w:p w14:paraId="272E6D6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3435602C">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库顶除尘器</w:t>
                  </w:r>
                </w:p>
              </w:tc>
              <w:tc>
                <w:tcPr>
                  <w:tcW w:w="477" w:type="pct"/>
                  <w:noWrap w:val="0"/>
                  <w:vAlign w:val="top"/>
                </w:tcPr>
                <w:p w14:paraId="7A11F87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1</w:t>
                  </w:r>
                </w:p>
              </w:tc>
              <w:tc>
                <w:tcPr>
                  <w:tcW w:w="962" w:type="pct"/>
                  <w:noWrap w:val="0"/>
                  <w:vAlign w:val="center"/>
                </w:tcPr>
                <w:p w14:paraId="71135C9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82.19</w:t>
                  </w:r>
                </w:p>
              </w:tc>
              <w:tc>
                <w:tcPr>
                  <w:tcW w:w="549" w:type="pct"/>
                  <w:noWrap w:val="0"/>
                  <w:vAlign w:val="center"/>
                </w:tcPr>
                <w:p w14:paraId="0CB44753">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0A346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191F755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7FC7A1CE">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w:t>
                  </w:r>
                </w:p>
              </w:tc>
              <w:tc>
                <w:tcPr>
                  <w:tcW w:w="477" w:type="pct"/>
                  <w:noWrap w:val="0"/>
                  <w:vAlign w:val="top"/>
                </w:tcPr>
                <w:p w14:paraId="3CE2F2E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7B8BC6E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591EBDB1">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FD37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center"/>
                </w:tcPr>
                <w:p w14:paraId="61AF29E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7CB8DAD3">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类型：布袋除尘</w:t>
                  </w:r>
                </w:p>
              </w:tc>
              <w:tc>
                <w:tcPr>
                  <w:tcW w:w="477" w:type="pct"/>
                  <w:noWrap w:val="0"/>
                  <w:vAlign w:val="top"/>
                </w:tcPr>
                <w:p w14:paraId="5600EFE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4CCB8B1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3D7DA3DD">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2323C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20AF90B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786C3897">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风机电机功率：1.5</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kW</w:t>
                  </w:r>
                </w:p>
              </w:tc>
              <w:tc>
                <w:tcPr>
                  <w:tcW w:w="477" w:type="pct"/>
                  <w:noWrap w:val="0"/>
                  <w:vAlign w:val="top"/>
                </w:tcPr>
                <w:p w14:paraId="416F0E3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1901FBF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1897E427">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14417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restart"/>
                  <w:noWrap w:val="0"/>
                  <w:vAlign w:val="center"/>
                </w:tcPr>
                <w:p w14:paraId="32F2C15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WF01</w:t>
                  </w:r>
                </w:p>
              </w:tc>
              <w:tc>
                <w:tcPr>
                  <w:tcW w:w="2231" w:type="pct"/>
                  <w:noWrap w:val="0"/>
                  <w:vAlign w:val="center"/>
                </w:tcPr>
                <w:p w14:paraId="2B944469">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定量给料机</w:t>
                  </w:r>
                </w:p>
              </w:tc>
              <w:tc>
                <w:tcPr>
                  <w:tcW w:w="477" w:type="pct"/>
                  <w:noWrap w:val="0"/>
                  <w:vAlign w:val="top"/>
                </w:tcPr>
                <w:p w14:paraId="563BBE2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962" w:type="pct"/>
                  <w:noWrap w:val="0"/>
                  <w:vAlign w:val="center"/>
                </w:tcPr>
                <w:p w14:paraId="5D25F42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82.19</w:t>
                  </w:r>
                </w:p>
              </w:tc>
              <w:tc>
                <w:tcPr>
                  <w:tcW w:w="549" w:type="pct"/>
                  <w:noWrap w:val="0"/>
                  <w:vAlign w:val="center"/>
                </w:tcPr>
                <w:p w14:paraId="3B7A685E">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9153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center"/>
                </w:tcPr>
                <w:p w14:paraId="1B44684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4019811F">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w:t>
                  </w:r>
                </w:p>
              </w:tc>
              <w:tc>
                <w:tcPr>
                  <w:tcW w:w="477" w:type="pct"/>
                  <w:noWrap w:val="0"/>
                  <w:vAlign w:val="top"/>
                </w:tcPr>
                <w:p w14:paraId="489F42E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1DEE44D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20B02475">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7E12D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5628768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58882AB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规格：</w:t>
                  </w:r>
                </w:p>
              </w:tc>
              <w:tc>
                <w:tcPr>
                  <w:tcW w:w="477" w:type="pct"/>
                  <w:noWrap w:val="0"/>
                  <w:vAlign w:val="top"/>
                </w:tcPr>
                <w:p w14:paraId="5CA2050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70F8A89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506ADCAD">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5E891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53D5EC4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46DEC7A3">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物料：</w:t>
                  </w:r>
                </w:p>
              </w:tc>
              <w:tc>
                <w:tcPr>
                  <w:tcW w:w="477" w:type="pct"/>
                  <w:noWrap w:val="0"/>
                  <w:vAlign w:val="top"/>
                </w:tcPr>
                <w:p w14:paraId="191E2E0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26CCAA4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551DE0C6">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772401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4AFD2B6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6A43F85E">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喂料能力：1t/h</w:t>
                  </w:r>
                </w:p>
              </w:tc>
              <w:tc>
                <w:tcPr>
                  <w:tcW w:w="477" w:type="pct"/>
                  <w:noWrap w:val="0"/>
                  <w:vAlign w:val="top"/>
                </w:tcPr>
                <w:p w14:paraId="7FA042E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56EC81C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7443B31C">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51B3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022F941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59683D7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变频功率电机</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3</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kW</w:t>
                  </w:r>
                </w:p>
              </w:tc>
              <w:tc>
                <w:tcPr>
                  <w:tcW w:w="477" w:type="pct"/>
                  <w:noWrap w:val="0"/>
                  <w:vAlign w:val="top"/>
                </w:tcPr>
                <w:p w14:paraId="6DFF118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3A19381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574152DD">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22BCC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restart"/>
                  <w:noWrap w:val="0"/>
                  <w:vAlign w:val="bottom"/>
                </w:tcPr>
                <w:p w14:paraId="1520FC6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TK01</w:t>
                  </w:r>
                </w:p>
                <w:p w14:paraId="5571DC3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7BEC75E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石灰浆液箱</w:t>
                  </w:r>
                </w:p>
              </w:tc>
              <w:tc>
                <w:tcPr>
                  <w:tcW w:w="477" w:type="pct"/>
                  <w:noWrap w:val="0"/>
                  <w:vAlign w:val="top"/>
                </w:tcPr>
                <w:p w14:paraId="374F7A1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962" w:type="pct"/>
                  <w:noWrap w:val="0"/>
                  <w:vAlign w:val="center"/>
                </w:tcPr>
                <w:p w14:paraId="04EA5E0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82.19</w:t>
                  </w:r>
                </w:p>
              </w:tc>
              <w:tc>
                <w:tcPr>
                  <w:tcW w:w="549" w:type="pct"/>
                  <w:noWrap w:val="0"/>
                  <w:vAlign w:val="center"/>
                </w:tcPr>
                <w:p w14:paraId="08EE1F5D">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52F72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center"/>
                </w:tcPr>
                <w:p w14:paraId="01203F9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2FA5A3C6">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容量：20m³</w:t>
                  </w:r>
                </w:p>
              </w:tc>
              <w:tc>
                <w:tcPr>
                  <w:tcW w:w="477" w:type="pct"/>
                  <w:noWrap w:val="0"/>
                  <w:vAlign w:val="top"/>
                </w:tcPr>
                <w:p w14:paraId="7C0170A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0AB034A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473ABFDD">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A4A6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restart"/>
                  <w:noWrap w:val="0"/>
                  <w:vAlign w:val="center"/>
                </w:tcPr>
                <w:p w14:paraId="462E176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PU01~PU04</w:t>
                  </w:r>
                </w:p>
              </w:tc>
              <w:tc>
                <w:tcPr>
                  <w:tcW w:w="2231" w:type="pct"/>
                  <w:noWrap w:val="0"/>
                  <w:vAlign w:val="center"/>
                </w:tcPr>
                <w:p w14:paraId="2D006E8A">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石灰石浆液泵</w:t>
                  </w:r>
                </w:p>
              </w:tc>
              <w:tc>
                <w:tcPr>
                  <w:tcW w:w="477" w:type="pct"/>
                  <w:noWrap w:val="0"/>
                  <w:vAlign w:val="top"/>
                </w:tcPr>
                <w:p w14:paraId="42ECB49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w:t>
                  </w:r>
                </w:p>
              </w:tc>
              <w:tc>
                <w:tcPr>
                  <w:tcW w:w="962" w:type="pct"/>
                  <w:noWrap w:val="0"/>
                  <w:vAlign w:val="center"/>
                </w:tcPr>
                <w:p w14:paraId="12F30F6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82.19</w:t>
                  </w:r>
                </w:p>
              </w:tc>
              <w:tc>
                <w:tcPr>
                  <w:tcW w:w="549" w:type="pct"/>
                  <w:noWrap w:val="0"/>
                  <w:vAlign w:val="center"/>
                </w:tcPr>
                <w:p w14:paraId="6EB9333F">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3A489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242B7FF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17B901E7">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w:t>
                  </w:r>
                </w:p>
              </w:tc>
              <w:tc>
                <w:tcPr>
                  <w:tcW w:w="477" w:type="pct"/>
                  <w:noWrap w:val="0"/>
                  <w:vAlign w:val="top"/>
                </w:tcPr>
                <w:p w14:paraId="630583C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1B412EF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02BF3F86">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13511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5D8DB6D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430F92E5">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流量：5m³/h</w:t>
                  </w:r>
                </w:p>
              </w:tc>
              <w:tc>
                <w:tcPr>
                  <w:tcW w:w="477" w:type="pct"/>
                  <w:noWrap w:val="0"/>
                  <w:vAlign w:val="top"/>
                </w:tcPr>
                <w:p w14:paraId="348D61F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6724212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3E0892A8">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34CD9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47DB835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15F79551">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扬程：30m</w:t>
                  </w:r>
                </w:p>
              </w:tc>
              <w:tc>
                <w:tcPr>
                  <w:tcW w:w="477" w:type="pct"/>
                  <w:noWrap w:val="0"/>
                  <w:vAlign w:val="top"/>
                </w:tcPr>
                <w:p w14:paraId="15C5766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0B8493F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4DE711FB">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70042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0BCC320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31167C50">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变频电机功率：7.5</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kW</w:t>
                  </w:r>
                </w:p>
              </w:tc>
              <w:tc>
                <w:tcPr>
                  <w:tcW w:w="477" w:type="pct"/>
                  <w:noWrap w:val="0"/>
                  <w:vAlign w:val="top"/>
                </w:tcPr>
                <w:p w14:paraId="6D43D88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0C1B1D8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17D4CB19">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77166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restart"/>
                  <w:noWrap w:val="0"/>
                  <w:vAlign w:val="bottom"/>
                </w:tcPr>
                <w:p w14:paraId="2D6BD42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TH01</w:t>
                  </w:r>
                </w:p>
                <w:p w14:paraId="1FA7B4D6">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p w14:paraId="27631C8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p w14:paraId="752FC3F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p w14:paraId="7D84254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p w14:paraId="40A705F0">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4FB7AD6C">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脱硫塔</w:t>
                  </w:r>
                </w:p>
              </w:tc>
              <w:tc>
                <w:tcPr>
                  <w:tcW w:w="477" w:type="pct"/>
                  <w:noWrap w:val="0"/>
                  <w:vAlign w:val="top"/>
                </w:tcPr>
                <w:p w14:paraId="6BF216A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962" w:type="pct"/>
                  <w:noWrap w:val="0"/>
                  <w:vAlign w:val="center"/>
                </w:tcPr>
                <w:p w14:paraId="678B8E7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82.19</w:t>
                  </w:r>
                </w:p>
              </w:tc>
              <w:tc>
                <w:tcPr>
                  <w:tcW w:w="549" w:type="pct"/>
                  <w:noWrap w:val="0"/>
                  <w:vAlign w:val="center"/>
                </w:tcPr>
                <w:p w14:paraId="1F62D475">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461C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center"/>
                </w:tcPr>
                <w:p w14:paraId="1517B37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48953CEE">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w:t>
                  </w:r>
                </w:p>
              </w:tc>
              <w:tc>
                <w:tcPr>
                  <w:tcW w:w="477" w:type="pct"/>
                  <w:noWrap w:val="0"/>
                  <w:vAlign w:val="top"/>
                </w:tcPr>
                <w:p w14:paraId="2F90549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20249FE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394868A8">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14735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5DE53C8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21CD1A2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吸收塔型式：</w:t>
                  </w:r>
                </w:p>
              </w:tc>
              <w:tc>
                <w:tcPr>
                  <w:tcW w:w="477" w:type="pct"/>
                  <w:noWrap w:val="0"/>
                  <w:vAlign w:val="top"/>
                </w:tcPr>
                <w:p w14:paraId="2152075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173FD2B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12C97E78">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52FFC8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center"/>
                </w:tcPr>
                <w:p w14:paraId="62801D3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3719EED7">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吸收区塔内径：Φ4.0m</w:t>
                  </w:r>
                </w:p>
              </w:tc>
              <w:tc>
                <w:tcPr>
                  <w:tcW w:w="477" w:type="pct"/>
                  <w:noWrap w:val="0"/>
                  <w:vAlign w:val="top"/>
                </w:tcPr>
                <w:p w14:paraId="08B8449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7DFC835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1AAF6565">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43DC3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372984C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6794BFDC">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塔釜区直径：Φ6m</w:t>
                  </w:r>
                </w:p>
              </w:tc>
              <w:tc>
                <w:tcPr>
                  <w:tcW w:w="477" w:type="pct"/>
                  <w:noWrap w:val="0"/>
                  <w:vAlign w:val="top"/>
                </w:tcPr>
                <w:p w14:paraId="617E086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6D2ABBE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0A209614">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3DC39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779" w:type="pct"/>
                  <w:vMerge w:val="continue"/>
                  <w:noWrap w:val="0"/>
                  <w:vAlign w:val="bottom"/>
                </w:tcPr>
                <w:p w14:paraId="18FE2F3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78A1D055">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浆池高度：6m</w:t>
                  </w:r>
                </w:p>
              </w:tc>
              <w:tc>
                <w:tcPr>
                  <w:tcW w:w="477" w:type="pct"/>
                  <w:noWrap w:val="0"/>
                  <w:vAlign w:val="top"/>
                </w:tcPr>
                <w:p w14:paraId="5192FEB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7A02485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785DDE2C">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25803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779" w:type="pct"/>
                  <w:vMerge w:val="continue"/>
                  <w:noWrap w:val="0"/>
                  <w:vAlign w:val="bottom"/>
                </w:tcPr>
                <w:p w14:paraId="44426A4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78055F13">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材质：</w:t>
                  </w:r>
                </w:p>
              </w:tc>
              <w:tc>
                <w:tcPr>
                  <w:tcW w:w="477" w:type="pct"/>
                  <w:noWrap w:val="0"/>
                  <w:vAlign w:val="top"/>
                </w:tcPr>
                <w:p w14:paraId="724D12D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1AB38DE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1CFA1DF5">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3127F7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28D8CA5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0513A3F6">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浆池液位正常/最高/最低：6/7/5m</w:t>
                  </w:r>
                </w:p>
              </w:tc>
              <w:tc>
                <w:tcPr>
                  <w:tcW w:w="477" w:type="pct"/>
                  <w:noWrap w:val="0"/>
                  <w:vAlign w:val="top"/>
                </w:tcPr>
                <w:p w14:paraId="77D0E56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27D235C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2A526E68">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40591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restart"/>
                  <w:noWrap w:val="0"/>
                  <w:vAlign w:val="center"/>
                </w:tcPr>
                <w:p w14:paraId="330B6D2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PU03</w:t>
                  </w:r>
                </w:p>
              </w:tc>
              <w:tc>
                <w:tcPr>
                  <w:tcW w:w="2231" w:type="pct"/>
                  <w:noWrap w:val="0"/>
                  <w:vAlign w:val="center"/>
                </w:tcPr>
                <w:p w14:paraId="0AD126C3">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喷淋循环泵</w:t>
                  </w:r>
                </w:p>
              </w:tc>
              <w:tc>
                <w:tcPr>
                  <w:tcW w:w="477" w:type="pct"/>
                  <w:noWrap w:val="0"/>
                  <w:vAlign w:val="top"/>
                </w:tcPr>
                <w:p w14:paraId="3873D71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962" w:type="pct"/>
                  <w:noWrap w:val="0"/>
                  <w:vAlign w:val="center"/>
                </w:tcPr>
                <w:p w14:paraId="406F744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82.19</w:t>
                  </w:r>
                </w:p>
              </w:tc>
              <w:tc>
                <w:tcPr>
                  <w:tcW w:w="549" w:type="pct"/>
                  <w:noWrap w:val="0"/>
                  <w:vAlign w:val="center"/>
                </w:tcPr>
                <w:p w14:paraId="7D38FA6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0555D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779" w:type="pct"/>
                  <w:vMerge w:val="continue"/>
                  <w:noWrap w:val="0"/>
                  <w:vAlign w:val="bottom"/>
                </w:tcPr>
                <w:p w14:paraId="26C1305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38CFF358">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型号：卧式离心泵</w:t>
                  </w:r>
                </w:p>
              </w:tc>
              <w:tc>
                <w:tcPr>
                  <w:tcW w:w="477" w:type="pct"/>
                  <w:noWrap w:val="0"/>
                  <w:vAlign w:val="top"/>
                </w:tcPr>
                <w:p w14:paraId="3260FCF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5330F69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6491FAF3">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0EB70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779" w:type="pct"/>
                  <w:vMerge w:val="continue"/>
                  <w:noWrap w:val="0"/>
                  <w:vAlign w:val="bottom"/>
                </w:tcPr>
                <w:p w14:paraId="0D0033B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4D462DBB">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流量：800m³/h</w:t>
                  </w:r>
                </w:p>
              </w:tc>
              <w:tc>
                <w:tcPr>
                  <w:tcW w:w="477" w:type="pct"/>
                  <w:noWrap w:val="0"/>
                  <w:vAlign w:val="top"/>
                </w:tcPr>
                <w:p w14:paraId="4098B6F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59B15B0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09B785B5">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7B6A2D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77603BC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591BC17C">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扬程：18m</w:t>
                  </w:r>
                </w:p>
              </w:tc>
              <w:tc>
                <w:tcPr>
                  <w:tcW w:w="477" w:type="pct"/>
                  <w:noWrap w:val="0"/>
                  <w:vAlign w:val="top"/>
                </w:tcPr>
                <w:p w14:paraId="27C4D11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4F6C79A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1CDEFF0F">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53E0F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3DB43AF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29EA6D7D">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电机功率：75KW</w:t>
                  </w:r>
                </w:p>
              </w:tc>
              <w:tc>
                <w:tcPr>
                  <w:tcW w:w="477" w:type="pct"/>
                  <w:noWrap w:val="0"/>
                  <w:vAlign w:val="top"/>
                </w:tcPr>
                <w:p w14:paraId="3C3FC5D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7FE3C60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64FB08F9">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5E6D7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779" w:type="pct"/>
                  <w:vMerge w:val="restart"/>
                  <w:noWrap w:val="0"/>
                  <w:vAlign w:val="bottom"/>
                </w:tcPr>
                <w:p w14:paraId="3A5BDCB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PU04</w:t>
                  </w:r>
                </w:p>
                <w:p w14:paraId="5F2EDA1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p w14:paraId="36A5710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411C89DB">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喷淋循环泵</w:t>
                  </w:r>
                </w:p>
              </w:tc>
              <w:tc>
                <w:tcPr>
                  <w:tcW w:w="477" w:type="pct"/>
                  <w:noWrap w:val="0"/>
                  <w:vAlign w:val="top"/>
                </w:tcPr>
                <w:p w14:paraId="64F2E5A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962" w:type="pct"/>
                  <w:noWrap w:val="0"/>
                  <w:vAlign w:val="center"/>
                </w:tcPr>
                <w:p w14:paraId="3CFE7D6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82.19</w:t>
                  </w:r>
                </w:p>
              </w:tc>
              <w:tc>
                <w:tcPr>
                  <w:tcW w:w="549" w:type="pct"/>
                  <w:noWrap w:val="0"/>
                  <w:vAlign w:val="center"/>
                </w:tcPr>
                <w:p w14:paraId="0EE58F74">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0D1EF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center"/>
                </w:tcPr>
                <w:p w14:paraId="622B9A3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04617871">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型号：卧式离心泵</w:t>
                  </w:r>
                </w:p>
              </w:tc>
              <w:tc>
                <w:tcPr>
                  <w:tcW w:w="477" w:type="pct"/>
                  <w:noWrap w:val="0"/>
                  <w:vAlign w:val="top"/>
                </w:tcPr>
                <w:p w14:paraId="7CFA032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568066E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3ACE54C4">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4DEE0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5B09B30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64DE5E78">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流量：800m³/h</w:t>
                  </w:r>
                </w:p>
              </w:tc>
              <w:tc>
                <w:tcPr>
                  <w:tcW w:w="477" w:type="pct"/>
                  <w:noWrap w:val="0"/>
                  <w:vAlign w:val="top"/>
                </w:tcPr>
                <w:p w14:paraId="29E5BF1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3714C8C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4A4876C7">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0B85D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3F7CE73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13E610CD">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扬程：20m</w:t>
                  </w:r>
                </w:p>
              </w:tc>
              <w:tc>
                <w:tcPr>
                  <w:tcW w:w="477" w:type="pct"/>
                  <w:noWrap w:val="0"/>
                  <w:vAlign w:val="top"/>
                </w:tcPr>
                <w:p w14:paraId="45E4ACC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217122D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7941F67F">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C11B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6000F55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3C02879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电机功率：75KW</w:t>
                  </w:r>
                </w:p>
              </w:tc>
              <w:tc>
                <w:tcPr>
                  <w:tcW w:w="477" w:type="pct"/>
                  <w:noWrap w:val="0"/>
                  <w:vAlign w:val="top"/>
                </w:tcPr>
                <w:p w14:paraId="699592C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008D357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754851BB">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5ACB5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779" w:type="pct"/>
                  <w:vMerge w:val="restart"/>
                  <w:noWrap w:val="0"/>
                  <w:vAlign w:val="center"/>
                </w:tcPr>
                <w:p w14:paraId="6183195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PU05</w:t>
                  </w:r>
                </w:p>
              </w:tc>
              <w:tc>
                <w:tcPr>
                  <w:tcW w:w="2231" w:type="pct"/>
                  <w:noWrap w:val="0"/>
                  <w:vAlign w:val="center"/>
                </w:tcPr>
                <w:p w14:paraId="50B82FB3">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喷淋循环泵</w:t>
                  </w:r>
                </w:p>
              </w:tc>
              <w:tc>
                <w:tcPr>
                  <w:tcW w:w="477" w:type="pct"/>
                  <w:noWrap w:val="0"/>
                  <w:vAlign w:val="top"/>
                </w:tcPr>
                <w:p w14:paraId="322956E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962" w:type="pct"/>
                  <w:noWrap w:val="0"/>
                  <w:vAlign w:val="center"/>
                </w:tcPr>
                <w:p w14:paraId="024F69C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82.19</w:t>
                  </w:r>
                </w:p>
              </w:tc>
              <w:tc>
                <w:tcPr>
                  <w:tcW w:w="549" w:type="pct"/>
                  <w:noWrap w:val="0"/>
                  <w:vAlign w:val="center"/>
                </w:tcPr>
                <w:p w14:paraId="35ED49B8">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47EF8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6D95F07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22C7AB11">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型号：卧式离心泵</w:t>
                  </w:r>
                </w:p>
              </w:tc>
              <w:tc>
                <w:tcPr>
                  <w:tcW w:w="477" w:type="pct"/>
                  <w:noWrap w:val="0"/>
                  <w:vAlign w:val="top"/>
                </w:tcPr>
                <w:p w14:paraId="51FFEC9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23500D2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31BA97F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06F0F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779" w:type="pct"/>
                  <w:vMerge w:val="continue"/>
                  <w:noWrap w:val="0"/>
                  <w:vAlign w:val="bottom"/>
                </w:tcPr>
                <w:p w14:paraId="3B56F89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54C973FE">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流量：800m³/h</w:t>
                  </w:r>
                </w:p>
              </w:tc>
              <w:tc>
                <w:tcPr>
                  <w:tcW w:w="477" w:type="pct"/>
                  <w:noWrap w:val="0"/>
                  <w:vAlign w:val="top"/>
                </w:tcPr>
                <w:p w14:paraId="1A59306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1DC5ABD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452B4950">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FBFF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779" w:type="pct"/>
                  <w:vMerge w:val="continue"/>
                  <w:noWrap w:val="0"/>
                  <w:vAlign w:val="bottom"/>
                </w:tcPr>
                <w:p w14:paraId="411C5FF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3F42C05B">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扬程：22m</w:t>
                  </w:r>
                </w:p>
              </w:tc>
              <w:tc>
                <w:tcPr>
                  <w:tcW w:w="477" w:type="pct"/>
                  <w:noWrap w:val="0"/>
                  <w:vAlign w:val="top"/>
                </w:tcPr>
                <w:p w14:paraId="477830A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6DCBD0F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7184E8C5">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7B9A8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779" w:type="pct"/>
                  <w:vMerge w:val="continue"/>
                  <w:noWrap w:val="0"/>
                  <w:vAlign w:val="bottom"/>
                </w:tcPr>
                <w:p w14:paraId="3DDF740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168AFC6F">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电机功率：75KW</w:t>
                  </w:r>
                </w:p>
              </w:tc>
              <w:tc>
                <w:tcPr>
                  <w:tcW w:w="477" w:type="pct"/>
                  <w:noWrap w:val="0"/>
                  <w:vAlign w:val="top"/>
                </w:tcPr>
                <w:p w14:paraId="1B9A429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62C38E5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6B6363EC">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1D95E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restart"/>
                  <w:noWrap w:val="0"/>
                  <w:vAlign w:val="center"/>
                </w:tcPr>
                <w:p w14:paraId="1C33CB1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DE01</w:t>
                  </w:r>
                </w:p>
              </w:tc>
              <w:tc>
                <w:tcPr>
                  <w:tcW w:w="2231" w:type="pct"/>
                  <w:noWrap w:val="0"/>
                  <w:vAlign w:val="center"/>
                </w:tcPr>
                <w:p w14:paraId="12A88883">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高效平板除雾器</w:t>
                  </w:r>
                </w:p>
              </w:tc>
              <w:tc>
                <w:tcPr>
                  <w:tcW w:w="477" w:type="pct"/>
                  <w:noWrap w:val="0"/>
                  <w:vAlign w:val="top"/>
                </w:tcPr>
                <w:p w14:paraId="7D4992B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962" w:type="pct"/>
                  <w:noWrap w:val="0"/>
                  <w:vAlign w:val="center"/>
                </w:tcPr>
                <w:p w14:paraId="4420935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82.19</w:t>
                  </w:r>
                </w:p>
              </w:tc>
              <w:tc>
                <w:tcPr>
                  <w:tcW w:w="549" w:type="pct"/>
                  <w:noWrap w:val="0"/>
                  <w:vAlign w:val="center"/>
                </w:tcPr>
                <w:p w14:paraId="2C0B6221">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1A9F51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779" w:type="pct"/>
                  <w:vMerge w:val="continue"/>
                  <w:noWrap w:val="0"/>
                  <w:vAlign w:val="bottom"/>
                </w:tcPr>
                <w:p w14:paraId="2051246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27133917">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规格：Φ10m</w:t>
                  </w:r>
                </w:p>
              </w:tc>
              <w:tc>
                <w:tcPr>
                  <w:tcW w:w="477" w:type="pct"/>
                  <w:noWrap w:val="0"/>
                  <w:vAlign w:val="top"/>
                </w:tcPr>
                <w:p w14:paraId="15175DC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472895F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5935A2EE">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1735D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404B090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7C8B4C96">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雾滴浓度：＜75mg/m³</w:t>
                  </w:r>
                </w:p>
              </w:tc>
              <w:tc>
                <w:tcPr>
                  <w:tcW w:w="477" w:type="pct"/>
                  <w:noWrap w:val="0"/>
                  <w:vAlign w:val="top"/>
                </w:tcPr>
                <w:p w14:paraId="64DE9D7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1A0AB69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6C8B9016">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59946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restart"/>
                  <w:noWrap w:val="0"/>
                  <w:vAlign w:val="center"/>
                </w:tcPr>
                <w:p w14:paraId="22A9C4E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FA03-FA04</w:t>
                  </w:r>
                </w:p>
              </w:tc>
              <w:tc>
                <w:tcPr>
                  <w:tcW w:w="2231" w:type="pct"/>
                  <w:noWrap w:val="0"/>
                  <w:vAlign w:val="center"/>
                </w:tcPr>
                <w:p w14:paraId="4BE59049">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氧化风机</w:t>
                  </w:r>
                </w:p>
              </w:tc>
              <w:tc>
                <w:tcPr>
                  <w:tcW w:w="477" w:type="pct"/>
                  <w:noWrap w:val="0"/>
                  <w:vAlign w:val="top"/>
                </w:tcPr>
                <w:p w14:paraId="10AA795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c>
                <w:tcPr>
                  <w:tcW w:w="962" w:type="pct"/>
                  <w:noWrap w:val="0"/>
                  <w:vAlign w:val="center"/>
                </w:tcPr>
                <w:p w14:paraId="75F850D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82.19</w:t>
                  </w:r>
                </w:p>
              </w:tc>
              <w:tc>
                <w:tcPr>
                  <w:tcW w:w="549" w:type="pct"/>
                  <w:noWrap w:val="0"/>
                  <w:vAlign w:val="center"/>
                </w:tcPr>
                <w:p w14:paraId="5E3CDB15">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207FF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2C514C3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54F437A4">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型号：罗茨风机</w:t>
                  </w:r>
                </w:p>
              </w:tc>
              <w:tc>
                <w:tcPr>
                  <w:tcW w:w="477" w:type="pct"/>
                  <w:noWrap w:val="0"/>
                  <w:vAlign w:val="top"/>
                </w:tcPr>
                <w:p w14:paraId="6EA89E5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67F6DBD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2EAF8DD3">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284A9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56E9874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5E3BF4D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流量：21.87m³/min</w:t>
                  </w:r>
                </w:p>
              </w:tc>
              <w:tc>
                <w:tcPr>
                  <w:tcW w:w="477" w:type="pct"/>
                  <w:noWrap w:val="0"/>
                  <w:vAlign w:val="top"/>
                </w:tcPr>
                <w:p w14:paraId="4C56BB3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07251E2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4490D65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226B8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779" w:type="pct"/>
                  <w:vMerge w:val="continue"/>
                  <w:noWrap w:val="0"/>
                  <w:vAlign w:val="bottom"/>
                </w:tcPr>
                <w:p w14:paraId="5F7FF6C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26B7E1A9">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全压：73.5kpa</w:t>
                  </w:r>
                </w:p>
              </w:tc>
              <w:tc>
                <w:tcPr>
                  <w:tcW w:w="477" w:type="pct"/>
                  <w:noWrap w:val="0"/>
                  <w:vAlign w:val="top"/>
                </w:tcPr>
                <w:p w14:paraId="2FD5341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08F3BCF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6B62145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0BD838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779" w:type="pct"/>
                  <w:vMerge w:val="continue"/>
                  <w:noWrap w:val="0"/>
                  <w:vAlign w:val="bottom"/>
                </w:tcPr>
                <w:p w14:paraId="7AEE204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5C75E231">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电机电压：380V</w:t>
                  </w:r>
                </w:p>
              </w:tc>
              <w:tc>
                <w:tcPr>
                  <w:tcW w:w="477" w:type="pct"/>
                  <w:noWrap w:val="0"/>
                  <w:vAlign w:val="top"/>
                </w:tcPr>
                <w:p w14:paraId="0E1BA0F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6140DF5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6FB19DFC">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1D6202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1E67808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09DB0728">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电机功率：30</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kW</w:t>
                  </w:r>
                </w:p>
              </w:tc>
              <w:tc>
                <w:tcPr>
                  <w:tcW w:w="477" w:type="pct"/>
                  <w:noWrap w:val="0"/>
                  <w:vAlign w:val="top"/>
                </w:tcPr>
                <w:p w14:paraId="774DBA2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43FED6E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7A64EE53">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296E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restart"/>
                  <w:noWrap w:val="0"/>
                  <w:vAlign w:val="center"/>
                </w:tcPr>
                <w:p w14:paraId="6CCD1C7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PU06-PU07</w:t>
                  </w:r>
                </w:p>
              </w:tc>
              <w:tc>
                <w:tcPr>
                  <w:tcW w:w="2231" w:type="pct"/>
                  <w:noWrap w:val="0"/>
                  <w:vAlign w:val="center"/>
                </w:tcPr>
                <w:p w14:paraId="1AF98833">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事故浆液泵</w:t>
                  </w:r>
                </w:p>
              </w:tc>
              <w:tc>
                <w:tcPr>
                  <w:tcW w:w="477" w:type="pct"/>
                  <w:noWrap w:val="0"/>
                  <w:vAlign w:val="top"/>
                </w:tcPr>
                <w:p w14:paraId="76A39E2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c>
                <w:tcPr>
                  <w:tcW w:w="962" w:type="pct"/>
                  <w:noWrap w:val="0"/>
                  <w:vAlign w:val="center"/>
                </w:tcPr>
                <w:p w14:paraId="38A6661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82.19</w:t>
                  </w:r>
                </w:p>
              </w:tc>
              <w:tc>
                <w:tcPr>
                  <w:tcW w:w="549" w:type="pct"/>
                  <w:noWrap w:val="0"/>
                  <w:vAlign w:val="center"/>
                </w:tcPr>
                <w:p w14:paraId="39BEA10C">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21CA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center"/>
                </w:tcPr>
                <w:p w14:paraId="4B97197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0BF2AC96">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w:t>
                  </w:r>
                </w:p>
              </w:tc>
              <w:tc>
                <w:tcPr>
                  <w:tcW w:w="477" w:type="pct"/>
                  <w:noWrap w:val="0"/>
                  <w:vAlign w:val="top"/>
                </w:tcPr>
                <w:p w14:paraId="6702A27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4EE4112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12CA8407">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7B233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center"/>
                </w:tcPr>
                <w:p w14:paraId="1DE36AA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5704394F">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流量：25m³/h</w:t>
                  </w:r>
                </w:p>
              </w:tc>
              <w:tc>
                <w:tcPr>
                  <w:tcW w:w="477" w:type="pct"/>
                  <w:noWrap w:val="0"/>
                  <w:vAlign w:val="top"/>
                </w:tcPr>
                <w:p w14:paraId="7A6E594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1656D1A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103FD2AB">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8DEF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center"/>
                </w:tcPr>
                <w:p w14:paraId="680703E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0E28AAEB">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扬程：20m</w:t>
                  </w:r>
                </w:p>
              </w:tc>
              <w:tc>
                <w:tcPr>
                  <w:tcW w:w="477" w:type="pct"/>
                  <w:noWrap w:val="0"/>
                  <w:vAlign w:val="top"/>
                </w:tcPr>
                <w:p w14:paraId="2C4B714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64EF521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7EA8C347">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0A669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center"/>
                </w:tcPr>
                <w:p w14:paraId="1E0358F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36EC6CC1">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电机功率：10</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kW</w:t>
                  </w:r>
                </w:p>
              </w:tc>
              <w:tc>
                <w:tcPr>
                  <w:tcW w:w="477" w:type="pct"/>
                  <w:noWrap w:val="0"/>
                  <w:vAlign w:val="top"/>
                </w:tcPr>
                <w:p w14:paraId="4CBCEBE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751A319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4699D36D">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48CA7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restart"/>
                  <w:noWrap w:val="0"/>
                  <w:vAlign w:val="center"/>
                </w:tcPr>
                <w:p w14:paraId="78D6170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PU08</w:t>
                  </w:r>
                </w:p>
              </w:tc>
              <w:tc>
                <w:tcPr>
                  <w:tcW w:w="2231" w:type="pct"/>
                  <w:noWrap w:val="0"/>
                  <w:vAlign w:val="center"/>
                </w:tcPr>
                <w:p w14:paraId="0B31B133">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吸收区地坑泵</w:t>
                  </w:r>
                </w:p>
              </w:tc>
              <w:tc>
                <w:tcPr>
                  <w:tcW w:w="477" w:type="pct"/>
                  <w:noWrap w:val="0"/>
                  <w:vAlign w:val="top"/>
                </w:tcPr>
                <w:p w14:paraId="16AFBE4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962" w:type="pct"/>
                  <w:noWrap w:val="0"/>
                  <w:vAlign w:val="center"/>
                </w:tcPr>
                <w:p w14:paraId="276D175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82.19</w:t>
                  </w:r>
                </w:p>
              </w:tc>
              <w:tc>
                <w:tcPr>
                  <w:tcW w:w="549" w:type="pct"/>
                  <w:noWrap w:val="0"/>
                  <w:vAlign w:val="center"/>
                </w:tcPr>
                <w:p w14:paraId="4BC9C7E9">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B20F2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center"/>
                </w:tcPr>
                <w:p w14:paraId="030E814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4E4724E1">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w:t>
                  </w:r>
                </w:p>
              </w:tc>
              <w:tc>
                <w:tcPr>
                  <w:tcW w:w="477" w:type="pct"/>
                  <w:noWrap w:val="0"/>
                  <w:vAlign w:val="top"/>
                </w:tcPr>
                <w:p w14:paraId="42CAB44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26018F5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1E7C3C7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2DEF6F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center"/>
                </w:tcPr>
                <w:p w14:paraId="64A13BC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4DD77138">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流量：20m³/h</w:t>
                  </w:r>
                </w:p>
              </w:tc>
              <w:tc>
                <w:tcPr>
                  <w:tcW w:w="477" w:type="pct"/>
                  <w:noWrap w:val="0"/>
                  <w:vAlign w:val="top"/>
                </w:tcPr>
                <w:p w14:paraId="0A49883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001C60F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38518870">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26110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2B91742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6FD5AB3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扬程：20m</w:t>
                  </w:r>
                </w:p>
              </w:tc>
              <w:tc>
                <w:tcPr>
                  <w:tcW w:w="477" w:type="pct"/>
                  <w:noWrap w:val="0"/>
                  <w:vAlign w:val="top"/>
                </w:tcPr>
                <w:p w14:paraId="26D9707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3D4B20E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69093EC2">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393F96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33AB2BE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13A5F7DC">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电机功率</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7.5</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kW</w:t>
                  </w:r>
                </w:p>
              </w:tc>
              <w:tc>
                <w:tcPr>
                  <w:tcW w:w="477" w:type="pct"/>
                  <w:noWrap w:val="0"/>
                  <w:vAlign w:val="top"/>
                </w:tcPr>
                <w:p w14:paraId="64DA6AB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327B3F5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506753E6">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40D9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restart"/>
                  <w:noWrap w:val="0"/>
                  <w:vAlign w:val="center"/>
                </w:tcPr>
                <w:p w14:paraId="0AA8B13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PU13-PU14</w:t>
                  </w:r>
                </w:p>
                <w:p w14:paraId="092BDBC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1D8356B3">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工艺水泵</w:t>
                  </w:r>
                </w:p>
              </w:tc>
              <w:tc>
                <w:tcPr>
                  <w:tcW w:w="477" w:type="pct"/>
                  <w:noWrap w:val="0"/>
                  <w:vAlign w:val="top"/>
                </w:tcPr>
                <w:p w14:paraId="7052423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c>
                <w:tcPr>
                  <w:tcW w:w="962" w:type="pct"/>
                  <w:noWrap w:val="0"/>
                  <w:vAlign w:val="center"/>
                </w:tcPr>
                <w:p w14:paraId="342F41C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82.19</w:t>
                  </w:r>
                </w:p>
              </w:tc>
              <w:tc>
                <w:tcPr>
                  <w:tcW w:w="549" w:type="pct"/>
                  <w:noWrap w:val="0"/>
                  <w:vAlign w:val="center"/>
                </w:tcPr>
                <w:p w14:paraId="3718678B">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729A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center"/>
                </w:tcPr>
                <w:p w14:paraId="731F4E5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4291EF90">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w:t>
                  </w:r>
                </w:p>
              </w:tc>
              <w:tc>
                <w:tcPr>
                  <w:tcW w:w="477" w:type="pct"/>
                  <w:noWrap w:val="0"/>
                  <w:vAlign w:val="top"/>
                </w:tcPr>
                <w:p w14:paraId="1E50F46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2F93C2E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4B36E5F9">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4D350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779" w:type="pct"/>
                  <w:vMerge w:val="continue"/>
                  <w:noWrap w:val="0"/>
                  <w:vAlign w:val="center"/>
                </w:tcPr>
                <w:p w14:paraId="06FF225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0C6A3438">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流量：20m³/h</w:t>
                  </w:r>
                </w:p>
              </w:tc>
              <w:tc>
                <w:tcPr>
                  <w:tcW w:w="477" w:type="pct"/>
                  <w:noWrap w:val="0"/>
                  <w:vAlign w:val="top"/>
                </w:tcPr>
                <w:p w14:paraId="2710D29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2AD5E9A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6ECA70D3">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07522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center"/>
                </w:tcPr>
                <w:p w14:paraId="622ED19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2F2CF7BF">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扬程：20m</w:t>
                  </w:r>
                </w:p>
              </w:tc>
              <w:tc>
                <w:tcPr>
                  <w:tcW w:w="477" w:type="pct"/>
                  <w:noWrap w:val="0"/>
                  <w:vAlign w:val="top"/>
                </w:tcPr>
                <w:p w14:paraId="78EAC50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60583ED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6CDE042D">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FACF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center"/>
                </w:tcPr>
                <w:p w14:paraId="736A357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77DD83ED">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电机功率：2.2</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kW</w:t>
                  </w:r>
                </w:p>
              </w:tc>
              <w:tc>
                <w:tcPr>
                  <w:tcW w:w="477" w:type="pct"/>
                  <w:noWrap w:val="0"/>
                  <w:vAlign w:val="top"/>
                </w:tcPr>
                <w:p w14:paraId="7BBFB07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1C6C8A4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54356FC5">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1D83E9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restart"/>
                  <w:noWrap w:val="0"/>
                  <w:vAlign w:val="center"/>
                </w:tcPr>
                <w:p w14:paraId="1583464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PU15-PU16</w:t>
                  </w:r>
                </w:p>
              </w:tc>
              <w:tc>
                <w:tcPr>
                  <w:tcW w:w="2231" w:type="pct"/>
                  <w:noWrap w:val="0"/>
                  <w:vAlign w:val="center"/>
                </w:tcPr>
                <w:p w14:paraId="65F392F8">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除雾器冲洗水泵</w:t>
                  </w:r>
                </w:p>
              </w:tc>
              <w:tc>
                <w:tcPr>
                  <w:tcW w:w="477" w:type="pct"/>
                  <w:noWrap w:val="0"/>
                  <w:vAlign w:val="top"/>
                </w:tcPr>
                <w:p w14:paraId="0A45BF0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c>
                <w:tcPr>
                  <w:tcW w:w="962" w:type="pct"/>
                  <w:noWrap w:val="0"/>
                  <w:vAlign w:val="center"/>
                </w:tcPr>
                <w:p w14:paraId="646FD9E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82.19</w:t>
                  </w:r>
                </w:p>
              </w:tc>
              <w:tc>
                <w:tcPr>
                  <w:tcW w:w="549" w:type="pct"/>
                  <w:noWrap w:val="0"/>
                  <w:vAlign w:val="center"/>
                </w:tcPr>
                <w:p w14:paraId="7D4D1065">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2D3A1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25309C9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6BE087A0">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w:t>
                  </w:r>
                </w:p>
              </w:tc>
              <w:tc>
                <w:tcPr>
                  <w:tcW w:w="477" w:type="pct"/>
                  <w:noWrap w:val="0"/>
                  <w:vAlign w:val="top"/>
                </w:tcPr>
                <w:p w14:paraId="736DA4D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5D37471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2417080E">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2A179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41AB469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26023C7E">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流量：30m³/h</w:t>
                  </w:r>
                </w:p>
              </w:tc>
              <w:tc>
                <w:tcPr>
                  <w:tcW w:w="477" w:type="pct"/>
                  <w:noWrap w:val="0"/>
                  <w:vAlign w:val="top"/>
                </w:tcPr>
                <w:p w14:paraId="7A49EEA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0CB066F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59A36987">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411CB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6EF2BBF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02BED1C6">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扬程：60m</w:t>
                  </w:r>
                </w:p>
              </w:tc>
              <w:tc>
                <w:tcPr>
                  <w:tcW w:w="477" w:type="pct"/>
                  <w:noWrap w:val="0"/>
                  <w:vAlign w:val="top"/>
                </w:tcPr>
                <w:p w14:paraId="1EBEB7F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5292005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4C97CF86">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01AE3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27DA33B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3FFED9AA">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电机功率：15</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kW</w:t>
                  </w:r>
                </w:p>
              </w:tc>
              <w:tc>
                <w:tcPr>
                  <w:tcW w:w="477" w:type="pct"/>
                  <w:noWrap w:val="0"/>
                  <w:vAlign w:val="top"/>
                </w:tcPr>
                <w:p w14:paraId="6A21285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475AE48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2FAC4FBE">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53DE2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restart"/>
                  <w:noWrap w:val="0"/>
                  <w:vAlign w:val="center"/>
                </w:tcPr>
                <w:p w14:paraId="61558F1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PU17-PU18</w:t>
                  </w:r>
                </w:p>
              </w:tc>
              <w:tc>
                <w:tcPr>
                  <w:tcW w:w="2231" w:type="pct"/>
                  <w:noWrap w:val="0"/>
                  <w:vAlign w:val="center"/>
                </w:tcPr>
                <w:p w14:paraId="1344423C">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石膏泵</w:t>
                  </w:r>
                </w:p>
              </w:tc>
              <w:tc>
                <w:tcPr>
                  <w:tcW w:w="477" w:type="pct"/>
                  <w:noWrap w:val="0"/>
                  <w:vAlign w:val="top"/>
                </w:tcPr>
                <w:p w14:paraId="3F91D12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c>
                <w:tcPr>
                  <w:tcW w:w="962" w:type="pct"/>
                  <w:noWrap w:val="0"/>
                  <w:vAlign w:val="center"/>
                </w:tcPr>
                <w:p w14:paraId="38FBC4B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82.19</w:t>
                  </w:r>
                </w:p>
              </w:tc>
              <w:tc>
                <w:tcPr>
                  <w:tcW w:w="549" w:type="pct"/>
                  <w:noWrap w:val="0"/>
                  <w:vAlign w:val="center"/>
                </w:tcPr>
                <w:p w14:paraId="659FA53D">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71A5E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1EF325B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60E0C357">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w:t>
                  </w:r>
                </w:p>
              </w:tc>
              <w:tc>
                <w:tcPr>
                  <w:tcW w:w="477" w:type="pct"/>
                  <w:noWrap w:val="0"/>
                  <w:vAlign w:val="top"/>
                </w:tcPr>
                <w:p w14:paraId="44A38C2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03FBA1A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1934D7A6">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56EA2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2165C32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59493974">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流量：15m³/h</w:t>
                  </w:r>
                </w:p>
              </w:tc>
              <w:tc>
                <w:tcPr>
                  <w:tcW w:w="477" w:type="pct"/>
                  <w:noWrap w:val="0"/>
                  <w:vAlign w:val="top"/>
                </w:tcPr>
                <w:p w14:paraId="077E1C9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6A1D736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67088DCA">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53ECE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1926320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1EB01883">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扬程：60m</w:t>
                  </w:r>
                </w:p>
              </w:tc>
              <w:tc>
                <w:tcPr>
                  <w:tcW w:w="477" w:type="pct"/>
                  <w:noWrap w:val="0"/>
                  <w:vAlign w:val="top"/>
                </w:tcPr>
                <w:p w14:paraId="64B5E58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6017A99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16D8456F">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22057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6DE959B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29EE845F">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电机功率：11</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kW</w:t>
                  </w:r>
                </w:p>
              </w:tc>
              <w:tc>
                <w:tcPr>
                  <w:tcW w:w="477" w:type="pct"/>
                  <w:noWrap w:val="0"/>
                  <w:vAlign w:val="top"/>
                </w:tcPr>
                <w:p w14:paraId="5B6D313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4A819F6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2E66FFB3">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7402E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noWrap w:val="0"/>
                  <w:vAlign w:val="bottom"/>
                </w:tcPr>
                <w:p w14:paraId="715E087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bookmarkStart w:id="3" w:name="OLE_LINK4" w:colFirst="3" w:colLast="4"/>
                  <w:r>
                    <w:rPr>
                      <w:rFonts w:hint="default" w:ascii="Times New Roman" w:hAnsi="Times New Roman" w:eastAsia="宋体" w:cs="Times New Roman"/>
                      <w:color w:val="000000" w:themeColor="text1"/>
                      <w:sz w:val="21"/>
                      <w:szCs w:val="21"/>
                      <w:highlight w:val="none"/>
                      <w14:textFill>
                        <w14:solidFill>
                          <w14:schemeClr w14:val="tx1"/>
                        </w14:solidFill>
                      </w14:textFill>
                    </w:rPr>
                    <w:t>EH01</w:t>
                  </w:r>
                </w:p>
              </w:tc>
              <w:tc>
                <w:tcPr>
                  <w:tcW w:w="2231" w:type="pct"/>
                  <w:noWrap w:val="0"/>
                  <w:vAlign w:val="center"/>
                </w:tcPr>
                <w:p w14:paraId="3E1B0B1B">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电动葫芦</w:t>
                  </w:r>
                </w:p>
              </w:tc>
              <w:tc>
                <w:tcPr>
                  <w:tcW w:w="477" w:type="pct"/>
                  <w:noWrap w:val="0"/>
                  <w:vAlign w:val="top"/>
                </w:tcPr>
                <w:p w14:paraId="4956C27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962" w:type="pct"/>
                  <w:noWrap w:val="0"/>
                  <w:vAlign w:val="center"/>
                </w:tcPr>
                <w:p w14:paraId="3B4A792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82.19</w:t>
                  </w:r>
                </w:p>
              </w:tc>
              <w:tc>
                <w:tcPr>
                  <w:tcW w:w="549" w:type="pct"/>
                  <w:noWrap w:val="0"/>
                  <w:vAlign w:val="center"/>
                </w:tcPr>
                <w:p w14:paraId="38F681AE">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bookmarkEnd w:id="3"/>
            <w:tr w14:paraId="72ACD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noWrap w:val="0"/>
                  <w:vAlign w:val="bottom"/>
                </w:tcPr>
                <w:p w14:paraId="12A7E8B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746F95EE">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w:t>
                  </w:r>
                </w:p>
              </w:tc>
              <w:tc>
                <w:tcPr>
                  <w:tcW w:w="477" w:type="pct"/>
                  <w:noWrap w:val="0"/>
                  <w:vAlign w:val="top"/>
                </w:tcPr>
                <w:p w14:paraId="7ECA2EC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7FF30D6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26CDF667">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79B3F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noWrap w:val="0"/>
                  <w:vAlign w:val="bottom"/>
                </w:tcPr>
                <w:p w14:paraId="32B2ABA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787CEB5C">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起吊重量：2t</w:t>
                  </w:r>
                </w:p>
              </w:tc>
              <w:tc>
                <w:tcPr>
                  <w:tcW w:w="477" w:type="pct"/>
                  <w:noWrap w:val="0"/>
                  <w:vAlign w:val="top"/>
                </w:tcPr>
                <w:p w14:paraId="7DB6563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684DBAA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585CF559">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34EB6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noWrap w:val="0"/>
                  <w:vAlign w:val="bottom"/>
                </w:tcPr>
                <w:p w14:paraId="093F0CF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04CEAABC">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起升高度：8m</w:t>
                  </w:r>
                </w:p>
              </w:tc>
              <w:tc>
                <w:tcPr>
                  <w:tcW w:w="477" w:type="pct"/>
                  <w:noWrap w:val="0"/>
                  <w:vAlign w:val="top"/>
                </w:tcPr>
                <w:p w14:paraId="4B3424E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3EA1F6D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57411CE1">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2A600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noWrap w:val="0"/>
                  <w:vAlign w:val="bottom"/>
                </w:tcPr>
                <w:p w14:paraId="5D9AA50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436EE787">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电机功率：7.5</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kW</w:t>
                  </w:r>
                </w:p>
              </w:tc>
              <w:tc>
                <w:tcPr>
                  <w:tcW w:w="477" w:type="pct"/>
                  <w:noWrap w:val="0"/>
                  <w:vAlign w:val="top"/>
                </w:tcPr>
                <w:p w14:paraId="6CFB5FE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1AFFE1A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527D95CE">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3C64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noWrap w:val="0"/>
                  <w:vAlign w:val="bottom"/>
                </w:tcPr>
                <w:p w14:paraId="3201598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HC01</w:t>
                  </w:r>
                </w:p>
              </w:tc>
              <w:tc>
                <w:tcPr>
                  <w:tcW w:w="2231" w:type="pct"/>
                  <w:noWrap w:val="0"/>
                  <w:vAlign w:val="center"/>
                </w:tcPr>
                <w:p w14:paraId="01715AF9">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水力旋流器</w:t>
                  </w:r>
                </w:p>
              </w:tc>
              <w:tc>
                <w:tcPr>
                  <w:tcW w:w="477" w:type="pct"/>
                  <w:noWrap w:val="0"/>
                  <w:vAlign w:val="top"/>
                </w:tcPr>
                <w:p w14:paraId="3B6A392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962" w:type="pct"/>
                  <w:noWrap w:val="0"/>
                  <w:vAlign w:val="center"/>
                </w:tcPr>
                <w:p w14:paraId="2B9DBD3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82.19</w:t>
                  </w:r>
                </w:p>
              </w:tc>
              <w:tc>
                <w:tcPr>
                  <w:tcW w:w="549" w:type="pct"/>
                  <w:noWrap w:val="0"/>
                  <w:vAlign w:val="center"/>
                </w:tcPr>
                <w:p w14:paraId="1F898506">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3968C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noWrap w:val="0"/>
                  <w:vAlign w:val="bottom"/>
                </w:tcPr>
                <w:p w14:paraId="203DA47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24E04AB3">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处理能力：15m³/h</w:t>
                  </w:r>
                </w:p>
              </w:tc>
              <w:tc>
                <w:tcPr>
                  <w:tcW w:w="477" w:type="pct"/>
                  <w:noWrap w:val="0"/>
                  <w:vAlign w:val="top"/>
                </w:tcPr>
                <w:p w14:paraId="299EE38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7ED33B5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10BE3097">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1EB0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noWrap w:val="0"/>
                  <w:vAlign w:val="bottom"/>
                </w:tcPr>
                <w:p w14:paraId="7FEDFA8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0755DFA8">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进料浓度</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：15%—20%</w:t>
                  </w:r>
                </w:p>
              </w:tc>
              <w:tc>
                <w:tcPr>
                  <w:tcW w:w="477" w:type="pct"/>
                  <w:noWrap w:val="0"/>
                  <w:vAlign w:val="top"/>
                </w:tcPr>
                <w:p w14:paraId="1A1C60D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31DF3F2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2C44865B">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1A6C7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noWrap w:val="0"/>
                  <w:vAlign w:val="bottom"/>
                </w:tcPr>
                <w:p w14:paraId="505B60B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VB01</w:t>
                  </w:r>
                </w:p>
              </w:tc>
              <w:tc>
                <w:tcPr>
                  <w:tcW w:w="2231" w:type="pct"/>
                  <w:noWrap w:val="0"/>
                  <w:vAlign w:val="center"/>
                </w:tcPr>
                <w:p w14:paraId="2E4B5248">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真空皮带过滤机</w:t>
                  </w:r>
                </w:p>
              </w:tc>
              <w:tc>
                <w:tcPr>
                  <w:tcW w:w="477" w:type="pct"/>
                  <w:noWrap w:val="0"/>
                  <w:vAlign w:val="top"/>
                </w:tcPr>
                <w:p w14:paraId="45612A4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962" w:type="pct"/>
                  <w:noWrap w:val="0"/>
                  <w:vAlign w:val="center"/>
                </w:tcPr>
                <w:p w14:paraId="2DB6132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82.19</w:t>
                  </w:r>
                </w:p>
              </w:tc>
              <w:tc>
                <w:tcPr>
                  <w:tcW w:w="549" w:type="pct"/>
                  <w:noWrap w:val="0"/>
                  <w:vAlign w:val="center"/>
                </w:tcPr>
                <w:p w14:paraId="764F352F">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542EA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69" w:hRule="atLeast"/>
                <w:jc w:val="center"/>
              </w:trPr>
              <w:tc>
                <w:tcPr>
                  <w:tcW w:w="779" w:type="pct"/>
                  <w:noWrap w:val="0"/>
                  <w:vAlign w:val="bottom"/>
                </w:tcPr>
                <w:p w14:paraId="22A5F8B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598CFE0F">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型式：</w:t>
                  </w:r>
                </w:p>
              </w:tc>
              <w:tc>
                <w:tcPr>
                  <w:tcW w:w="477" w:type="pct"/>
                  <w:noWrap w:val="0"/>
                  <w:vAlign w:val="top"/>
                </w:tcPr>
                <w:p w14:paraId="018AD18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1C1416C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24DA0D3E">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17D34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noWrap w:val="0"/>
                  <w:vAlign w:val="bottom"/>
                </w:tcPr>
                <w:p w14:paraId="2E55E7F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2FB24917">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电机功率：3</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kW</w:t>
                  </w:r>
                </w:p>
              </w:tc>
              <w:tc>
                <w:tcPr>
                  <w:tcW w:w="477" w:type="pct"/>
                  <w:noWrap w:val="0"/>
                  <w:vAlign w:val="top"/>
                </w:tcPr>
                <w:p w14:paraId="3E94CB4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1A870DF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5275AE54">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19B65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noWrap w:val="0"/>
                  <w:vAlign w:val="bottom"/>
                </w:tcPr>
                <w:p w14:paraId="15EA5FA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VP01</w:t>
                  </w:r>
                </w:p>
              </w:tc>
              <w:tc>
                <w:tcPr>
                  <w:tcW w:w="2231" w:type="pct"/>
                  <w:noWrap w:val="0"/>
                  <w:vAlign w:val="center"/>
                </w:tcPr>
                <w:p w14:paraId="1F68E54E">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水环真空泵</w:t>
                  </w:r>
                </w:p>
              </w:tc>
              <w:tc>
                <w:tcPr>
                  <w:tcW w:w="477" w:type="pct"/>
                  <w:noWrap w:val="0"/>
                  <w:vAlign w:val="top"/>
                </w:tcPr>
                <w:p w14:paraId="366D3FD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962" w:type="pct"/>
                  <w:noWrap w:val="0"/>
                  <w:vAlign w:val="center"/>
                </w:tcPr>
                <w:p w14:paraId="1B00547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82.19</w:t>
                  </w:r>
                </w:p>
              </w:tc>
              <w:tc>
                <w:tcPr>
                  <w:tcW w:w="549" w:type="pct"/>
                  <w:noWrap w:val="0"/>
                  <w:vAlign w:val="center"/>
                </w:tcPr>
                <w:p w14:paraId="47AB1D01">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49BC3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noWrap w:val="0"/>
                  <w:vAlign w:val="bottom"/>
                </w:tcPr>
                <w:p w14:paraId="2BC3D5C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0668778C">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型式：水环式</w:t>
                  </w:r>
                </w:p>
              </w:tc>
              <w:tc>
                <w:tcPr>
                  <w:tcW w:w="477" w:type="pct"/>
                  <w:noWrap w:val="0"/>
                  <w:vAlign w:val="top"/>
                </w:tcPr>
                <w:p w14:paraId="5D6F911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61BB253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6665429E">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15F566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noWrap w:val="0"/>
                  <w:vAlign w:val="bottom"/>
                </w:tcPr>
                <w:p w14:paraId="2441DF5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50C7A78D">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电机功率</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22</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kW</w:t>
                  </w:r>
                </w:p>
              </w:tc>
              <w:tc>
                <w:tcPr>
                  <w:tcW w:w="477" w:type="pct"/>
                  <w:noWrap w:val="0"/>
                  <w:vAlign w:val="top"/>
                </w:tcPr>
                <w:p w14:paraId="5BF6348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3E2FF94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6E858725">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1503A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restart"/>
                  <w:noWrap w:val="0"/>
                  <w:vAlign w:val="center"/>
                </w:tcPr>
                <w:p w14:paraId="18F9D3E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PU16~PU17</w:t>
                  </w:r>
                </w:p>
              </w:tc>
              <w:tc>
                <w:tcPr>
                  <w:tcW w:w="2231" w:type="pct"/>
                  <w:noWrap w:val="0"/>
                  <w:vAlign w:val="center"/>
                </w:tcPr>
                <w:p w14:paraId="48A4B91C">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滤液水泵</w:t>
                  </w:r>
                </w:p>
              </w:tc>
              <w:tc>
                <w:tcPr>
                  <w:tcW w:w="477" w:type="pct"/>
                  <w:noWrap w:val="0"/>
                  <w:vAlign w:val="top"/>
                </w:tcPr>
                <w:p w14:paraId="2153324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c>
                <w:tcPr>
                  <w:tcW w:w="962" w:type="pct"/>
                  <w:noWrap w:val="0"/>
                  <w:vAlign w:val="center"/>
                </w:tcPr>
                <w:p w14:paraId="1215BD6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82.19</w:t>
                  </w:r>
                </w:p>
              </w:tc>
              <w:tc>
                <w:tcPr>
                  <w:tcW w:w="549" w:type="pct"/>
                  <w:noWrap w:val="0"/>
                  <w:vAlign w:val="center"/>
                </w:tcPr>
                <w:p w14:paraId="43CF4420">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573B9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1B8D474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68E93A97">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w:t>
                  </w:r>
                </w:p>
              </w:tc>
              <w:tc>
                <w:tcPr>
                  <w:tcW w:w="477" w:type="pct"/>
                  <w:noWrap w:val="0"/>
                  <w:vAlign w:val="top"/>
                </w:tcPr>
                <w:p w14:paraId="5619165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0F6AF55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2BDA6E05">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29D81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7F61264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381C0B1D">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流量：16m³/h</w:t>
                  </w:r>
                </w:p>
              </w:tc>
              <w:tc>
                <w:tcPr>
                  <w:tcW w:w="477" w:type="pct"/>
                  <w:noWrap w:val="0"/>
                  <w:vAlign w:val="top"/>
                </w:tcPr>
                <w:p w14:paraId="42CD0F9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774A91B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422BD895">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67719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23C9F03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6ECC0DEC">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扬程：40m</w:t>
                  </w:r>
                </w:p>
              </w:tc>
              <w:tc>
                <w:tcPr>
                  <w:tcW w:w="477" w:type="pct"/>
                  <w:noWrap w:val="0"/>
                  <w:vAlign w:val="top"/>
                </w:tcPr>
                <w:p w14:paraId="46146DC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78054AD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2BA5797D">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338FB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9" w:type="pct"/>
                  <w:vMerge w:val="continue"/>
                  <w:noWrap w:val="0"/>
                  <w:vAlign w:val="bottom"/>
                </w:tcPr>
                <w:p w14:paraId="7C3A416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2231" w:type="pct"/>
                  <w:noWrap w:val="0"/>
                  <w:vAlign w:val="center"/>
                </w:tcPr>
                <w:p w14:paraId="28398F7F">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电机功率：5.5</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kW</w:t>
                  </w:r>
                </w:p>
              </w:tc>
              <w:tc>
                <w:tcPr>
                  <w:tcW w:w="477" w:type="pct"/>
                  <w:noWrap w:val="0"/>
                  <w:vAlign w:val="top"/>
                </w:tcPr>
                <w:p w14:paraId="20E7B4E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62" w:type="pct"/>
                  <w:noWrap w:val="0"/>
                  <w:vAlign w:val="center"/>
                </w:tcPr>
                <w:p w14:paraId="49E057F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49" w:type="pct"/>
                  <w:noWrap w:val="0"/>
                  <w:vAlign w:val="center"/>
                </w:tcPr>
                <w:p w14:paraId="14CA5460">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bl>
          <w:p w14:paraId="792AACF2">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bookmarkStart w:id="4" w:name="OLE_LINK2"/>
            <w:r>
              <w:rPr>
                <w:rFonts w:hint="default" w:ascii="Times New Roman" w:hAnsi="Times New Roman" w:eastAsia="宋体" w:cs="Times New Roman"/>
                <w:color w:val="000000" w:themeColor="text1"/>
                <w:sz w:val="24"/>
                <w:szCs w:val="24"/>
                <w:highlight w:val="none"/>
                <w14:textFill>
                  <w14:solidFill>
                    <w14:schemeClr w14:val="tx1"/>
                  </w14:solidFill>
                </w14:textFill>
              </w:rPr>
              <w:t>脱硫除尘系统工艺参数设计见</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下</w:t>
            </w:r>
            <w:r>
              <w:rPr>
                <w:rFonts w:hint="default" w:ascii="Times New Roman" w:hAnsi="Times New Roman" w:eastAsia="宋体" w:cs="Times New Roman"/>
                <w:color w:val="000000" w:themeColor="text1"/>
                <w:sz w:val="24"/>
                <w:szCs w:val="24"/>
                <w:highlight w:val="none"/>
                <w14:textFill>
                  <w14:solidFill>
                    <w14:schemeClr w14:val="tx1"/>
                  </w14:solidFill>
                </w14:textFill>
              </w:rPr>
              <w:t>表。</w:t>
            </w:r>
          </w:p>
          <w:p w14:paraId="0C8BB963">
            <w:pPr>
              <w:spacing w:line="240" w:lineRule="auto"/>
              <w:jc w:val="cente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表2-12系统工艺设计参数</w:t>
            </w:r>
          </w:p>
          <w:tbl>
            <w:tblPr>
              <w:tblStyle w:val="24"/>
              <w:tblW w:w="84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2383"/>
              <w:gridCol w:w="1417"/>
              <w:gridCol w:w="1481"/>
              <w:gridCol w:w="3137"/>
            </w:tblGrid>
            <w:tr w14:paraId="16B79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0" w:hRule="atLeast"/>
                <w:jc w:val="center"/>
              </w:trPr>
              <w:tc>
                <w:tcPr>
                  <w:tcW w:w="2383" w:type="dxa"/>
                  <w:noWrap w:val="0"/>
                  <w:vAlign w:val="center"/>
                </w:tcPr>
                <w:p w14:paraId="61EF43C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主要参数</w:t>
                  </w:r>
                </w:p>
              </w:tc>
              <w:tc>
                <w:tcPr>
                  <w:tcW w:w="1417" w:type="dxa"/>
                  <w:noWrap w:val="0"/>
                  <w:vAlign w:val="center"/>
                </w:tcPr>
                <w:p w14:paraId="5EDD809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单位</w:t>
                  </w:r>
                </w:p>
              </w:tc>
              <w:tc>
                <w:tcPr>
                  <w:tcW w:w="1481" w:type="dxa"/>
                  <w:noWrap w:val="0"/>
                  <w:vAlign w:val="center"/>
                </w:tcPr>
                <w:p w14:paraId="161B410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参数</w:t>
                  </w:r>
                </w:p>
              </w:tc>
              <w:tc>
                <w:tcPr>
                  <w:tcW w:w="3137" w:type="dxa"/>
                  <w:noWrap w:val="0"/>
                  <w:vAlign w:val="center"/>
                </w:tcPr>
                <w:p w14:paraId="4DC58A0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备注</w:t>
                  </w:r>
                </w:p>
              </w:tc>
            </w:tr>
            <w:tr w14:paraId="052E6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383" w:type="dxa"/>
                  <w:noWrap w:val="0"/>
                  <w:vAlign w:val="center"/>
                </w:tcPr>
                <w:p w14:paraId="4F53060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脱硫入口烟气量</w:t>
                  </w:r>
                </w:p>
              </w:tc>
              <w:tc>
                <w:tcPr>
                  <w:tcW w:w="1417" w:type="dxa"/>
                  <w:noWrap w:val="0"/>
                  <w:vAlign w:val="center"/>
                </w:tcPr>
                <w:p w14:paraId="7DE6FE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Nm</w:t>
                  </w:r>
                  <w:r>
                    <w:rPr>
                      <w:rFonts w:hint="default" w:ascii="Times New Roman" w:hAnsi="Times New Roman" w:eastAsia="宋体" w:cs="Times New Roman"/>
                      <w:color w:val="000000" w:themeColor="text1"/>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Cs w:val="24"/>
                      <w:highlight w:val="none"/>
                      <w14:textFill>
                        <w14:solidFill>
                          <w14:schemeClr w14:val="tx1"/>
                        </w14:solidFill>
                      </w14:textFill>
                    </w:rPr>
                    <w:t>/h</w:t>
                  </w:r>
                </w:p>
              </w:tc>
              <w:tc>
                <w:tcPr>
                  <w:tcW w:w="1481" w:type="dxa"/>
                  <w:noWrap w:val="0"/>
                  <w:vAlign w:val="center"/>
                </w:tcPr>
                <w:p w14:paraId="046052D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10</w:t>
                  </w:r>
                  <w:r>
                    <w:rPr>
                      <w:rFonts w:hint="default" w:ascii="Times New Roman" w:hAnsi="Times New Roman" w:cs="Times New Roman"/>
                      <w:color w:val="000000" w:themeColor="text1"/>
                      <w:szCs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Cs w:val="24"/>
                      <w:highlight w:val="none"/>
                      <w14:textFill>
                        <w14:solidFill>
                          <w14:schemeClr w14:val="tx1"/>
                        </w14:solidFill>
                      </w14:textFill>
                    </w:rPr>
                    <w:t>000</w:t>
                  </w:r>
                </w:p>
              </w:tc>
              <w:tc>
                <w:tcPr>
                  <w:tcW w:w="3137" w:type="dxa"/>
                  <w:noWrap w:val="0"/>
                  <w:vAlign w:val="center"/>
                </w:tcPr>
                <w:p w14:paraId="0A3BFA6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干态，标况，</w:t>
                  </w:r>
                  <w:r>
                    <w:rPr>
                      <w:rFonts w:hint="default" w:ascii="Times New Roman" w:hAnsi="Times New Roman" w:cs="Times New Roman"/>
                      <w:color w:val="000000" w:themeColor="text1"/>
                      <w:szCs w:val="24"/>
                      <w:highlight w:val="none"/>
                      <w:lang w:val="en-US" w:eastAsia="zh-CN"/>
                      <w14:textFill>
                        <w14:solidFill>
                          <w14:schemeClr w14:val="tx1"/>
                        </w14:solidFill>
                      </w14:textFill>
                    </w:rPr>
                    <w:t>7.6</w:t>
                  </w:r>
                  <w:r>
                    <w:rPr>
                      <w:rFonts w:hint="default" w:ascii="Times New Roman" w:hAnsi="Times New Roman" w:eastAsia="宋体" w:cs="Times New Roman"/>
                      <w:color w:val="000000" w:themeColor="text1"/>
                      <w:szCs w:val="24"/>
                      <w:highlight w:val="none"/>
                      <w14:textFill>
                        <w14:solidFill>
                          <w14:schemeClr w14:val="tx1"/>
                        </w14:solidFill>
                      </w14:textFill>
                    </w:rPr>
                    <w:t>%含氧量</w:t>
                  </w:r>
                </w:p>
              </w:tc>
            </w:tr>
            <w:tr w14:paraId="02797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383" w:type="dxa"/>
                  <w:noWrap w:val="0"/>
                  <w:vAlign w:val="center"/>
                </w:tcPr>
                <w:p w14:paraId="632EC91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烟气温度</w:t>
                  </w:r>
                </w:p>
              </w:tc>
              <w:tc>
                <w:tcPr>
                  <w:tcW w:w="1417" w:type="dxa"/>
                  <w:noWrap w:val="0"/>
                  <w:vAlign w:val="center"/>
                </w:tcPr>
                <w:p w14:paraId="5EA5981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w:t>
                  </w:r>
                </w:p>
              </w:tc>
              <w:tc>
                <w:tcPr>
                  <w:tcW w:w="1481" w:type="dxa"/>
                  <w:noWrap w:val="0"/>
                  <w:vAlign w:val="center"/>
                </w:tcPr>
                <w:p w14:paraId="7E06E4A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Cs w:val="24"/>
                      <w:highlight w:val="none"/>
                      <w14:textFill>
                        <w14:solidFill>
                          <w14:schemeClr w14:val="tx1"/>
                        </w14:solidFill>
                      </w14:textFill>
                    </w:rPr>
                  </w:pPr>
                  <w:r>
                    <w:rPr>
                      <w:rFonts w:hint="default" w:ascii="Times New Roman" w:hAnsi="Times New Roman" w:cs="Times New Roman"/>
                      <w:b w:val="0"/>
                      <w:bCs w:val="0"/>
                      <w:color w:val="000000" w:themeColor="text1"/>
                      <w:szCs w:val="24"/>
                      <w:highlight w:val="none"/>
                      <w:lang w:val="en-US" w:eastAsia="zh-CN"/>
                      <w14:textFill>
                        <w14:solidFill>
                          <w14:schemeClr w14:val="tx1"/>
                        </w14:solidFill>
                      </w14:textFill>
                    </w:rPr>
                    <w:t>20</w:t>
                  </w:r>
                  <w:r>
                    <w:rPr>
                      <w:rFonts w:hint="default" w:ascii="Times New Roman" w:hAnsi="Times New Roman" w:eastAsia="宋体" w:cs="Times New Roman"/>
                      <w:b w:val="0"/>
                      <w:bCs w:val="0"/>
                      <w:color w:val="000000" w:themeColor="text1"/>
                      <w:szCs w:val="24"/>
                      <w:highlight w:val="none"/>
                      <w14:textFill>
                        <w14:solidFill>
                          <w14:schemeClr w14:val="tx1"/>
                        </w14:solidFill>
                      </w14:textFill>
                    </w:rPr>
                    <w:t>0</w:t>
                  </w:r>
                </w:p>
              </w:tc>
              <w:tc>
                <w:tcPr>
                  <w:tcW w:w="3137" w:type="dxa"/>
                  <w:noWrap w:val="0"/>
                  <w:vAlign w:val="center"/>
                </w:tcPr>
                <w:p w14:paraId="223C049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p>
              </w:tc>
            </w:tr>
            <w:tr w14:paraId="6082B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383" w:type="dxa"/>
                  <w:noWrap w:val="0"/>
                  <w:vAlign w:val="center"/>
                </w:tcPr>
                <w:p w14:paraId="4E4047C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入口SO</w:t>
                  </w:r>
                  <w:r>
                    <w:rPr>
                      <w:rFonts w:hint="default" w:ascii="Times New Roman" w:hAnsi="Times New Roman" w:eastAsia="宋体" w:cs="Times New Roman"/>
                      <w:color w:val="000000" w:themeColor="text1"/>
                      <w:szCs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zCs w:val="24"/>
                      <w:highlight w:val="none"/>
                      <w14:textFill>
                        <w14:solidFill>
                          <w14:schemeClr w14:val="tx1"/>
                        </w14:solidFill>
                      </w14:textFill>
                    </w:rPr>
                    <w:t>浓度</w:t>
                  </w:r>
                </w:p>
              </w:tc>
              <w:tc>
                <w:tcPr>
                  <w:tcW w:w="1417" w:type="dxa"/>
                  <w:noWrap w:val="0"/>
                  <w:vAlign w:val="center"/>
                </w:tcPr>
                <w:p w14:paraId="679B8E66">
                  <w:pPr>
                    <w:keepNext w:val="0"/>
                    <w:keepLines w:val="0"/>
                    <w:pageBreakBefore w:val="0"/>
                    <w:widowControl w:val="0"/>
                    <w:tabs>
                      <w:tab w:val="left" w:pos="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Cs w:val="20"/>
                      <w:highlight w:val="none"/>
                      <w14:textFill>
                        <w14:solidFill>
                          <w14:schemeClr w14:val="tx1"/>
                        </w14:solidFill>
                      </w14:textFill>
                    </w:rPr>
                  </w:pPr>
                  <w:r>
                    <w:rPr>
                      <w:rFonts w:hint="default" w:ascii="Times New Roman" w:hAnsi="Times New Roman" w:eastAsia="宋体" w:cs="Times New Roman"/>
                      <w:color w:val="000000" w:themeColor="text1"/>
                      <w:kern w:val="0"/>
                      <w:szCs w:val="20"/>
                      <w:highlight w:val="none"/>
                      <w14:textFill>
                        <w14:solidFill>
                          <w14:schemeClr w14:val="tx1"/>
                        </w14:solidFill>
                      </w14:textFill>
                    </w:rPr>
                    <w:t>mg/m</w:t>
                  </w:r>
                  <w:r>
                    <w:rPr>
                      <w:rFonts w:hint="default" w:ascii="Times New Roman" w:hAnsi="Times New Roman" w:eastAsia="宋体" w:cs="Times New Roman"/>
                      <w:color w:val="000000" w:themeColor="text1"/>
                      <w:kern w:val="0"/>
                      <w:szCs w:val="20"/>
                      <w:highlight w:val="none"/>
                      <w:vertAlign w:val="superscript"/>
                      <w14:textFill>
                        <w14:solidFill>
                          <w14:schemeClr w14:val="tx1"/>
                        </w14:solidFill>
                      </w14:textFill>
                    </w:rPr>
                    <w:t>3</w:t>
                  </w:r>
                </w:p>
              </w:tc>
              <w:tc>
                <w:tcPr>
                  <w:tcW w:w="1481" w:type="dxa"/>
                  <w:noWrap w:val="0"/>
                  <w:vAlign w:val="center"/>
                </w:tcPr>
                <w:p w14:paraId="314FCA9D">
                  <w:pPr>
                    <w:keepNext w:val="0"/>
                    <w:keepLines w:val="0"/>
                    <w:pageBreakBefore w:val="0"/>
                    <w:widowControl w:val="0"/>
                    <w:tabs>
                      <w:tab w:val="left" w:pos="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kern w:val="0"/>
                      <w:szCs w:val="20"/>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Cs w:val="20"/>
                      <w:highlight w:val="none"/>
                      <w14:textFill>
                        <w14:solidFill>
                          <w14:schemeClr w14:val="tx1"/>
                        </w14:solidFill>
                      </w14:textFill>
                    </w:rPr>
                    <w:t>＜</w:t>
                  </w:r>
                  <w:r>
                    <w:rPr>
                      <w:rFonts w:hint="default" w:ascii="Times New Roman" w:hAnsi="Times New Roman" w:cs="Times New Roman"/>
                      <w:b w:val="0"/>
                      <w:bCs w:val="0"/>
                      <w:color w:val="000000" w:themeColor="text1"/>
                      <w:kern w:val="0"/>
                      <w:szCs w:val="20"/>
                      <w:highlight w:val="none"/>
                      <w:lang w:val="en-US" w:eastAsia="zh-CN"/>
                      <w14:textFill>
                        <w14:solidFill>
                          <w14:schemeClr w14:val="tx1"/>
                        </w14:solidFill>
                      </w14:textFill>
                    </w:rPr>
                    <w:t>500</w:t>
                  </w:r>
                </w:p>
              </w:tc>
              <w:tc>
                <w:tcPr>
                  <w:tcW w:w="3137" w:type="dxa"/>
                  <w:noWrap w:val="0"/>
                  <w:vAlign w:val="center"/>
                </w:tcPr>
                <w:p w14:paraId="55921B2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lang w:val="en-US" w:eastAsia="zh-CN"/>
                      <w14:textFill>
                        <w14:solidFill>
                          <w14:schemeClr w14:val="tx1"/>
                        </w14:solidFill>
                      </w14:textFill>
                    </w:rPr>
                    <w:t>16</w:t>
                  </w:r>
                  <w:r>
                    <w:rPr>
                      <w:rFonts w:hint="default" w:ascii="Times New Roman" w:hAnsi="Times New Roman" w:eastAsia="宋体" w:cs="Times New Roman"/>
                      <w:color w:val="000000" w:themeColor="text1"/>
                      <w:szCs w:val="24"/>
                      <w:highlight w:val="none"/>
                      <w14:textFill>
                        <w14:solidFill>
                          <w14:schemeClr w14:val="tx1"/>
                        </w14:solidFill>
                      </w14:textFill>
                    </w:rPr>
                    <w:t>%含氧量</w:t>
                  </w:r>
                </w:p>
              </w:tc>
            </w:tr>
            <w:tr w14:paraId="1FC5B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383" w:type="dxa"/>
                  <w:noWrap w:val="0"/>
                  <w:vAlign w:val="center"/>
                </w:tcPr>
                <w:p w14:paraId="68A240D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脱硫处理后SO</w:t>
                  </w:r>
                  <w:r>
                    <w:rPr>
                      <w:rFonts w:hint="default" w:ascii="Times New Roman" w:hAnsi="Times New Roman" w:eastAsia="宋体" w:cs="Times New Roman"/>
                      <w:color w:val="000000" w:themeColor="text1"/>
                      <w:szCs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zCs w:val="24"/>
                      <w:highlight w:val="none"/>
                      <w14:textFill>
                        <w14:solidFill>
                          <w14:schemeClr w14:val="tx1"/>
                        </w14:solidFill>
                      </w14:textFill>
                    </w:rPr>
                    <w:t>浓度</w:t>
                  </w:r>
                </w:p>
              </w:tc>
              <w:tc>
                <w:tcPr>
                  <w:tcW w:w="1417" w:type="dxa"/>
                  <w:noWrap w:val="0"/>
                  <w:vAlign w:val="center"/>
                </w:tcPr>
                <w:p w14:paraId="3AA73935">
                  <w:pPr>
                    <w:keepNext w:val="0"/>
                    <w:keepLines w:val="0"/>
                    <w:pageBreakBefore w:val="0"/>
                    <w:widowControl w:val="0"/>
                    <w:tabs>
                      <w:tab w:val="left" w:pos="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Cs w:val="20"/>
                      <w:highlight w:val="none"/>
                      <w14:textFill>
                        <w14:solidFill>
                          <w14:schemeClr w14:val="tx1"/>
                        </w14:solidFill>
                      </w14:textFill>
                    </w:rPr>
                  </w:pPr>
                  <w:r>
                    <w:rPr>
                      <w:rFonts w:hint="default" w:ascii="Times New Roman" w:hAnsi="Times New Roman" w:eastAsia="宋体" w:cs="Times New Roman"/>
                      <w:color w:val="000000" w:themeColor="text1"/>
                      <w:kern w:val="0"/>
                      <w:szCs w:val="20"/>
                      <w:highlight w:val="none"/>
                      <w14:textFill>
                        <w14:solidFill>
                          <w14:schemeClr w14:val="tx1"/>
                        </w14:solidFill>
                      </w14:textFill>
                    </w:rPr>
                    <w:t>mg/m</w:t>
                  </w:r>
                  <w:r>
                    <w:rPr>
                      <w:rFonts w:hint="default" w:ascii="Times New Roman" w:hAnsi="Times New Roman" w:eastAsia="宋体" w:cs="Times New Roman"/>
                      <w:color w:val="000000" w:themeColor="text1"/>
                      <w:kern w:val="0"/>
                      <w:szCs w:val="20"/>
                      <w:highlight w:val="none"/>
                      <w:vertAlign w:val="superscript"/>
                      <w14:textFill>
                        <w14:solidFill>
                          <w14:schemeClr w14:val="tx1"/>
                        </w14:solidFill>
                      </w14:textFill>
                    </w:rPr>
                    <w:t>3</w:t>
                  </w:r>
                </w:p>
              </w:tc>
              <w:tc>
                <w:tcPr>
                  <w:tcW w:w="1481" w:type="dxa"/>
                  <w:noWrap w:val="0"/>
                  <w:vAlign w:val="center"/>
                </w:tcPr>
                <w:p w14:paraId="5307451D">
                  <w:pPr>
                    <w:keepNext w:val="0"/>
                    <w:keepLines w:val="0"/>
                    <w:pageBreakBefore w:val="0"/>
                    <w:widowControl w:val="0"/>
                    <w:tabs>
                      <w:tab w:val="left" w:pos="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kern w:val="0"/>
                      <w:szCs w:val="20"/>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Cs w:val="20"/>
                      <w:highlight w:val="none"/>
                      <w14:textFill>
                        <w14:solidFill>
                          <w14:schemeClr w14:val="tx1"/>
                        </w14:solidFill>
                      </w14:textFill>
                    </w:rPr>
                    <w:t>＜</w:t>
                  </w:r>
                  <w:r>
                    <w:rPr>
                      <w:rFonts w:hint="default" w:ascii="Times New Roman" w:hAnsi="Times New Roman" w:cs="Times New Roman"/>
                      <w:b w:val="0"/>
                      <w:bCs w:val="0"/>
                      <w:color w:val="000000" w:themeColor="text1"/>
                      <w:kern w:val="0"/>
                      <w:szCs w:val="20"/>
                      <w:highlight w:val="none"/>
                      <w:lang w:val="en-US" w:eastAsia="zh-CN"/>
                      <w14:textFill>
                        <w14:solidFill>
                          <w14:schemeClr w14:val="tx1"/>
                        </w14:solidFill>
                      </w14:textFill>
                    </w:rPr>
                    <w:t>50</w:t>
                  </w:r>
                </w:p>
              </w:tc>
              <w:tc>
                <w:tcPr>
                  <w:tcW w:w="3137" w:type="dxa"/>
                  <w:noWrap w:val="0"/>
                  <w:vAlign w:val="center"/>
                </w:tcPr>
                <w:p w14:paraId="74489BF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出口控制值（</w:t>
                  </w:r>
                  <w:r>
                    <w:rPr>
                      <w:rFonts w:hint="default" w:ascii="Times New Roman" w:hAnsi="Times New Roman" w:cs="Times New Roman"/>
                      <w:color w:val="000000" w:themeColor="text1"/>
                      <w:szCs w:val="24"/>
                      <w:highlight w:val="none"/>
                      <w:lang w:val="en-US" w:eastAsia="zh-CN"/>
                      <w14:textFill>
                        <w14:solidFill>
                          <w14:schemeClr w14:val="tx1"/>
                        </w14:solidFill>
                      </w14:textFill>
                    </w:rPr>
                    <w:t>16</w:t>
                  </w:r>
                  <w:r>
                    <w:rPr>
                      <w:rFonts w:hint="default" w:ascii="Times New Roman" w:hAnsi="Times New Roman" w:eastAsia="宋体" w:cs="Times New Roman"/>
                      <w:color w:val="000000" w:themeColor="text1"/>
                      <w:szCs w:val="24"/>
                      <w:highlight w:val="none"/>
                      <w14:textFill>
                        <w14:solidFill>
                          <w14:schemeClr w14:val="tx1"/>
                        </w14:solidFill>
                      </w14:textFill>
                    </w:rPr>
                    <w:t>%氧含量）</w:t>
                  </w:r>
                </w:p>
              </w:tc>
            </w:tr>
            <w:tr w14:paraId="0790B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383" w:type="dxa"/>
                  <w:noWrap w:val="0"/>
                  <w:vAlign w:val="center"/>
                </w:tcPr>
                <w:p w14:paraId="0FDB191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脱硫效率</w:t>
                  </w:r>
                </w:p>
              </w:tc>
              <w:tc>
                <w:tcPr>
                  <w:tcW w:w="1417" w:type="dxa"/>
                  <w:noWrap w:val="0"/>
                  <w:vAlign w:val="center"/>
                </w:tcPr>
                <w:p w14:paraId="75385FF7">
                  <w:pPr>
                    <w:keepNext w:val="0"/>
                    <w:keepLines w:val="0"/>
                    <w:pageBreakBefore w:val="0"/>
                    <w:widowControl w:val="0"/>
                    <w:tabs>
                      <w:tab w:val="left" w:pos="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Cs w:val="20"/>
                      <w:highlight w:val="none"/>
                      <w14:textFill>
                        <w14:solidFill>
                          <w14:schemeClr w14:val="tx1"/>
                        </w14:solidFill>
                      </w14:textFill>
                    </w:rPr>
                  </w:pPr>
                  <w:r>
                    <w:rPr>
                      <w:rFonts w:hint="default" w:ascii="Times New Roman" w:hAnsi="Times New Roman" w:eastAsia="宋体" w:cs="Times New Roman"/>
                      <w:color w:val="000000" w:themeColor="text1"/>
                      <w:kern w:val="0"/>
                      <w:szCs w:val="20"/>
                      <w:highlight w:val="none"/>
                      <w14:textFill>
                        <w14:solidFill>
                          <w14:schemeClr w14:val="tx1"/>
                        </w14:solidFill>
                      </w14:textFill>
                    </w:rPr>
                    <w:t>%</w:t>
                  </w:r>
                </w:p>
              </w:tc>
              <w:tc>
                <w:tcPr>
                  <w:tcW w:w="1481" w:type="dxa"/>
                  <w:noWrap w:val="0"/>
                  <w:vAlign w:val="center"/>
                </w:tcPr>
                <w:p w14:paraId="5E69F704">
                  <w:pPr>
                    <w:keepNext w:val="0"/>
                    <w:keepLines w:val="0"/>
                    <w:pageBreakBefore w:val="0"/>
                    <w:widowControl w:val="0"/>
                    <w:tabs>
                      <w:tab w:val="left" w:pos="0"/>
                    </w:tabs>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kern w:val="0"/>
                      <w:szCs w:val="20"/>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Cs w:val="20"/>
                      <w:highlight w:val="none"/>
                      <w:lang w:eastAsia="zh-CN"/>
                      <w14:textFill>
                        <w14:solidFill>
                          <w14:schemeClr w14:val="tx1"/>
                        </w14:solidFill>
                      </w14:textFill>
                    </w:rPr>
                    <w:t>&gt;</w:t>
                  </w:r>
                  <w:r>
                    <w:rPr>
                      <w:rFonts w:hint="default" w:ascii="Times New Roman" w:hAnsi="Times New Roman" w:eastAsia="宋体" w:cs="Times New Roman"/>
                      <w:b w:val="0"/>
                      <w:bCs w:val="0"/>
                      <w:color w:val="000000" w:themeColor="text1"/>
                      <w:kern w:val="0"/>
                      <w:szCs w:val="20"/>
                      <w:highlight w:val="none"/>
                      <w14:textFill>
                        <w14:solidFill>
                          <w14:schemeClr w14:val="tx1"/>
                        </w14:solidFill>
                      </w14:textFill>
                    </w:rPr>
                    <w:t>9</w:t>
                  </w:r>
                  <w:r>
                    <w:rPr>
                      <w:rFonts w:hint="default" w:ascii="Times New Roman" w:hAnsi="Times New Roman" w:cs="Times New Roman"/>
                      <w:b w:val="0"/>
                      <w:bCs w:val="0"/>
                      <w:color w:val="000000" w:themeColor="text1"/>
                      <w:kern w:val="0"/>
                      <w:szCs w:val="20"/>
                      <w:highlight w:val="none"/>
                      <w:lang w:val="en-US" w:eastAsia="zh-CN"/>
                      <w14:textFill>
                        <w14:solidFill>
                          <w14:schemeClr w14:val="tx1"/>
                        </w14:solidFill>
                      </w14:textFill>
                    </w:rPr>
                    <w:t>3.4</w:t>
                  </w:r>
                </w:p>
              </w:tc>
              <w:tc>
                <w:tcPr>
                  <w:tcW w:w="3137" w:type="dxa"/>
                  <w:noWrap w:val="0"/>
                  <w:vAlign w:val="center"/>
                </w:tcPr>
                <w:p w14:paraId="1657912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p>
              </w:tc>
            </w:tr>
            <w:tr w14:paraId="345BE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383" w:type="dxa"/>
                  <w:noWrap w:val="0"/>
                  <w:vAlign w:val="center"/>
                </w:tcPr>
                <w:p w14:paraId="427D8F1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出口烟气温度℃</w:t>
                  </w:r>
                </w:p>
              </w:tc>
              <w:tc>
                <w:tcPr>
                  <w:tcW w:w="1417" w:type="dxa"/>
                  <w:noWrap w:val="0"/>
                  <w:vAlign w:val="center"/>
                </w:tcPr>
                <w:p w14:paraId="087459A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w:t>
                  </w:r>
                </w:p>
              </w:tc>
              <w:tc>
                <w:tcPr>
                  <w:tcW w:w="1481" w:type="dxa"/>
                  <w:noWrap w:val="0"/>
                  <w:vAlign w:val="center"/>
                </w:tcPr>
                <w:p w14:paraId="4B975FD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Cs w:val="24"/>
                      <w:highlight w:val="none"/>
                      <w14:textFill>
                        <w14:solidFill>
                          <w14:schemeClr w14:val="tx1"/>
                        </w14:solidFill>
                      </w14:textFill>
                    </w:rPr>
                  </w:pPr>
                  <w:r>
                    <w:rPr>
                      <w:rFonts w:hint="default" w:ascii="Times New Roman" w:hAnsi="Times New Roman" w:eastAsia="宋体" w:cs="Times New Roman"/>
                      <w:b w:val="0"/>
                      <w:bCs w:val="0"/>
                      <w:color w:val="000000" w:themeColor="text1"/>
                      <w:szCs w:val="24"/>
                      <w:highlight w:val="none"/>
                      <w14:textFill>
                        <w14:solidFill>
                          <w14:schemeClr w14:val="tx1"/>
                        </w14:solidFill>
                      </w14:textFill>
                    </w:rPr>
                    <w:t>~50℃</w:t>
                  </w:r>
                </w:p>
              </w:tc>
              <w:tc>
                <w:tcPr>
                  <w:tcW w:w="3137" w:type="dxa"/>
                  <w:noWrap w:val="0"/>
                  <w:vAlign w:val="center"/>
                </w:tcPr>
                <w:p w14:paraId="0D62A79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p>
              </w:tc>
            </w:tr>
            <w:tr w14:paraId="406D9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383" w:type="dxa"/>
                  <w:noWrap w:val="0"/>
                  <w:vAlign w:val="center"/>
                </w:tcPr>
                <w:p w14:paraId="333BE0E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烟气流速m/s</w:t>
                  </w:r>
                </w:p>
              </w:tc>
              <w:tc>
                <w:tcPr>
                  <w:tcW w:w="1417" w:type="dxa"/>
                  <w:noWrap w:val="0"/>
                  <w:vAlign w:val="center"/>
                </w:tcPr>
                <w:p w14:paraId="70ED9EF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m/s</w:t>
                  </w:r>
                </w:p>
              </w:tc>
              <w:tc>
                <w:tcPr>
                  <w:tcW w:w="1481" w:type="dxa"/>
                  <w:noWrap w:val="0"/>
                  <w:vAlign w:val="center"/>
                </w:tcPr>
                <w:p w14:paraId="4A70BE9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Cs w:val="24"/>
                      <w:highlight w:val="none"/>
                      <w14:textFill>
                        <w14:solidFill>
                          <w14:schemeClr w14:val="tx1"/>
                        </w14:solidFill>
                      </w14:textFill>
                    </w:rPr>
                  </w:pPr>
                  <w:r>
                    <w:rPr>
                      <w:rFonts w:hint="default" w:ascii="Times New Roman" w:hAnsi="Times New Roman" w:eastAsia="宋体" w:cs="Times New Roman"/>
                      <w:b w:val="0"/>
                      <w:bCs w:val="0"/>
                      <w:color w:val="000000" w:themeColor="text1"/>
                      <w:szCs w:val="24"/>
                      <w:highlight w:val="none"/>
                      <w14:textFill>
                        <w14:solidFill>
                          <w14:schemeClr w14:val="tx1"/>
                        </w14:solidFill>
                      </w14:textFill>
                    </w:rPr>
                    <w:t>~4</w:t>
                  </w:r>
                </w:p>
              </w:tc>
              <w:tc>
                <w:tcPr>
                  <w:tcW w:w="3137" w:type="dxa"/>
                  <w:noWrap w:val="0"/>
                  <w:vAlign w:val="center"/>
                </w:tcPr>
                <w:p w14:paraId="17089D5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p>
              </w:tc>
            </w:tr>
            <w:tr w14:paraId="5F43D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383" w:type="dxa"/>
                  <w:noWrap w:val="0"/>
                  <w:vAlign w:val="center"/>
                </w:tcPr>
                <w:p w14:paraId="24B3819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化学计量比</w:t>
                  </w:r>
                </w:p>
              </w:tc>
              <w:tc>
                <w:tcPr>
                  <w:tcW w:w="1417" w:type="dxa"/>
                  <w:noWrap w:val="0"/>
                  <w:vAlign w:val="center"/>
                </w:tcPr>
                <w:p w14:paraId="5F88D26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Cs w:val="24"/>
                      <w:highlight w:val="none"/>
                      <w14:textFill>
                        <w14:solidFill>
                          <w14:schemeClr w14:val="tx1"/>
                        </w14:solidFill>
                      </w14:textFill>
                    </w:rPr>
                    <w:t>mol/mol</w:t>
                  </w:r>
                  <w:r>
                    <w:rPr>
                      <w:rFonts w:hint="default" w:ascii="Times New Roman" w:hAnsi="Times New Roman" w:cs="Times New Roman"/>
                      <w:color w:val="000000" w:themeColor="text1"/>
                      <w:szCs w:val="24"/>
                      <w:highlight w:val="none"/>
                      <w:lang w:eastAsia="zh-CN"/>
                      <w14:textFill>
                        <w14:solidFill>
                          <w14:schemeClr w14:val="tx1"/>
                        </w14:solidFill>
                      </w14:textFill>
                    </w:rPr>
                    <w:t>)</w:t>
                  </w:r>
                </w:p>
              </w:tc>
              <w:tc>
                <w:tcPr>
                  <w:tcW w:w="1481" w:type="dxa"/>
                  <w:noWrap w:val="0"/>
                  <w:vAlign w:val="center"/>
                </w:tcPr>
                <w:p w14:paraId="2B0164E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Cs w:val="24"/>
                      <w:highlight w:val="none"/>
                      <w14:textFill>
                        <w14:solidFill>
                          <w14:schemeClr w14:val="tx1"/>
                        </w14:solidFill>
                      </w14:textFill>
                    </w:rPr>
                  </w:pPr>
                  <w:r>
                    <w:rPr>
                      <w:rFonts w:hint="default" w:ascii="Times New Roman" w:hAnsi="Times New Roman" w:eastAsia="宋体" w:cs="Times New Roman"/>
                      <w:b w:val="0"/>
                      <w:bCs w:val="0"/>
                      <w:color w:val="000000" w:themeColor="text1"/>
                      <w:szCs w:val="24"/>
                      <w:highlight w:val="none"/>
                      <w14:textFill>
                        <w14:solidFill>
                          <w14:schemeClr w14:val="tx1"/>
                        </w14:solidFill>
                      </w14:textFill>
                    </w:rPr>
                    <w:t>1.5</w:t>
                  </w:r>
                </w:p>
              </w:tc>
              <w:tc>
                <w:tcPr>
                  <w:tcW w:w="3137" w:type="dxa"/>
                  <w:noWrap w:val="0"/>
                  <w:vAlign w:val="center"/>
                </w:tcPr>
                <w:p w14:paraId="33054B6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p>
              </w:tc>
            </w:tr>
            <w:tr w14:paraId="2E3A6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2383" w:type="dxa"/>
                  <w:noWrap w:val="0"/>
                  <w:vAlign w:val="center"/>
                </w:tcPr>
                <w:p w14:paraId="5FE46F6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石灰石耗量</w:t>
                  </w:r>
                </w:p>
              </w:tc>
              <w:tc>
                <w:tcPr>
                  <w:tcW w:w="1417" w:type="dxa"/>
                  <w:noWrap w:val="0"/>
                  <w:vAlign w:val="center"/>
                </w:tcPr>
                <w:p w14:paraId="6B4E6D6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color w:val="000000" w:themeColor="text1"/>
                      <w:szCs w:val="24"/>
                      <w:highlight w:val="none"/>
                      <w:lang w:eastAsia="zh-CN"/>
                      <w14:textFill>
                        <w14:solidFill>
                          <w14:schemeClr w14:val="tx1"/>
                        </w14:solidFill>
                      </w14:textFill>
                    </w:rPr>
                    <w:t>kg</w:t>
                  </w:r>
                  <w:r>
                    <w:rPr>
                      <w:rFonts w:hint="default" w:ascii="Times New Roman" w:hAnsi="Times New Roman" w:eastAsia="宋体" w:cs="Times New Roman"/>
                      <w:color w:val="000000" w:themeColor="text1"/>
                      <w:szCs w:val="24"/>
                      <w:highlight w:val="none"/>
                      <w14:textFill>
                        <w14:solidFill>
                          <w14:schemeClr w14:val="tx1"/>
                        </w14:solidFill>
                      </w14:textFill>
                    </w:rPr>
                    <w:t>/h</w:t>
                  </w:r>
                </w:p>
              </w:tc>
              <w:tc>
                <w:tcPr>
                  <w:tcW w:w="1481" w:type="dxa"/>
                  <w:noWrap w:val="0"/>
                  <w:vAlign w:val="center"/>
                </w:tcPr>
                <w:p w14:paraId="3656552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Cs w:val="24"/>
                      <w:highlight w:val="none"/>
                      <w14:textFill>
                        <w14:solidFill>
                          <w14:schemeClr w14:val="tx1"/>
                        </w14:solidFill>
                      </w14:textFill>
                    </w:rPr>
                  </w:pPr>
                  <w:r>
                    <w:rPr>
                      <w:rFonts w:hint="default" w:ascii="Times New Roman" w:hAnsi="Times New Roman" w:eastAsia="宋体" w:cs="Times New Roman"/>
                      <w:b w:val="0"/>
                      <w:bCs w:val="0"/>
                      <w:color w:val="000000" w:themeColor="text1"/>
                      <w:szCs w:val="24"/>
                      <w:highlight w:val="none"/>
                      <w14:textFill>
                        <w14:solidFill>
                          <w14:schemeClr w14:val="tx1"/>
                        </w14:solidFill>
                      </w14:textFill>
                    </w:rPr>
                    <w:t>590</w:t>
                  </w:r>
                </w:p>
              </w:tc>
              <w:tc>
                <w:tcPr>
                  <w:tcW w:w="3137" w:type="dxa"/>
                  <w:noWrap w:val="0"/>
                  <w:vAlign w:val="center"/>
                </w:tcPr>
                <w:p w14:paraId="01E6092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4"/>
                      <w:highlight w:val="none"/>
                      <w14:textFill>
                        <w14:solidFill>
                          <w14:schemeClr w14:val="tx1"/>
                        </w14:solidFill>
                      </w14:textFill>
                    </w:rPr>
                  </w:pPr>
                </w:p>
              </w:tc>
            </w:tr>
            <w:bookmarkEnd w:id="4"/>
          </w:tbl>
          <w:p w14:paraId="66579F67">
            <w:pPr>
              <w:jc w:val="cente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表</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13</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检修设备表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2" w:type="dxa"/>
                <w:bottom w:w="0" w:type="dxa"/>
                <w:right w:w="102" w:type="dxa"/>
              </w:tblCellMar>
            </w:tblPr>
            <w:tblGrid>
              <w:gridCol w:w="672"/>
              <w:gridCol w:w="1541"/>
              <w:gridCol w:w="1403"/>
              <w:gridCol w:w="1844"/>
              <w:gridCol w:w="709"/>
              <w:gridCol w:w="2210"/>
            </w:tblGrid>
            <w:tr w14:paraId="3FA0C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2" w:type="dxa"/>
                  <w:bottom w:w="0" w:type="dxa"/>
                  <w:right w:w="102" w:type="dxa"/>
                </w:tblCellMar>
              </w:tblPrEx>
              <w:trPr>
                <w:tblHeader/>
                <w:jc w:val="center"/>
              </w:trPr>
              <w:tc>
                <w:tcPr>
                  <w:tcW w:w="401" w:type="pct"/>
                  <w:tcBorders>
                    <w:top w:val="single" w:color="auto" w:sz="4" w:space="0"/>
                    <w:left w:val="single" w:color="auto" w:sz="4" w:space="0"/>
                    <w:bottom w:val="single" w:color="auto" w:sz="4" w:space="0"/>
                    <w:right w:val="single" w:color="auto" w:sz="4" w:space="0"/>
                  </w:tcBorders>
                  <w:noWrap w:val="0"/>
                  <w:vAlign w:val="center"/>
                </w:tcPr>
                <w:p w14:paraId="442EBDB3">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序号</w:t>
                  </w:r>
                </w:p>
              </w:tc>
              <w:tc>
                <w:tcPr>
                  <w:tcW w:w="919" w:type="pct"/>
                  <w:tcBorders>
                    <w:top w:val="single" w:color="auto" w:sz="4" w:space="0"/>
                    <w:left w:val="single" w:color="auto" w:sz="4" w:space="0"/>
                    <w:bottom w:val="single" w:color="auto" w:sz="4" w:space="0"/>
                    <w:right w:val="single" w:color="auto" w:sz="4" w:space="0"/>
                  </w:tcBorders>
                  <w:noWrap w:val="0"/>
                  <w:vAlign w:val="center"/>
                </w:tcPr>
                <w:p w14:paraId="23637B82">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车间名称</w:t>
                  </w:r>
                </w:p>
              </w:tc>
              <w:tc>
                <w:tcPr>
                  <w:tcW w:w="837" w:type="pct"/>
                  <w:tcBorders>
                    <w:top w:val="single" w:color="auto" w:sz="4" w:space="0"/>
                    <w:left w:val="single" w:color="auto" w:sz="4" w:space="0"/>
                    <w:bottom w:val="single" w:color="auto" w:sz="4" w:space="0"/>
                    <w:right w:val="single" w:color="auto" w:sz="4" w:space="0"/>
                  </w:tcBorders>
                  <w:noWrap w:val="0"/>
                  <w:vAlign w:val="center"/>
                </w:tcPr>
                <w:p w14:paraId="315937EA">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设备名称</w:t>
                  </w:r>
                </w:p>
              </w:tc>
              <w:tc>
                <w:tcPr>
                  <w:tcW w:w="1100" w:type="pct"/>
                  <w:tcBorders>
                    <w:top w:val="single" w:color="auto" w:sz="4" w:space="0"/>
                    <w:left w:val="single" w:color="auto" w:sz="4" w:space="0"/>
                    <w:bottom w:val="single" w:color="auto" w:sz="4" w:space="0"/>
                    <w:right w:val="single" w:color="auto" w:sz="4" w:space="0"/>
                  </w:tcBorders>
                  <w:noWrap w:val="0"/>
                  <w:vAlign w:val="center"/>
                </w:tcPr>
                <w:p w14:paraId="046C007E">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型号、规格</w:t>
                  </w:r>
                </w:p>
              </w:tc>
              <w:tc>
                <w:tcPr>
                  <w:tcW w:w="423" w:type="pct"/>
                  <w:tcBorders>
                    <w:top w:val="single" w:color="auto" w:sz="4" w:space="0"/>
                    <w:left w:val="single" w:color="auto" w:sz="4" w:space="0"/>
                    <w:bottom w:val="single" w:color="auto" w:sz="4" w:space="0"/>
                    <w:right w:val="single" w:color="auto" w:sz="4" w:space="0"/>
                  </w:tcBorders>
                  <w:noWrap w:val="0"/>
                  <w:vAlign w:val="center"/>
                </w:tcPr>
                <w:p w14:paraId="6DED4373">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台数</w:t>
                  </w:r>
                </w:p>
              </w:tc>
              <w:tc>
                <w:tcPr>
                  <w:tcW w:w="1318" w:type="pct"/>
                  <w:tcBorders>
                    <w:top w:val="single" w:color="auto" w:sz="4" w:space="0"/>
                    <w:left w:val="single" w:color="auto" w:sz="4" w:space="0"/>
                    <w:bottom w:val="single" w:color="auto" w:sz="4" w:space="0"/>
                    <w:right w:val="single" w:color="auto" w:sz="4" w:space="0"/>
                  </w:tcBorders>
                  <w:noWrap w:val="0"/>
                  <w:vAlign w:val="center"/>
                </w:tcPr>
                <w:p w14:paraId="3B50CFF1">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备注</w:t>
                  </w:r>
                </w:p>
              </w:tc>
            </w:tr>
            <w:tr w14:paraId="73389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2" w:type="dxa"/>
                  <w:bottom w:w="0" w:type="dxa"/>
                  <w:right w:w="102" w:type="dxa"/>
                </w:tblCellMar>
              </w:tblPrEx>
              <w:trPr>
                <w:jc w:val="center"/>
              </w:trPr>
              <w:tc>
                <w:tcPr>
                  <w:tcW w:w="401" w:type="pct"/>
                  <w:vMerge w:val="restart"/>
                  <w:tcBorders>
                    <w:top w:val="single" w:color="auto" w:sz="4" w:space="0"/>
                    <w:left w:val="single" w:color="auto" w:sz="4" w:space="0"/>
                    <w:bottom w:val="single" w:color="auto" w:sz="4" w:space="0"/>
                    <w:right w:val="single" w:color="auto" w:sz="4" w:space="0"/>
                  </w:tcBorders>
                  <w:noWrap w:val="0"/>
                  <w:vAlign w:val="center"/>
                </w:tcPr>
                <w:p w14:paraId="588761EE">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919" w:type="pct"/>
                  <w:vMerge w:val="restart"/>
                  <w:tcBorders>
                    <w:top w:val="single" w:color="auto" w:sz="4" w:space="0"/>
                    <w:left w:val="single" w:color="auto" w:sz="4" w:space="0"/>
                    <w:bottom w:val="single" w:color="auto" w:sz="4" w:space="0"/>
                    <w:right w:val="single" w:color="auto" w:sz="4" w:space="0"/>
                  </w:tcBorders>
                  <w:noWrap w:val="0"/>
                  <w:vAlign w:val="center"/>
                </w:tcPr>
                <w:p w14:paraId="5ED8556F">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煅烧窑尾</w:t>
                  </w:r>
                </w:p>
              </w:tc>
              <w:tc>
                <w:tcPr>
                  <w:tcW w:w="837" w:type="pct"/>
                  <w:tcBorders>
                    <w:top w:val="single" w:color="auto" w:sz="4" w:space="0"/>
                    <w:left w:val="single" w:color="auto" w:sz="4" w:space="0"/>
                    <w:bottom w:val="single" w:color="auto" w:sz="4" w:space="0"/>
                    <w:right w:val="single" w:color="auto" w:sz="4" w:space="0"/>
                  </w:tcBorders>
                  <w:noWrap w:val="0"/>
                  <w:vAlign w:val="center"/>
                </w:tcPr>
                <w:p w14:paraId="631AF350">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电动葫芦</w:t>
                  </w:r>
                </w:p>
              </w:tc>
              <w:tc>
                <w:tcPr>
                  <w:tcW w:w="1100" w:type="pct"/>
                  <w:tcBorders>
                    <w:top w:val="single" w:color="auto" w:sz="4" w:space="0"/>
                    <w:left w:val="single" w:color="auto" w:sz="4" w:space="0"/>
                    <w:bottom w:val="single" w:color="auto" w:sz="4" w:space="0"/>
                    <w:right w:val="single" w:color="auto" w:sz="4" w:space="0"/>
                  </w:tcBorders>
                  <w:noWrap w:val="0"/>
                  <w:vAlign w:val="center"/>
                </w:tcPr>
                <w:p w14:paraId="7BA7BD89">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CD3-15D</w:t>
                  </w:r>
                </w:p>
              </w:tc>
              <w:tc>
                <w:tcPr>
                  <w:tcW w:w="423" w:type="pct"/>
                  <w:tcBorders>
                    <w:top w:val="single" w:color="auto" w:sz="4" w:space="0"/>
                    <w:left w:val="single" w:color="auto" w:sz="4" w:space="0"/>
                    <w:bottom w:val="single" w:color="auto" w:sz="4" w:space="0"/>
                    <w:right w:val="single" w:color="auto" w:sz="4" w:space="0"/>
                  </w:tcBorders>
                  <w:noWrap w:val="0"/>
                  <w:vAlign w:val="center"/>
                </w:tcPr>
                <w:p w14:paraId="13C6AC29">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1318" w:type="pct"/>
                  <w:tcBorders>
                    <w:top w:val="single" w:color="auto" w:sz="4" w:space="0"/>
                    <w:left w:val="single" w:color="auto" w:sz="4" w:space="0"/>
                    <w:bottom w:val="single" w:color="auto" w:sz="4" w:space="0"/>
                    <w:right w:val="single" w:color="auto" w:sz="4" w:space="0"/>
                  </w:tcBorders>
                  <w:noWrap w:val="0"/>
                  <w:vAlign w:val="center"/>
                </w:tcPr>
                <w:p w14:paraId="4A26EB55">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提升机传动检修</w:t>
                  </w:r>
                </w:p>
              </w:tc>
            </w:tr>
            <w:tr w14:paraId="72D1A7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2" w:type="dxa"/>
                  <w:bottom w:w="0" w:type="dxa"/>
                  <w:right w:w="102" w:type="dxa"/>
                </w:tblCellMar>
              </w:tblPrEx>
              <w:trPr>
                <w:jc w:val="center"/>
              </w:trPr>
              <w:tc>
                <w:tcPr>
                  <w:tcW w:w="401" w:type="pct"/>
                  <w:vMerge w:val="continue"/>
                  <w:tcBorders>
                    <w:top w:val="single" w:color="auto" w:sz="4" w:space="0"/>
                    <w:left w:val="single" w:color="auto" w:sz="4" w:space="0"/>
                    <w:bottom w:val="single" w:color="auto" w:sz="4" w:space="0"/>
                    <w:right w:val="single" w:color="auto" w:sz="4" w:space="0"/>
                  </w:tcBorders>
                  <w:noWrap w:val="0"/>
                  <w:vAlign w:val="center"/>
                </w:tcPr>
                <w:p w14:paraId="74113CE1">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19" w:type="pct"/>
                  <w:vMerge w:val="continue"/>
                  <w:tcBorders>
                    <w:top w:val="single" w:color="auto" w:sz="4" w:space="0"/>
                    <w:left w:val="single" w:color="auto" w:sz="4" w:space="0"/>
                    <w:bottom w:val="single" w:color="auto" w:sz="4" w:space="0"/>
                    <w:right w:val="single" w:color="auto" w:sz="4" w:space="0"/>
                  </w:tcBorders>
                  <w:noWrap w:val="0"/>
                  <w:vAlign w:val="center"/>
                </w:tcPr>
                <w:p w14:paraId="5F3F3F17">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37"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57394366">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悬臂吊</w:t>
                  </w:r>
                </w:p>
              </w:tc>
              <w:tc>
                <w:tcPr>
                  <w:tcW w:w="1100"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F5D5FAC">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2t</w:t>
                  </w:r>
                  <w:r>
                    <w:rPr>
                      <w:rFonts w:hint="eastAsia"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85m</w:t>
                  </w:r>
                </w:p>
              </w:tc>
              <w:tc>
                <w:tcPr>
                  <w:tcW w:w="423"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6059D09C">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1318"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BAC59F0">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设备检修及耐火材料</w:t>
                  </w:r>
                </w:p>
              </w:tc>
            </w:tr>
            <w:tr w14:paraId="22A97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2" w:type="dxa"/>
                  <w:bottom w:w="0" w:type="dxa"/>
                  <w:right w:w="102" w:type="dxa"/>
                </w:tblCellMar>
              </w:tblPrEx>
              <w:trPr>
                <w:jc w:val="center"/>
              </w:trPr>
              <w:tc>
                <w:tcPr>
                  <w:tcW w:w="401" w:type="pct"/>
                  <w:tcBorders>
                    <w:top w:val="single" w:color="auto" w:sz="4" w:space="0"/>
                    <w:left w:val="single" w:color="auto" w:sz="4" w:space="0"/>
                    <w:bottom w:val="single" w:color="auto" w:sz="4" w:space="0"/>
                    <w:right w:val="single" w:color="auto" w:sz="4" w:space="0"/>
                  </w:tcBorders>
                  <w:noWrap w:val="0"/>
                  <w:vAlign w:val="center"/>
                </w:tcPr>
                <w:p w14:paraId="65045A68">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2</w:t>
                  </w:r>
                </w:p>
              </w:tc>
              <w:tc>
                <w:tcPr>
                  <w:tcW w:w="919" w:type="pct"/>
                  <w:tcBorders>
                    <w:top w:val="single" w:color="auto" w:sz="4" w:space="0"/>
                    <w:left w:val="single" w:color="auto" w:sz="4" w:space="0"/>
                    <w:bottom w:val="single" w:color="auto" w:sz="4" w:space="0"/>
                    <w:right w:val="single" w:color="auto" w:sz="4" w:space="0"/>
                  </w:tcBorders>
                  <w:noWrap w:val="0"/>
                  <w:vAlign w:val="center"/>
                </w:tcPr>
                <w:p w14:paraId="4FA4939E">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煅烧废气处理</w:t>
                  </w:r>
                </w:p>
              </w:tc>
              <w:tc>
                <w:tcPr>
                  <w:tcW w:w="837" w:type="pct"/>
                  <w:tcBorders>
                    <w:top w:val="single" w:color="auto" w:sz="4" w:space="0"/>
                    <w:left w:val="single" w:color="auto" w:sz="4" w:space="0"/>
                    <w:bottom w:val="single" w:color="auto" w:sz="4" w:space="0"/>
                    <w:right w:val="single" w:color="auto" w:sz="4" w:space="0"/>
                  </w:tcBorders>
                  <w:noWrap w:val="0"/>
                  <w:vAlign w:val="center"/>
                </w:tcPr>
                <w:p w14:paraId="13C398BA">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电动葫芦</w:t>
                  </w:r>
                </w:p>
              </w:tc>
              <w:tc>
                <w:tcPr>
                  <w:tcW w:w="1100" w:type="pct"/>
                  <w:tcBorders>
                    <w:top w:val="single" w:color="auto" w:sz="4" w:space="0"/>
                    <w:left w:val="single" w:color="auto" w:sz="4" w:space="0"/>
                    <w:bottom w:val="single" w:color="auto" w:sz="4" w:space="0"/>
                    <w:right w:val="single" w:color="auto" w:sz="4" w:space="0"/>
                  </w:tcBorders>
                  <w:noWrap w:val="0"/>
                  <w:vAlign w:val="center"/>
                </w:tcPr>
                <w:p w14:paraId="2AB4754A">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CD3-24D</w:t>
                  </w:r>
                </w:p>
              </w:tc>
              <w:tc>
                <w:tcPr>
                  <w:tcW w:w="423" w:type="pct"/>
                  <w:tcBorders>
                    <w:top w:val="single" w:color="auto" w:sz="4" w:space="0"/>
                    <w:left w:val="single" w:color="auto" w:sz="4" w:space="0"/>
                    <w:bottom w:val="single" w:color="auto" w:sz="4" w:space="0"/>
                    <w:right w:val="single" w:color="auto" w:sz="4" w:space="0"/>
                  </w:tcBorders>
                  <w:noWrap w:val="0"/>
                  <w:vAlign w:val="center"/>
                </w:tcPr>
                <w:p w14:paraId="35F2D40A">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1318" w:type="pct"/>
                  <w:tcBorders>
                    <w:top w:val="single" w:color="auto" w:sz="4" w:space="0"/>
                    <w:left w:val="single" w:color="auto" w:sz="4" w:space="0"/>
                    <w:bottom w:val="single" w:color="auto" w:sz="4" w:space="0"/>
                    <w:right w:val="single" w:color="auto" w:sz="4" w:space="0"/>
                  </w:tcBorders>
                  <w:noWrap w:val="0"/>
                  <w:vAlign w:val="center"/>
                </w:tcPr>
                <w:p w14:paraId="22C88C15">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提升机传动检修</w:t>
                  </w:r>
                </w:p>
              </w:tc>
            </w:tr>
            <w:tr w14:paraId="04654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2" w:type="dxa"/>
                  <w:bottom w:w="0" w:type="dxa"/>
                  <w:right w:w="102" w:type="dxa"/>
                </w:tblCellMar>
              </w:tblPrEx>
              <w:trPr>
                <w:jc w:val="center"/>
              </w:trPr>
              <w:tc>
                <w:tcPr>
                  <w:tcW w:w="401" w:type="pct"/>
                  <w:vMerge w:val="restart"/>
                  <w:tcBorders>
                    <w:top w:val="single" w:color="auto" w:sz="4" w:space="0"/>
                    <w:left w:val="single" w:color="auto" w:sz="4" w:space="0"/>
                    <w:bottom w:val="single" w:color="auto" w:sz="4" w:space="0"/>
                    <w:right w:val="single" w:color="auto" w:sz="4" w:space="0"/>
                  </w:tcBorders>
                  <w:noWrap w:val="0"/>
                  <w:vAlign w:val="center"/>
                </w:tcPr>
                <w:p w14:paraId="3AB9A918">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w:t>
                  </w:r>
                </w:p>
              </w:tc>
              <w:tc>
                <w:tcPr>
                  <w:tcW w:w="919" w:type="pct"/>
                  <w:vMerge w:val="restart"/>
                  <w:tcBorders>
                    <w:top w:val="single" w:color="auto" w:sz="4" w:space="0"/>
                    <w:left w:val="single" w:color="auto" w:sz="4" w:space="0"/>
                    <w:bottom w:val="single" w:color="auto" w:sz="4" w:space="0"/>
                    <w:right w:val="single" w:color="auto" w:sz="4" w:space="0"/>
                  </w:tcBorders>
                  <w:noWrap w:val="0"/>
                  <w:vAlign w:val="center"/>
                </w:tcPr>
                <w:p w14:paraId="70A8F195">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高岭土冷却</w:t>
                  </w:r>
                </w:p>
              </w:tc>
              <w:tc>
                <w:tcPr>
                  <w:tcW w:w="837" w:type="pct"/>
                  <w:tcBorders>
                    <w:top w:val="single" w:color="auto" w:sz="4" w:space="0"/>
                    <w:left w:val="single" w:color="auto" w:sz="4" w:space="0"/>
                    <w:bottom w:val="single" w:color="auto" w:sz="4" w:space="0"/>
                    <w:right w:val="single" w:color="auto" w:sz="4" w:space="0"/>
                  </w:tcBorders>
                  <w:noWrap w:val="0"/>
                  <w:vAlign w:val="center"/>
                </w:tcPr>
                <w:p w14:paraId="3BE104F6">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电动葫芦</w:t>
                  </w:r>
                </w:p>
              </w:tc>
              <w:tc>
                <w:tcPr>
                  <w:tcW w:w="1100" w:type="pct"/>
                  <w:tcBorders>
                    <w:top w:val="single" w:color="auto" w:sz="4" w:space="0"/>
                    <w:left w:val="single" w:color="auto" w:sz="4" w:space="0"/>
                    <w:bottom w:val="single" w:color="auto" w:sz="4" w:space="0"/>
                    <w:right w:val="single" w:color="auto" w:sz="4" w:space="0"/>
                  </w:tcBorders>
                  <w:noWrap w:val="0"/>
                  <w:vAlign w:val="center"/>
                </w:tcPr>
                <w:p w14:paraId="338C0C73">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CD5-18D</w:t>
                  </w:r>
                </w:p>
              </w:tc>
              <w:tc>
                <w:tcPr>
                  <w:tcW w:w="423" w:type="pct"/>
                  <w:tcBorders>
                    <w:top w:val="single" w:color="auto" w:sz="4" w:space="0"/>
                    <w:left w:val="single" w:color="auto" w:sz="4" w:space="0"/>
                    <w:bottom w:val="single" w:color="auto" w:sz="4" w:space="0"/>
                    <w:right w:val="single" w:color="auto" w:sz="4" w:space="0"/>
                  </w:tcBorders>
                  <w:noWrap w:val="0"/>
                  <w:vAlign w:val="center"/>
                </w:tcPr>
                <w:p w14:paraId="406E1D69">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1318" w:type="pct"/>
                  <w:tcBorders>
                    <w:top w:val="single" w:color="auto" w:sz="4" w:space="0"/>
                    <w:left w:val="single" w:color="auto" w:sz="4" w:space="0"/>
                    <w:bottom w:val="single" w:color="auto" w:sz="4" w:space="0"/>
                    <w:right w:val="single" w:color="auto" w:sz="4" w:space="0"/>
                  </w:tcBorders>
                  <w:noWrap w:val="0"/>
                  <w:vAlign w:val="center"/>
                </w:tcPr>
                <w:p w14:paraId="33E02985">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起吊耐火材料</w:t>
                  </w:r>
                </w:p>
              </w:tc>
            </w:tr>
            <w:tr w14:paraId="56CEF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2" w:type="dxa"/>
                  <w:bottom w:w="0" w:type="dxa"/>
                  <w:right w:w="102" w:type="dxa"/>
                </w:tblCellMar>
              </w:tblPrEx>
              <w:trPr>
                <w:jc w:val="center"/>
              </w:trPr>
              <w:tc>
                <w:tcPr>
                  <w:tcW w:w="401" w:type="pct"/>
                  <w:vMerge w:val="continue"/>
                  <w:tcBorders>
                    <w:top w:val="single" w:color="auto" w:sz="4" w:space="0"/>
                    <w:left w:val="single" w:color="auto" w:sz="4" w:space="0"/>
                    <w:bottom w:val="single" w:color="auto" w:sz="4" w:space="0"/>
                    <w:right w:val="single" w:color="auto" w:sz="4" w:space="0"/>
                  </w:tcBorders>
                  <w:noWrap w:val="0"/>
                  <w:vAlign w:val="center"/>
                </w:tcPr>
                <w:p w14:paraId="24AFFDEF">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19" w:type="pct"/>
                  <w:vMerge w:val="continue"/>
                  <w:tcBorders>
                    <w:top w:val="single" w:color="auto" w:sz="4" w:space="0"/>
                    <w:left w:val="single" w:color="auto" w:sz="4" w:space="0"/>
                    <w:bottom w:val="single" w:color="auto" w:sz="4" w:space="0"/>
                    <w:right w:val="single" w:color="auto" w:sz="4" w:space="0"/>
                  </w:tcBorders>
                  <w:noWrap w:val="0"/>
                  <w:vAlign w:val="center"/>
                </w:tcPr>
                <w:p w14:paraId="6B15A548">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37" w:type="pct"/>
                  <w:tcBorders>
                    <w:top w:val="single" w:color="auto" w:sz="4" w:space="0"/>
                    <w:left w:val="single" w:color="auto" w:sz="4" w:space="0"/>
                    <w:bottom w:val="single" w:color="auto" w:sz="4" w:space="0"/>
                    <w:right w:val="single" w:color="auto" w:sz="4" w:space="0"/>
                  </w:tcBorders>
                  <w:noWrap w:val="0"/>
                  <w:vAlign w:val="center"/>
                </w:tcPr>
                <w:p w14:paraId="4C04E1AE">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电动葫芦</w:t>
                  </w:r>
                </w:p>
              </w:tc>
              <w:tc>
                <w:tcPr>
                  <w:tcW w:w="1100" w:type="pct"/>
                  <w:tcBorders>
                    <w:top w:val="single" w:color="auto" w:sz="4" w:space="0"/>
                    <w:left w:val="single" w:color="auto" w:sz="4" w:space="0"/>
                    <w:bottom w:val="single" w:color="auto" w:sz="4" w:space="0"/>
                    <w:right w:val="single" w:color="auto" w:sz="4" w:space="0"/>
                  </w:tcBorders>
                  <w:noWrap w:val="0"/>
                  <w:vAlign w:val="center"/>
                </w:tcPr>
                <w:p w14:paraId="3C58AFF3">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CD2-10D</w:t>
                  </w:r>
                </w:p>
              </w:tc>
              <w:tc>
                <w:tcPr>
                  <w:tcW w:w="423" w:type="pct"/>
                  <w:tcBorders>
                    <w:top w:val="single" w:color="auto" w:sz="4" w:space="0"/>
                    <w:left w:val="single" w:color="auto" w:sz="4" w:space="0"/>
                    <w:bottom w:val="single" w:color="auto" w:sz="4" w:space="0"/>
                    <w:right w:val="single" w:color="auto" w:sz="4" w:space="0"/>
                  </w:tcBorders>
                  <w:noWrap w:val="0"/>
                  <w:vAlign w:val="center"/>
                </w:tcPr>
                <w:p w14:paraId="1E9EC029">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1318" w:type="pct"/>
                  <w:tcBorders>
                    <w:top w:val="single" w:color="auto" w:sz="4" w:space="0"/>
                    <w:left w:val="single" w:color="auto" w:sz="4" w:space="0"/>
                    <w:bottom w:val="single" w:color="auto" w:sz="4" w:space="0"/>
                    <w:right w:val="single" w:color="auto" w:sz="4" w:space="0"/>
                  </w:tcBorders>
                  <w:noWrap w:val="0"/>
                  <w:vAlign w:val="center"/>
                </w:tcPr>
                <w:p w14:paraId="7B2E315C">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冷却风机检修</w:t>
                  </w:r>
                </w:p>
              </w:tc>
            </w:tr>
            <w:tr w14:paraId="13A66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2" w:type="dxa"/>
                  <w:bottom w:w="0" w:type="dxa"/>
                  <w:right w:w="102" w:type="dxa"/>
                </w:tblCellMar>
              </w:tblPrEx>
              <w:trPr>
                <w:jc w:val="center"/>
              </w:trPr>
              <w:tc>
                <w:tcPr>
                  <w:tcW w:w="401" w:type="pct"/>
                  <w:vMerge w:val="restart"/>
                  <w:tcBorders>
                    <w:top w:val="single" w:color="auto" w:sz="4" w:space="0"/>
                    <w:left w:val="single" w:color="auto" w:sz="4" w:space="0"/>
                    <w:bottom w:val="single" w:color="auto" w:sz="4" w:space="0"/>
                    <w:right w:val="single" w:color="auto" w:sz="4" w:space="0"/>
                  </w:tcBorders>
                  <w:noWrap w:val="0"/>
                  <w:vAlign w:val="center"/>
                </w:tcPr>
                <w:p w14:paraId="56938CC5">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4</w:t>
                  </w:r>
                </w:p>
              </w:tc>
              <w:tc>
                <w:tcPr>
                  <w:tcW w:w="919" w:type="pct"/>
                  <w:vMerge w:val="restart"/>
                  <w:tcBorders>
                    <w:top w:val="single" w:color="auto" w:sz="4" w:space="0"/>
                    <w:left w:val="single" w:color="auto" w:sz="4" w:space="0"/>
                    <w:bottom w:val="single" w:color="auto" w:sz="4" w:space="0"/>
                    <w:right w:val="single" w:color="auto" w:sz="4" w:space="0"/>
                  </w:tcBorders>
                  <w:noWrap w:val="0"/>
                  <w:vAlign w:val="center"/>
                </w:tcPr>
                <w:p w14:paraId="35B5EFAE">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高岭土粉磨</w:t>
                  </w:r>
                </w:p>
              </w:tc>
              <w:tc>
                <w:tcPr>
                  <w:tcW w:w="837" w:type="pct"/>
                  <w:tcBorders>
                    <w:top w:val="single" w:color="auto" w:sz="4" w:space="0"/>
                    <w:left w:val="single" w:color="auto" w:sz="4" w:space="0"/>
                    <w:bottom w:val="single" w:color="auto" w:sz="4" w:space="0"/>
                    <w:right w:val="single" w:color="auto" w:sz="4" w:space="0"/>
                  </w:tcBorders>
                  <w:noWrap w:val="0"/>
                  <w:vAlign w:val="center"/>
                </w:tcPr>
                <w:p w14:paraId="7CBC6A8D">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电动单梁桥式起重机</w:t>
                  </w:r>
                </w:p>
              </w:tc>
              <w:tc>
                <w:tcPr>
                  <w:tcW w:w="1100" w:type="pct"/>
                  <w:tcBorders>
                    <w:top w:val="single" w:color="auto" w:sz="4" w:space="0"/>
                    <w:left w:val="single" w:color="auto" w:sz="4" w:space="0"/>
                    <w:bottom w:val="single" w:color="auto" w:sz="4" w:space="0"/>
                    <w:right w:val="single" w:color="auto" w:sz="4" w:space="0"/>
                  </w:tcBorders>
                  <w:noWrap w:val="0"/>
                  <w:vAlign w:val="center"/>
                </w:tcPr>
                <w:p w14:paraId="6AB73E6A">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3t，跨度10m，</w:t>
                  </w:r>
                </w:p>
                <w:p w14:paraId="2C53FF28">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起升高度8m</w:t>
                  </w:r>
                </w:p>
              </w:tc>
              <w:tc>
                <w:tcPr>
                  <w:tcW w:w="423" w:type="pct"/>
                  <w:tcBorders>
                    <w:top w:val="single" w:color="auto" w:sz="4" w:space="0"/>
                    <w:left w:val="single" w:color="auto" w:sz="4" w:space="0"/>
                    <w:bottom w:val="single" w:color="auto" w:sz="4" w:space="0"/>
                    <w:right w:val="single" w:color="auto" w:sz="4" w:space="0"/>
                  </w:tcBorders>
                  <w:noWrap w:val="0"/>
                  <w:vAlign w:val="center"/>
                </w:tcPr>
                <w:p w14:paraId="3AD41AD1">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1318" w:type="pct"/>
                  <w:tcBorders>
                    <w:top w:val="single" w:color="auto" w:sz="4" w:space="0"/>
                    <w:left w:val="single" w:color="auto" w:sz="4" w:space="0"/>
                    <w:bottom w:val="single" w:color="auto" w:sz="4" w:space="0"/>
                    <w:right w:val="single" w:color="auto" w:sz="4" w:space="0"/>
                  </w:tcBorders>
                  <w:noWrap w:val="0"/>
                  <w:vAlign w:val="center"/>
                </w:tcPr>
                <w:p w14:paraId="3E2C37C9">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大袋包装起吊</w:t>
                  </w:r>
                </w:p>
              </w:tc>
            </w:tr>
            <w:tr w14:paraId="02442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2" w:type="dxa"/>
                  <w:bottom w:w="0" w:type="dxa"/>
                  <w:right w:w="102" w:type="dxa"/>
                </w:tblCellMar>
              </w:tblPrEx>
              <w:trPr>
                <w:jc w:val="center"/>
              </w:trPr>
              <w:tc>
                <w:tcPr>
                  <w:tcW w:w="401" w:type="pct"/>
                  <w:vMerge w:val="continue"/>
                  <w:tcBorders>
                    <w:top w:val="single" w:color="auto" w:sz="4" w:space="0"/>
                    <w:left w:val="single" w:color="auto" w:sz="4" w:space="0"/>
                    <w:bottom w:val="single" w:color="auto" w:sz="4" w:space="0"/>
                    <w:right w:val="single" w:color="auto" w:sz="4" w:space="0"/>
                  </w:tcBorders>
                  <w:noWrap w:val="0"/>
                  <w:vAlign w:val="center"/>
                </w:tcPr>
                <w:p w14:paraId="32C66CEF">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19" w:type="pct"/>
                  <w:vMerge w:val="continue"/>
                  <w:tcBorders>
                    <w:top w:val="single" w:color="auto" w:sz="4" w:space="0"/>
                    <w:left w:val="single" w:color="auto" w:sz="4" w:space="0"/>
                    <w:bottom w:val="single" w:color="auto" w:sz="4" w:space="0"/>
                    <w:right w:val="single" w:color="auto" w:sz="4" w:space="0"/>
                  </w:tcBorders>
                  <w:noWrap w:val="0"/>
                  <w:vAlign w:val="center"/>
                </w:tcPr>
                <w:p w14:paraId="5F9AC290">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37" w:type="pct"/>
                  <w:tcBorders>
                    <w:top w:val="single" w:color="auto" w:sz="4" w:space="0"/>
                    <w:left w:val="single" w:color="auto" w:sz="4" w:space="0"/>
                    <w:bottom w:val="single" w:color="auto" w:sz="4" w:space="0"/>
                    <w:right w:val="single" w:color="auto" w:sz="4" w:space="0"/>
                  </w:tcBorders>
                  <w:noWrap w:val="0"/>
                  <w:vAlign w:val="center"/>
                </w:tcPr>
                <w:p w14:paraId="675000F9">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电动葫芦</w:t>
                  </w:r>
                </w:p>
              </w:tc>
              <w:tc>
                <w:tcPr>
                  <w:tcW w:w="1100" w:type="pct"/>
                  <w:tcBorders>
                    <w:top w:val="single" w:color="auto" w:sz="4" w:space="0"/>
                    <w:left w:val="single" w:color="auto" w:sz="4" w:space="0"/>
                    <w:bottom w:val="single" w:color="auto" w:sz="4" w:space="0"/>
                    <w:right w:val="single" w:color="auto" w:sz="4" w:space="0"/>
                  </w:tcBorders>
                  <w:noWrap w:val="0"/>
                  <w:vAlign w:val="center"/>
                </w:tcPr>
                <w:p w14:paraId="6F26ABFE">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CD5-8D</w:t>
                  </w:r>
                </w:p>
              </w:tc>
              <w:tc>
                <w:tcPr>
                  <w:tcW w:w="423" w:type="pct"/>
                  <w:tcBorders>
                    <w:top w:val="single" w:color="auto" w:sz="4" w:space="0"/>
                    <w:left w:val="single" w:color="auto" w:sz="4" w:space="0"/>
                    <w:bottom w:val="single" w:color="auto" w:sz="4" w:space="0"/>
                    <w:right w:val="single" w:color="auto" w:sz="4" w:space="0"/>
                  </w:tcBorders>
                  <w:noWrap w:val="0"/>
                  <w:vAlign w:val="center"/>
                </w:tcPr>
                <w:p w14:paraId="4E0FEF6F">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1318" w:type="pct"/>
                  <w:tcBorders>
                    <w:top w:val="single" w:color="auto" w:sz="4" w:space="0"/>
                    <w:left w:val="single" w:color="auto" w:sz="4" w:space="0"/>
                    <w:bottom w:val="single" w:color="auto" w:sz="4" w:space="0"/>
                    <w:right w:val="single" w:color="auto" w:sz="4" w:space="0"/>
                  </w:tcBorders>
                  <w:noWrap w:val="0"/>
                  <w:vAlign w:val="center"/>
                </w:tcPr>
                <w:p w14:paraId="3DDB8370">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磨机装球</w:t>
                  </w:r>
                </w:p>
              </w:tc>
            </w:tr>
            <w:tr w14:paraId="57B1C7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2" w:type="dxa"/>
                  <w:bottom w:w="0" w:type="dxa"/>
                  <w:right w:w="102" w:type="dxa"/>
                </w:tblCellMar>
              </w:tblPrEx>
              <w:trPr>
                <w:jc w:val="center"/>
              </w:trPr>
              <w:tc>
                <w:tcPr>
                  <w:tcW w:w="401" w:type="pct"/>
                  <w:vMerge w:val="continue"/>
                  <w:tcBorders>
                    <w:top w:val="single" w:color="auto" w:sz="4" w:space="0"/>
                    <w:left w:val="single" w:color="auto" w:sz="4" w:space="0"/>
                    <w:bottom w:val="single" w:color="auto" w:sz="4" w:space="0"/>
                    <w:right w:val="single" w:color="auto" w:sz="4" w:space="0"/>
                  </w:tcBorders>
                  <w:noWrap w:val="0"/>
                  <w:vAlign w:val="center"/>
                </w:tcPr>
                <w:p w14:paraId="1976331E">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19" w:type="pct"/>
                  <w:vMerge w:val="continue"/>
                  <w:tcBorders>
                    <w:top w:val="single" w:color="auto" w:sz="4" w:space="0"/>
                    <w:left w:val="single" w:color="auto" w:sz="4" w:space="0"/>
                    <w:bottom w:val="single" w:color="auto" w:sz="4" w:space="0"/>
                    <w:right w:val="single" w:color="auto" w:sz="4" w:space="0"/>
                  </w:tcBorders>
                  <w:noWrap w:val="0"/>
                  <w:vAlign w:val="center"/>
                </w:tcPr>
                <w:p w14:paraId="3A608A67">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37" w:type="pct"/>
                  <w:tcBorders>
                    <w:top w:val="single" w:color="auto" w:sz="4" w:space="0"/>
                    <w:left w:val="single" w:color="auto" w:sz="4" w:space="0"/>
                    <w:bottom w:val="single" w:color="auto" w:sz="4" w:space="0"/>
                    <w:right w:val="single" w:color="auto" w:sz="4" w:space="0"/>
                  </w:tcBorders>
                  <w:noWrap w:val="0"/>
                  <w:vAlign w:val="center"/>
                </w:tcPr>
                <w:p w14:paraId="12E7C2D3">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电动葫芦</w:t>
                  </w:r>
                </w:p>
              </w:tc>
              <w:tc>
                <w:tcPr>
                  <w:tcW w:w="1100" w:type="pct"/>
                  <w:tcBorders>
                    <w:top w:val="single" w:color="auto" w:sz="4" w:space="0"/>
                    <w:left w:val="single" w:color="auto" w:sz="4" w:space="0"/>
                    <w:bottom w:val="single" w:color="auto" w:sz="4" w:space="0"/>
                    <w:right w:val="single" w:color="auto" w:sz="4" w:space="0"/>
                  </w:tcBorders>
                  <w:noWrap w:val="0"/>
                  <w:vAlign w:val="center"/>
                </w:tcPr>
                <w:p w14:paraId="0B640253">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CD2-8D</w:t>
                  </w:r>
                </w:p>
              </w:tc>
              <w:tc>
                <w:tcPr>
                  <w:tcW w:w="423" w:type="pct"/>
                  <w:tcBorders>
                    <w:top w:val="single" w:color="auto" w:sz="4" w:space="0"/>
                    <w:left w:val="single" w:color="auto" w:sz="4" w:space="0"/>
                    <w:bottom w:val="single" w:color="auto" w:sz="4" w:space="0"/>
                    <w:right w:val="single" w:color="auto" w:sz="4" w:space="0"/>
                  </w:tcBorders>
                  <w:noWrap w:val="0"/>
                  <w:vAlign w:val="center"/>
                </w:tcPr>
                <w:p w14:paraId="7C301A79">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1318" w:type="pct"/>
                  <w:tcBorders>
                    <w:top w:val="single" w:color="auto" w:sz="4" w:space="0"/>
                    <w:left w:val="single" w:color="auto" w:sz="4" w:space="0"/>
                    <w:bottom w:val="single" w:color="auto" w:sz="4" w:space="0"/>
                    <w:right w:val="single" w:color="auto" w:sz="4" w:space="0"/>
                  </w:tcBorders>
                  <w:noWrap w:val="0"/>
                  <w:vAlign w:val="center"/>
                </w:tcPr>
                <w:p w14:paraId="6243CC10">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磨机检修</w:t>
                  </w:r>
                </w:p>
              </w:tc>
            </w:tr>
            <w:tr w14:paraId="4E096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2" w:type="dxa"/>
                  <w:bottom w:w="0" w:type="dxa"/>
                  <w:right w:w="102" w:type="dxa"/>
                </w:tblCellMar>
              </w:tblPrEx>
              <w:trPr>
                <w:jc w:val="center"/>
              </w:trPr>
              <w:tc>
                <w:tcPr>
                  <w:tcW w:w="401" w:type="pct"/>
                  <w:tcBorders>
                    <w:top w:val="single" w:color="auto" w:sz="4" w:space="0"/>
                    <w:left w:val="single" w:color="auto" w:sz="4" w:space="0"/>
                    <w:bottom w:val="single" w:color="auto" w:sz="4" w:space="0"/>
                    <w:right w:val="single" w:color="auto" w:sz="4" w:space="0"/>
                  </w:tcBorders>
                  <w:noWrap w:val="0"/>
                  <w:vAlign w:val="center"/>
                </w:tcPr>
                <w:p w14:paraId="413721FB">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5</w:t>
                  </w:r>
                </w:p>
              </w:tc>
              <w:tc>
                <w:tcPr>
                  <w:tcW w:w="919" w:type="pct"/>
                  <w:tcBorders>
                    <w:top w:val="single" w:color="auto" w:sz="4" w:space="0"/>
                    <w:left w:val="single" w:color="auto" w:sz="4" w:space="0"/>
                    <w:bottom w:val="single" w:color="auto" w:sz="4" w:space="0"/>
                    <w:right w:val="single" w:color="auto" w:sz="4" w:space="0"/>
                  </w:tcBorders>
                  <w:noWrap w:val="0"/>
                  <w:vAlign w:val="center"/>
                </w:tcPr>
                <w:p w14:paraId="1CE8C16C">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小袋包装</w:t>
                  </w:r>
                </w:p>
              </w:tc>
              <w:tc>
                <w:tcPr>
                  <w:tcW w:w="837"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0216B62">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电动葫芦</w:t>
                  </w:r>
                </w:p>
              </w:tc>
              <w:tc>
                <w:tcPr>
                  <w:tcW w:w="1100"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6FFFE51A">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CD2-1</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highlight w:val="none"/>
                      <w14:textFill>
                        <w14:solidFill>
                          <w14:schemeClr w14:val="tx1"/>
                        </w14:solidFill>
                      </w14:textFill>
                    </w:rPr>
                    <w:t>D</w:t>
                  </w:r>
                </w:p>
              </w:tc>
              <w:tc>
                <w:tcPr>
                  <w:tcW w:w="423"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FCCF5A0">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1318" w:type="pct"/>
                  <w:tcBorders>
                    <w:top w:val="single" w:color="auto" w:sz="4" w:space="0"/>
                    <w:left w:val="single" w:color="auto" w:sz="4" w:space="0"/>
                    <w:bottom w:val="single" w:color="auto" w:sz="4" w:space="0"/>
                    <w:right w:val="single" w:color="auto" w:sz="4" w:space="0"/>
                  </w:tcBorders>
                  <w:noWrap w:val="0"/>
                  <w:vAlign w:val="center"/>
                </w:tcPr>
                <w:p w14:paraId="38E8593F">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吊装纸袋</w:t>
                  </w:r>
                </w:p>
              </w:tc>
            </w:tr>
            <w:tr w14:paraId="24314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2" w:type="dxa"/>
                  <w:bottom w:w="0" w:type="dxa"/>
                  <w:right w:w="102" w:type="dxa"/>
                </w:tblCellMar>
              </w:tblPrEx>
              <w:trPr>
                <w:trHeight w:val="684" w:hRule="atLeast"/>
                <w:jc w:val="center"/>
              </w:trPr>
              <w:tc>
                <w:tcPr>
                  <w:tcW w:w="401" w:type="pct"/>
                  <w:tcBorders>
                    <w:top w:val="single" w:color="auto" w:sz="4" w:space="0"/>
                    <w:left w:val="single" w:color="auto" w:sz="4" w:space="0"/>
                    <w:bottom w:val="single" w:color="auto" w:sz="4" w:space="0"/>
                    <w:right w:val="single" w:color="auto" w:sz="4" w:space="0"/>
                  </w:tcBorders>
                  <w:noWrap w:val="0"/>
                  <w:vAlign w:val="center"/>
                </w:tcPr>
                <w:p w14:paraId="73DEFD4C">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5</w:t>
                  </w:r>
                </w:p>
              </w:tc>
              <w:tc>
                <w:tcPr>
                  <w:tcW w:w="919" w:type="pct"/>
                  <w:tcBorders>
                    <w:top w:val="single" w:color="auto" w:sz="4" w:space="0"/>
                    <w:left w:val="single" w:color="auto" w:sz="4" w:space="0"/>
                    <w:bottom w:val="single" w:color="auto" w:sz="4" w:space="0"/>
                    <w:right w:val="single" w:color="auto" w:sz="4" w:space="0"/>
                  </w:tcBorders>
                  <w:noWrap w:val="0"/>
                  <w:vAlign w:val="center"/>
                </w:tcPr>
                <w:p w14:paraId="299994D5">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空压机站</w:t>
                  </w:r>
                </w:p>
              </w:tc>
              <w:tc>
                <w:tcPr>
                  <w:tcW w:w="837" w:type="pct"/>
                  <w:tcBorders>
                    <w:top w:val="single" w:color="auto" w:sz="4" w:space="0"/>
                    <w:left w:val="single" w:color="auto" w:sz="4" w:space="0"/>
                    <w:bottom w:val="single" w:color="auto" w:sz="4" w:space="0"/>
                    <w:right w:val="single" w:color="auto" w:sz="4" w:space="0"/>
                  </w:tcBorders>
                  <w:noWrap w:val="0"/>
                  <w:vAlign w:val="center"/>
                </w:tcPr>
                <w:p w14:paraId="57AACE44">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电动葫芦</w:t>
                  </w:r>
                </w:p>
              </w:tc>
              <w:tc>
                <w:tcPr>
                  <w:tcW w:w="1100" w:type="pct"/>
                  <w:tcBorders>
                    <w:top w:val="single" w:color="auto" w:sz="4" w:space="0"/>
                    <w:left w:val="single" w:color="auto" w:sz="4" w:space="0"/>
                    <w:bottom w:val="single" w:color="auto" w:sz="4" w:space="0"/>
                    <w:right w:val="single" w:color="auto" w:sz="4" w:space="0"/>
                  </w:tcBorders>
                  <w:noWrap w:val="0"/>
                  <w:vAlign w:val="center"/>
                </w:tcPr>
                <w:p w14:paraId="7F4454AD">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CD2-6D</w:t>
                  </w:r>
                </w:p>
              </w:tc>
              <w:tc>
                <w:tcPr>
                  <w:tcW w:w="423" w:type="pct"/>
                  <w:tcBorders>
                    <w:top w:val="single" w:color="auto" w:sz="4" w:space="0"/>
                    <w:left w:val="single" w:color="auto" w:sz="4" w:space="0"/>
                    <w:bottom w:val="single" w:color="auto" w:sz="4" w:space="0"/>
                    <w:right w:val="single" w:color="auto" w:sz="4" w:space="0"/>
                  </w:tcBorders>
                  <w:noWrap w:val="0"/>
                  <w:vAlign w:val="center"/>
                </w:tcPr>
                <w:p w14:paraId="282EE6AD">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1</w:t>
                  </w:r>
                </w:p>
              </w:tc>
              <w:tc>
                <w:tcPr>
                  <w:tcW w:w="1318" w:type="pct"/>
                  <w:tcBorders>
                    <w:top w:val="single" w:color="auto" w:sz="4" w:space="0"/>
                    <w:left w:val="single" w:color="auto" w:sz="4" w:space="0"/>
                    <w:bottom w:val="single" w:color="auto" w:sz="4" w:space="0"/>
                    <w:right w:val="single" w:color="auto" w:sz="4" w:space="0"/>
                  </w:tcBorders>
                  <w:noWrap w:val="0"/>
                  <w:vAlign w:val="center"/>
                </w:tcPr>
                <w:p w14:paraId="4841B3BD">
                  <w:pPr>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空压机检修</w:t>
                  </w:r>
                </w:p>
              </w:tc>
            </w:tr>
          </w:tbl>
          <w:p w14:paraId="24CB52F2">
            <w:pPr>
              <w:jc w:val="center"/>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表</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14余热利用</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主机设备表</w:t>
            </w:r>
          </w:p>
          <w:tbl>
            <w:tblPr>
              <w:tblStyle w:val="24"/>
              <w:tblW w:w="83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14"/>
              <w:gridCol w:w="1514"/>
              <w:gridCol w:w="4494"/>
              <w:gridCol w:w="624"/>
              <w:gridCol w:w="1018"/>
            </w:tblGrid>
            <w:tr w14:paraId="594CB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blHeader/>
                <w:jc w:val="center"/>
              </w:trPr>
              <w:tc>
                <w:tcPr>
                  <w:tcW w:w="714" w:type="dxa"/>
                  <w:vAlign w:val="center"/>
                </w:tcPr>
                <w:p w14:paraId="6CCFD0FF">
                  <w:pPr>
                    <w:spacing w:before="8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序号</w:t>
                  </w:r>
                </w:p>
              </w:tc>
              <w:tc>
                <w:tcPr>
                  <w:tcW w:w="1514" w:type="dxa"/>
                  <w:vAlign w:val="center"/>
                </w:tcPr>
                <w:p w14:paraId="2695FDD7">
                  <w:pPr>
                    <w:spacing w:before="8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主机名称</w:t>
                  </w:r>
                </w:p>
              </w:tc>
              <w:tc>
                <w:tcPr>
                  <w:tcW w:w="4494" w:type="dxa"/>
                  <w:vAlign w:val="center"/>
                </w:tcPr>
                <w:p w14:paraId="24C8B4B8">
                  <w:pPr>
                    <w:spacing w:before="8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性能参数</w:t>
                  </w:r>
                </w:p>
              </w:tc>
              <w:tc>
                <w:tcPr>
                  <w:tcW w:w="624" w:type="dxa"/>
                  <w:vAlign w:val="center"/>
                </w:tcPr>
                <w:p w14:paraId="70058422">
                  <w:pPr>
                    <w:spacing w:before="8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数量</w:t>
                  </w:r>
                </w:p>
              </w:tc>
              <w:tc>
                <w:tcPr>
                  <w:tcW w:w="1018" w:type="dxa"/>
                  <w:vAlign w:val="center"/>
                </w:tcPr>
                <w:p w14:paraId="4EF797AE">
                  <w:pPr>
                    <w:spacing w:before="8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备注</w:t>
                  </w:r>
                </w:p>
              </w:tc>
            </w:tr>
            <w:tr w14:paraId="233BB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714" w:type="dxa"/>
                  <w:vAlign w:val="center"/>
                </w:tcPr>
                <w:p w14:paraId="45042F29">
                  <w:pPr>
                    <w:spacing w:before="8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w:t>
                  </w:r>
                </w:p>
              </w:tc>
              <w:tc>
                <w:tcPr>
                  <w:tcW w:w="1514" w:type="dxa"/>
                  <w:vAlign w:val="center"/>
                </w:tcPr>
                <w:p w14:paraId="1442F2FA">
                  <w:pPr>
                    <w:keepNext w:val="0"/>
                    <w:keepLines w:val="0"/>
                    <w:pageBreakBefore w:val="0"/>
                    <w:widowControl w:val="0"/>
                    <w:kinsoku/>
                    <w:wordWrap/>
                    <w:overflowPunct/>
                    <w:topLinePunct w:val="0"/>
                    <w:autoSpaceDE/>
                    <w:autoSpaceDN/>
                    <w:bidi w:val="0"/>
                    <w:adjustRightInd/>
                    <w:snapToGrid/>
                    <w:ind w:firstLine="0" w:firstLineChars="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余热锅炉</w:t>
                  </w:r>
                </w:p>
              </w:tc>
              <w:tc>
                <w:tcPr>
                  <w:tcW w:w="4494" w:type="dxa"/>
                  <w:vAlign w:val="center"/>
                </w:tcPr>
                <w:p w14:paraId="722713C2">
                  <w:pP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进口废气量：78932Nm</w:t>
                  </w:r>
                  <w:r>
                    <w:rPr>
                      <w:rFonts w:hint="default" w:ascii="Times New Roman" w:hAnsi="Times New Roman"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/h</w:t>
                  </w:r>
                </w:p>
                <w:p w14:paraId="458E6694">
                  <w:pP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进口/出口废气温度：525℃/200℃</w:t>
                  </w:r>
                </w:p>
                <w:p w14:paraId="1232C379">
                  <w:pP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主蒸汽压力：1MPa</w:t>
                  </w:r>
                </w:p>
                <w:p w14:paraId="44ACFFF8">
                  <w:pP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主蒸汽温度：420℃</w:t>
                  </w:r>
                </w:p>
                <w:p w14:paraId="5FCF9A86">
                  <w:pP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主蒸汽流量：15</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.09</w:t>
                  </w:r>
                  <w:r>
                    <w:rPr>
                      <w:rFonts w:hint="default" w:ascii="Times New Roman" w:hAnsi="Times New Roman" w:cs="Times New Roman"/>
                      <w:color w:val="000000" w:themeColor="text1"/>
                      <w:sz w:val="21"/>
                      <w:szCs w:val="21"/>
                      <w:highlight w:val="none"/>
                      <w14:textFill>
                        <w14:solidFill>
                          <w14:schemeClr w14:val="tx1"/>
                        </w14:solidFill>
                      </w14:textFill>
                    </w:rPr>
                    <w:t>t/h</w:t>
                  </w:r>
                </w:p>
                <w:p w14:paraId="3D98AA28">
                  <w:pP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给水参数：15.40t/h-150℃</w:t>
                  </w:r>
                </w:p>
              </w:tc>
              <w:tc>
                <w:tcPr>
                  <w:tcW w:w="624" w:type="dxa"/>
                  <w:vAlign w:val="center"/>
                </w:tcPr>
                <w:p w14:paraId="3B2CF0F7">
                  <w:pPr>
                    <w:spacing w:before="8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w:t>
                  </w:r>
                </w:p>
              </w:tc>
              <w:tc>
                <w:tcPr>
                  <w:tcW w:w="1018" w:type="dxa"/>
                  <w:vAlign w:val="center"/>
                </w:tcPr>
                <w:p w14:paraId="293E9ED5">
                  <w:pPr>
                    <w:rPr>
                      <w:rFonts w:hint="default" w:ascii="Times New Roman" w:hAnsi="Times New Roman" w:cs="Times New Roman"/>
                      <w:color w:val="000000" w:themeColor="text1"/>
                      <w:sz w:val="21"/>
                      <w:szCs w:val="21"/>
                      <w:highlight w:val="none"/>
                      <w14:textFill>
                        <w14:solidFill>
                          <w14:schemeClr w14:val="tx1"/>
                        </w14:solidFill>
                      </w14:textFill>
                    </w:rPr>
                  </w:pPr>
                </w:p>
              </w:tc>
            </w:tr>
            <w:tr w14:paraId="3885E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553" w:hRule="atLeast"/>
                <w:jc w:val="center"/>
              </w:trPr>
              <w:tc>
                <w:tcPr>
                  <w:tcW w:w="714" w:type="dxa"/>
                  <w:vAlign w:val="center"/>
                </w:tcPr>
                <w:p w14:paraId="047E01F5">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w:t>
                  </w:r>
                </w:p>
              </w:tc>
              <w:tc>
                <w:tcPr>
                  <w:tcW w:w="1514" w:type="dxa"/>
                  <w:vAlign w:val="center"/>
                </w:tcPr>
                <w:p w14:paraId="60811E8A">
                  <w:pPr>
                    <w:keepNext w:val="0"/>
                    <w:keepLines w:val="0"/>
                    <w:pageBreakBefore w:val="0"/>
                    <w:widowControl w:val="0"/>
                    <w:kinsoku/>
                    <w:wordWrap/>
                    <w:overflowPunct/>
                    <w:topLinePunct w:val="0"/>
                    <w:autoSpaceDE/>
                    <w:autoSpaceDN/>
                    <w:bidi w:val="0"/>
                    <w:adjustRightInd/>
                    <w:snapToGrid/>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锅炉给水泵</w:t>
                  </w:r>
                </w:p>
                <w:p w14:paraId="4A2183B6">
                  <w:pPr>
                    <w:keepNext w:val="0"/>
                    <w:keepLines w:val="0"/>
                    <w:pageBreakBefore w:val="0"/>
                    <w:widowControl w:val="0"/>
                    <w:kinsoku/>
                    <w:wordWrap/>
                    <w:overflowPunct/>
                    <w:topLinePunct w:val="0"/>
                    <w:autoSpaceDE/>
                    <w:autoSpaceDN/>
                    <w:bidi w:val="0"/>
                    <w:adjustRightInd/>
                    <w:snapToGrid/>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（变频）</w:t>
                  </w:r>
                </w:p>
              </w:tc>
              <w:tc>
                <w:tcPr>
                  <w:tcW w:w="4494" w:type="dxa"/>
                  <w:vAlign w:val="center"/>
                </w:tcPr>
                <w:p w14:paraId="67FF6D51">
                  <w:pP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流量：20t/h</w:t>
                  </w:r>
                </w:p>
                <w:p w14:paraId="2DB83A0C">
                  <w:pP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扬程：200m</w:t>
                  </w:r>
                </w:p>
                <w:p w14:paraId="42A62EE5">
                  <w:pP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功率：30kW</w:t>
                  </w:r>
                </w:p>
              </w:tc>
              <w:tc>
                <w:tcPr>
                  <w:tcW w:w="624" w:type="dxa"/>
                  <w:vAlign w:val="center"/>
                </w:tcPr>
                <w:p w14:paraId="47CEF225">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2</w:t>
                  </w:r>
                </w:p>
              </w:tc>
              <w:tc>
                <w:tcPr>
                  <w:tcW w:w="1018" w:type="dxa"/>
                  <w:vAlign w:val="center"/>
                </w:tcPr>
                <w:p w14:paraId="27789A6F">
                  <w:pP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一用一备</w:t>
                  </w:r>
                </w:p>
              </w:tc>
            </w:tr>
            <w:tr w14:paraId="0CEB0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32" w:hRule="atLeast"/>
                <w:jc w:val="center"/>
              </w:trPr>
              <w:tc>
                <w:tcPr>
                  <w:tcW w:w="714" w:type="dxa"/>
                  <w:vAlign w:val="center"/>
                </w:tcPr>
                <w:p w14:paraId="6AFE315E">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w:t>
                  </w:r>
                </w:p>
              </w:tc>
              <w:tc>
                <w:tcPr>
                  <w:tcW w:w="1514" w:type="dxa"/>
                  <w:vAlign w:val="center"/>
                </w:tcPr>
                <w:p w14:paraId="39ED125F">
                  <w:pPr>
                    <w:keepNext w:val="0"/>
                    <w:keepLines w:val="0"/>
                    <w:pageBreakBefore w:val="0"/>
                    <w:widowControl w:val="0"/>
                    <w:kinsoku/>
                    <w:wordWrap/>
                    <w:overflowPunct/>
                    <w:topLinePunct w:val="0"/>
                    <w:autoSpaceDE/>
                    <w:autoSpaceDN/>
                    <w:bidi w:val="0"/>
                    <w:adjustRightInd/>
                    <w:snapToGrid/>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低压加热器</w:t>
                  </w:r>
                </w:p>
              </w:tc>
              <w:tc>
                <w:tcPr>
                  <w:tcW w:w="4494" w:type="dxa"/>
                  <w:vAlign w:val="center"/>
                </w:tcPr>
                <w:p w14:paraId="59514D34">
                  <w:pP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换热面积：</w:t>
                  </w:r>
                </w:p>
              </w:tc>
              <w:tc>
                <w:tcPr>
                  <w:tcW w:w="624" w:type="dxa"/>
                  <w:vAlign w:val="center"/>
                </w:tcPr>
                <w:p w14:paraId="657831D2">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w:t>
                  </w:r>
                </w:p>
              </w:tc>
              <w:tc>
                <w:tcPr>
                  <w:tcW w:w="1018" w:type="dxa"/>
                  <w:vAlign w:val="center"/>
                </w:tcPr>
                <w:p w14:paraId="331C47D0">
                  <w:pPr>
                    <w:rPr>
                      <w:rFonts w:hint="default" w:ascii="Times New Roman" w:hAnsi="Times New Roman" w:cs="Times New Roman"/>
                      <w:color w:val="000000" w:themeColor="text1"/>
                      <w:sz w:val="21"/>
                      <w:szCs w:val="21"/>
                      <w:highlight w:val="none"/>
                      <w14:textFill>
                        <w14:solidFill>
                          <w14:schemeClr w14:val="tx1"/>
                        </w14:solidFill>
                      </w14:textFill>
                    </w:rPr>
                  </w:pPr>
                </w:p>
              </w:tc>
            </w:tr>
            <w:tr w14:paraId="5CB72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766" w:hRule="atLeast"/>
                <w:jc w:val="center"/>
              </w:trPr>
              <w:tc>
                <w:tcPr>
                  <w:tcW w:w="714" w:type="dxa"/>
                  <w:vAlign w:val="center"/>
                </w:tcPr>
                <w:p w14:paraId="2CE5FB6D">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4</w:t>
                  </w:r>
                </w:p>
              </w:tc>
              <w:tc>
                <w:tcPr>
                  <w:tcW w:w="1514" w:type="dxa"/>
                  <w:vAlign w:val="center"/>
                </w:tcPr>
                <w:p w14:paraId="41BDD75C">
                  <w:pPr>
                    <w:keepNext w:val="0"/>
                    <w:keepLines w:val="0"/>
                    <w:pageBreakBefore w:val="0"/>
                    <w:widowControl w:val="0"/>
                    <w:kinsoku/>
                    <w:wordWrap/>
                    <w:overflowPunct/>
                    <w:topLinePunct w:val="0"/>
                    <w:autoSpaceDE/>
                    <w:autoSpaceDN/>
                    <w:bidi w:val="0"/>
                    <w:adjustRightInd/>
                    <w:snapToGrid/>
                    <w:ind w:firstLine="0" w:firstLine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热力除氧器</w:t>
                  </w:r>
                </w:p>
              </w:tc>
              <w:tc>
                <w:tcPr>
                  <w:tcW w:w="4494" w:type="dxa"/>
                  <w:vAlign w:val="center"/>
                </w:tcPr>
                <w:p w14:paraId="265DED32">
                  <w:pP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工作压力：</w:t>
                  </w:r>
                </w:p>
                <w:p w14:paraId="0ECF3E4E">
                  <w:pP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工作温度：150℃</w:t>
                  </w:r>
                </w:p>
                <w:p w14:paraId="3D8DA061">
                  <w:pP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能力：</w:t>
                  </w:r>
                </w:p>
                <w:p w14:paraId="0E672FA8">
                  <w:pP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出水含氧：≤0.015mg/l</w:t>
                  </w:r>
                </w:p>
                <w:p w14:paraId="7E7EA900">
                  <w:pP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水箱容积：</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50m</w:t>
                  </w:r>
                  <w:r>
                    <w:rPr>
                      <w:rFonts w:hint="default" w:ascii="Times New Roman" w:hAnsi="Times New Roman" w:cs="Times New Roman"/>
                      <w:color w:val="000000" w:themeColor="text1"/>
                      <w:sz w:val="21"/>
                      <w:szCs w:val="21"/>
                      <w:highlight w:val="none"/>
                      <w:vertAlign w:val="superscript"/>
                      <w:lang w:val="en-US" w:eastAsia="zh-CN"/>
                      <w14:textFill>
                        <w14:solidFill>
                          <w14:schemeClr w14:val="tx1"/>
                        </w14:solidFill>
                      </w14:textFill>
                    </w:rPr>
                    <w:t>3</w:t>
                  </w:r>
                </w:p>
              </w:tc>
              <w:tc>
                <w:tcPr>
                  <w:tcW w:w="624" w:type="dxa"/>
                  <w:vAlign w:val="center"/>
                </w:tcPr>
                <w:p w14:paraId="444872D0">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w:t>
                  </w:r>
                </w:p>
              </w:tc>
              <w:tc>
                <w:tcPr>
                  <w:tcW w:w="1018" w:type="dxa"/>
                  <w:vAlign w:val="center"/>
                </w:tcPr>
                <w:p w14:paraId="20574F9C">
                  <w:pPr>
                    <w:rPr>
                      <w:rFonts w:hint="default" w:ascii="Times New Roman" w:hAnsi="Times New Roman" w:cs="Times New Roman"/>
                      <w:color w:val="000000" w:themeColor="text1"/>
                      <w:sz w:val="21"/>
                      <w:szCs w:val="21"/>
                      <w:highlight w:val="none"/>
                      <w14:textFill>
                        <w14:solidFill>
                          <w14:schemeClr w14:val="tx1"/>
                        </w14:solidFill>
                      </w14:textFill>
                    </w:rPr>
                  </w:pPr>
                </w:p>
              </w:tc>
            </w:tr>
          </w:tbl>
          <w:p w14:paraId="34893DC7">
            <w:pPr>
              <w:keepNext w:val="0"/>
              <w:keepLines w:val="0"/>
              <w:pageBreakBefore w:val="0"/>
              <w:widowControl w:val="0"/>
              <w:kinsoku/>
              <w:wordWrap/>
              <w:overflowPunct/>
              <w:topLinePunct w:val="0"/>
              <w:autoSpaceDE/>
              <w:autoSpaceDN/>
              <w:bidi w:val="0"/>
              <w:adjustRightInd/>
              <w:spacing w:line="360" w:lineRule="auto"/>
              <w:ind w:right="0" w:firstLine="482" w:firstLineChars="200"/>
              <w:jc w:val="left"/>
              <w:textAlignment w:val="auto"/>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1.</w:t>
            </w:r>
            <w:r>
              <w:rPr>
                <w:rFonts w:hint="default" w:ascii="Times New Roman" w:hAnsi="Times New Roman" w:cs="Times New Roman"/>
                <w:b/>
                <w:bCs/>
                <w:color w:val="000000" w:themeColor="text1"/>
                <w:sz w:val="24"/>
                <w:highlight w:val="none"/>
                <w:lang w:val="en-US" w:eastAsia="zh-CN"/>
                <w14:textFill>
                  <w14:solidFill>
                    <w14:schemeClr w14:val="tx1"/>
                  </w14:solidFill>
                </w14:textFill>
              </w:rPr>
              <w:t>6</w:t>
            </w:r>
            <w:r>
              <w:rPr>
                <w:rFonts w:hint="default" w:ascii="Times New Roman" w:hAnsi="Times New Roman" w:eastAsia="宋体" w:cs="Times New Roman"/>
                <w:b/>
                <w:bCs/>
                <w:color w:val="000000" w:themeColor="text1"/>
                <w:sz w:val="24"/>
                <w:highlight w:val="none"/>
                <w14:textFill>
                  <w14:solidFill>
                    <w14:schemeClr w14:val="tx1"/>
                  </w14:solidFill>
                </w14:textFill>
              </w:rPr>
              <w:t>原辅材料及能源消耗</w:t>
            </w:r>
          </w:p>
          <w:p w14:paraId="28604A07">
            <w:pPr>
              <w:pStyle w:val="13"/>
              <w:keepNext w:val="0"/>
              <w:keepLines w:val="0"/>
              <w:pageBreakBefore w:val="0"/>
              <w:widowControl w:val="0"/>
              <w:kinsoku/>
              <w:wordWrap/>
              <w:overflowPunct/>
              <w:topLinePunct w:val="0"/>
              <w:autoSpaceDE/>
              <w:autoSpaceDN/>
              <w:bidi w:val="0"/>
              <w:adjustRightInd/>
              <w:spacing w:before="0" w:after="0" w:line="360" w:lineRule="auto"/>
              <w:ind w:right="0" w:firstLine="480" w:firstLineChars="200"/>
              <w:textAlignment w:val="auto"/>
              <w:rPr>
                <w:rFonts w:hint="default" w:ascii="Times New Roman" w:hAnsi="Times New Roman" w:eastAsia="宋体" w:cs="Times New Roman"/>
                <w:b w:val="0"/>
                <w:bCs w:val="0"/>
                <w:color w:val="000000" w:themeColor="text1"/>
                <w:sz w:val="24"/>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4"/>
                <w:highlight w:val="none"/>
                <w14:textFill>
                  <w14:solidFill>
                    <w14:schemeClr w14:val="tx1"/>
                  </w14:solidFill>
                </w14:textFill>
              </w:rPr>
              <w:t>本项目主要原材料用量如下表</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及</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主要原辅材料成分</w:t>
            </w:r>
            <w:r>
              <w:rPr>
                <w:rFonts w:hint="default" w:ascii="Times New Roman" w:hAnsi="Times New Roman" w:eastAsia="宋体" w:cs="Times New Roman"/>
                <w:color w:val="000000" w:themeColor="text1"/>
                <w:sz w:val="24"/>
                <w:szCs w:val="24"/>
                <w:highlight w:val="none"/>
                <w14:textFill>
                  <w14:solidFill>
                    <w14:schemeClr w14:val="tx1"/>
                  </w14:solidFill>
                </w14:textFill>
              </w:rPr>
              <w:t>详见下表</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p>
          <w:p w14:paraId="0C9DC85B">
            <w:pPr>
              <w:ind w:firstLine="482" w:firstLineChars="20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表</w:t>
            </w: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2-15</w:t>
            </w:r>
            <w:r>
              <w:rPr>
                <w:rFonts w:hint="default" w:ascii="Times New Roman" w:hAnsi="Times New Roman" w:eastAsia="宋体" w:cs="Times New Roman"/>
                <w:b/>
                <w:bCs/>
                <w:color w:val="000000" w:themeColor="text1"/>
                <w:sz w:val="24"/>
                <w:highlight w:val="none"/>
                <w14:textFill>
                  <w14:solidFill>
                    <w14:schemeClr w14:val="tx1"/>
                  </w14:solidFill>
                </w14:textFill>
              </w:rPr>
              <w:t>原辅材料及能源消耗一览表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7"/>
              <w:gridCol w:w="1411"/>
              <w:gridCol w:w="1802"/>
              <w:gridCol w:w="2604"/>
              <w:gridCol w:w="1178"/>
              <w:gridCol w:w="754"/>
            </w:tblGrid>
            <w:tr w14:paraId="10629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4" w:type="pct"/>
                  <w:noWrap w:val="0"/>
                  <w:vAlign w:val="center"/>
                </w:tcPr>
                <w:p w14:paraId="776072AB">
                  <w:pPr>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序号</w:t>
                  </w:r>
                </w:p>
              </w:tc>
              <w:tc>
                <w:tcPr>
                  <w:tcW w:w="842" w:type="pct"/>
                  <w:noWrap w:val="0"/>
                  <w:vAlign w:val="center"/>
                </w:tcPr>
                <w:p w14:paraId="6EBC52F2">
                  <w:pPr>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名称</w:t>
                  </w:r>
                </w:p>
              </w:tc>
              <w:tc>
                <w:tcPr>
                  <w:tcW w:w="1075" w:type="pct"/>
                  <w:noWrap w:val="0"/>
                  <w:vAlign w:val="center"/>
                </w:tcPr>
                <w:p w14:paraId="2A2D142D">
                  <w:pPr>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原料消耗量</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t/a</w:t>
                  </w:r>
                </w:p>
              </w:tc>
              <w:tc>
                <w:tcPr>
                  <w:tcW w:w="1554" w:type="pct"/>
                  <w:noWrap w:val="0"/>
                  <w:vAlign w:val="center"/>
                </w:tcPr>
                <w:p w14:paraId="509FE311">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来源</w:t>
                  </w:r>
                </w:p>
              </w:tc>
              <w:tc>
                <w:tcPr>
                  <w:tcW w:w="703" w:type="pct"/>
                  <w:noWrap w:val="0"/>
                  <w:vAlign w:val="center"/>
                </w:tcPr>
                <w:p w14:paraId="5B6223E0">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一次</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最大</w:t>
                  </w:r>
                </w:p>
                <w:p w14:paraId="02ED3852">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储存量</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t</w:t>
                  </w:r>
                </w:p>
              </w:tc>
              <w:tc>
                <w:tcPr>
                  <w:tcW w:w="450" w:type="pct"/>
                  <w:noWrap w:val="0"/>
                  <w:vAlign w:val="center"/>
                </w:tcPr>
                <w:p w14:paraId="12C025DC">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备注</w:t>
                  </w:r>
                </w:p>
              </w:tc>
            </w:tr>
            <w:tr w14:paraId="5208A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4" w:type="pct"/>
                  <w:noWrap w:val="0"/>
                  <w:vAlign w:val="center"/>
                </w:tcPr>
                <w:p w14:paraId="5BE3C954">
                  <w:pPr>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1</w:t>
                  </w:r>
                </w:p>
              </w:tc>
              <w:tc>
                <w:tcPr>
                  <w:tcW w:w="842" w:type="pct"/>
                  <w:noWrap w:val="0"/>
                  <w:vAlign w:val="center"/>
                </w:tcPr>
                <w:p w14:paraId="072B7FC0">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pacing w:val="-4"/>
                      <w:highlight w:val="none"/>
                      <w:lang w:val="en-US" w:eastAsia="zh-CN"/>
                      <w14:textFill>
                        <w14:solidFill>
                          <w14:schemeClr w14:val="tx1"/>
                        </w14:solidFill>
                      </w14:textFill>
                    </w:rPr>
                    <w:t>原料粉</w:t>
                  </w:r>
                </w:p>
              </w:tc>
              <w:tc>
                <w:tcPr>
                  <w:tcW w:w="1075" w:type="pct"/>
                  <w:noWrap w:val="0"/>
                  <w:vAlign w:val="center"/>
                </w:tcPr>
                <w:p w14:paraId="280D4784">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244234</w:t>
                  </w:r>
                </w:p>
              </w:tc>
              <w:tc>
                <w:tcPr>
                  <w:tcW w:w="1554" w:type="pct"/>
                  <w:noWrap w:val="0"/>
                  <w:vAlign w:val="center"/>
                </w:tcPr>
                <w:p w14:paraId="6C324E79">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内蒙古伊东高新材料有限公司</w:t>
                  </w:r>
                </w:p>
              </w:tc>
              <w:tc>
                <w:tcPr>
                  <w:tcW w:w="703" w:type="pct"/>
                  <w:noWrap w:val="0"/>
                  <w:vAlign w:val="center"/>
                </w:tcPr>
                <w:p w14:paraId="0761B919">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3300</w:t>
                  </w:r>
                </w:p>
              </w:tc>
              <w:tc>
                <w:tcPr>
                  <w:tcW w:w="450" w:type="pct"/>
                  <w:noWrap w:val="0"/>
                  <w:vAlign w:val="center"/>
                </w:tcPr>
                <w:p w14:paraId="1BFB28DA">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气体</w:t>
                  </w:r>
                </w:p>
              </w:tc>
            </w:tr>
            <w:tr w14:paraId="407F22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4" w:type="pct"/>
                  <w:noWrap w:val="0"/>
                  <w:vAlign w:val="center"/>
                </w:tcPr>
                <w:p w14:paraId="11723846">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w:t>
                  </w:r>
                </w:p>
              </w:tc>
              <w:tc>
                <w:tcPr>
                  <w:tcW w:w="842" w:type="pct"/>
                  <w:noWrap w:val="0"/>
                  <w:vAlign w:val="center"/>
                </w:tcPr>
                <w:p w14:paraId="557BE8AA">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煤气</w:t>
                  </w:r>
                </w:p>
              </w:tc>
              <w:tc>
                <w:tcPr>
                  <w:tcW w:w="1075" w:type="pct"/>
                  <w:noWrap w:val="0"/>
                  <w:vAlign w:val="center"/>
                </w:tcPr>
                <w:p w14:paraId="25E86314">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4403</w:t>
                  </w: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Cs/>
                      <w:color w:val="000000" w:themeColor="text1"/>
                      <w:sz w:val="21"/>
                      <w:szCs w:val="21"/>
                      <w:highlight w:val="none"/>
                      <w14:textFill>
                        <w14:solidFill>
                          <w14:schemeClr w14:val="tx1"/>
                        </w14:solidFill>
                      </w14:textFill>
                    </w:rPr>
                    <w:t>7×10</w:t>
                  </w:r>
                  <w:r>
                    <w:rPr>
                      <w:rFonts w:hint="default" w:ascii="Times New Roman" w:hAnsi="Times New Roman" w:cs="Times New Roman"/>
                      <w:bCs/>
                      <w:color w:val="000000" w:themeColor="text1"/>
                      <w:sz w:val="21"/>
                      <w:szCs w:val="21"/>
                      <w:highlight w:val="none"/>
                      <w:vertAlign w:val="superscript"/>
                      <w:lang w:val="en-US" w:eastAsia="zh-CN"/>
                      <w14:textFill>
                        <w14:solidFill>
                          <w14:schemeClr w14:val="tx1"/>
                        </w14:solidFill>
                      </w14:textFill>
                    </w:rPr>
                    <w:t>4</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p>
              </w:tc>
              <w:tc>
                <w:tcPr>
                  <w:tcW w:w="1554" w:type="pct"/>
                  <w:noWrap w:val="0"/>
                  <w:vAlign w:val="center"/>
                </w:tcPr>
                <w:p w14:paraId="33DAC411">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内蒙古伊东东方能源公司</w:t>
                  </w:r>
                </w:p>
              </w:tc>
              <w:tc>
                <w:tcPr>
                  <w:tcW w:w="703" w:type="pct"/>
                  <w:noWrap w:val="0"/>
                  <w:vAlign w:val="center"/>
                </w:tcPr>
                <w:p w14:paraId="46EAE85E">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在线管道</w:t>
                  </w:r>
                </w:p>
              </w:tc>
              <w:tc>
                <w:tcPr>
                  <w:tcW w:w="450" w:type="pct"/>
                  <w:noWrap w:val="0"/>
                  <w:vAlign w:val="center"/>
                </w:tcPr>
                <w:p w14:paraId="7BFFD80A">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气体</w:t>
                  </w:r>
                </w:p>
              </w:tc>
            </w:tr>
            <w:tr w14:paraId="44697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2" w:hRule="atLeast"/>
                <w:jc w:val="center"/>
              </w:trPr>
              <w:tc>
                <w:tcPr>
                  <w:tcW w:w="374" w:type="pct"/>
                  <w:shd w:val="clear" w:color="auto" w:fill="auto"/>
                  <w:noWrap w:val="0"/>
                  <w:vAlign w:val="center"/>
                </w:tcPr>
                <w:p w14:paraId="3FECB5BC">
                  <w:pPr>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4</w:t>
                  </w:r>
                </w:p>
              </w:tc>
              <w:tc>
                <w:tcPr>
                  <w:tcW w:w="842" w:type="pct"/>
                  <w:noWrap w:val="0"/>
                  <w:vAlign w:val="center"/>
                </w:tcPr>
                <w:p w14:paraId="30B3868F">
                  <w:pPr>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石灰石</w:t>
                  </w:r>
                </w:p>
              </w:tc>
              <w:tc>
                <w:tcPr>
                  <w:tcW w:w="1075" w:type="pct"/>
                  <w:noWrap w:val="0"/>
                  <w:vAlign w:val="center"/>
                </w:tcPr>
                <w:p w14:paraId="2B9B69B5">
                  <w:pPr>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1200</w:t>
                  </w:r>
                </w:p>
              </w:tc>
              <w:tc>
                <w:tcPr>
                  <w:tcW w:w="1554" w:type="pct"/>
                  <w:noWrap w:val="0"/>
                  <w:vAlign w:val="center"/>
                </w:tcPr>
                <w:p w14:paraId="15CBC78C">
                  <w:pPr>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周边地区</w:t>
                  </w:r>
                </w:p>
              </w:tc>
              <w:tc>
                <w:tcPr>
                  <w:tcW w:w="703" w:type="pct"/>
                  <w:noWrap w:val="0"/>
                  <w:vAlign w:val="center"/>
                </w:tcPr>
                <w:p w14:paraId="222429FB">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60</w:t>
                  </w:r>
                </w:p>
              </w:tc>
              <w:tc>
                <w:tcPr>
                  <w:tcW w:w="450" w:type="pct"/>
                  <w:noWrap w:val="0"/>
                  <w:vAlign w:val="center"/>
                </w:tcPr>
                <w:p w14:paraId="39709926">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固体</w:t>
                  </w:r>
                </w:p>
              </w:tc>
            </w:tr>
            <w:tr w14:paraId="0F4AC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374" w:type="pct"/>
                  <w:shd w:val="clear" w:color="auto" w:fill="auto"/>
                  <w:noWrap w:val="0"/>
                  <w:vAlign w:val="center"/>
                </w:tcPr>
                <w:p w14:paraId="0B8EA422">
                  <w:pPr>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5</w:t>
                  </w:r>
                </w:p>
              </w:tc>
              <w:tc>
                <w:tcPr>
                  <w:tcW w:w="842" w:type="pct"/>
                  <w:noWrap w:val="0"/>
                  <w:vAlign w:val="center"/>
                </w:tcPr>
                <w:p w14:paraId="5A939B38">
                  <w:pPr>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0%氨水</w:t>
                  </w:r>
                </w:p>
              </w:tc>
              <w:tc>
                <w:tcPr>
                  <w:tcW w:w="1075" w:type="pct"/>
                  <w:noWrap w:val="0"/>
                  <w:vAlign w:val="center"/>
                </w:tcPr>
                <w:p w14:paraId="637E4299">
                  <w:pPr>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850</w:t>
                  </w:r>
                </w:p>
              </w:tc>
              <w:tc>
                <w:tcPr>
                  <w:tcW w:w="1554" w:type="pct"/>
                  <w:noWrap w:val="0"/>
                  <w:vAlign w:val="center"/>
                </w:tcPr>
                <w:p w14:paraId="0163468F">
                  <w:pPr>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周边地区</w:t>
                  </w:r>
                </w:p>
              </w:tc>
              <w:tc>
                <w:tcPr>
                  <w:tcW w:w="703" w:type="pct"/>
                  <w:noWrap w:val="0"/>
                  <w:vAlign w:val="center"/>
                </w:tcPr>
                <w:p w14:paraId="64A3CB41">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8</w:t>
                  </w:r>
                </w:p>
              </w:tc>
              <w:tc>
                <w:tcPr>
                  <w:tcW w:w="450" w:type="pct"/>
                  <w:noWrap w:val="0"/>
                  <w:vAlign w:val="center"/>
                </w:tcPr>
                <w:p w14:paraId="36A7BE63">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液体</w:t>
                  </w:r>
                </w:p>
              </w:tc>
            </w:tr>
            <w:tr w14:paraId="595DF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374" w:type="pct"/>
                  <w:shd w:val="clear" w:color="auto" w:fill="auto"/>
                  <w:noWrap w:val="0"/>
                  <w:vAlign w:val="center"/>
                </w:tcPr>
                <w:p w14:paraId="2C59910A">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6</w:t>
                  </w:r>
                </w:p>
              </w:tc>
              <w:tc>
                <w:tcPr>
                  <w:tcW w:w="842" w:type="pct"/>
                  <w:noWrap w:val="0"/>
                  <w:vAlign w:val="center"/>
                </w:tcPr>
                <w:p w14:paraId="09F5DCC1">
                  <w:pPr>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石灰乳</w:t>
                  </w:r>
                </w:p>
              </w:tc>
              <w:tc>
                <w:tcPr>
                  <w:tcW w:w="1075" w:type="pct"/>
                  <w:noWrap w:val="0"/>
                  <w:vAlign w:val="center"/>
                </w:tcPr>
                <w:p w14:paraId="7B6AF3B0">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2</w:t>
                  </w:r>
                </w:p>
              </w:tc>
              <w:tc>
                <w:tcPr>
                  <w:tcW w:w="1554" w:type="pct"/>
                  <w:shd w:val="clear" w:color="auto" w:fill="auto"/>
                  <w:noWrap w:val="0"/>
                  <w:vAlign w:val="center"/>
                </w:tcPr>
                <w:p w14:paraId="5A07DDF9">
                  <w:pPr>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周边地区</w:t>
                  </w:r>
                </w:p>
              </w:tc>
              <w:tc>
                <w:tcPr>
                  <w:tcW w:w="703" w:type="pct"/>
                  <w:shd w:val="clear" w:color="auto" w:fill="auto"/>
                  <w:noWrap w:val="0"/>
                  <w:vAlign w:val="center"/>
                </w:tcPr>
                <w:p w14:paraId="0FD27913">
                  <w:pPr>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2</w:t>
                  </w:r>
                </w:p>
              </w:tc>
              <w:tc>
                <w:tcPr>
                  <w:tcW w:w="450" w:type="pct"/>
                  <w:noWrap w:val="0"/>
                  <w:vAlign w:val="center"/>
                </w:tcPr>
                <w:p w14:paraId="765335EB">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液体</w:t>
                  </w:r>
                </w:p>
              </w:tc>
            </w:tr>
            <w:tr w14:paraId="64302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374" w:type="pct"/>
                  <w:shd w:val="clear" w:color="auto" w:fill="auto"/>
                  <w:noWrap w:val="0"/>
                  <w:vAlign w:val="center"/>
                </w:tcPr>
                <w:p w14:paraId="3548ADEE">
                  <w:pPr>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7</w:t>
                  </w:r>
                </w:p>
              </w:tc>
              <w:tc>
                <w:tcPr>
                  <w:tcW w:w="842" w:type="pct"/>
                  <w:noWrap w:val="0"/>
                  <w:vAlign w:val="center"/>
                </w:tcPr>
                <w:p w14:paraId="59E9549C">
                  <w:pPr>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聚铁有机硫</w:t>
                  </w:r>
                </w:p>
              </w:tc>
              <w:tc>
                <w:tcPr>
                  <w:tcW w:w="1075" w:type="pct"/>
                  <w:noWrap w:val="0"/>
                  <w:vAlign w:val="center"/>
                </w:tcPr>
                <w:p w14:paraId="2B2DB4DD">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0.2</w:t>
                  </w:r>
                </w:p>
              </w:tc>
              <w:tc>
                <w:tcPr>
                  <w:tcW w:w="1554" w:type="pct"/>
                  <w:shd w:val="clear" w:color="auto" w:fill="auto"/>
                  <w:noWrap w:val="0"/>
                  <w:vAlign w:val="center"/>
                </w:tcPr>
                <w:p w14:paraId="77AAD8E8">
                  <w:pPr>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周边地区</w:t>
                  </w:r>
                </w:p>
              </w:tc>
              <w:tc>
                <w:tcPr>
                  <w:tcW w:w="703" w:type="pct"/>
                  <w:shd w:val="clear" w:color="auto" w:fill="auto"/>
                  <w:noWrap w:val="0"/>
                  <w:vAlign w:val="center"/>
                </w:tcPr>
                <w:p w14:paraId="1F6122C3">
                  <w:pPr>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0.2</w:t>
                  </w:r>
                </w:p>
              </w:tc>
              <w:tc>
                <w:tcPr>
                  <w:tcW w:w="450" w:type="pct"/>
                  <w:noWrap w:val="0"/>
                  <w:vAlign w:val="center"/>
                </w:tcPr>
                <w:p w14:paraId="5E4EDD96">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固体</w:t>
                  </w:r>
                </w:p>
              </w:tc>
            </w:tr>
            <w:tr w14:paraId="603D8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374" w:type="pct"/>
                  <w:shd w:val="clear" w:color="auto" w:fill="auto"/>
                  <w:noWrap w:val="0"/>
                  <w:vAlign w:val="center"/>
                </w:tcPr>
                <w:p w14:paraId="1C1E93C8">
                  <w:pPr>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8</w:t>
                  </w:r>
                </w:p>
              </w:tc>
              <w:tc>
                <w:tcPr>
                  <w:tcW w:w="842" w:type="pct"/>
                  <w:noWrap w:val="0"/>
                  <w:vAlign w:val="center"/>
                </w:tcPr>
                <w:p w14:paraId="17A27454">
                  <w:pPr>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阻凝剂</w:t>
                  </w:r>
                </w:p>
              </w:tc>
              <w:tc>
                <w:tcPr>
                  <w:tcW w:w="1075" w:type="pct"/>
                  <w:noWrap w:val="0"/>
                  <w:vAlign w:val="center"/>
                </w:tcPr>
                <w:p w14:paraId="0F1DBA4E">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0.2</w:t>
                  </w:r>
                </w:p>
              </w:tc>
              <w:tc>
                <w:tcPr>
                  <w:tcW w:w="1554" w:type="pct"/>
                  <w:noWrap w:val="0"/>
                  <w:vAlign w:val="center"/>
                </w:tcPr>
                <w:p w14:paraId="77DFAD0B">
                  <w:pPr>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周边地区</w:t>
                  </w:r>
                </w:p>
              </w:tc>
              <w:tc>
                <w:tcPr>
                  <w:tcW w:w="703" w:type="pct"/>
                  <w:shd w:val="clear" w:color="auto" w:fill="auto"/>
                  <w:noWrap w:val="0"/>
                  <w:vAlign w:val="center"/>
                </w:tcPr>
                <w:p w14:paraId="173AE989">
                  <w:pPr>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0.2</w:t>
                  </w:r>
                </w:p>
              </w:tc>
              <w:tc>
                <w:tcPr>
                  <w:tcW w:w="450" w:type="pct"/>
                  <w:noWrap w:val="0"/>
                  <w:vAlign w:val="center"/>
                </w:tcPr>
                <w:p w14:paraId="43691047">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固体</w:t>
                  </w:r>
                </w:p>
              </w:tc>
            </w:tr>
            <w:tr w14:paraId="533EE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0" w:hRule="atLeast"/>
                <w:jc w:val="center"/>
              </w:trPr>
              <w:tc>
                <w:tcPr>
                  <w:tcW w:w="374" w:type="pct"/>
                  <w:shd w:val="clear" w:color="auto" w:fill="auto"/>
                  <w:noWrap w:val="0"/>
                  <w:vAlign w:val="center"/>
                </w:tcPr>
                <w:p w14:paraId="41C2DF63">
                  <w:pPr>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9</w:t>
                  </w:r>
                </w:p>
              </w:tc>
              <w:tc>
                <w:tcPr>
                  <w:tcW w:w="842" w:type="pct"/>
                  <w:noWrap w:val="0"/>
                  <w:vAlign w:val="center"/>
                </w:tcPr>
                <w:p w14:paraId="539FB171">
                  <w:pPr>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新鲜</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水</w:t>
                  </w:r>
                </w:p>
              </w:tc>
              <w:tc>
                <w:tcPr>
                  <w:tcW w:w="1075" w:type="pct"/>
                  <w:noWrap w:val="0"/>
                  <w:vAlign w:val="center"/>
                </w:tcPr>
                <w:p w14:paraId="68D8535E">
                  <w:pPr>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157566</w:t>
                  </w:r>
                </w:p>
              </w:tc>
              <w:tc>
                <w:tcPr>
                  <w:tcW w:w="1554" w:type="pct"/>
                  <w:noWrap w:val="0"/>
                  <w:vAlign w:val="center"/>
                </w:tcPr>
                <w:p w14:paraId="762ADFE5">
                  <w:pPr>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园区供水</w:t>
                  </w:r>
                </w:p>
              </w:tc>
              <w:tc>
                <w:tcPr>
                  <w:tcW w:w="703" w:type="pct"/>
                  <w:noWrap w:val="0"/>
                  <w:vAlign w:val="center"/>
                </w:tcPr>
                <w:p w14:paraId="3FF49F8C">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c>
                <w:tcPr>
                  <w:tcW w:w="450" w:type="pct"/>
                  <w:noWrap w:val="0"/>
                  <w:vAlign w:val="center"/>
                </w:tcPr>
                <w:p w14:paraId="0EA42AD8">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液体</w:t>
                  </w:r>
                </w:p>
              </w:tc>
            </w:tr>
            <w:tr w14:paraId="01738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374" w:type="pct"/>
                  <w:noWrap w:val="0"/>
                  <w:vAlign w:val="center"/>
                </w:tcPr>
                <w:p w14:paraId="530049A2">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10</w:t>
                  </w:r>
                </w:p>
              </w:tc>
              <w:tc>
                <w:tcPr>
                  <w:tcW w:w="842" w:type="pct"/>
                  <w:noWrap w:val="0"/>
                  <w:vAlign w:val="center"/>
                </w:tcPr>
                <w:p w14:paraId="578F6132">
                  <w:pPr>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电</w:t>
                  </w:r>
                </w:p>
              </w:tc>
              <w:tc>
                <w:tcPr>
                  <w:tcW w:w="1075" w:type="pct"/>
                  <w:noWrap w:val="0"/>
                  <w:vAlign w:val="center"/>
                </w:tcPr>
                <w:p w14:paraId="7F43202B">
                  <w:pPr>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12.8×10</w:t>
                  </w:r>
                  <w:r>
                    <w:rPr>
                      <w:rFonts w:hint="default" w:ascii="Times New Roman" w:hAnsi="Times New Roman" w:eastAsia="宋体" w:cs="Times New Roman"/>
                      <w:bCs/>
                      <w:color w:val="000000" w:themeColor="text1"/>
                      <w:sz w:val="21"/>
                      <w:szCs w:val="21"/>
                      <w:highlight w:val="none"/>
                      <w:vertAlign w:val="superscript"/>
                      <w14:textFill>
                        <w14:solidFill>
                          <w14:schemeClr w14:val="tx1"/>
                        </w14:solidFill>
                      </w14:textFill>
                    </w:rPr>
                    <w:t>6</w:t>
                  </w:r>
                  <w:r>
                    <w:rPr>
                      <w:rFonts w:hint="default" w:ascii="Times New Roman" w:hAnsi="Times New Roman" w:eastAsia="宋体" w:cs="Times New Roman"/>
                      <w:bCs/>
                      <w:color w:val="000000" w:themeColor="text1"/>
                      <w:sz w:val="21"/>
                      <w:szCs w:val="21"/>
                      <w:highlight w:val="none"/>
                      <w:vertAlign w:val="baseline"/>
                      <w:lang w:eastAsia="zh-CN"/>
                      <w14:textFill>
                        <w14:solidFill>
                          <w14:schemeClr w14:val="tx1"/>
                        </w14:solidFill>
                      </w14:textFill>
                    </w:rPr>
                    <w:t>kW</w:t>
                  </w:r>
                  <w: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t>*h/a</w:t>
                  </w:r>
                </w:p>
              </w:tc>
              <w:tc>
                <w:tcPr>
                  <w:tcW w:w="1554" w:type="pct"/>
                  <w:noWrap w:val="0"/>
                  <w:vAlign w:val="center"/>
                </w:tcPr>
                <w:p w14:paraId="7C7E84BE">
                  <w:pPr>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园区</w:t>
                  </w:r>
                </w:p>
              </w:tc>
              <w:tc>
                <w:tcPr>
                  <w:tcW w:w="703" w:type="pct"/>
                  <w:noWrap w:val="0"/>
                  <w:vAlign w:val="center"/>
                </w:tcPr>
                <w:p w14:paraId="3152E5D7">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c>
                <w:tcPr>
                  <w:tcW w:w="450" w:type="pct"/>
                  <w:noWrap w:val="0"/>
                  <w:vAlign w:val="center"/>
                </w:tcPr>
                <w:p w14:paraId="7B43452F">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w:t>
                  </w:r>
                </w:p>
              </w:tc>
            </w:tr>
          </w:tbl>
          <w:p w14:paraId="2CB6081A">
            <w:pPr>
              <w:ind w:firstLine="482" w:firstLineChars="200"/>
              <w:jc w:val="center"/>
              <w:rPr>
                <w:rFonts w:hint="default" w:ascii="Times New Roman" w:hAnsi="Times New Roman" w:eastAsia="宋体" w:cs="Times New Roman"/>
                <w:b/>
                <w:color w:val="000000" w:themeColor="text1"/>
                <w:sz w:val="24"/>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表</w:t>
            </w: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2-16</w:t>
            </w:r>
            <w:r>
              <w:rPr>
                <w:rFonts w:hint="default" w:ascii="Times New Roman" w:hAnsi="Times New Roman" w:eastAsia="宋体" w:cs="Times New Roman"/>
                <w:b/>
                <w:bCs w:val="0"/>
                <w:color w:val="000000" w:themeColor="text1"/>
                <w:sz w:val="24"/>
                <w:highlight w:val="none"/>
                <w14:textFill>
                  <w14:solidFill>
                    <w14:schemeClr w14:val="tx1"/>
                  </w14:solidFill>
                </w14:textFill>
              </w:rPr>
              <w:t>原辅</w:t>
            </w:r>
            <w:r>
              <w:rPr>
                <w:rFonts w:hint="default" w:ascii="Times New Roman" w:hAnsi="Times New Roman" w:eastAsia="宋体" w:cs="Times New Roman"/>
                <w:b/>
                <w:color w:val="000000" w:themeColor="text1"/>
                <w:sz w:val="24"/>
                <w:highlight w:val="none"/>
                <w14:textFill>
                  <w14:solidFill>
                    <w14:schemeClr w14:val="tx1"/>
                  </w14:solidFill>
                </w14:textFill>
              </w:rPr>
              <w:t>材料主要</w:t>
            </w:r>
            <w:r>
              <w:rPr>
                <w:rFonts w:hint="default" w:ascii="Times New Roman" w:hAnsi="Times New Roman" w:eastAsia="宋体" w:cs="Times New Roman"/>
                <w:b/>
                <w:color w:val="000000" w:themeColor="text1"/>
                <w:sz w:val="24"/>
                <w:highlight w:val="none"/>
                <w:lang w:eastAsia="zh-CN"/>
                <w14:textFill>
                  <w14:solidFill>
                    <w14:schemeClr w14:val="tx1"/>
                  </w14:solidFill>
                </w14:textFill>
              </w:rPr>
              <w:t>成分</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3"/>
              <w:gridCol w:w="7483"/>
            </w:tblGrid>
            <w:tr w14:paraId="431F8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533" w:type="pct"/>
                  <w:noWrap w:val="0"/>
                  <w:vAlign w:val="center"/>
                </w:tcPr>
                <w:p w14:paraId="50AFE782">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Cs w:val="21"/>
                      <w:highlight w:val="none"/>
                      <w14:textFill>
                        <w14:solidFill>
                          <w14:schemeClr w14:val="tx1"/>
                        </w14:solidFill>
                      </w14:textFill>
                    </w:rPr>
                    <w:t>品种</w:t>
                  </w:r>
                </w:p>
              </w:tc>
              <w:tc>
                <w:tcPr>
                  <w:tcW w:w="4466" w:type="pct"/>
                  <w:noWrap w:val="0"/>
                  <w:vAlign w:val="center"/>
                </w:tcPr>
                <w:p w14:paraId="3B4FE502">
                  <w:pPr>
                    <w:pStyle w:val="9"/>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主要</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成分</w:t>
                  </w:r>
                </w:p>
              </w:tc>
            </w:tr>
            <w:tr w14:paraId="7C70B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533" w:type="pct"/>
                  <w:noWrap w:val="0"/>
                  <w:vAlign w:val="center"/>
                </w:tcPr>
                <w:p w14:paraId="300D257D">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原料粉</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含水率≤</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1</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p>
              </w:tc>
              <w:tc>
                <w:tcPr>
                  <w:tcW w:w="4466" w:type="pct"/>
                  <w:noWrap w:val="0"/>
                  <w:vAlign w:val="center"/>
                </w:tcPr>
                <w:p w14:paraId="5AC4693B">
                  <w:pPr>
                    <w:pStyle w:val="116"/>
                    <w:keepNext w:val="0"/>
                    <w:keepLines w:val="0"/>
                    <w:pageBreakBefore w:val="0"/>
                    <w:widowControl w:val="0"/>
                    <w:kinsoku/>
                    <w:wordWrap/>
                    <w:overflowPunct/>
                    <w:topLinePunct w:val="0"/>
                    <w:autoSpaceDE/>
                    <w:autoSpaceDN/>
                    <w:bidi w:val="0"/>
                    <w:adjustRightInd/>
                    <w:snapToGrid/>
                    <w:spacing w:line="240" w:lineRule="auto"/>
                    <w:ind w:left="0" w:firstLine="0" w:firstLineChars="0"/>
                    <w:jc w:val="both"/>
                    <w:textAlignment w:val="auto"/>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highlight w:val="none"/>
                      <w14:textFill>
                        <w14:solidFill>
                          <w14:schemeClr w14:val="tx1"/>
                        </w14:solidFill>
                      </w14:textFill>
                    </w:rPr>
                    <w:t>又称煤研石，是采煤过程和洗煤过程中排放</w:t>
                  </w:r>
                  <w:r>
                    <w:rPr>
                      <w:rFonts w:hint="default" w:ascii="Times New Roman" w:hAnsi="Times New Roman" w:cs="Times New Roman"/>
                      <w:b w:val="0"/>
                      <w:bCs w:val="0"/>
                      <w:color w:val="000000" w:themeColor="text1"/>
                      <w:spacing w:val="-1"/>
                      <w:highlight w:val="none"/>
                      <w14:textFill>
                        <w14:solidFill>
                          <w14:schemeClr w14:val="tx1"/>
                        </w14:solidFill>
                      </w14:textFill>
                    </w:rPr>
                    <w:t>的固体废物，是一种在成煤过程中与煤层伴生的一种含碳量较低、比煤坚硬</w:t>
                  </w:r>
                  <w:r>
                    <w:rPr>
                      <w:rFonts w:hint="default" w:ascii="Times New Roman" w:hAnsi="Times New Roman" w:cs="Times New Roman"/>
                      <w:b w:val="0"/>
                      <w:bCs w:val="0"/>
                      <w:color w:val="000000" w:themeColor="text1"/>
                      <w:spacing w:val="1"/>
                      <w:highlight w:val="none"/>
                      <w14:textFill>
                        <w14:solidFill>
                          <w14:schemeClr w14:val="tx1"/>
                        </w14:solidFill>
                      </w14:textFill>
                    </w:rPr>
                    <w:t>的黑灰色岩石。其主要成分是</w:t>
                  </w:r>
                  <w:r>
                    <w:rPr>
                      <w:rFonts w:hint="default" w:ascii="Times New Roman" w:hAnsi="Times New Roman" w:cs="Times New Roman"/>
                      <w:b w:val="0"/>
                      <w:bCs w:val="0"/>
                      <w:color w:val="000000" w:themeColor="text1"/>
                      <w:highlight w:val="none"/>
                      <w14:textFill>
                        <w14:solidFill>
                          <w14:schemeClr w14:val="tx1"/>
                        </w14:solidFill>
                      </w14:textFill>
                    </w:rPr>
                    <w:t>Al</w:t>
                  </w:r>
                  <w:r>
                    <w:rPr>
                      <w:rFonts w:hint="default" w:ascii="Times New Roman" w:hAnsi="Times New Roman" w:eastAsia="Calibri" w:cs="Times New Roman"/>
                      <w:b w:val="0"/>
                      <w:bCs w:val="0"/>
                      <w:color w:val="000000" w:themeColor="text1"/>
                      <w:spacing w:val="1"/>
                      <w:highlight w:val="none"/>
                      <w14:textFill>
                        <w14:solidFill>
                          <w14:schemeClr w14:val="tx1"/>
                        </w14:solidFill>
                      </w14:textFill>
                    </w:rPr>
                    <w:t>₂</w:t>
                  </w:r>
                  <w:r>
                    <w:rPr>
                      <w:rFonts w:hint="default" w:ascii="Times New Roman" w:hAnsi="Times New Roman" w:cs="Times New Roman"/>
                      <w:b w:val="0"/>
                      <w:bCs w:val="0"/>
                      <w:color w:val="000000" w:themeColor="text1"/>
                      <w:spacing w:val="1"/>
                      <w:highlight w:val="none"/>
                      <w14:textFill>
                        <w14:solidFill>
                          <w14:schemeClr w14:val="tx1"/>
                        </w14:solidFill>
                      </w14:textFill>
                    </w:rPr>
                    <w:t>O</w:t>
                  </w:r>
                  <w:r>
                    <w:rPr>
                      <w:rFonts w:hint="default" w:ascii="Times New Roman" w:hAnsi="Times New Roman" w:eastAsia="Calibri" w:cs="Times New Roman"/>
                      <w:b w:val="0"/>
                      <w:bCs w:val="0"/>
                      <w:color w:val="000000" w:themeColor="text1"/>
                      <w:spacing w:val="1"/>
                      <w:highlight w:val="none"/>
                      <w14:textFill>
                        <w14:solidFill>
                          <w14:schemeClr w14:val="tx1"/>
                        </w14:solidFill>
                      </w14:textFill>
                    </w:rPr>
                    <w:t>₃</w:t>
                  </w:r>
                  <w:r>
                    <w:rPr>
                      <w:rFonts w:hint="default" w:ascii="Times New Roman" w:hAnsi="Times New Roman" w:cs="Times New Roman"/>
                      <w:b w:val="0"/>
                      <w:bCs w:val="0"/>
                      <w:color w:val="000000" w:themeColor="text1"/>
                      <w:spacing w:val="1"/>
                      <w:highlight w:val="none"/>
                      <w14:textFill>
                        <w14:solidFill>
                          <w14:schemeClr w14:val="tx1"/>
                        </w14:solidFill>
                      </w14:textFill>
                    </w:rPr>
                    <w:t>、</w:t>
                  </w:r>
                  <w:r>
                    <w:rPr>
                      <w:rFonts w:hint="default" w:ascii="Times New Roman" w:hAnsi="Times New Roman" w:cs="Times New Roman"/>
                      <w:b w:val="0"/>
                      <w:bCs w:val="0"/>
                      <w:color w:val="000000" w:themeColor="text1"/>
                      <w:highlight w:val="none"/>
                      <w14:textFill>
                        <w14:solidFill>
                          <w14:schemeClr w14:val="tx1"/>
                        </w14:solidFill>
                      </w14:textFill>
                    </w:rPr>
                    <w:t>SiO</w:t>
                  </w:r>
                  <w:r>
                    <w:rPr>
                      <w:rFonts w:hint="default" w:ascii="Times New Roman" w:hAnsi="Times New Roman" w:eastAsia="Calibri" w:cs="Times New Roman"/>
                      <w:b w:val="0"/>
                      <w:bCs w:val="0"/>
                      <w:color w:val="000000" w:themeColor="text1"/>
                      <w:spacing w:val="1"/>
                      <w:highlight w:val="none"/>
                      <w14:textFill>
                        <w14:solidFill>
                          <w14:schemeClr w14:val="tx1"/>
                        </w14:solidFill>
                      </w14:textFill>
                    </w:rPr>
                    <w:t>₂</w:t>
                  </w:r>
                  <w:r>
                    <w:rPr>
                      <w:rFonts w:hint="default" w:ascii="Times New Roman" w:hAnsi="Times New Roman" w:cs="Times New Roman"/>
                      <w:b w:val="0"/>
                      <w:bCs w:val="0"/>
                      <w:color w:val="000000" w:themeColor="text1"/>
                      <w:spacing w:val="1"/>
                      <w:highlight w:val="none"/>
                      <w:lang w:eastAsia="zh-CN"/>
                      <w14:textFill>
                        <w14:solidFill>
                          <w14:schemeClr w14:val="tx1"/>
                        </w14:solidFill>
                      </w14:textFill>
                    </w:rPr>
                    <w:t>，</w:t>
                  </w:r>
                  <w:r>
                    <w:rPr>
                      <w:rFonts w:hint="default" w:ascii="Times New Roman" w:hAnsi="Times New Roman" w:cs="Times New Roman"/>
                      <w:b w:val="0"/>
                      <w:bCs w:val="0"/>
                      <w:color w:val="000000" w:themeColor="text1"/>
                      <w:spacing w:val="1"/>
                      <w:highlight w:val="none"/>
                      <w14:textFill>
                        <w14:solidFill>
                          <w14:schemeClr w14:val="tx1"/>
                        </w14:solidFill>
                      </w14:textFill>
                    </w:rPr>
                    <w:t>另外还含有数量</w:t>
                  </w:r>
                  <w:r>
                    <w:rPr>
                      <w:rFonts w:hint="default" w:ascii="Times New Roman" w:hAnsi="Times New Roman" w:cs="Times New Roman"/>
                      <w:b w:val="0"/>
                      <w:bCs w:val="0"/>
                      <w:color w:val="000000" w:themeColor="text1"/>
                      <w:spacing w:val="14"/>
                      <w:highlight w:val="none"/>
                      <w14:textFill>
                        <w14:solidFill>
                          <w14:schemeClr w14:val="tx1"/>
                        </w14:solidFill>
                      </w14:textFill>
                    </w:rPr>
                    <w:t>不等的</w:t>
                  </w:r>
                  <w:r>
                    <w:rPr>
                      <w:rFonts w:hint="default" w:ascii="Times New Roman" w:hAnsi="Times New Roman" w:cs="Times New Roman"/>
                      <w:b w:val="0"/>
                      <w:bCs w:val="0"/>
                      <w:color w:val="000000" w:themeColor="text1"/>
                      <w:highlight w:val="none"/>
                      <w14:textFill>
                        <w14:solidFill>
                          <w14:schemeClr w14:val="tx1"/>
                        </w14:solidFill>
                      </w14:textFill>
                    </w:rPr>
                    <w:t>Fe</w:t>
                  </w:r>
                  <w:r>
                    <w:rPr>
                      <w:rFonts w:hint="default" w:ascii="Times New Roman" w:hAnsi="Times New Roman" w:eastAsia="Calibri" w:cs="Times New Roman"/>
                      <w:b w:val="0"/>
                      <w:bCs w:val="0"/>
                      <w:color w:val="000000" w:themeColor="text1"/>
                      <w:spacing w:val="14"/>
                      <w:highlight w:val="none"/>
                      <w14:textFill>
                        <w14:solidFill>
                          <w14:schemeClr w14:val="tx1"/>
                        </w14:solidFill>
                      </w14:textFill>
                    </w:rPr>
                    <w:t>₂</w:t>
                  </w:r>
                  <w:r>
                    <w:rPr>
                      <w:rFonts w:hint="default" w:ascii="Times New Roman" w:hAnsi="Times New Roman" w:cs="Times New Roman"/>
                      <w:b w:val="0"/>
                      <w:bCs w:val="0"/>
                      <w:color w:val="000000" w:themeColor="text1"/>
                      <w:spacing w:val="14"/>
                      <w:highlight w:val="none"/>
                      <w14:textFill>
                        <w14:solidFill>
                          <w14:schemeClr w14:val="tx1"/>
                        </w14:solidFill>
                      </w14:textFill>
                    </w:rPr>
                    <w:t>O</w:t>
                  </w:r>
                  <w:r>
                    <w:rPr>
                      <w:rFonts w:hint="default" w:ascii="Times New Roman" w:hAnsi="Times New Roman" w:eastAsia="Calibri" w:cs="Times New Roman"/>
                      <w:b w:val="0"/>
                      <w:bCs w:val="0"/>
                      <w:color w:val="000000" w:themeColor="text1"/>
                      <w:spacing w:val="14"/>
                      <w:highlight w:val="none"/>
                      <w14:textFill>
                        <w14:solidFill>
                          <w14:schemeClr w14:val="tx1"/>
                        </w14:solidFill>
                      </w14:textFill>
                    </w:rPr>
                    <w:t>₃</w:t>
                  </w:r>
                  <w:r>
                    <w:rPr>
                      <w:rFonts w:hint="default" w:ascii="Times New Roman" w:hAnsi="Times New Roman" w:cs="Times New Roman"/>
                      <w:b w:val="0"/>
                      <w:bCs w:val="0"/>
                      <w:color w:val="000000" w:themeColor="text1"/>
                      <w:spacing w:val="14"/>
                      <w:highlight w:val="none"/>
                      <w14:textFill>
                        <w14:solidFill>
                          <w14:schemeClr w14:val="tx1"/>
                        </w14:solidFill>
                      </w14:textFill>
                    </w:rPr>
                    <w:t>、</w:t>
                  </w:r>
                  <w:r>
                    <w:rPr>
                      <w:rFonts w:hint="default" w:ascii="Times New Roman" w:hAnsi="Times New Roman" w:cs="Times New Roman"/>
                      <w:b w:val="0"/>
                      <w:bCs w:val="0"/>
                      <w:color w:val="000000" w:themeColor="text1"/>
                      <w:highlight w:val="none"/>
                      <w14:textFill>
                        <w14:solidFill>
                          <w14:schemeClr w14:val="tx1"/>
                        </w14:solidFill>
                      </w14:textFill>
                    </w:rPr>
                    <w:t>CaO</w:t>
                  </w:r>
                  <w:r>
                    <w:rPr>
                      <w:rFonts w:hint="default" w:ascii="Times New Roman" w:hAnsi="Times New Roman" w:cs="Times New Roman"/>
                      <w:b w:val="0"/>
                      <w:bCs w:val="0"/>
                      <w:color w:val="000000" w:themeColor="text1"/>
                      <w:spacing w:val="14"/>
                      <w:highlight w:val="none"/>
                      <w14:textFill>
                        <w14:solidFill>
                          <w14:schemeClr w14:val="tx1"/>
                        </w14:solidFill>
                      </w14:textFill>
                    </w:rPr>
                    <w:t>、</w:t>
                  </w:r>
                  <w:r>
                    <w:rPr>
                      <w:rFonts w:hint="default" w:ascii="Times New Roman" w:hAnsi="Times New Roman" w:cs="Times New Roman"/>
                      <w:b w:val="0"/>
                      <w:bCs w:val="0"/>
                      <w:color w:val="000000" w:themeColor="text1"/>
                      <w:highlight w:val="none"/>
                      <w14:textFill>
                        <w14:solidFill>
                          <w14:schemeClr w14:val="tx1"/>
                        </w14:solidFill>
                      </w14:textFill>
                    </w:rPr>
                    <w:t>MgO</w:t>
                  </w:r>
                  <w:r>
                    <w:rPr>
                      <w:rFonts w:hint="default" w:ascii="Times New Roman" w:hAnsi="Times New Roman" w:cs="Times New Roman"/>
                      <w:b w:val="0"/>
                      <w:bCs w:val="0"/>
                      <w:color w:val="000000" w:themeColor="text1"/>
                      <w:spacing w:val="14"/>
                      <w:highlight w:val="none"/>
                      <w14:textFill>
                        <w14:solidFill>
                          <w14:schemeClr w14:val="tx1"/>
                        </w14:solidFill>
                      </w14:textFill>
                    </w:rPr>
                    <w:t>、</w:t>
                  </w:r>
                  <w:r>
                    <w:rPr>
                      <w:rFonts w:hint="default" w:ascii="Times New Roman" w:hAnsi="Times New Roman" w:cs="Times New Roman"/>
                      <w:b w:val="0"/>
                      <w:bCs w:val="0"/>
                      <w:color w:val="000000" w:themeColor="text1"/>
                      <w:highlight w:val="none"/>
                      <w14:textFill>
                        <w14:solidFill>
                          <w14:schemeClr w14:val="tx1"/>
                        </w14:solidFill>
                      </w14:textFill>
                    </w:rPr>
                    <w:t>Na</w:t>
                  </w:r>
                  <w:r>
                    <w:rPr>
                      <w:rFonts w:hint="default" w:ascii="Times New Roman" w:hAnsi="Times New Roman" w:eastAsia="Calibri" w:cs="Times New Roman"/>
                      <w:b w:val="0"/>
                      <w:bCs w:val="0"/>
                      <w:color w:val="000000" w:themeColor="text1"/>
                      <w:spacing w:val="14"/>
                      <w:highlight w:val="none"/>
                      <w14:textFill>
                        <w14:solidFill>
                          <w14:schemeClr w14:val="tx1"/>
                        </w14:solidFill>
                      </w14:textFill>
                    </w:rPr>
                    <w:t>₂</w:t>
                  </w:r>
                  <w:r>
                    <w:rPr>
                      <w:rFonts w:hint="default" w:ascii="Times New Roman" w:hAnsi="Times New Roman" w:cs="Times New Roman"/>
                      <w:b w:val="0"/>
                      <w:bCs w:val="0"/>
                      <w:color w:val="000000" w:themeColor="text1"/>
                      <w:spacing w:val="14"/>
                      <w:highlight w:val="none"/>
                      <w14:textFill>
                        <w14:solidFill>
                          <w14:schemeClr w14:val="tx1"/>
                        </w14:solidFill>
                      </w14:textFill>
                    </w:rPr>
                    <w:t>O、K</w:t>
                  </w:r>
                  <w:r>
                    <w:rPr>
                      <w:rFonts w:hint="default" w:ascii="Times New Roman" w:hAnsi="Times New Roman" w:eastAsia="Calibri" w:cs="Times New Roman"/>
                      <w:b w:val="0"/>
                      <w:bCs w:val="0"/>
                      <w:color w:val="000000" w:themeColor="text1"/>
                      <w:spacing w:val="14"/>
                      <w:highlight w:val="none"/>
                      <w14:textFill>
                        <w14:solidFill>
                          <w14:schemeClr w14:val="tx1"/>
                        </w14:solidFill>
                      </w14:textFill>
                    </w:rPr>
                    <w:t>₂</w:t>
                  </w:r>
                  <w:r>
                    <w:rPr>
                      <w:rFonts w:hint="default" w:ascii="Times New Roman" w:hAnsi="Times New Roman" w:cs="Times New Roman"/>
                      <w:b w:val="0"/>
                      <w:bCs w:val="0"/>
                      <w:color w:val="000000" w:themeColor="text1"/>
                      <w:spacing w:val="14"/>
                      <w:highlight w:val="none"/>
                      <w14:textFill>
                        <w14:solidFill>
                          <w14:schemeClr w14:val="tx1"/>
                        </w14:solidFill>
                      </w14:textFill>
                    </w:rPr>
                    <w:t>O、P</w:t>
                  </w:r>
                  <w:r>
                    <w:rPr>
                      <w:rFonts w:hint="default" w:ascii="Times New Roman" w:hAnsi="Times New Roman" w:eastAsia="Calibri" w:cs="Times New Roman"/>
                      <w:b w:val="0"/>
                      <w:bCs w:val="0"/>
                      <w:color w:val="000000" w:themeColor="text1"/>
                      <w:spacing w:val="14"/>
                      <w:highlight w:val="none"/>
                      <w14:textFill>
                        <w14:solidFill>
                          <w14:schemeClr w14:val="tx1"/>
                        </w14:solidFill>
                      </w14:textFill>
                    </w:rPr>
                    <w:t>₂</w:t>
                  </w:r>
                  <w:r>
                    <w:rPr>
                      <w:rFonts w:hint="default" w:ascii="Times New Roman" w:hAnsi="Times New Roman" w:cs="Times New Roman"/>
                      <w:b w:val="0"/>
                      <w:bCs w:val="0"/>
                      <w:color w:val="000000" w:themeColor="text1"/>
                      <w:highlight w:val="none"/>
                      <w14:textFill>
                        <w14:solidFill>
                          <w14:schemeClr w14:val="tx1"/>
                        </w14:solidFill>
                      </w14:textFill>
                    </w:rPr>
                    <w:t>O</w:t>
                  </w:r>
                  <w:r>
                    <w:rPr>
                      <w:rFonts w:hint="default" w:ascii="Times New Roman" w:hAnsi="Times New Roman" w:cs="Times New Roman"/>
                      <w:b w:val="0"/>
                      <w:bCs w:val="0"/>
                      <w:color w:val="000000" w:themeColor="text1"/>
                      <w:highlight w:val="none"/>
                      <w:vertAlign w:val="subscript"/>
                      <w:lang w:val="en-US" w:eastAsia="zh-CN"/>
                      <w14:textFill>
                        <w14:solidFill>
                          <w14:schemeClr w14:val="tx1"/>
                        </w14:solidFill>
                      </w14:textFill>
                    </w:rPr>
                    <w:t>5</w:t>
                  </w:r>
                  <w:r>
                    <w:rPr>
                      <w:rFonts w:hint="default" w:ascii="Times New Roman" w:hAnsi="Times New Roman" w:cs="Times New Roman"/>
                      <w:b w:val="0"/>
                      <w:bCs w:val="0"/>
                      <w:color w:val="000000" w:themeColor="text1"/>
                      <w:spacing w:val="14"/>
                      <w:highlight w:val="none"/>
                      <w14:textFill>
                        <w14:solidFill>
                          <w14:schemeClr w14:val="tx1"/>
                        </w14:solidFill>
                      </w14:textFill>
                    </w:rPr>
                    <w:t>、</w:t>
                  </w:r>
                  <w:r>
                    <w:rPr>
                      <w:rFonts w:hint="default" w:ascii="Times New Roman" w:hAnsi="Times New Roman" w:cs="Times New Roman"/>
                      <w:b w:val="0"/>
                      <w:bCs w:val="0"/>
                      <w:color w:val="000000" w:themeColor="text1"/>
                      <w:highlight w:val="none"/>
                      <w14:textFill>
                        <w14:solidFill>
                          <w14:schemeClr w14:val="tx1"/>
                        </w14:solidFill>
                      </w14:textFill>
                    </w:rPr>
                    <w:t>SO</w:t>
                  </w:r>
                  <w:r>
                    <w:rPr>
                      <w:rFonts w:hint="default" w:ascii="Times New Roman" w:hAnsi="Times New Roman" w:eastAsia="Calibri" w:cs="Times New Roman"/>
                      <w:b w:val="0"/>
                      <w:bCs w:val="0"/>
                      <w:color w:val="000000" w:themeColor="text1"/>
                      <w:spacing w:val="14"/>
                      <w:highlight w:val="none"/>
                      <w14:textFill>
                        <w14:solidFill>
                          <w14:schemeClr w14:val="tx1"/>
                        </w14:solidFill>
                      </w14:textFill>
                    </w:rPr>
                    <w:t>₃</w:t>
                  </w:r>
                  <w:r>
                    <w:rPr>
                      <w:rFonts w:hint="default" w:ascii="Times New Roman" w:hAnsi="Times New Roman" w:cs="Times New Roman"/>
                      <w:b w:val="0"/>
                      <w:bCs w:val="0"/>
                      <w:color w:val="000000" w:themeColor="text1"/>
                      <w:spacing w:val="14"/>
                      <w:highlight w:val="none"/>
                      <w14:textFill>
                        <w14:solidFill>
                          <w14:schemeClr w14:val="tx1"/>
                        </w14:solidFill>
                      </w14:textFill>
                    </w:rPr>
                    <w:t>和微量</w:t>
                  </w:r>
                  <w:r>
                    <w:rPr>
                      <w:rFonts w:hint="default" w:ascii="Times New Roman" w:hAnsi="Times New Roman" w:cs="Times New Roman"/>
                      <w:b w:val="0"/>
                      <w:bCs w:val="0"/>
                      <w:color w:val="000000" w:themeColor="text1"/>
                      <w:spacing w:val="-1"/>
                      <w:highlight w:val="none"/>
                      <w14:textFill>
                        <w14:solidFill>
                          <w14:schemeClr w14:val="tx1"/>
                        </w14:solidFill>
                      </w14:textFill>
                    </w:rPr>
                    <w:t>稀有元素</w:t>
                  </w:r>
                  <w:r>
                    <w:rPr>
                      <w:rFonts w:hint="default" w:ascii="Times New Roman" w:hAnsi="Times New Roman" w:cs="Times New Roman"/>
                      <w:b w:val="0"/>
                      <w:bCs w:val="0"/>
                      <w:color w:val="000000" w:themeColor="text1"/>
                      <w:spacing w:val="-1"/>
                      <w:highlight w:val="none"/>
                      <w:lang w:eastAsia="zh-CN"/>
                      <w14:textFill>
                        <w14:solidFill>
                          <w14:schemeClr w14:val="tx1"/>
                        </w14:solidFill>
                      </w14:textFill>
                    </w:rPr>
                    <w:t>（</w:t>
                  </w:r>
                  <w:r>
                    <w:rPr>
                      <w:rFonts w:hint="default" w:ascii="Times New Roman" w:hAnsi="Times New Roman" w:cs="Times New Roman"/>
                      <w:b w:val="0"/>
                      <w:bCs w:val="0"/>
                      <w:color w:val="000000" w:themeColor="text1"/>
                      <w:spacing w:val="-1"/>
                      <w:highlight w:val="none"/>
                      <w14:textFill>
                        <w14:solidFill>
                          <w14:schemeClr w14:val="tx1"/>
                        </w14:solidFill>
                      </w14:textFill>
                    </w:rPr>
                    <w:t>镓、钒、钛、钴</w:t>
                  </w:r>
                  <w:r>
                    <w:rPr>
                      <w:rFonts w:hint="default" w:ascii="Times New Roman" w:hAnsi="Times New Roman" w:cs="Times New Roman"/>
                      <w:b w:val="0"/>
                      <w:bCs w:val="0"/>
                      <w:color w:val="000000" w:themeColor="text1"/>
                      <w:spacing w:val="-1"/>
                      <w:highlight w:val="none"/>
                      <w:lang w:eastAsia="zh-CN"/>
                      <w14:textFill>
                        <w14:solidFill>
                          <w14:schemeClr w14:val="tx1"/>
                        </w14:solidFill>
                      </w14:textFill>
                    </w:rPr>
                    <w:t>）</w:t>
                  </w:r>
                  <w:r>
                    <w:rPr>
                      <w:rFonts w:hint="default" w:ascii="Times New Roman" w:hAnsi="Times New Roman" w:cs="Times New Roman"/>
                      <w:b w:val="0"/>
                      <w:bCs w:val="0"/>
                      <w:color w:val="000000" w:themeColor="text1"/>
                      <w:spacing w:val="-1"/>
                      <w:highlight w:val="none"/>
                      <w14:textFill>
                        <w14:solidFill>
                          <w14:schemeClr w14:val="tx1"/>
                        </w14:solidFill>
                      </w14:textFill>
                    </w:rPr>
                    <w:t>。</w:t>
                  </w:r>
                </w:p>
              </w:tc>
            </w:tr>
            <w:tr w14:paraId="31AA1E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533" w:type="pct"/>
                  <w:noWrap w:val="0"/>
                  <w:vAlign w:val="center"/>
                </w:tcPr>
                <w:p w14:paraId="4CDB1416">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焦炉</w:t>
                  </w:r>
                </w:p>
                <w:p w14:paraId="3CDB13E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煤气</w:t>
                  </w:r>
                </w:p>
              </w:tc>
              <w:tc>
                <w:tcPr>
                  <w:tcW w:w="4466" w:type="pct"/>
                  <w:noWrap w:val="0"/>
                  <w:vAlign w:val="center"/>
                </w:tcPr>
                <w:p w14:paraId="672EB59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both"/>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又称焦炉气，由于可燃成分多，属于高热值煤气，粗煤气或</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煤气</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。是指用几种烟煤配制成炼焦用煤，在炼焦炉中经过高温干馏后，在产出焦炭和焦油产品的同时所产生的一种可燃性气体，是炼焦工业的副产品。焦炉气是混合物，其主要成分为氢气</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（55%～60%）</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和甲烷</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23%～27%，</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另外还含有少量的一氧化碳</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（5%～8%）</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、C2以上不饱和烃</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（2%～4%）</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、二氧化碳</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（1.5%～3%）</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、氧气</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0.3%～0.8%</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、氮气</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（3%～7%）</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。其中氢气、甲烷、一氧化碳、C</w:t>
                  </w:r>
                  <w:r>
                    <w:rPr>
                      <w:rFonts w:hint="default" w:ascii="Times New Roman" w:hAnsi="Times New Roman" w:eastAsia="宋体" w:cs="Times New Roman"/>
                      <w:b w:val="0"/>
                      <w:bCs w:val="0"/>
                      <w:color w:val="000000" w:themeColor="text1"/>
                      <w:sz w:val="21"/>
                      <w:szCs w:val="21"/>
                      <w:highlight w:val="none"/>
                      <w:vertAlign w:val="subscript"/>
                      <w14:textFill>
                        <w14:solidFill>
                          <w14:schemeClr w14:val="tx1"/>
                        </w14:solidFill>
                      </w14:textFill>
                    </w:rPr>
                    <w:t>2</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以上不饱和烃为可燃组分，二氧化碳、氮气、氧气为不可燃组分。</w:t>
                  </w:r>
                </w:p>
              </w:tc>
            </w:tr>
          </w:tbl>
          <w:p w14:paraId="27384437">
            <w:pPr>
              <w:pStyle w:val="13"/>
              <w:keepNext w:val="0"/>
              <w:keepLines w:val="0"/>
              <w:pageBreakBefore w:val="0"/>
              <w:widowControl w:val="0"/>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本项目的原料为</w:t>
            </w:r>
            <w:r>
              <w:rPr>
                <w:rFonts w:hint="default" w:ascii="Times New Roman" w:hAnsi="Times New Roman" w:cs="Times New Roman"/>
                <w:color w:val="000000" w:themeColor="text1"/>
                <w:sz w:val="24"/>
                <w:szCs w:val="24"/>
                <w:highlight w:val="none"/>
                <w:lang w:eastAsia="zh-CN"/>
                <w14:textFill>
                  <w14:solidFill>
                    <w14:schemeClr w14:val="tx1"/>
                  </w14:solidFill>
                </w14:textFill>
              </w:rPr>
              <w:t>原料粉</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《内蒙古伊东高新材料科技有限公司固废利用项目》</w:t>
            </w:r>
            <w:r>
              <w:rPr>
                <w:rFonts w:hint="default" w:ascii="Times New Roman" w:hAnsi="Times New Roman" w:eastAsia="宋体" w:cs="Times New Roman"/>
                <w:color w:val="000000" w:themeColor="text1"/>
                <w:sz w:val="24"/>
                <w:szCs w:val="24"/>
                <w:highlight w:val="none"/>
                <w14:textFill>
                  <w14:solidFill>
                    <w14:schemeClr w14:val="tx1"/>
                  </w14:solidFill>
                </w14:textFill>
              </w:rPr>
              <w:t>已对煤矸石品质进行了分选、烘干兼粉磨和储存均化</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等</w:t>
            </w: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预处理</w:t>
            </w:r>
            <w:r>
              <w:rPr>
                <w:rFonts w:hint="default" w:ascii="Times New Roman" w:hAnsi="Times New Roman" w:eastAsia="宋体" w:cs="Times New Roman"/>
                <w:color w:val="000000" w:themeColor="text1"/>
                <w:sz w:val="24"/>
                <w:szCs w:val="24"/>
                <w:highlight w:val="none"/>
                <w14:textFill>
                  <w14:solidFill>
                    <w14:schemeClr w14:val="tx1"/>
                  </w14:solidFill>
                </w14:textFill>
              </w:rPr>
              <w:t>。提供给本项目的</w:t>
            </w:r>
            <w:r>
              <w:rPr>
                <w:rFonts w:hint="default" w:ascii="Times New Roman" w:hAnsi="Times New Roman" w:cs="Times New Roman"/>
                <w:color w:val="000000" w:themeColor="text1"/>
                <w:sz w:val="24"/>
                <w:szCs w:val="24"/>
                <w:highlight w:val="none"/>
                <w:lang w:eastAsia="zh-CN"/>
                <w14:textFill>
                  <w14:solidFill>
                    <w14:schemeClr w14:val="tx1"/>
                  </w14:solidFill>
                </w14:textFill>
              </w:rPr>
              <w:t>原料粉</w:t>
            </w:r>
            <w:r>
              <w:rPr>
                <w:rFonts w:hint="default" w:ascii="Times New Roman" w:hAnsi="Times New Roman" w:eastAsia="宋体" w:cs="Times New Roman"/>
                <w:color w:val="000000" w:themeColor="text1"/>
                <w:sz w:val="24"/>
                <w:szCs w:val="24"/>
                <w:highlight w:val="none"/>
                <w14:textFill>
                  <w14:solidFill>
                    <w14:schemeClr w14:val="tx1"/>
                  </w14:solidFill>
                </w14:textFill>
              </w:rPr>
              <w:t>细度为325目筛余≤1%，水分≤1%。</w:t>
            </w:r>
            <w:r>
              <w:rPr>
                <w:rFonts w:hint="default" w:ascii="Times New Roman" w:hAnsi="Times New Roman" w:cs="Times New Roman"/>
                <w:color w:val="000000" w:themeColor="text1"/>
                <w:sz w:val="24"/>
                <w:szCs w:val="24"/>
                <w:highlight w:val="none"/>
                <w:lang w:eastAsia="zh-CN"/>
                <w14:textFill>
                  <w14:solidFill>
                    <w14:schemeClr w14:val="tx1"/>
                  </w14:solidFill>
                </w14:textFill>
              </w:rPr>
              <w:t>原料粉</w:t>
            </w:r>
            <w:r>
              <w:rPr>
                <w:rFonts w:hint="default" w:ascii="Times New Roman" w:hAnsi="Times New Roman" w:eastAsia="宋体" w:cs="Times New Roman"/>
                <w:color w:val="000000" w:themeColor="text1"/>
                <w:sz w:val="24"/>
                <w:szCs w:val="24"/>
                <w:highlight w:val="none"/>
                <w14:textFill>
                  <w14:solidFill>
                    <w14:schemeClr w14:val="tx1"/>
                  </w14:solidFill>
                </w14:textFill>
              </w:rPr>
              <w:t>数据如下：</w:t>
            </w:r>
          </w:p>
          <w:p w14:paraId="69C66827">
            <w:pPr>
              <w:adjustRightInd w:val="0"/>
              <w:snapToGrid w:val="0"/>
              <w:spacing w:line="240" w:lineRule="auto"/>
              <w:ind w:firstLine="2650" w:firstLineChars="1100"/>
              <w:rPr>
                <w:rFonts w:hint="default" w:ascii="Times New Roman" w:hAnsi="Times New Roman" w:eastAsia="宋体" w:cs="Times New Roman"/>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bCs w:val="0"/>
                <w:color w:val="000000" w:themeColor="text1"/>
                <w:sz w:val="24"/>
                <w:szCs w:val="24"/>
                <w:highlight w:val="none"/>
                <w14:textFill>
                  <w14:solidFill>
                    <w14:schemeClr w14:val="tx1"/>
                  </w14:solidFill>
                </w14:textFill>
              </w:rPr>
              <w:t>表</w:t>
            </w: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b/>
                <w:bCs w:val="0"/>
                <w:color w:val="000000" w:themeColor="text1"/>
                <w:sz w:val="24"/>
                <w:szCs w:val="24"/>
                <w:highlight w:val="none"/>
                <w14:textFill>
                  <w14:solidFill>
                    <w14:schemeClr w14:val="tx1"/>
                  </w14:solidFill>
                </w14:textFill>
              </w:rPr>
              <w:t>-1</w:t>
            </w: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7</w:t>
            </w:r>
            <w:r>
              <w:rPr>
                <w:rFonts w:hint="default" w:ascii="Times New Roman" w:hAnsi="Times New Roman" w:cs="Times New Roman"/>
                <w:b/>
                <w:bCs w:val="0"/>
                <w:color w:val="000000" w:themeColor="text1"/>
                <w:sz w:val="24"/>
                <w:szCs w:val="24"/>
                <w:highlight w:val="none"/>
                <w:lang w:eastAsia="zh-CN"/>
                <w14:textFill>
                  <w14:solidFill>
                    <w14:schemeClr w14:val="tx1"/>
                  </w14:solidFill>
                </w14:textFill>
              </w:rPr>
              <w:t>原料粉</w:t>
            </w:r>
            <w:r>
              <w:rPr>
                <w:rFonts w:hint="default" w:ascii="Times New Roman" w:hAnsi="Times New Roman" w:eastAsia="宋体" w:cs="Times New Roman"/>
                <w:b/>
                <w:bCs w:val="0"/>
                <w:color w:val="000000" w:themeColor="text1"/>
                <w:sz w:val="24"/>
                <w:szCs w:val="24"/>
                <w:highlight w:val="none"/>
                <w14:textFill>
                  <w14:solidFill>
                    <w14:schemeClr w14:val="tx1"/>
                  </w14:solidFill>
                </w14:textFill>
              </w:rPr>
              <w:t>化学成分（%）</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5"/>
              <w:gridCol w:w="855"/>
              <w:gridCol w:w="803"/>
              <w:gridCol w:w="734"/>
              <w:gridCol w:w="995"/>
              <w:gridCol w:w="954"/>
              <w:gridCol w:w="724"/>
              <w:gridCol w:w="722"/>
              <w:gridCol w:w="819"/>
              <w:gridCol w:w="918"/>
            </w:tblGrid>
            <w:tr w14:paraId="2C8A6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0" w:type="pct"/>
                  <w:noWrap w:val="0"/>
                  <w:vAlign w:val="center"/>
                </w:tcPr>
                <w:p w14:paraId="4F9CA6C0">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Loss</w:t>
                  </w:r>
                </w:p>
              </w:tc>
              <w:tc>
                <w:tcPr>
                  <w:tcW w:w="510" w:type="pct"/>
                  <w:noWrap w:val="0"/>
                  <w:vAlign w:val="center"/>
                </w:tcPr>
                <w:p w14:paraId="529A5A58">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SiO</w:t>
                  </w:r>
                  <w:r>
                    <w:rPr>
                      <w:rFonts w:hint="default" w:ascii="Times New Roman" w:hAnsi="Times New Roman" w:eastAsia="宋体" w:cs="Times New Roman"/>
                      <w:bCs/>
                      <w:color w:val="000000" w:themeColor="text1"/>
                      <w:sz w:val="21"/>
                      <w:szCs w:val="24"/>
                      <w:highlight w:val="none"/>
                      <w:vertAlign w:val="subscript"/>
                      <w14:textFill>
                        <w14:solidFill>
                          <w14:schemeClr w14:val="tx1"/>
                        </w14:solidFill>
                      </w14:textFill>
                    </w:rPr>
                    <w:t>2</w:t>
                  </w:r>
                </w:p>
              </w:tc>
              <w:tc>
                <w:tcPr>
                  <w:tcW w:w="479" w:type="pct"/>
                  <w:noWrap w:val="0"/>
                  <w:vAlign w:val="center"/>
                </w:tcPr>
                <w:p w14:paraId="0569CE5F">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Al</w:t>
                  </w:r>
                  <w:r>
                    <w:rPr>
                      <w:rFonts w:hint="default" w:ascii="Times New Roman" w:hAnsi="Times New Roman" w:eastAsia="宋体" w:cs="Times New Roman"/>
                      <w:bCs/>
                      <w:color w:val="000000" w:themeColor="text1"/>
                      <w:sz w:val="21"/>
                      <w:szCs w:val="24"/>
                      <w:highlight w:val="none"/>
                      <w:vertAlign w:val="subscript"/>
                      <w14:textFill>
                        <w14:solidFill>
                          <w14:schemeClr w14:val="tx1"/>
                        </w14:solidFill>
                      </w14:textFill>
                    </w:rPr>
                    <w:t>2</w:t>
                  </w:r>
                  <w:r>
                    <w:rPr>
                      <w:rFonts w:hint="default" w:ascii="Times New Roman" w:hAnsi="Times New Roman" w:eastAsia="宋体" w:cs="Times New Roman"/>
                      <w:bCs/>
                      <w:color w:val="000000" w:themeColor="text1"/>
                      <w:sz w:val="21"/>
                      <w:szCs w:val="24"/>
                      <w:highlight w:val="none"/>
                      <w14:textFill>
                        <w14:solidFill>
                          <w14:schemeClr w14:val="tx1"/>
                        </w14:solidFill>
                      </w14:textFill>
                    </w:rPr>
                    <w:t>O</w:t>
                  </w:r>
                  <w:r>
                    <w:rPr>
                      <w:rFonts w:hint="default" w:ascii="Times New Roman" w:hAnsi="Times New Roman" w:eastAsia="宋体" w:cs="Times New Roman"/>
                      <w:bCs/>
                      <w:color w:val="000000" w:themeColor="text1"/>
                      <w:sz w:val="21"/>
                      <w:szCs w:val="24"/>
                      <w:highlight w:val="none"/>
                      <w:vertAlign w:val="subscript"/>
                      <w14:textFill>
                        <w14:solidFill>
                          <w14:schemeClr w14:val="tx1"/>
                        </w14:solidFill>
                      </w14:textFill>
                    </w:rPr>
                    <w:t>3</w:t>
                  </w:r>
                </w:p>
              </w:tc>
              <w:tc>
                <w:tcPr>
                  <w:tcW w:w="438" w:type="pct"/>
                  <w:noWrap w:val="0"/>
                  <w:vAlign w:val="center"/>
                </w:tcPr>
                <w:p w14:paraId="7DA96D16">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Fe</w:t>
                  </w:r>
                  <w:r>
                    <w:rPr>
                      <w:rFonts w:hint="default" w:ascii="Times New Roman" w:hAnsi="Times New Roman" w:eastAsia="宋体" w:cs="Times New Roman"/>
                      <w:bCs/>
                      <w:color w:val="000000" w:themeColor="text1"/>
                      <w:sz w:val="21"/>
                      <w:szCs w:val="24"/>
                      <w:highlight w:val="none"/>
                      <w:vertAlign w:val="subscript"/>
                      <w14:textFill>
                        <w14:solidFill>
                          <w14:schemeClr w14:val="tx1"/>
                        </w14:solidFill>
                      </w14:textFill>
                    </w:rPr>
                    <w:t>2</w:t>
                  </w:r>
                  <w:r>
                    <w:rPr>
                      <w:rFonts w:hint="default" w:ascii="Times New Roman" w:hAnsi="Times New Roman" w:eastAsia="宋体" w:cs="Times New Roman"/>
                      <w:bCs/>
                      <w:color w:val="000000" w:themeColor="text1"/>
                      <w:sz w:val="21"/>
                      <w:szCs w:val="24"/>
                      <w:highlight w:val="none"/>
                      <w14:textFill>
                        <w14:solidFill>
                          <w14:schemeClr w14:val="tx1"/>
                        </w14:solidFill>
                      </w14:textFill>
                    </w:rPr>
                    <w:t>O</w:t>
                  </w:r>
                  <w:r>
                    <w:rPr>
                      <w:rFonts w:hint="default" w:ascii="Times New Roman" w:hAnsi="Times New Roman" w:eastAsia="宋体" w:cs="Times New Roman"/>
                      <w:bCs/>
                      <w:color w:val="000000" w:themeColor="text1"/>
                      <w:sz w:val="21"/>
                      <w:szCs w:val="24"/>
                      <w:highlight w:val="none"/>
                      <w:vertAlign w:val="subscript"/>
                      <w14:textFill>
                        <w14:solidFill>
                          <w14:schemeClr w14:val="tx1"/>
                        </w14:solidFill>
                      </w14:textFill>
                    </w:rPr>
                    <w:t>3</w:t>
                  </w:r>
                </w:p>
              </w:tc>
              <w:tc>
                <w:tcPr>
                  <w:tcW w:w="594" w:type="pct"/>
                  <w:noWrap w:val="0"/>
                  <w:vAlign w:val="center"/>
                </w:tcPr>
                <w:p w14:paraId="03BD34F9">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CaO</w:t>
                  </w:r>
                </w:p>
              </w:tc>
              <w:tc>
                <w:tcPr>
                  <w:tcW w:w="569" w:type="pct"/>
                  <w:noWrap w:val="0"/>
                  <w:vAlign w:val="center"/>
                </w:tcPr>
                <w:p w14:paraId="31928991">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MgO</w:t>
                  </w:r>
                </w:p>
              </w:tc>
              <w:tc>
                <w:tcPr>
                  <w:tcW w:w="432" w:type="pct"/>
                  <w:noWrap w:val="0"/>
                  <w:vAlign w:val="center"/>
                </w:tcPr>
                <w:p w14:paraId="495D63B3">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Na</w:t>
                  </w:r>
                  <w:r>
                    <w:rPr>
                      <w:rFonts w:hint="default" w:ascii="Times New Roman" w:hAnsi="Times New Roman" w:eastAsia="宋体" w:cs="Times New Roman"/>
                      <w:bCs/>
                      <w:color w:val="000000" w:themeColor="text1"/>
                      <w:sz w:val="21"/>
                      <w:szCs w:val="24"/>
                      <w:highlight w:val="none"/>
                      <w:vertAlign w:val="subscript"/>
                      <w14:textFill>
                        <w14:solidFill>
                          <w14:schemeClr w14:val="tx1"/>
                        </w14:solidFill>
                      </w14:textFill>
                    </w:rPr>
                    <w:t>2</w:t>
                  </w:r>
                  <w:r>
                    <w:rPr>
                      <w:rFonts w:hint="default" w:ascii="Times New Roman" w:hAnsi="Times New Roman" w:eastAsia="宋体" w:cs="Times New Roman"/>
                      <w:bCs/>
                      <w:color w:val="000000" w:themeColor="text1"/>
                      <w:sz w:val="21"/>
                      <w:szCs w:val="24"/>
                      <w:highlight w:val="none"/>
                      <w14:textFill>
                        <w14:solidFill>
                          <w14:schemeClr w14:val="tx1"/>
                        </w14:solidFill>
                      </w14:textFill>
                    </w:rPr>
                    <w:t>O</w:t>
                  </w:r>
                </w:p>
              </w:tc>
              <w:tc>
                <w:tcPr>
                  <w:tcW w:w="431" w:type="pct"/>
                  <w:noWrap w:val="0"/>
                  <w:vAlign w:val="center"/>
                </w:tcPr>
                <w:p w14:paraId="605A571A">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K</w:t>
                  </w:r>
                  <w:r>
                    <w:rPr>
                      <w:rFonts w:hint="default" w:ascii="Times New Roman" w:hAnsi="Times New Roman" w:eastAsia="宋体" w:cs="Times New Roman"/>
                      <w:bCs/>
                      <w:color w:val="000000" w:themeColor="text1"/>
                      <w:sz w:val="21"/>
                      <w:szCs w:val="24"/>
                      <w:highlight w:val="none"/>
                      <w:vertAlign w:val="subscript"/>
                      <w14:textFill>
                        <w14:solidFill>
                          <w14:schemeClr w14:val="tx1"/>
                        </w14:solidFill>
                      </w14:textFill>
                    </w:rPr>
                    <w:t>2</w:t>
                  </w:r>
                  <w:r>
                    <w:rPr>
                      <w:rFonts w:hint="default" w:ascii="Times New Roman" w:hAnsi="Times New Roman" w:eastAsia="宋体" w:cs="Times New Roman"/>
                      <w:bCs/>
                      <w:color w:val="000000" w:themeColor="text1"/>
                      <w:sz w:val="21"/>
                      <w:szCs w:val="24"/>
                      <w:highlight w:val="none"/>
                      <w14:textFill>
                        <w14:solidFill>
                          <w14:schemeClr w14:val="tx1"/>
                        </w14:solidFill>
                      </w14:textFill>
                    </w:rPr>
                    <w:t>O</w:t>
                  </w:r>
                </w:p>
              </w:tc>
              <w:tc>
                <w:tcPr>
                  <w:tcW w:w="489" w:type="pct"/>
                  <w:noWrap w:val="0"/>
                  <w:vAlign w:val="center"/>
                </w:tcPr>
                <w:p w14:paraId="451A26C7">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TiO</w:t>
                  </w:r>
                  <w:r>
                    <w:rPr>
                      <w:rFonts w:hint="default" w:ascii="Times New Roman" w:hAnsi="Times New Roman" w:eastAsia="宋体" w:cs="Times New Roman"/>
                      <w:bCs/>
                      <w:color w:val="000000" w:themeColor="text1"/>
                      <w:sz w:val="21"/>
                      <w:szCs w:val="24"/>
                      <w:highlight w:val="none"/>
                      <w:vertAlign w:val="subscript"/>
                      <w14:textFill>
                        <w14:solidFill>
                          <w14:schemeClr w14:val="tx1"/>
                        </w14:solidFill>
                      </w14:textFill>
                    </w:rPr>
                    <w:t>2</w:t>
                  </w:r>
                </w:p>
              </w:tc>
              <w:tc>
                <w:tcPr>
                  <w:tcW w:w="549" w:type="pct"/>
                  <w:noWrap w:val="0"/>
                  <w:vAlign w:val="center"/>
                </w:tcPr>
                <w:p w14:paraId="6BD0E727">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Cl</w:t>
                  </w:r>
                  <w:r>
                    <w:rPr>
                      <w:rFonts w:hint="default" w:ascii="Times New Roman" w:hAnsi="Times New Roman" w:eastAsia="宋体" w:cs="Times New Roman"/>
                      <w:bCs/>
                      <w:color w:val="000000" w:themeColor="text1"/>
                      <w:sz w:val="21"/>
                      <w:szCs w:val="24"/>
                      <w:highlight w:val="none"/>
                      <w:vertAlign w:val="superscript"/>
                      <w14:textFill>
                        <w14:solidFill>
                          <w14:schemeClr w14:val="tx1"/>
                        </w14:solidFill>
                      </w14:textFill>
                    </w:rPr>
                    <w:t>-</w:t>
                  </w:r>
                </w:p>
              </w:tc>
            </w:tr>
            <w:tr w14:paraId="65F61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0" w:type="pct"/>
                  <w:noWrap w:val="0"/>
                  <w:vAlign w:val="center"/>
                </w:tcPr>
                <w:p w14:paraId="2B403DB8">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17.7</w:t>
                  </w:r>
                </w:p>
              </w:tc>
              <w:tc>
                <w:tcPr>
                  <w:tcW w:w="510" w:type="pct"/>
                  <w:noWrap w:val="0"/>
                  <w:vAlign w:val="center"/>
                </w:tcPr>
                <w:p w14:paraId="2644B17C">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43.72</w:t>
                  </w:r>
                </w:p>
              </w:tc>
              <w:tc>
                <w:tcPr>
                  <w:tcW w:w="479" w:type="pct"/>
                  <w:noWrap w:val="0"/>
                  <w:vAlign w:val="center"/>
                </w:tcPr>
                <w:p w14:paraId="43A32DE3">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37.68</w:t>
                  </w:r>
                </w:p>
              </w:tc>
              <w:tc>
                <w:tcPr>
                  <w:tcW w:w="438" w:type="pct"/>
                  <w:noWrap w:val="0"/>
                  <w:vAlign w:val="center"/>
                </w:tcPr>
                <w:p w14:paraId="478D0BA4">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0.39</w:t>
                  </w:r>
                </w:p>
              </w:tc>
              <w:tc>
                <w:tcPr>
                  <w:tcW w:w="594" w:type="pct"/>
                  <w:noWrap w:val="0"/>
                  <w:vAlign w:val="center"/>
                </w:tcPr>
                <w:p w14:paraId="7487B602">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0.03</w:t>
                  </w:r>
                </w:p>
              </w:tc>
              <w:tc>
                <w:tcPr>
                  <w:tcW w:w="569" w:type="pct"/>
                  <w:noWrap w:val="0"/>
                  <w:vAlign w:val="center"/>
                </w:tcPr>
                <w:p w14:paraId="740F499F">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0.03</w:t>
                  </w:r>
                </w:p>
              </w:tc>
              <w:tc>
                <w:tcPr>
                  <w:tcW w:w="432" w:type="pct"/>
                  <w:noWrap w:val="0"/>
                  <w:vAlign w:val="center"/>
                </w:tcPr>
                <w:p w14:paraId="2A8016D3">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0.03</w:t>
                  </w:r>
                </w:p>
              </w:tc>
              <w:tc>
                <w:tcPr>
                  <w:tcW w:w="431" w:type="pct"/>
                  <w:noWrap w:val="0"/>
                  <w:vAlign w:val="center"/>
                </w:tcPr>
                <w:p w14:paraId="054D094F">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0.04</w:t>
                  </w:r>
                </w:p>
              </w:tc>
              <w:tc>
                <w:tcPr>
                  <w:tcW w:w="489" w:type="pct"/>
                  <w:noWrap w:val="0"/>
                  <w:vAlign w:val="center"/>
                </w:tcPr>
                <w:p w14:paraId="110B78C1">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0.38</w:t>
                  </w:r>
                </w:p>
              </w:tc>
              <w:tc>
                <w:tcPr>
                  <w:tcW w:w="549" w:type="pct"/>
                  <w:noWrap w:val="0"/>
                  <w:vAlign w:val="center"/>
                </w:tcPr>
                <w:p w14:paraId="31E9FF7A">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0.0004</w:t>
                  </w:r>
                </w:p>
              </w:tc>
            </w:tr>
          </w:tbl>
          <w:p w14:paraId="276FE0A9">
            <w:pPr>
              <w:adjustRightInd w:val="0"/>
              <w:snapToGrid w:val="0"/>
              <w:spacing w:line="240" w:lineRule="auto"/>
              <w:ind w:firstLine="2650" w:firstLineChars="1100"/>
              <w:rPr>
                <w:rFonts w:hint="default" w:ascii="Times New Roman" w:hAnsi="Times New Roman" w:eastAsia="宋体" w:cs="Times New Roman"/>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bCs w:val="0"/>
                <w:color w:val="000000" w:themeColor="text1"/>
                <w:sz w:val="24"/>
                <w:szCs w:val="24"/>
                <w:highlight w:val="none"/>
                <w14:textFill>
                  <w14:solidFill>
                    <w14:schemeClr w14:val="tx1"/>
                  </w14:solidFill>
                </w14:textFill>
              </w:rPr>
              <w:t>表</w:t>
            </w: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2-18</w:t>
            </w:r>
            <w:r>
              <w:rPr>
                <w:rFonts w:hint="default" w:ascii="Times New Roman" w:hAnsi="Times New Roman" w:cs="Times New Roman"/>
                <w:b/>
                <w:bCs w:val="0"/>
                <w:color w:val="000000" w:themeColor="text1"/>
                <w:sz w:val="24"/>
                <w:szCs w:val="24"/>
                <w:highlight w:val="none"/>
                <w:lang w:eastAsia="zh-CN"/>
                <w14:textFill>
                  <w14:solidFill>
                    <w14:schemeClr w14:val="tx1"/>
                  </w14:solidFill>
                </w14:textFill>
              </w:rPr>
              <w:t>原料粉</w:t>
            </w:r>
            <w:r>
              <w:rPr>
                <w:rFonts w:hint="default" w:ascii="Times New Roman" w:hAnsi="Times New Roman" w:eastAsia="宋体" w:cs="Times New Roman"/>
                <w:b/>
                <w:bCs w:val="0"/>
                <w:color w:val="000000" w:themeColor="text1"/>
                <w:sz w:val="24"/>
                <w:szCs w:val="24"/>
                <w:highlight w:val="none"/>
                <w14:textFill>
                  <w14:solidFill>
                    <w14:schemeClr w14:val="tx1"/>
                  </w14:solidFill>
                </w14:textFill>
              </w:rPr>
              <w:t>的工业分析（%）</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1326"/>
              <w:gridCol w:w="1326"/>
              <w:gridCol w:w="1129"/>
              <w:gridCol w:w="3469"/>
            </w:tblGrid>
            <w:tr w14:paraId="02989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4" w:type="pct"/>
                  <w:noWrap w:val="0"/>
                  <w:vAlign w:val="center"/>
                </w:tcPr>
                <w:p w14:paraId="1B6A017E">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Mad</w:t>
                  </w:r>
                </w:p>
              </w:tc>
              <w:tc>
                <w:tcPr>
                  <w:tcW w:w="791" w:type="pct"/>
                  <w:noWrap w:val="0"/>
                  <w:vAlign w:val="center"/>
                </w:tcPr>
                <w:p w14:paraId="33033F76">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Vad</w:t>
                  </w:r>
                </w:p>
              </w:tc>
              <w:tc>
                <w:tcPr>
                  <w:tcW w:w="791" w:type="pct"/>
                  <w:noWrap w:val="0"/>
                  <w:vAlign w:val="center"/>
                </w:tcPr>
                <w:p w14:paraId="524402C1">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Aad</w:t>
                  </w:r>
                </w:p>
              </w:tc>
              <w:tc>
                <w:tcPr>
                  <w:tcW w:w="674" w:type="pct"/>
                  <w:noWrap w:val="0"/>
                  <w:vAlign w:val="center"/>
                </w:tcPr>
                <w:p w14:paraId="645DDF31">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FCad</w:t>
                  </w:r>
                </w:p>
              </w:tc>
              <w:tc>
                <w:tcPr>
                  <w:tcW w:w="2070" w:type="pct"/>
                  <w:noWrap w:val="0"/>
                  <w:vAlign w:val="center"/>
                </w:tcPr>
                <w:p w14:paraId="7088FFE6">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lang w:eastAsia="zh-CN"/>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Q</w:t>
                  </w:r>
                  <w:r>
                    <w:rPr>
                      <w:rFonts w:hint="default" w:ascii="Times New Roman" w:hAnsi="Times New Roman" w:eastAsia="宋体" w:cs="Times New Roman"/>
                      <w:bCs/>
                      <w:color w:val="000000" w:themeColor="text1"/>
                      <w:sz w:val="21"/>
                      <w:szCs w:val="24"/>
                      <w:highlight w:val="none"/>
                      <w:vertAlign w:val="subscript"/>
                      <w14:textFill>
                        <w14:solidFill>
                          <w14:schemeClr w14:val="tx1"/>
                        </w14:solidFill>
                      </w14:textFill>
                    </w:rPr>
                    <w:t>DW</w:t>
                  </w:r>
                  <w:r>
                    <w:rPr>
                      <w:rFonts w:hint="default" w:ascii="Times New Roman" w:hAnsi="Times New Roman" w:cs="Times New Roman"/>
                      <w:bCs/>
                      <w:color w:val="000000" w:themeColor="text1"/>
                      <w:sz w:val="21"/>
                      <w:szCs w:val="24"/>
                      <w:highlight w:val="none"/>
                      <w:vertAlign w:val="subscript"/>
                      <w:lang w:eastAsia="zh-CN"/>
                      <w14:textFill>
                        <w14:solidFill>
                          <w14:schemeClr w14:val="tx1"/>
                        </w14:solidFill>
                      </w14:textFill>
                    </w:rPr>
                    <w:t>，</w:t>
                  </w:r>
                  <w:r>
                    <w:rPr>
                      <w:rFonts w:hint="default" w:ascii="Times New Roman" w:hAnsi="Times New Roman" w:eastAsia="宋体" w:cs="Times New Roman"/>
                      <w:bCs/>
                      <w:color w:val="000000" w:themeColor="text1"/>
                      <w:sz w:val="21"/>
                      <w:szCs w:val="24"/>
                      <w:highlight w:val="none"/>
                      <w14:textFill>
                        <w14:solidFill>
                          <w14:schemeClr w14:val="tx1"/>
                        </w14:solidFill>
                      </w14:textFill>
                    </w:rPr>
                    <w:t>ad</w:t>
                  </w:r>
                  <w:r>
                    <w:rPr>
                      <w:rFonts w:hint="default" w:ascii="Times New Roman" w:hAnsi="Times New Roman" w:cs="Times New Roman"/>
                      <w:bCs/>
                      <w:color w:val="000000" w:themeColor="text1"/>
                      <w:sz w:val="21"/>
                      <w:szCs w:val="24"/>
                      <w:highlight w:val="none"/>
                      <w:lang w:eastAsia="zh-CN"/>
                      <w14:textFill>
                        <w14:solidFill>
                          <w14:schemeClr w14:val="tx1"/>
                        </w14:solidFill>
                      </w14:textFill>
                    </w:rPr>
                    <w:t>(</w:t>
                  </w:r>
                  <w:r>
                    <w:rPr>
                      <w:rFonts w:hint="default" w:ascii="Times New Roman" w:hAnsi="Times New Roman" w:eastAsia="宋体" w:cs="Times New Roman"/>
                      <w:bCs/>
                      <w:color w:val="000000" w:themeColor="text1"/>
                      <w:sz w:val="21"/>
                      <w:szCs w:val="24"/>
                      <w:highlight w:val="none"/>
                      <w14:textFill>
                        <w14:solidFill>
                          <w14:schemeClr w14:val="tx1"/>
                        </w14:solidFill>
                      </w14:textFill>
                    </w:rPr>
                    <w:t>kCal/kg</w:t>
                  </w:r>
                  <w:r>
                    <w:rPr>
                      <w:rFonts w:hint="default" w:ascii="Times New Roman" w:hAnsi="Times New Roman" w:cs="Times New Roman"/>
                      <w:bCs/>
                      <w:color w:val="000000" w:themeColor="text1"/>
                      <w:sz w:val="21"/>
                      <w:szCs w:val="24"/>
                      <w:highlight w:val="none"/>
                      <w:lang w:eastAsia="zh-CN"/>
                      <w14:textFill>
                        <w14:solidFill>
                          <w14:schemeClr w14:val="tx1"/>
                        </w14:solidFill>
                      </w14:textFill>
                    </w:rPr>
                    <w:t>)</w:t>
                  </w:r>
                </w:p>
              </w:tc>
            </w:tr>
            <w:tr w14:paraId="5172E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4" w:type="pct"/>
                  <w:noWrap w:val="0"/>
                  <w:vAlign w:val="center"/>
                </w:tcPr>
                <w:p w14:paraId="6342FBB6">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0.05</w:t>
                  </w:r>
                </w:p>
              </w:tc>
              <w:tc>
                <w:tcPr>
                  <w:tcW w:w="791" w:type="pct"/>
                  <w:noWrap w:val="0"/>
                  <w:vAlign w:val="center"/>
                </w:tcPr>
                <w:p w14:paraId="25C502C1">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lang w:eastAsia="zh-CN"/>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1</w:t>
                  </w:r>
                  <w:r>
                    <w:rPr>
                      <w:rFonts w:hint="default" w:ascii="Times New Roman" w:hAnsi="Times New Roman" w:cs="Times New Roman"/>
                      <w:bCs/>
                      <w:color w:val="000000" w:themeColor="text1"/>
                      <w:sz w:val="21"/>
                      <w:szCs w:val="24"/>
                      <w:highlight w:val="none"/>
                      <w:lang w:eastAsia="zh-CN"/>
                      <w14:textFill>
                        <w14:solidFill>
                          <w14:schemeClr w14:val="tx1"/>
                        </w14:solidFill>
                      </w14:textFill>
                    </w:rPr>
                    <w:t>4.11</w:t>
                  </w:r>
                </w:p>
              </w:tc>
              <w:tc>
                <w:tcPr>
                  <w:tcW w:w="791" w:type="pct"/>
                  <w:noWrap w:val="0"/>
                  <w:vAlign w:val="center"/>
                </w:tcPr>
                <w:p w14:paraId="53B3FE2C">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84.84</w:t>
                  </w:r>
                </w:p>
              </w:tc>
              <w:tc>
                <w:tcPr>
                  <w:tcW w:w="674" w:type="pct"/>
                  <w:noWrap w:val="0"/>
                  <w:vAlign w:val="center"/>
                </w:tcPr>
                <w:p w14:paraId="01604F67">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0.58</w:t>
                  </w:r>
                </w:p>
              </w:tc>
              <w:tc>
                <w:tcPr>
                  <w:tcW w:w="2070" w:type="pct"/>
                  <w:noWrap w:val="0"/>
                  <w:vAlign w:val="center"/>
                </w:tcPr>
                <w:p w14:paraId="23301562">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600</w:t>
                  </w:r>
                </w:p>
              </w:tc>
            </w:tr>
          </w:tbl>
          <w:p w14:paraId="6A9C355A">
            <w:pPr>
              <w:adjustRightInd w:val="0"/>
              <w:snapToGrid w:val="0"/>
              <w:spacing w:line="240" w:lineRule="auto"/>
              <w:ind w:firstLine="2650" w:firstLineChars="1100"/>
              <w:rPr>
                <w:rFonts w:hint="default" w:ascii="Times New Roman" w:hAnsi="Times New Roman" w:eastAsia="宋体" w:cs="Times New Roman"/>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bCs w:val="0"/>
                <w:color w:val="000000" w:themeColor="text1"/>
                <w:sz w:val="24"/>
                <w:szCs w:val="24"/>
                <w:highlight w:val="none"/>
                <w14:textFill>
                  <w14:solidFill>
                    <w14:schemeClr w14:val="tx1"/>
                  </w14:solidFill>
                </w14:textFill>
              </w:rPr>
              <w:t>表</w:t>
            </w: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b/>
                <w:bCs w:val="0"/>
                <w:color w:val="000000" w:themeColor="text1"/>
                <w:sz w:val="24"/>
                <w:szCs w:val="24"/>
                <w:highlight w:val="none"/>
                <w14:textFill>
                  <w14:solidFill>
                    <w14:schemeClr w14:val="tx1"/>
                  </w14:solidFill>
                </w14:textFill>
              </w:rPr>
              <w:t>-</w:t>
            </w: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19</w:t>
            </w:r>
            <w:r>
              <w:rPr>
                <w:rFonts w:hint="default" w:ascii="Times New Roman" w:hAnsi="Times New Roman" w:cs="Times New Roman"/>
                <w:b/>
                <w:bCs w:val="0"/>
                <w:color w:val="000000" w:themeColor="text1"/>
                <w:sz w:val="24"/>
                <w:szCs w:val="24"/>
                <w:highlight w:val="none"/>
                <w:lang w:eastAsia="zh-CN"/>
                <w14:textFill>
                  <w14:solidFill>
                    <w14:schemeClr w14:val="tx1"/>
                  </w14:solidFill>
                </w14:textFill>
              </w:rPr>
              <w:t>原料粉</w:t>
            </w:r>
            <w:r>
              <w:rPr>
                <w:rFonts w:hint="default" w:ascii="Times New Roman" w:hAnsi="Times New Roman" w:eastAsia="宋体" w:cs="Times New Roman"/>
                <w:b/>
                <w:bCs w:val="0"/>
                <w:color w:val="000000" w:themeColor="text1"/>
                <w:sz w:val="24"/>
                <w:szCs w:val="24"/>
                <w:highlight w:val="none"/>
                <w14:textFill>
                  <w14:solidFill>
                    <w14:schemeClr w14:val="tx1"/>
                  </w14:solidFill>
                </w14:textFill>
              </w:rPr>
              <w:t>的元素分析（%）</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20"/>
              <w:gridCol w:w="1620"/>
              <w:gridCol w:w="1899"/>
              <w:gridCol w:w="1620"/>
              <w:gridCol w:w="1620"/>
            </w:tblGrid>
            <w:tr w14:paraId="0F1BE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7" w:type="pct"/>
                  <w:noWrap w:val="0"/>
                  <w:vAlign w:val="center"/>
                </w:tcPr>
                <w:p w14:paraId="213F209E">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Cad</w:t>
                  </w:r>
                </w:p>
              </w:tc>
              <w:tc>
                <w:tcPr>
                  <w:tcW w:w="967" w:type="pct"/>
                  <w:noWrap w:val="0"/>
                  <w:vAlign w:val="center"/>
                </w:tcPr>
                <w:p w14:paraId="204C6A09">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Had</w:t>
                  </w:r>
                </w:p>
              </w:tc>
              <w:tc>
                <w:tcPr>
                  <w:tcW w:w="1133" w:type="pct"/>
                  <w:noWrap w:val="0"/>
                  <w:vAlign w:val="center"/>
                </w:tcPr>
                <w:p w14:paraId="2C619F41">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Oad</w:t>
                  </w:r>
                </w:p>
              </w:tc>
              <w:tc>
                <w:tcPr>
                  <w:tcW w:w="967" w:type="pct"/>
                  <w:noWrap w:val="0"/>
                  <w:vAlign w:val="center"/>
                </w:tcPr>
                <w:p w14:paraId="59B86E2D">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Nad</w:t>
                  </w:r>
                </w:p>
              </w:tc>
              <w:tc>
                <w:tcPr>
                  <w:tcW w:w="967" w:type="pct"/>
                  <w:noWrap w:val="0"/>
                  <w:vAlign w:val="center"/>
                </w:tcPr>
                <w:p w14:paraId="43541DB9">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Sad</w:t>
                  </w:r>
                </w:p>
              </w:tc>
            </w:tr>
            <w:tr w14:paraId="7F6B2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67" w:type="pct"/>
                  <w:noWrap w:val="0"/>
                  <w:vAlign w:val="center"/>
                </w:tcPr>
                <w:p w14:paraId="49A70303">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8.</w:t>
                  </w:r>
                  <w:r>
                    <w:rPr>
                      <w:rFonts w:hint="default" w:ascii="Times New Roman" w:hAnsi="Times New Roman" w:eastAsia="宋体" w:cs="Times New Roman"/>
                      <w:bCs/>
                      <w:color w:val="000000" w:themeColor="text1"/>
                      <w:sz w:val="21"/>
                      <w:szCs w:val="24"/>
                      <w:highlight w:val="none"/>
                      <w:lang w:val="en-US" w:eastAsia="zh-CN"/>
                      <w14:textFill>
                        <w14:solidFill>
                          <w14:schemeClr w14:val="tx1"/>
                        </w14:solidFill>
                      </w14:textFill>
                    </w:rPr>
                    <w:t>00</w:t>
                  </w:r>
                </w:p>
              </w:tc>
              <w:tc>
                <w:tcPr>
                  <w:tcW w:w="967" w:type="pct"/>
                  <w:noWrap w:val="0"/>
                  <w:vAlign w:val="center"/>
                </w:tcPr>
                <w:p w14:paraId="0D2B924A">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lang w:eastAsia="zh-CN"/>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1.8</w:t>
                  </w:r>
                  <w:r>
                    <w:rPr>
                      <w:rFonts w:hint="default" w:ascii="Times New Roman" w:hAnsi="Times New Roman" w:eastAsia="宋体" w:cs="Times New Roman"/>
                      <w:bCs/>
                      <w:color w:val="000000" w:themeColor="text1"/>
                      <w:sz w:val="21"/>
                      <w:szCs w:val="24"/>
                      <w:highlight w:val="none"/>
                      <w:lang w:val="en-US" w:eastAsia="zh-CN"/>
                      <w14:textFill>
                        <w14:solidFill>
                          <w14:schemeClr w14:val="tx1"/>
                        </w14:solidFill>
                      </w14:textFill>
                    </w:rPr>
                    <w:t>0</w:t>
                  </w:r>
                </w:p>
              </w:tc>
              <w:tc>
                <w:tcPr>
                  <w:tcW w:w="1133" w:type="pct"/>
                  <w:noWrap w:val="0"/>
                  <w:vAlign w:val="center"/>
                </w:tcPr>
                <w:p w14:paraId="19949A36">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1</w:t>
                  </w:r>
                  <w:r>
                    <w:rPr>
                      <w:rFonts w:hint="default" w:ascii="Times New Roman" w:hAnsi="Times New Roman" w:eastAsia="宋体" w:cs="Times New Roman"/>
                      <w:bCs/>
                      <w:color w:val="000000" w:themeColor="text1"/>
                      <w:sz w:val="21"/>
                      <w:szCs w:val="24"/>
                      <w:highlight w:val="none"/>
                      <w:lang w:val="en-US" w:eastAsia="zh-CN"/>
                      <w14:textFill>
                        <w14:solidFill>
                          <w14:schemeClr w14:val="tx1"/>
                        </w14:solidFill>
                      </w14:textFill>
                    </w:rPr>
                    <w:t>0.00</w:t>
                  </w:r>
                </w:p>
              </w:tc>
              <w:tc>
                <w:tcPr>
                  <w:tcW w:w="967" w:type="pct"/>
                  <w:noWrap w:val="0"/>
                  <w:vAlign w:val="center"/>
                </w:tcPr>
                <w:p w14:paraId="0F6B6FE8">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0.</w:t>
                  </w:r>
                  <w:r>
                    <w:rPr>
                      <w:rFonts w:hint="default" w:ascii="Times New Roman" w:hAnsi="Times New Roman" w:eastAsia="宋体" w:cs="Times New Roman"/>
                      <w:bCs/>
                      <w:color w:val="000000" w:themeColor="text1"/>
                      <w:sz w:val="21"/>
                      <w:szCs w:val="24"/>
                      <w:highlight w:val="none"/>
                      <w:lang w:val="en-US" w:eastAsia="zh-CN"/>
                      <w14:textFill>
                        <w14:solidFill>
                          <w14:schemeClr w14:val="tx1"/>
                        </w14:solidFill>
                      </w14:textFill>
                    </w:rPr>
                    <w:t>08</w:t>
                  </w:r>
                </w:p>
              </w:tc>
              <w:tc>
                <w:tcPr>
                  <w:tcW w:w="967" w:type="pct"/>
                  <w:noWrap w:val="0"/>
                  <w:vAlign w:val="center"/>
                </w:tcPr>
                <w:p w14:paraId="58BE4BF1">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0.</w:t>
                  </w:r>
                  <w:r>
                    <w:rPr>
                      <w:rFonts w:hint="default" w:ascii="Times New Roman" w:hAnsi="Times New Roman" w:cs="Times New Roman"/>
                      <w:bCs/>
                      <w:color w:val="000000" w:themeColor="text1"/>
                      <w:sz w:val="21"/>
                      <w:szCs w:val="24"/>
                      <w:highlight w:val="none"/>
                      <w:lang w:val="en-US" w:eastAsia="zh-CN"/>
                      <w14:textFill>
                        <w14:solidFill>
                          <w14:schemeClr w14:val="tx1"/>
                        </w14:solidFill>
                      </w14:textFill>
                    </w:rPr>
                    <w:t>08</w:t>
                  </w:r>
                </w:p>
              </w:tc>
            </w:tr>
          </w:tbl>
          <w:p w14:paraId="31A291AC">
            <w:pPr>
              <w:pStyle w:val="13"/>
              <w:keepNext w:val="0"/>
              <w:keepLines w:val="0"/>
              <w:pageBreakBefore w:val="0"/>
              <w:widowControl w:val="0"/>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根据业主要求，本项目燃料为</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精脱硫后的</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煤气</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根据</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内蒙古伊东集团东方能源化工有限责任</w:t>
            </w:r>
            <w:r>
              <w:rPr>
                <w:rFonts w:hint="default" w:ascii="Times New Roman" w:hAnsi="Times New Roman" w:eastAsia="宋体" w:cs="Times New Roman"/>
                <w:color w:val="000000" w:themeColor="text1"/>
                <w:sz w:val="24"/>
                <w:szCs w:val="24"/>
                <w:highlight w:val="none"/>
                <w14:textFill>
                  <w14:solidFill>
                    <w14:schemeClr w14:val="tx1"/>
                  </w14:solidFill>
                </w14:textFill>
              </w:rPr>
              <w:t>公司</w:t>
            </w:r>
            <w:r>
              <w:rPr>
                <w:rFonts w:hint="default" w:ascii="Times New Roman" w:hAnsi="Times New Roman" w:cs="Times New Roman"/>
                <w:color w:val="000000" w:themeColor="text1"/>
                <w:sz w:val="24"/>
                <w:szCs w:val="24"/>
                <w:highlight w:val="none"/>
                <w14:textFill>
                  <w14:solidFill>
                    <w14:schemeClr w14:val="tx1"/>
                  </w14:solidFill>
                </w14:textFill>
              </w:rPr>
              <w:t>直立炉绿色转型节能技改项目环境影响报告书</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中净化后的</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煤气</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成分</w:t>
            </w:r>
            <w:r>
              <w:rPr>
                <w:rFonts w:hint="default" w:ascii="Times New Roman" w:hAnsi="Times New Roman" w:eastAsia="宋体" w:cs="Times New Roman"/>
                <w:color w:val="000000" w:themeColor="text1"/>
                <w:sz w:val="24"/>
                <w:szCs w:val="24"/>
                <w:highlight w:val="none"/>
                <w14:textFill>
                  <w14:solidFill>
                    <w14:schemeClr w14:val="tx1"/>
                  </w14:solidFill>
                </w14:textFill>
              </w:rPr>
              <w:t>数据如下：</w:t>
            </w:r>
          </w:p>
          <w:p w14:paraId="061A2E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表2-20</w:t>
            </w:r>
            <w:r>
              <w:rPr>
                <w:rFonts w:hint="default" w:ascii="Times New Roman" w:hAnsi="Times New Roman" w:cs="Times New Roman"/>
                <w:b/>
                <w:bCs w:val="0"/>
                <w:color w:val="000000" w:themeColor="text1"/>
                <w:sz w:val="24"/>
                <w:szCs w:val="24"/>
                <w:highlight w:val="none"/>
                <w:lang w:val="en-US" w:eastAsia="zh-CN"/>
                <w14:textFill>
                  <w14:solidFill>
                    <w14:schemeClr w14:val="tx1"/>
                  </w14:solidFill>
                </w14:textFill>
              </w:rPr>
              <w:t>精脱硫后的</w:t>
            </w: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煤气的组分分析（体积%）</w:t>
            </w:r>
          </w:p>
          <w:tbl>
            <w:tblPr>
              <w:tblStyle w:val="24"/>
              <w:tblpPr w:leftFromText="180" w:rightFromText="180" w:vertAnchor="text" w:tblpXSpec="center" w:tblpY="1"/>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0"/>
              <w:gridCol w:w="986"/>
              <w:gridCol w:w="986"/>
              <w:gridCol w:w="986"/>
              <w:gridCol w:w="986"/>
              <w:gridCol w:w="843"/>
              <w:gridCol w:w="882"/>
              <w:gridCol w:w="775"/>
              <w:gridCol w:w="775"/>
            </w:tblGrid>
            <w:tr w14:paraId="55C67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pct"/>
                  <w:noWrap w:val="0"/>
                  <w:vAlign w:val="center"/>
                </w:tcPr>
                <w:p w14:paraId="11159F59">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H</w:t>
                  </w:r>
                  <w:r>
                    <w:rPr>
                      <w:rFonts w:hint="default" w:ascii="Times New Roman" w:hAnsi="Times New Roman" w:eastAsia="宋体" w:cs="Times New Roman"/>
                      <w:bCs/>
                      <w:color w:val="000000" w:themeColor="text1"/>
                      <w:sz w:val="21"/>
                      <w:szCs w:val="24"/>
                      <w:highlight w:val="none"/>
                      <w:vertAlign w:val="subscript"/>
                      <w14:textFill>
                        <w14:solidFill>
                          <w14:schemeClr w14:val="tx1"/>
                        </w14:solidFill>
                      </w14:textFill>
                    </w:rPr>
                    <w:t>2</w:t>
                  </w:r>
                  <w:r>
                    <w:rPr>
                      <w:rFonts w:hint="default" w:ascii="Times New Roman" w:hAnsi="Times New Roman" w:eastAsia="宋体" w:cs="Times New Roman"/>
                      <w:bCs/>
                      <w:color w:val="000000" w:themeColor="text1"/>
                      <w:sz w:val="21"/>
                      <w:szCs w:val="24"/>
                      <w:highlight w:val="none"/>
                      <w14:textFill>
                        <w14:solidFill>
                          <w14:schemeClr w14:val="tx1"/>
                        </w14:solidFill>
                      </w14:textFill>
                    </w:rPr>
                    <w:t>O</w:t>
                  </w:r>
                </w:p>
              </w:tc>
              <w:tc>
                <w:tcPr>
                  <w:tcW w:w="588" w:type="pct"/>
                  <w:noWrap w:val="0"/>
                  <w:vAlign w:val="center"/>
                </w:tcPr>
                <w:p w14:paraId="52F9E6F5">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CH</w:t>
                  </w:r>
                  <w:r>
                    <w:rPr>
                      <w:rFonts w:hint="default" w:ascii="Times New Roman" w:hAnsi="Times New Roman" w:eastAsia="宋体" w:cs="Times New Roman"/>
                      <w:bCs/>
                      <w:color w:val="000000" w:themeColor="text1"/>
                      <w:sz w:val="21"/>
                      <w:szCs w:val="24"/>
                      <w:highlight w:val="none"/>
                      <w:vertAlign w:val="subscript"/>
                      <w14:textFill>
                        <w14:solidFill>
                          <w14:schemeClr w14:val="tx1"/>
                        </w14:solidFill>
                      </w14:textFill>
                    </w:rPr>
                    <w:t>4</w:t>
                  </w:r>
                </w:p>
              </w:tc>
              <w:tc>
                <w:tcPr>
                  <w:tcW w:w="588" w:type="pct"/>
                  <w:noWrap w:val="0"/>
                  <w:vAlign w:val="center"/>
                </w:tcPr>
                <w:p w14:paraId="2BAD0EF6">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C</w:t>
                  </w:r>
                  <w:r>
                    <w:rPr>
                      <w:rFonts w:hint="default" w:ascii="Times New Roman" w:hAnsi="Times New Roman" w:eastAsia="宋体" w:cs="Times New Roman"/>
                      <w:bCs/>
                      <w:color w:val="000000" w:themeColor="text1"/>
                      <w:sz w:val="21"/>
                      <w:szCs w:val="24"/>
                      <w:highlight w:val="none"/>
                      <w:vertAlign w:val="subscript"/>
                      <w14:textFill>
                        <w14:solidFill>
                          <w14:schemeClr w14:val="tx1"/>
                        </w14:solidFill>
                      </w14:textFill>
                    </w:rPr>
                    <w:t>2</w:t>
                  </w:r>
                  <w:r>
                    <w:rPr>
                      <w:rFonts w:hint="default" w:ascii="Times New Roman" w:hAnsi="Times New Roman" w:eastAsia="宋体" w:cs="Times New Roman"/>
                      <w:bCs/>
                      <w:color w:val="000000" w:themeColor="text1"/>
                      <w:sz w:val="21"/>
                      <w:szCs w:val="24"/>
                      <w:highlight w:val="none"/>
                      <w14:textFill>
                        <w14:solidFill>
                          <w14:schemeClr w14:val="tx1"/>
                        </w14:solidFill>
                      </w14:textFill>
                    </w:rPr>
                    <w:t>H</w:t>
                  </w:r>
                  <w:r>
                    <w:rPr>
                      <w:rFonts w:hint="default" w:ascii="Times New Roman" w:hAnsi="Times New Roman" w:eastAsia="宋体" w:cs="Times New Roman"/>
                      <w:bCs/>
                      <w:color w:val="000000" w:themeColor="text1"/>
                      <w:sz w:val="21"/>
                      <w:szCs w:val="24"/>
                      <w:highlight w:val="none"/>
                      <w:vertAlign w:val="subscript"/>
                      <w14:textFill>
                        <w14:solidFill>
                          <w14:schemeClr w14:val="tx1"/>
                        </w14:solidFill>
                      </w14:textFill>
                    </w:rPr>
                    <w:t>4</w:t>
                  </w:r>
                </w:p>
              </w:tc>
              <w:tc>
                <w:tcPr>
                  <w:tcW w:w="588" w:type="pct"/>
                  <w:noWrap w:val="0"/>
                  <w:vAlign w:val="center"/>
                </w:tcPr>
                <w:p w14:paraId="172BAF33">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C</w:t>
                  </w:r>
                  <w:r>
                    <w:rPr>
                      <w:rFonts w:hint="default" w:ascii="Times New Roman" w:hAnsi="Times New Roman" w:eastAsia="宋体" w:cs="Times New Roman"/>
                      <w:bCs/>
                      <w:color w:val="000000" w:themeColor="text1"/>
                      <w:sz w:val="21"/>
                      <w:szCs w:val="24"/>
                      <w:highlight w:val="none"/>
                      <w:vertAlign w:val="subscript"/>
                      <w14:textFill>
                        <w14:solidFill>
                          <w14:schemeClr w14:val="tx1"/>
                        </w14:solidFill>
                      </w14:textFill>
                    </w:rPr>
                    <w:t>2</w:t>
                  </w:r>
                  <w:r>
                    <w:rPr>
                      <w:rFonts w:hint="default" w:ascii="Times New Roman" w:hAnsi="Times New Roman" w:eastAsia="宋体" w:cs="Times New Roman"/>
                      <w:bCs/>
                      <w:color w:val="000000" w:themeColor="text1"/>
                      <w:sz w:val="21"/>
                      <w:szCs w:val="24"/>
                      <w:highlight w:val="none"/>
                      <w14:textFill>
                        <w14:solidFill>
                          <w14:schemeClr w14:val="tx1"/>
                        </w14:solidFill>
                      </w14:textFill>
                    </w:rPr>
                    <w:t>H</w:t>
                  </w:r>
                  <w:r>
                    <w:rPr>
                      <w:rFonts w:hint="default" w:ascii="Times New Roman" w:hAnsi="Times New Roman" w:eastAsia="宋体" w:cs="Times New Roman"/>
                      <w:bCs/>
                      <w:color w:val="000000" w:themeColor="text1"/>
                      <w:sz w:val="21"/>
                      <w:szCs w:val="24"/>
                      <w:highlight w:val="none"/>
                      <w:vertAlign w:val="subscript"/>
                      <w14:textFill>
                        <w14:solidFill>
                          <w14:schemeClr w14:val="tx1"/>
                        </w14:solidFill>
                      </w14:textFill>
                    </w:rPr>
                    <w:t>6</w:t>
                  </w:r>
                </w:p>
              </w:tc>
              <w:tc>
                <w:tcPr>
                  <w:tcW w:w="588" w:type="pct"/>
                  <w:noWrap w:val="0"/>
                  <w:vAlign w:val="center"/>
                </w:tcPr>
                <w:p w14:paraId="37CA2920">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C</w:t>
                  </w:r>
                  <w:r>
                    <w:rPr>
                      <w:rFonts w:hint="default" w:ascii="Times New Roman" w:hAnsi="Times New Roman" w:eastAsia="宋体" w:cs="Times New Roman"/>
                      <w:bCs/>
                      <w:color w:val="000000" w:themeColor="text1"/>
                      <w:sz w:val="21"/>
                      <w:szCs w:val="24"/>
                      <w:highlight w:val="none"/>
                      <w:vertAlign w:val="subscript"/>
                      <w14:textFill>
                        <w14:solidFill>
                          <w14:schemeClr w14:val="tx1"/>
                        </w14:solidFill>
                      </w14:textFill>
                    </w:rPr>
                    <w:t>3</w:t>
                  </w:r>
                  <w:r>
                    <w:rPr>
                      <w:rFonts w:hint="default" w:ascii="Times New Roman" w:hAnsi="Times New Roman" w:eastAsia="宋体" w:cs="Times New Roman"/>
                      <w:bCs/>
                      <w:color w:val="000000" w:themeColor="text1"/>
                      <w:sz w:val="21"/>
                      <w:szCs w:val="24"/>
                      <w:highlight w:val="none"/>
                      <w14:textFill>
                        <w14:solidFill>
                          <w14:schemeClr w14:val="tx1"/>
                        </w14:solidFill>
                      </w14:textFill>
                    </w:rPr>
                    <w:t>H</w:t>
                  </w:r>
                  <w:r>
                    <w:rPr>
                      <w:rFonts w:hint="default" w:ascii="Times New Roman" w:hAnsi="Times New Roman" w:eastAsia="宋体" w:cs="Times New Roman"/>
                      <w:bCs/>
                      <w:color w:val="000000" w:themeColor="text1"/>
                      <w:sz w:val="21"/>
                      <w:szCs w:val="24"/>
                      <w:highlight w:val="none"/>
                      <w:vertAlign w:val="subscript"/>
                      <w14:textFill>
                        <w14:solidFill>
                          <w14:schemeClr w14:val="tx1"/>
                        </w14:solidFill>
                      </w14:textFill>
                    </w:rPr>
                    <w:t>6</w:t>
                  </w:r>
                </w:p>
              </w:tc>
              <w:tc>
                <w:tcPr>
                  <w:tcW w:w="503" w:type="pct"/>
                  <w:noWrap w:val="0"/>
                  <w:vAlign w:val="center"/>
                </w:tcPr>
                <w:p w14:paraId="0DAD319C">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C</w:t>
                  </w:r>
                  <w:r>
                    <w:rPr>
                      <w:rFonts w:hint="default" w:ascii="Times New Roman" w:hAnsi="Times New Roman" w:eastAsia="宋体" w:cs="Times New Roman"/>
                      <w:bCs/>
                      <w:color w:val="000000" w:themeColor="text1"/>
                      <w:sz w:val="21"/>
                      <w:szCs w:val="24"/>
                      <w:highlight w:val="none"/>
                      <w:vertAlign w:val="subscript"/>
                      <w14:textFill>
                        <w14:solidFill>
                          <w14:schemeClr w14:val="tx1"/>
                        </w14:solidFill>
                      </w14:textFill>
                    </w:rPr>
                    <w:t>3</w:t>
                  </w:r>
                  <w:r>
                    <w:rPr>
                      <w:rFonts w:hint="default" w:ascii="Times New Roman" w:hAnsi="Times New Roman" w:eastAsia="宋体" w:cs="Times New Roman"/>
                      <w:bCs/>
                      <w:color w:val="000000" w:themeColor="text1"/>
                      <w:sz w:val="21"/>
                      <w:szCs w:val="24"/>
                      <w:highlight w:val="none"/>
                      <w14:textFill>
                        <w14:solidFill>
                          <w14:schemeClr w14:val="tx1"/>
                        </w14:solidFill>
                      </w14:textFill>
                    </w:rPr>
                    <w:t>H</w:t>
                  </w:r>
                  <w:r>
                    <w:rPr>
                      <w:rFonts w:hint="default" w:ascii="Times New Roman" w:hAnsi="Times New Roman" w:eastAsia="宋体" w:cs="Times New Roman"/>
                      <w:bCs/>
                      <w:color w:val="000000" w:themeColor="text1"/>
                      <w:sz w:val="21"/>
                      <w:szCs w:val="24"/>
                      <w:highlight w:val="none"/>
                      <w:vertAlign w:val="subscript"/>
                      <w14:textFill>
                        <w14:solidFill>
                          <w14:schemeClr w14:val="tx1"/>
                        </w14:solidFill>
                      </w14:textFill>
                    </w:rPr>
                    <w:t>8</w:t>
                  </w:r>
                </w:p>
              </w:tc>
              <w:tc>
                <w:tcPr>
                  <w:tcW w:w="526" w:type="pct"/>
                  <w:noWrap w:val="0"/>
                  <w:vAlign w:val="center"/>
                </w:tcPr>
                <w:p w14:paraId="7DA8C732">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C</w:t>
                  </w:r>
                  <w:r>
                    <w:rPr>
                      <w:rFonts w:hint="default" w:ascii="Times New Roman" w:hAnsi="Times New Roman" w:eastAsia="宋体" w:cs="Times New Roman"/>
                      <w:bCs/>
                      <w:color w:val="000000" w:themeColor="text1"/>
                      <w:sz w:val="21"/>
                      <w:szCs w:val="24"/>
                      <w:highlight w:val="none"/>
                      <w:vertAlign w:val="subscript"/>
                      <w14:textFill>
                        <w14:solidFill>
                          <w14:schemeClr w14:val="tx1"/>
                        </w14:solidFill>
                      </w14:textFill>
                    </w:rPr>
                    <w:t>4</w:t>
                  </w:r>
                  <w:r>
                    <w:rPr>
                      <w:rFonts w:hint="default" w:ascii="Times New Roman" w:hAnsi="Times New Roman" w:eastAsia="宋体" w:cs="Times New Roman"/>
                      <w:bCs/>
                      <w:color w:val="000000" w:themeColor="text1"/>
                      <w:sz w:val="21"/>
                      <w:szCs w:val="24"/>
                      <w:highlight w:val="none"/>
                      <w14:textFill>
                        <w14:solidFill>
                          <w14:schemeClr w14:val="tx1"/>
                        </w14:solidFill>
                      </w14:textFill>
                    </w:rPr>
                    <w:t>H</w:t>
                  </w:r>
                  <w:r>
                    <w:rPr>
                      <w:rFonts w:hint="default" w:ascii="Times New Roman" w:hAnsi="Times New Roman" w:eastAsia="宋体" w:cs="Times New Roman"/>
                      <w:bCs/>
                      <w:color w:val="000000" w:themeColor="text1"/>
                      <w:sz w:val="21"/>
                      <w:szCs w:val="24"/>
                      <w:highlight w:val="none"/>
                      <w:vertAlign w:val="subscript"/>
                      <w14:textFill>
                        <w14:solidFill>
                          <w14:schemeClr w14:val="tx1"/>
                        </w14:solidFill>
                      </w14:textFill>
                    </w:rPr>
                    <w:t>8</w:t>
                  </w:r>
                </w:p>
              </w:tc>
              <w:tc>
                <w:tcPr>
                  <w:tcW w:w="775" w:type="dxa"/>
                  <w:noWrap w:val="0"/>
                  <w:vAlign w:val="center"/>
                </w:tcPr>
                <w:p w14:paraId="08962247">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4"/>
                      <w:highlight w:val="none"/>
                      <w:lang w:val="en-US" w:eastAsia="zh-CN"/>
                      <w14:textFill>
                        <w14:solidFill>
                          <w14:schemeClr w14:val="tx1"/>
                        </w14:solidFill>
                      </w14:textFill>
                    </w:rPr>
                    <w:t>有机硫mg/Nm</w:t>
                  </w:r>
                  <w:r>
                    <w:rPr>
                      <w:rFonts w:hint="default" w:ascii="Times New Roman" w:hAnsi="Times New Roman" w:eastAsia="宋体" w:cs="Times New Roman"/>
                      <w:bCs/>
                      <w:color w:val="000000" w:themeColor="text1"/>
                      <w:sz w:val="21"/>
                      <w:szCs w:val="24"/>
                      <w:highlight w:val="none"/>
                      <w:vertAlign w:val="superscript"/>
                      <w:lang w:val="en-US" w:eastAsia="zh-CN"/>
                      <w14:textFill>
                        <w14:solidFill>
                          <w14:schemeClr w14:val="tx1"/>
                        </w14:solidFill>
                      </w14:textFill>
                    </w:rPr>
                    <w:t>3</w:t>
                  </w:r>
                </w:p>
              </w:tc>
              <w:tc>
                <w:tcPr>
                  <w:tcW w:w="776" w:type="dxa"/>
                  <w:noWrap w:val="0"/>
                  <w:vAlign w:val="center"/>
                </w:tcPr>
                <w:p w14:paraId="741D810A">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4"/>
                      <w:highlight w:val="none"/>
                      <w:lang w:val="en-US" w:eastAsia="zh-CN"/>
                      <w14:textFill>
                        <w14:solidFill>
                          <w14:schemeClr w14:val="tx1"/>
                        </w14:solidFill>
                      </w14:textFill>
                    </w:rPr>
                    <w:t>硫化氢mg/Nm</w:t>
                  </w:r>
                  <w:r>
                    <w:rPr>
                      <w:rFonts w:hint="default" w:ascii="Times New Roman" w:hAnsi="Times New Roman" w:eastAsia="宋体" w:cs="Times New Roman"/>
                      <w:bCs/>
                      <w:color w:val="000000" w:themeColor="text1"/>
                      <w:sz w:val="21"/>
                      <w:szCs w:val="24"/>
                      <w:highlight w:val="none"/>
                      <w:vertAlign w:val="superscript"/>
                      <w:lang w:val="en-US" w:eastAsia="zh-CN"/>
                      <w14:textFill>
                        <w14:solidFill>
                          <w14:schemeClr w14:val="tx1"/>
                        </w14:solidFill>
                      </w14:textFill>
                    </w:rPr>
                    <w:t>3</w:t>
                  </w:r>
                </w:p>
              </w:tc>
            </w:tr>
            <w:tr w14:paraId="21C90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pct"/>
                  <w:noWrap w:val="0"/>
                  <w:vAlign w:val="center"/>
                </w:tcPr>
                <w:p w14:paraId="43B55E3F">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0.44</w:t>
                  </w:r>
                </w:p>
              </w:tc>
              <w:tc>
                <w:tcPr>
                  <w:tcW w:w="588" w:type="pct"/>
                  <w:noWrap w:val="0"/>
                  <w:vAlign w:val="center"/>
                </w:tcPr>
                <w:p w14:paraId="31BEB658">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6.37</w:t>
                  </w:r>
                </w:p>
              </w:tc>
              <w:tc>
                <w:tcPr>
                  <w:tcW w:w="588" w:type="pct"/>
                  <w:noWrap w:val="0"/>
                  <w:vAlign w:val="center"/>
                </w:tcPr>
                <w:p w14:paraId="52E15072">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0.16</w:t>
                  </w:r>
                </w:p>
              </w:tc>
              <w:tc>
                <w:tcPr>
                  <w:tcW w:w="588" w:type="pct"/>
                  <w:noWrap w:val="0"/>
                  <w:vAlign w:val="center"/>
                </w:tcPr>
                <w:p w14:paraId="31AA524F">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0.34</w:t>
                  </w:r>
                </w:p>
              </w:tc>
              <w:tc>
                <w:tcPr>
                  <w:tcW w:w="588" w:type="pct"/>
                  <w:noWrap w:val="0"/>
                  <w:vAlign w:val="center"/>
                </w:tcPr>
                <w:p w14:paraId="3C922536">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0.05</w:t>
                  </w:r>
                </w:p>
              </w:tc>
              <w:tc>
                <w:tcPr>
                  <w:tcW w:w="503" w:type="pct"/>
                  <w:noWrap w:val="0"/>
                  <w:vAlign w:val="center"/>
                </w:tcPr>
                <w:p w14:paraId="4AB132DC">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0.09</w:t>
                  </w:r>
                </w:p>
              </w:tc>
              <w:tc>
                <w:tcPr>
                  <w:tcW w:w="526" w:type="pct"/>
                  <w:noWrap w:val="0"/>
                  <w:vAlign w:val="center"/>
                </w:tcPr>
                <w:p w14:paraId="66A5F5D4">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0.04</w:t>
                  </w:r>
                </w:p>
              </w:tc>
              <w:tc>
                <w:tcPr>
                  <w:tcW w:w="775" w:type="dxa"/>
                  <w:noWrap w:val="0"/>
                  <w:vAlign w:val="center"/>
                </w:tcPr>
                <w:p w14:paraId="372D276D">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lang w:val="en-US" w:eastAsia="zh-CN"/>
                      <w14:textFill>
                        <w14:solidFill>
                          <w14:schemeClr w14:val="tx1"/>
                        </w14:solidFill>
                      </w14:textFill>
                    </w:rPr>
                    <w:t>≤30</w:t>
                  </w:r>
                </w:p>
              </w:tc>
              <w:tc>
                <w:tcPr>
                  <w:tcW w:w="776" w:type="dxa"/>
                  <w:noWrap w:val="0"/>
                  <w:vAlign w:val="center"/>
                </w:tcPr>
                <w:p w14:paraId="0FD9C5C0">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lang w:val="en-US" w:eastAsia="zh-CN"/>
                      <w14:textFill>
                        <w14:solidFill>
                          <w14:schemeClr w14:val="tx1"/>
                        </w14:solidFill>
                      </w14:textFill>
                    </w:rPr>
                    <w:t>≤20</w:t>
                  </w:r>
                </w:p>
              </w:tc>
            </w:tr>
            <w:tr w14:paraId="0A667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pct"/>
                  <w:noWrap w:val="0"/>
                  <w:vAlign w:val="center"/>
                </w:tcPr>
                <w:p w14:paraId="5E184B97">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O</w:t>
                  </w:r>
                  <w:r>
                    <w:rPr>
                      <w:rFonts w:hint="default" w:ascii="Times New Roman" w:hAnsi="Times New Roman" w:eastAsia="宋体" w:cs="Times New Roman"/>
                      <w:bCs/>
                      <w:color w:val="000000" w:themeColor="text1"/>
                      <w:sz w:val="21"/>
                      <w:szCs w:val="24"/>
                      <w:highlight w:val="none"/>
                      <w:vertAlign w:val="subscript"/>
                      <w14:textFill>
                        <w14:solidFill>
                          <w14:schemeClr w14:val="tx1"/>
                        </w14:solidFill>
                      </w14:textFill>
                    </w:rPr>
                    <w:t>2</w:t>
                  </w:r>
                </w:p>
              </w:tc>
              <w:tc>
                <w:tcPr>
                  <w:tcW w:w="588" w:type="pct"/>
                  <w:noWrap w:val="0"/>
                  <w:vAlign w:val="center"/>
                </w:tcPr>
                <w:p w14:paraId="3D7F46EE">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H</w:t>
                  </w:r>
                  <w:r>
                    <w:rPr>
                      <w:rFonts w:hint="default" w:ascii="Times New Roman" w:hAnsi="Times New Roman" w:eastAsia="宋体" w:cs="Times New Roman"/>
                      <w:bCs/>
                      <w:color w:val="000000" w:themeColor="text1"/>
                      <w:sz w:val="21"/>
                      <w:szCs w:val="24"/>
                      <w:highlight w:val="none"/>
                      <w:vertAlign w:val="subscript"/>
                      <w14:textFill>
                        <w14:solidFill>
                          <w14:schemeClr w14:val="tx1"/>
                        </w14:solidFill>
                      </w14:textFill>
                    </w:rPr>
                    <w:t>2</w:t>
                  </w:r>
                </w:p>
              </w:tc>
              <w:tc>
                <w:tcPr>
                  <w:tcW w:w="588" w:type="pct"/>
                  <w:noWrap w:val="0"/>
                  <w:vAlign w:val="center"/>
                </w:tcPr>
                <w:p w14:paraId="167BC1E5">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N</w:t>
                  </w:r>
                  <w:r>
                    <w:rPr>
                      <w:rFonts w:hint="default" w:ascii="Times New Roman" w:hAnsi="Times New Roman" w:eastAsia="宋体" w:cs="Times New Roman"/>
                      <w:bCs/>
                      <w:color w:val="000000" w:themeColor="text1"/>
                      <w:sz w:val="21"/>
                      <w:szCs w:val="24"/>
                      <w:highlight w:val="none"/>
                      <w:vertAlign w:val="subscript"/>
                      <w14:textFill>
                        <w14:solidFill>
                          <w14:schemeClr w14:val="tx1"/>
                        </w14:solidFill>
                      </w14:textFill>
                    </w:rPr>
                    <w:t>2</w:t>
                  </w:r>
                </w:p>
              </w:tc>
              <w:tc>
                <w:tcPr>
                  <w:tcW w:w="588" w:type="pct"/>
                  <w:noWrap w:val="0"/>
                  <w:vAlign w:val="center"/>
                </w:tcPr>
                <w:p w14:paraId="63B1124B">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CO</w:t>
                  </w:r>
                </w:p>
              </w:tc>
              <w:tc>
                <w:tcPr>
                  <w:tcW w:w="588" w:type="pct"/>
                  <w:noWrap w:val="0"/>
                  <w:vAlign w:val="center"/>
                </w:tcPr>
                <w:p w14:paraId="088DA7F8">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CO</w:t>
                  </w:r>
                  <w:r>
                    <w:rPr>
                      <w:rFonts w:hint="default" w:ascii="Times New Roman" w:hAnsi="Times New Roman" w:eastAsia="宋体" w:cs="Times New Roman"/>
                      <w:bCs/>
                      <w:color w:val="000000" w:themeColor="text1"/>
                      <w:sz w:val="21"/>
                      <w:szCs w:val="24"/>
                      <w:highlight w:val="none"/>
                      <w:vertAlign w:val="subscript"/>
                      <w14:textFill>
                        <w14:solidFill>
                          <w14:schemeClr w14:val="tx1"/>
                        </w14:solidFill>
                      </w14:textFill>
                    </w:rPr>
                    <w:t>2</w:t>
                  </w:r>
                </w:p>
              </w:tc>
              <w:tc>
                <w:tcPr>
                  <w:tcW w:w="1029" w:type="pct"/>
                  <w:gridSpan w:val="2"/>
                  <w:noWrap w:val="0"/>
                  <w:vAlign w:val="center"/>
                </w:tcPr>
                <w:p w14:paraId="3D4CE500">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lang w:eastAsia="zh-CN"/>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Q</w:t>
                  </w:r>
                  <w:r>
                    <w:rPr>
                      <w:rFonts w:hint="default" w:ascii="Times New Roman" w:hAnsi="Times New Roman" w:eastAsia="宋体" w:cs="Times New Roman"/>
                      <w:bCs/>
                      <w:color w:val="000000" w:themeColor="text1"/>
                      <w:sz w:val="21"/>
                      <w:szCs w:val="24"/>
                      <w:highlight w:val="none"/>
                      <w:vertAlign w:val="subscript"/>
                      <w14:textFill>
                        <w14:solidFill>
                          <w14:schemeClr w14:val="tx1"/>
                        </w14:solidFill>
                      </w14:textFill>
                    </w:rPr>
                    <w:t>DW</w:t>
                  </w:r>
                  <w:r>
                    <w:rPr>
                      <w:rFonts w:hint="default" w:ascii="Times New Roman" w:hAnsi="Times New Roman" w:cs="Times New Roman"/>
                      <w:bCs/>
                      <w:color w:val="000000" w:themeColor="text1"/>
                      <w:sz w:val="21"/>
                      <w:szCs w:val="24"/>
                      <w:highlight w:val="none"/>
                      <w:vertAlign w:val="subscript"/>
                      <w:lang w:eastAsia="zh-CN"/>
                      <w14:textFill>
                        <w14:solidFill>
                          <w14:schemeClr w14:val="tx1"/>
                        </w14:solidFill>
                      </w14:textFill>
                    </w:rPr>
                    <w:t>(</w:t>
                  </w:r>
                  <w:r>
                    <w:rPr>
                      <w:rFonts w:hint="default" w:ascii="Times New Roman" w:hAnsi="Times New Roman" w:eastAsia="宋体" w:cs="Times New Roman"/>
                      <w:bCs/>
                      <w:color w:val="000000" w:themeColor="text1"/>
                      <w:sz w:val="21"/>
                      <w:szCs w:val="24"/>
                      <w:highlight w:val="none"/>
                      <w14:textFill>
                        <w14:solidFill>
                          <w14:schemeClr w14:val="tx1"/>
                        </w14:solidFill>
                      </w14:textFill>
                    </w:rPr>
                    <w:t>kCal/Nm</w:t>
                  </w:r>
                  <w:r>
                    <w:rPr>
                      <w:rFonts w:hint="default" w:ascii="Times New Roman" w:hAnsi="Times New Roman" w:eastAsia="宋体" w:cs="Times New Roman"/>
                      <w:bCs/>
                      <w:color w:val="000000" w:themeColor="text1"/>
                      <w:sz w:val="21"/>
                      <w:szCs w:val="24"/>
                      <w:highlight w:val="none"/>
                      <w:vertAlign w:val="superscript"/>
                      <w14:textFill>
                        <w14:solidFill>
                          <w14:schemeClr w14:val="tx1"/>
                        </w14:solidFill>
                      </w14:textFill>
                    </w:rPr>
                    <w:t>3</w:t>
                  </w:r>
                  <w:r>
                    <w:rPr>
                      <w:rFonts w:hint="default" w:ascii="Times New Roman" w:hAnsi="Times New Roman" w:cs="Times New Roman"/>
                      <w:bCs/>
                      <w:color w:val="000000" w:themeColor="text1"/>
                      <w:sz w:val="21"/>
                      <w:szCs w:val="24"/>
                      <w:highlight w:val="none"/>
                      <w:vertAlign w:val="superscript"/>
                      <w:lang w:eastAsia="zh-CN"/>
                      <w14:textFill>
                        <w14:solidFill>
                          <w14:schemeClr w14:val="tx1"/>
                        </w14:solidFill>
                      </w14:textFill>
                    </w:rPr>
                    <w:t>)</w:t>
                  </w:r>
                </w:p>
              </w:tc>
              <w:tc>
                <w:tcPr>
                  <w:tcW w:w="924" w:type="pct"/>
                  <w:gridSpan w:val="2"/>
                  <w:noWrap w:val="0"/>
                  <w:vAlign w:val="center"/>
                </w:tcPr>
                <w:p w14:paraId="45600D4C">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容重kg/Nm</w:t>
                  </w:r>
                  <w:r>
                    <w:rPr>
                      <w:rFonts w:hint="default" w:ascii="Times New Roman" w:hAnsi="Times New Roman" w:eastAsia="宋体" w:cs="Times New Roman"/>
                      <w:bCs/>
                      <w:color w:val="000000" w:themeColor="text1"/>
                      <w:sz w:val="21"/>
                      <w:szCs w:val="24"/>
                      <w:highlight w:val="none"/>
                      <w:vertAlign w:val="superscript"/>
                      <w14:textFill>
                        <w14:solidFill>
                          <w14:schemeClr w14:val="tx1"/>
                        </w14:solidFill>
                      </w14:textFill>
                    </w:rPr>
                    <w:t>3</w:t>
                  </w:r>
                </w:p>
              </w:tc>
            </w:tr>
            <w:tr w14:paraId="1CE3E8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2" w:type="pct"/>
                  <w:noWrap w:val="0"/>
                  <w:vAlign w:val="center"/>
                </w:tcPr>
                <w:p w14:paraId="4EB80F69">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0.</w:t>
                  </w:r>
                  <w:r>
                    <w:rPr>
                      <w:rFonts w:hint="default" w:ascii="Times New Roman" w:hAnsi="Times New Roman" w:cs="Times New Roman"/>
                      <w:bCs/>
                      <w:color w:val="000000" w:themeColor="text1"/>
                      <w:sz w:val="21"/>
                      <w:szCs w:val="24"/>
                      <w:highlight w:val="none"/>
                      <w:lang w:val="en-US" w:eastAsia="zh-CN"/>
                      <w14:textFill>
                        <w14:solidFill>
                          <w14:schemeClr w14:val="tx1"/>
                        </w14:solidFill>
                      </w14:textFill>
                    </w:rPr>
                    <w:t>5~0.8</w:t>
                  </w:r>
                </w:p>
              </w:tc>
              <w:tc>
                <w:tcPr>
                  <w:tcW w:w="588" w:type="pct"/>
                  <w:noWrap w:val="0"/>
                  <w:vAlign w:val="center"/>
                </w:tcPr>
                <w:p w14:paraId="362483B6">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2</w:t>
                  </w:r>
                  <w:r>
                    <w:rPr>
                      <w:rFonts w:hint="default" w:ascii="Times New Roman" w:hAnsi="Times New Roman" w:cs="Times New Roman"/>
                      <w:bCs/>
                      <w:color w:val="000000" w:themeColor="text1"/>
                      <w:sz w:val="21"/>
                      <w:szCs w:val="24"/>
                      <w:highlight w:val="none"/>
                      <w:lang w:val="en-US" w:eastAsia="zh-CN"/>
                      <w14:textFill>
                        <w14:solidFill>
                          <w14:schemeClr w14:val="tx1"/>
                        </w14:solidFill>
                      </w14:textFill>
                    </w:rPr>
                    <w:t>4.13</w:t>
                  </w:r>
                </w:p>
              </w:tc>
              <w:tc>
                <w:tcPr>
                  <w:tcW w:w="588" w:type="pct"/>
                  <w:noWrap w:val="0"/>
                  <w:vAlign w:val="center"/>
                </w:tcPr>
                <w:p w14:paraId="10096A87">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44.85</w:t>
                  </w:r>
                </w:p>
              </w:tc>
              <w:tc>
                <w:tcPr>
                  <w:tcW w:w="588" w:type="pct"/>
                  <w:noWrap w:val="0"/>
                  <w:vAlign w:val="center"/>
                </w:tcPr>
                <w:p w14:paraId="549D9663">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16.09</w:t>
                  </w:r>
                </w:p>
              </w:tc>
              <w:tc>
                <w:tcPr>
                  <w:tcW w:w="588" w:type="pct"/>
                  <w:noWrap w:val="0"/>
                  <w:vAlign w:val="center"/>
                </w:tcPr>
                <w:p w14:paraId="693C57CB">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8.59</w:t>
                  </w:r>
                </w:p>
              </w:tc>
              <w:tc>
                <w:tcPr>
                  <w:tcW w:w="1029" w:type="pct"/>
                  <w:gridSpan w:val="2"/>
                  <w:noWrap w:val="0"/>
                  <w:vAlign w:val="center"/>
                </w:tcPr>
                <w:p w14:paraId="11DB6890">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1635.26</w:t>
                  </w:r>
                </w:p>
              </w:tc>
              <w:tc>
                <w:tcPr>
                  <w:tcW w:w="924" w:type="pct"/>
                  <w:gridSpan w:val="2"/>
                  <w:noWrap w:val="0"/>
                  <w:vAlign w:val="center"/>
                </w:tcPr>
                <w:p w14:paraId="479C7448">
                  <w:pPr>
                    <w:adjustRightInd w:val="0"/>
                    <w:snapToGrid w:val="0"/>
                    <w:spacing w:line="240" w:lineRule="auto"/>
                    <w:jc w:val="center"/>
                    <w:rPr>
                      <w:rFonts w:hint="default" w:ascii="Times New Roman" w:hAnsi="Times New Roman" w:eastAsia="宋体" w:cs="Times New Roman"/>
                      <w:bCs/>
                      <w:color w:val="000000" w:themeColor="text1"/>
                      <w:sz w:val="21"/>
                      <w:szCs w:val="24"/>
                      <w:highlight w:val="none"/>
                      <w14:textFill>
                        <w14:solidFill>
                          <w14:schemeClr w14:val="tx1"/>
                        </w14:solidFill>
                      </w14:textFill>
                    </w:rPr>
                  </w:pPr>
                  <w:r>
                    <w:rPr>
                      <w:rFonts w:hint="default" w:ascii="Times New Roman" w:hAnsi="Times New Roman" w:eastAsia="宋体" w:cs="Times New Roman"/>
                      <w:bCs/>
                      <w:color w:val="000000" w:themeColor="text1"/>
                      <w:sz w:val="21"/>
                      <w:szCs w:val="24"/>
                      <w:highlight w:val="none"/>
                      <w14:textFill>
                        <w14:solidFill>
                          <w14:schemeClr w14:val="tx1"/>
                        </w14:solidFill>
                      </w14:textFill>
                    </w:rPr>
                    <w:t>0.95</w:t>
                  </w:r>
                </w:p>
              </w:tc>
            </w:tr>
          </w:tbl>
          <w:p w14:paraId="7AC6C9B1">
            <w:pPr>
              <w:pStyle w:val="88"/>
              <w:widowControl/>
              <w:adjustRightInd/>
              <w:snapToGrid w:val="0"/>
              <w:spacing w:before="120" w:beforeLines="50" w:line="240" w:lineRule="auto"/>
              <w:ind w:firstLineChars="200"/>
              <w:jc w:val="both"/>
              <w:rPr>
                <w:rFonts w:hint="default" w:ascii="Times New Roman" w:hAnsi="Times New Roman" w:cs="Times New Roman"/>
                <w:color w:val="000000" w:themeColor="text1"/>
                <w:spacing w:val="-1"/>
                <w:highlight w:val="none"/>
                <w14:textFill>
                  <w14:solidFill>
                    <w14:schemeClr w14:val="tx1"/>
                  </w14:solidFill>
                </w14:textFill>
              </w:rPr>
            </w:pPr>
            <w:r>
              <w:rPr>
                <w:rFonts w:hint="default" w:ascii="Times New Roman" w:hAnsi="Times New Roman" w:cs="Times New Roman"/>
                <w:color w:val="000000" w:themeColor="text1"/>
                <w:spacing w:val="-1"/>
                <w:highlight w:val="none"/>
                <w14:textFill>
                  <w14:solidFill>
                    <w14:schemeClr w14:val="tx1"/>
                  </w14:solidFill>
                </w14:textFill>
              </w:rPr>
              <w:t>本项目生产物料平衡及硫平衡分析见</w:t>
            </w:r>
            <w:r>
              <w:rPr>
                <w:rFonts w:hint="default" w:ascii="Times New Roman" w:hAnsi="Times New Roman" w:cs="Times New Roman"/>
                <w:color w:val="000000" w:themeColor="text1"/>
                <w:spacing w:val="-1"/>
                <w:highlight w:val="none"/>
                <w:lang w:val="en-US" w:eastAsia="zh-CN"/>
                <w14:textFill>
                  <w14:solidFill>
                    <w14:schemeClr w14:val="tx1"/>
                  </w14:solidFill>
                </w14:textFill>
              </w:rPr>
              <w:t>下</w:t>
            </w:r>
            <w:r>
              <w:rPr>
                <w:rFonts w:hint="default" w:ascii="Times New Roman" w:hAnsi="Times New Roman" w:cs="Times New Roman"/>
                <w:color w:val="000000" w:themeColor="text1"/>
                <w:spacing w:val="-1"/>
                <w:highlight w:val="none"/>
                <w14:textFill>
                  <w14:solidFill>
                    <w14:schemeClr w14:val="tx1"/>
                  </w14:solidFill>
                </w14:textFill>
              </w:rPr>
              <w:t>表。</w:t>
            </w:r>
          </w:p>
          <w:p w14:paraId="6245DD9E">
            <w:pPr>
              <w:pStyle w:val="88"/>
              <w:widowControl/>
              <w:adjustRightInd/>
              <w:snapToGrid w:val="0"/>
              <w:spacing w:before="120" w:beforeLines="50" w:line="240" w:lineRule="auto"/>
              <w:ind w:firstLineChars="200"/>
              <w:jc w:val="center"/>
              <w:rPr>
                <w:rFonts w:hint="default" w:ascii="Times New Roman" w:hAnsi="Times New Roman" w:cs="Times New Roman"/>
                <w:b/>
                <w:bCs/>
                <w:color w:val="000000" w:themeColor="text1"/>
                <w:spacing w:val="-2"/>
                <w:highlight w:val="none"/>
                <w14:textFill>
                  <w14:solidFill>
                    <w14:schemeClr w14:val="tx1"/>
                  </w14:solidFill>
                </w14:textFill>
              </w:rPr>
            </w:pPr>
            <w:r>
              <w:rPr>
                <w:rFonts w:hint="default" w:ascii="Times New Roman" w:hAnsi="Times New Roman" w:cs="Times New Roman"/>
                <w:b/>
                <w:bCs/>
                <w:color w:val="000000" w:themeColor="text1"/>
                <w:spacing w:val="-2"/>
                <w:position w:val="-1"/>
                <w:highlight w:val="none"/>
                <w14:textFill>
                  <w14:solidFill>
                    <w14:schemeClr w14:val="tx1"/>
                  </w14:solidFill>
                </w14:textFill>
              </w:rPr>
              <w:t>表</w:t>
            </w:r>
            <w:r>
              <w:rPr>
                <w:rFonts w:hint="default" w:ascii="Times New Roman" w:hAnsi="Times New Roman" w:cs="Times New Roman"/>
                <w:b/>
                <w:bCs/>
                <w:color w:val="000000" w:themeColor="text1"/>
                <w:spacing w:val="-2"/>
                <w:position w:val="-1"/>
                <w:highlight w:val="none"/>
                <w:lang w:val="en-US" w:eastAsia="zh-CN"/>
                <w14:textFill>
                  <w14:solidFill>
                    <w14:schemeClr w14:val="tx1"/>
                  </w14:solidFill>
                </w14:textFill>
              </w:rPr>
              <w:t>2-22</w:t>
            </w:r>
            <w:r>
              <w:rPr>
                <w:rFonts w:hint="default" w:ascii="Times New Roman" w:hAnsi="Times New Roman" w:cs="Times New Roman"/>
                <w:b/>
                <w:bCs/>
                <w:color w:val="000000" w:themeColor="text1"/>
                <w:spacing w:val="-2"/>
                <w:highlight w:val="none"/>
                <w14:textFill>
                  <w14:solidFill>
                    <w14:schemeClr w14:val="tx1"/>
                  </w14:solidFill>
                </w14:textFill>
              </w:rPr>
              <w:t>本项目生产物料平衡分析表单位：t/a</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8"/>
              <w:gridCol w:w="1069"/>
              <w:gridCol w:w="1121"/>
              <w:gridCol w:w="825"/>
              <w:gridCol w:w="2068"/>
              <w:gridCol w:w="1451"/>
              <w:gridCol w:w="1184"/>
            </w:tblGrid>
            <w:tr w14:paraId="52823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92" w:type="pct"/>
                  <w:noWrap w:val="0"/>
                  <w:vAlign w:val="center"/>
                </w:tcPr>
                <w:p w14:paraId="0785B36C">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序号</w:t>
                  </w:r>
                </w:p>
              </w:tc>
              <w:tc>
                <w:tcPr>
                  <w:tcW w:w="638" w:type="pct"/>
                  <w:noWrap w:val="0"/>
                  <w:vAlign w:val="center"/>
                </w:tcPr>
                <w:p w14:paraId="09AC8DF8">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进料名称</w:t>
                  </w:r>
                </w:p>
              </w:tc>
              <w:tc>
                <w:tcPr>
                  <w:tcW w:w="669" w:type="pct"/>
                  <w:noWrap w:val="0"/>
                  <w:vAlign w:val="center"/>
                </w:tcPr>
                <w:p w14:paraId="0B3D27D6">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进料量</w:t>
                  </w:r>
                </w:p>
              </w:tc>
              <w:tc>
                <w:tcPr>
                  <w:tcW w:w="492" w:type="pct"/>
                  <w:noWrap w:val="0"/>
                  <w:vAlign w:val="center"/>
                </w:tcPr>
                <w:p w14:paraId="4E8A9B35">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序号</w:t>
                  </w:r>
                </w:p>
              </w:tc>
              <w:tc>
                <w:tcPr>
                  <w:tcW w:w="1234" w:type="pct"/>
                  <w:noWrap w:val="0"/>
                  <w:vAlign w:val="center"/>
                </w:tcPr>
                <w:p w14:paraId="698EAB25">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出料名称</w:t>
                  </w:r>
                </w:p>
              </w:tc>
              <w:tc>
                <w:tcPr>
                  <w:tcW w:w="866" w:type="pct"/>
                  <w:noWrap w:val="0"/>
                  <w:vAlign w:val="center"/>
                </w:tcPr>
                <w:p w14:paraId="5B09F523">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出料量</w:t>
                  </w:r>
                </w:p>
              </w:tc>
              <w:tc>
                <w:tcPr>
                  <w:tcW w:w="706" w:type="pct"/>
                  <w:noWrap w:val="0"/>
                  <w:vAlign w:val="center"/>
                </w:tcPr>
                <w:p w14:paraId="32A5E353">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备注</w:t>
                  </w:r>
                </w:p>
              </w:tc>
            </w:tr>
            <w:tr w14:paraId="6A119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pct"/>
                  <w:noWrap w:val="0"/>
                  <w:vAlign w:val="center"/>
                </w:tcPr>
                <w:p w14:paraId="7C2F9CBA">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1</w:t>
                  </w:r>
                </w:p>
              </w:tc>
              <w:tc>
                <w:tcPr>
                  <w:tcW w:w="638" w:type="pct"/>
                  <w:noWrap w:val="0"/>
                  <w:vAlign w:val="center"/>
                </w:tcPr>
                <w:p w14:paraId="534A9DF2">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cs="Times New Roman"/>
                      <w:color w:val="000000" w:themeColor="text1"/>
                      <w:spacing w:val="-2"/>
                      <w:highlight w:val="none"/>
                      <w:lang w:val="en-US" w:eastAsia="zh-CN"/>
                      <w14:textFill>
                        <w14:solidFill>
                          <w14:schemeClr w14:val="tx1"/>
                        </w14:solidFill>
                      </w14:textFill>
                    </w:rPr>
                    <w:t>原料粉</w:t>
                  </w:r>
                </w:p>
              </w:tc>
              <w:tc>
                <w:tcPr>
                  <w:tcW w:w="669" w:type="pct"/>
                  <w:noWrap w:val="0"/>
                  <w:vAlign w:val="center"/>
                </w:tcPr>
                <w:p w14:paraId="28BBB348">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14:textFill>
                        <w14:solidFill>
                          <w14:schemeClr w14:val="tx1"/>
                        </w14:solidFill>
                      </w14:textFill>
                    </w:rPr>
                  </w:pPr>
                  <w:r>
                    <w:rPr>
                      <w:rFonts w:hint="default" w:ascii="Times New Roman" w:hAnsi="Times New Roman" w:eastAsia="宋体" w:cs="Times New Roman"/>
                      <w:color w:val="000000" w:themeColor="text1"/>
                      <w:spacing w:val="-2"/>
                      <w:highlight w:val="none"/>
                      <w14:textFill>
                        <w14:solidFill>
                          <w14:schemeClr w14:val="tx1"/>
                        </w14:solidFill>
                      </w14:textFill>
                    </w:rPr>
                    <w:t>244234</w:t>
                  </w:r>
                </w:p>
              </w:tc>
              <w:tc>
                <w:tcPr>
                  <w:tcW w:w="492" w:type="pct"/>
                  <w:noWrap w:val="0"/>
                  <w:vAlign w:val="center"/>
                </w:tcPr>
                <w:p w14:paraId="418F763B">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1</w:t>
                  </w:r>
                </w:p>
              </w:tc>
              <w:tc>
                <w:tcPr>
                  <w:tcW w:w="1234" w:type="pct"/>
                  <w:noWrap w:val="0"/>
                  <w:vAlign w:val="center"/>
                </w:tcPr>
                <w:p w14:paraId="5920AA08">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eastAsia="zh-CN"/>
                      <w14:textFill>
                        <w14:solidFill>
                          <w14:schemeClr w14:val="tx1"/>
                        </w14:solidFill>
                      </w14:textFill>
                    </w:rPr>
                  </w:pPr>
                  <w:r>
                    <w:rPr>
                      <w:rFonts w:hint="default" w:ascii="Times New Roman" w:hAnsi="Times New Roman" w:cs="Times New Roman"/>
                      <w:color w:val="000000" w:themeColor="text1"/>
                      <w:spacing w:val="3"/>
                      <w:highlight w:val="none"/>
                      <w:lang w:val="en-US" w:eastAsia="zh-CN"/>
                      <w14:textFill>
                        <w14:solidFill>
                          <w14:schemeClr w14:val="tx1"/>
                        </w14:solidFill>
                      </w14:textFill>
                    </w:rPr>
                    <w:t>高活性高岭土</w:t>
                  </w:r>
                </w:p>
              </w:tc>
              <w:tc>
                <w:tcPr>
                  <w:tcW w:w="866" w:type="pct"/>
                  <w:noWrap w:val="0"/>
                  <w:vAlign w:val="center"/>
                </w:tcPr>
                <w:p w14:paraId="3877038C">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200000</w:t>
                  </w:r>
                </w:p>
              </w:tc>
              <w:tc>
                <w:tcPr>
                  <w:tcW w:w="706" w:type="pct"/>
                  <w:noWrap w:val="0"/>
                  <w:vAlign w:val="center"/>
                </w:tcPr>
                <w:p w14:paraId="63D7FAD1">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w:t>
                  </w:r>
                </w:p>
              </w:tc>
            </w:tr>
            <w:tr w14:paraId="7FD295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pct"/>
                  <w:noWrap w:val="0"/>
                  <w:vAlign w:val="center"/>
                </w:tcPr>
                <w:p w14:paraId="76F190BE">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2</w:t>
                  </w:r>
                </w:p>
              </w:tc>
              <w:tc>
                <w:tcPr>
                  <w:tcW w:w="638" w:type="pct"/>
                  <w:noWrap w:val="0"/>
                  <w:vAlign w:val="center"/>
                </w:tcPr>
                <w:p w14:paraId="76C62AFD">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煤气</w:t>
                  </w:r>
                </w:p>
              </w:tc>
              <w:tc>
                <w:tcPr>
                  <w:tcW w:w="669" w:type="pct"/>
                  <w:noWrap w:val="0"/>
                  <w:vAlign w:val="center"/>
                </w:tcPr>
                <w:p w14:paraId="6CD35D3C">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41835.15</w:t>
                  </w:r>
                </w:p>
              </w:tc>
              <w:tc>
                <w:tcPr>
                  <w:tcW w:w="492" w:type="pct"/>
                  <w:noWrap w:val="0"/>
                  <w:vAlign w:val="center"/>
                </w:tcPr>
                <w:p w14:paraId="4879FE36">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2</w:t>
                  </w:r>
                </w:p>
              </w:tc>
              <w:tc>
                <w:tcPr>
                  <w:tcW w:w="1234" w:type="pct"/>
                  <w:noWrap w:val="0"/>
                  <w:vAlign w:val="center"/>
                </w:tcPr>
                <w:p w14:paraId="1BA2565E">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14:textFill>
                        <w14:solidFill>
                          <w14:schemeClr w14:val="tx1"/>
                        </w14:solidFill>
                      </w14:textFill>
                    </w:rPr>
                  </w:pPr>
                  <w:r>
                    <w:rPr>
                      <w:rFonts w:hint="default" w:ascii="Times New Roman" w:hAnsi="Times New Roman" w:cs="Times New Roman"/>
                      <w:color w:val="000000" w:themeColor="text1"/>
                      <w:spacing w:val="-2"/>
                      <w:highlight w:val="none"/>
                      <w14:textFill>
                        <w14:solidFill>
                          <w14:schemeClr w14:val="tx1"/>
                        </w14:solidFill>
                      </w14:textFill>
                    </w:rPr>
                    <w:t>排放</w:t>
                  </w:r>
                  <w:r>
                    <w:rPr>
                      <w:rFonts w:hint="default" w:ascii="Times New Roman" w:hAnsi="Times New Roman" w:cs="Times New Roman"/>
                      <w:color w:val="000000" w:themeColor="text1"/>
                      <w:spacing w:val="-2"/>
                      <w:highlight w:val="none"/>
                      <w:lang w:val="en-US" w:eastAsia="zh-CN"/>
                      <w14:textFill>
                        <w14:solidFill>
                          <w14:schemeClr w14:val="tx1"/>
                        </w14:solidFill>
                      </w14:textFill>
                    </w:rPr>
                    <w:t>废气</w:t>
                  </w:r>
                  <w:r>
                    <w:rPr>
                      <w:rFonts w:hint="default" w:ascii="Times New Roman" w:hAnsi="Times New Roman" w:cs="Times New Roman"/>
                      <w:color w:val="000000" w:themeColor="text1"/>
                      <w:spacing w:val="-2"/>
                      <w:highlight w:val="none"/>
                      <w14:textFill>
                        <w14:solidFill>
                          <w14:schemeClr w14:val="tx1"/>
                        </w14:solidFill>
                      </w14:textFill>
                    </w:rPr>
                    <w:t>颗粒物</w:t>
                  </w:r>
                </w:p>
              </w:tc>
              <w:tc>
                <w:tcPr>
                  <w:tcW w:w="866" w:type="pct"/>
                  <w:noWrap w:val="0"/>
                  <w:vAlign w:val="center"/>
                </w:tcPr>
                <w:p w14:paraId="0F44BC9A">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cs="Times New Roman"/>
                      <w:color w:val="000000" w:themeColor="text1"/>
                      <w:spacing w:val="-2"/>
                      <w:highlight w:val="none"/>
                      <w:lang w:val="en-US" w:eastAsia="zh-CN"/>
                      <w14:textFill>
                        <w14:solidFill>
                          <w14:schemeClr w14:val="tx1"/>
                        </w14:solidFill>
                      </w14:textFill>
                    </w:rPr>
                    <w:t>11.052</w:t>
                  </w:r>
                </w:p>
              </w:tc>
              <w:tc>
                <w:tcPr>
                  <w:tcW w:w="706" w:type="pct"/>
                  <w:noWrap w:val="0"/>
                  <w:vAlign w:val="center"/>
                </w:tcPr>
                <w:p w14:paraId="4A7DBE11">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w:t>
                  </w:r>
                </w:p>
              </w:tc>
            </w:tr>
            <w:tr w14:paraId="11346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pct"/>
                  <w:noWrap w:val="0"/>
                  <w:vAlign w:val="center"/>
                </w:tcPr>
                <w:p w14:paraId="76F177C5">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3</w:t>
                  </w:r>
                </w:p>
              </w:tc>
              <w:tc>
                <w:tcPr>
                  <w:tcW w:w="638" w:type="pct"/>
                  <w:noWrap w:val="0"/>
                  <w:vAlign w:val="center"/>
                </w:tcPr>
                <w:p w14:paraId="28DA5F77">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cs="Times New Roman"/>
                      <w:color w:val="000000" w:themeColor="text1"/>
                      <w:spacing w:val="-2"/>
                      <w:highlight w:val="none"/>
                      <w:lang w:val="en-US" w:eastAsia="zh-CN"/>
                      <w14:textFill>
                        <w14:solidFill>
                          <w14:schemeClr w14:val="tx1"/>
                        </w14:solidFill>
                      </w14:textFill>
                    </w:rPr>
                    <w:t>/</w:t>
                  </w:r>
                </w:p>
              </w:tc>
              <w:tc>
                <w:tcPr>
                  <w:tcW w:w="669" w:type="pct"/>
                  <w:noWrap w:val="0"/>
                  <w:vAlign w:val="center"/>
                </w:tcPr>
                <w:p w14:paraId="2A01C03E">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cs="Times New Roman"/>
                      <w:color w:val="000000" w:themeColor="text1"/>
                      <w:spacing w:val="-2"/>
                      <w:highlight w:val="none"/>
                      <w:lang w:val="en-US" w:eastAsia="zh-CN"/>
                      <w14:textFill>
                        <w14:solidFill>
                          <w14:schemeClr w14:val="tx1"/>
                        </w14:solidFill>
                      </w14:textFill>
                    </w:rPr>
                    <w:t>/</w:t>
                  </w:r>
                </w:p>
              </w:tc>
              <w:tc>
                <w:tcPr>
                  <w:tcW w:w="492" w:type="pct"/>
                  <w:noWrap w:val="0"/>
                  <w:vAlign w:val="center"/>
                </w:tcPr>
                <w:p w14:paraId="2525F0AF">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3</w:t>
                  </w:r>
                </w:p>
              </w:tc>
              <w:tc>
                <w:tcPr>
                  <w:tcW w:w="1234" w:type="pct"/>
                  <w:noWrap w:val="0"/>
                  <w:vAlign w:val="center"/>
                </w:tcPr>
                <w:p w14:paraId="1D7E9F1B">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cs="Times New Roman"/>
                      <w:color w:val="000000" w:themeColor="text1"/>
                      <w:spacing w:val="-2"/>
                      <w:highlight w:val="none"/>
                      <w14:textFill>
                        <w14:solidFill>
                          <w14:schemeClr w14:val="tx1"/>
                        </w14:solidFill>
                      </w14:textFill>
                    </w:rPr>
                    <w:t>排放</w:t>
                  </w:r>
                  <w:r>
                    <w:rPr>
                      <w:rFonts w:hint="default" w:ascii="Times New Roman" w:hAnsi="Times New Roman" w:cs="Times New Roman"/>
                      <w:color w:val="000000" w:themeColor="text1"/>
                      <w:spacing w:val="-2"/>
                      <w:highlight w:val="none"/>
                      <w:lang w:val="en-US" w:eastAsia="zh-CN"/>
                      <w14:textFill>
                        <w14:solidFill>
                          <w14:schemeClr w14:val="tx1"/>
                        </w14:solidFill>
                      </w14:textFill>
                    </w:rPr>
                    <w:t>废气二氧化硫</w:t>
                  </w:r>
                </w:p>
              </w:tc>
              <w:tc>
                <w:tcPr>
                  <w:tcW w:w="866" w:type="pct"/>
                  <w:noWrap w:val="0"/>
                  <w:vAlign w:val="center"/>
                </w:tcPr>
                <w:p w14:paraId="44FDAD10">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cs="Times New Roman"/>
                      <w:color w:val="000000" w:themeColor="text1"/>
                      <w:spacing w:val="-2"/>
                      <w:highlight w:val="none"/>
                      <w:lang w:val="en-US" w:eastAsia="zh-CN"/>
                      <w14:textFill>
                        <w14:solidFill>
                          <w14:schemeClr w14:val="tx1"/>
                        </w14:solidFill>
                      </w14:textFill>
                    </w:rPr>
                    <w:t>39.44</w:t>
                  </w:r>
                </w:p>
              </w:tc>
              <w:tc>
                <w:tcPr>
                  <w:tcW w:w="706" w:type="pct"/>
                  <w:noWrap w:val="0"/>
                  <w:vAlign w:val="center"/>
                </w:tcPr>
                <w:p w14:paraId="15BBDDAD">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w:t>
                  </w:r>
                </w:p>
              </w:tc>
            </w:tr>
            <w:tr w14:paraId="0C077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pct"/>
                  <w:shd w:val="clear" w:color="auto" w:fill="auto"/>
                  <w:noWrap w:val="0"/>
                  <w:vAlign w:val="center"/>
                </w:tcPr>
                <w:p w14:paraId="4247BDEF">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4</w:t>
                  </w:r>
                </w:p>
              </w:tc>
              <w:tc>
                <w:tcPr>
                  <w:tcW w:w="638" w:type="pct"/>
                  <w:shd w:val="clear" w:color="auto" w:fill="auto"/>
                  <w:noWrap w:val="0"/>
                  <w:vAlign w:val="center"/>
                </w:tcPr>
                <w:p w14:paraId="7F7F6FBD">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w:t>
                  </w:r>
                </w:p>
              </w:tc>
              <w:tc>
                <w:tcPr>
                  <w:tcW w:w="669" w:type="pct"/>
                  <w:shd w:val="clear" w:color="auto" w:fill="auto"/>
                  <w:noWrap w:val="0"/>
                  <w:vAlign w:val="center"/>
                </w:tcPr>
                <w:p w14:paraId="7BBED3C9">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w:t>
                  </w:r>
                </w:p>
              </w:tc>
              <w:tc>
                <w:tcPr>
                  <w:tcW w:w="492" w:type="pct"/>
                  <w:shd w:val="clear" w:color="auto" w:fill="auto"/>
                  <w:noWrap w:val="0"/>
                  <w:vAlign w:val="center"/>
                </w:tcPr>
                <w:p w14:paraId="7F5494D5">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4</w:t>
                  </w:r>
                </w:p>
              </w:tc>
              <w:tc>
                <w:tcPr>
                  <w:tcW w:w="1234" w:type="pct"/>
                  <w:noWrap w:val="0"/>
                  <w:vAlign w:val="center"/>
                </w:tcPr>
                <w:p w14:paraId="774BBABA">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000000" w:themeColor="text1"/>
                      <w:spacing w:val="-2"/>
                      <w:highlight w:val="none"/>
                      <w:lang w:val="en-US"/>
                      <w14:textFill>
                        <w14:solidFill>
                          <w14:schemeClr w14:val="tx1"/>
                        </w14:solidFill>
                      </w14:textFill>
                    </w:rPr>
                  </w:pPr>
                  <w:r>
                    <w:rPr>
                      <w:rFonts w:hint="default" w:ascii="Times New Roman" w:hAnsi="Times New Roman" w:cs="Times New Roman"/>
                      <w:color w:val="000000" w:themeColor="text1"/>
                      <w:spacing w:val="-2"/>
                      <w:highlight w:val="none"/>
                      <w14:textFill>
                        <w14:solidFill>
                          <w14:schemeClr w14:val="tx1"/>
                        </w14:solidFill>
                      </w14:textFill>
                    </w:rPr>
                    <w:t>排放</w:t>
                  </w:r>
                  <w:r>
                    <w:rPr>
                      <w:rFonts w:hint="default" w:ascii="Times New Roman" w:hAnsi="Times New Roman" w:cs="Times New Roman"/>
                      <w:color w:val="000000" w:themeColor="text1"/>
                      <w:spacing w:val="-2"/>
                      <w:highlight w:val="none"/>
                      <w:lang w:val="en-US" w:eastAsia="zh-CN"/>
                      <w14:textFill>
                        <w14:solidFill>
                          <w14:schemeClr w14:val="tx1"/>
                        </w14:solidFill>
                      </w14:textFill>
                    </w:rPr>
                    <w:t>废气氮氧化物</w:t>
                  </w:r>
                </w:p>
              </w:tc>
              <w:tc>
                <w:tcPr>
                  <w:tcW w:w="866" w:type="pct"/>
                  <w:noWrap w:val="0"/>
                  <w:vAlign w:val="center"/>
                </w:tcPr>
                <w:p w14:paraId="491F149C">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000000" w:themeColor="text1"/>
                      <w:spacing w:val="-2"/>
                      <w:highlight w:val="none"/>
                      <w:lang w:val="en-US" w:eastAsia="zh-CN"/>
                      <w14:textFill>
                        <w14:solidFill>
                          <w14:schemeClr w14:val="tx1"/>
                        </w14:solidFill>
                      </w14:textFill>
                    </w:rPr>
                  </w:pPr>
                  <w:r>
                    <w:rPr>
                      <w:rFonts w:hint="default" w:ascii="Times New Roman" w:hAnsi="Times New Roman" w:cs="Times New Roman"/>
                      <w:color w:val="000000" w:themeColor="text1"/>
                      <w:spacing w:val="-2"/>
                      <w:highlight w:val="none"/>
                      <w:lang w:val="en-US" w:eastAsia="zh-CN"/>
                      <w14:textFill>
                        <w14:solidFill>
                          <w14:schemeClr w14:val="tx1"/>
                        </w14:solidFill>
                      </w14:textFill>
                    </w:rPr>
                    <w:t>94</w:t>
                  </w:r>
                </w:p>
              </w:tc>
              <w:tc>
                <w:tcPr>
                  <w:tcW w:w="706" w:type="pct"/>
                  <w:noWrap w:val="0"/>
                  <w:vAlign w:val="center"/>
                </w:tcPr>
                <w:p w14:paraId="7E81D128">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cs="Times New Roman"/>
                      <w:color w:val="000000" w:themeColor="text1"/>
                      <w:spacing w:val="-2"/>
                      <w:highlight w:val="none"/>
                      <w:lang w:val="en-US" w:eastAsia="zh-CN"/>
                      <w14:textFill>
                        <w14:solidFill>
                          <w14:schemeClr w14:val="tx1"/>
                        </w14:solidFill>
                      </w14:textFill>
                    </w:rPr>
                    <w:t>/</w:t>
                  </w:r>
                </w:p>
              </w:tc>
            </w:tr>
            <w:tr w14:paraId="117F65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pct"/>
                  <w:shd w:val="clear" w:color="auto" w:fill="auto"/>
                  <w:noWrap w:val="0"/>
                  <w:vAlign w:val="center"/>
                </w:tcPr>
                <w:p w14:paraId="601A60E0">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5</w:t>
                  </w:r>
                </w:p>
              </w:tc>
              <w:tc>
                <w:tcPr>
                  <w:tcW w:w="638" w:type="pct"/>
                  <w:shd w:val="clear" w:color="auto" w:fill="auto"/>
                  <w:noWrap w:val="0"/>
                  <w:vAlign w:val="center"/>
                </w:tcPr>
                <w:p w14:paraId="65555B8B">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w:t>
                  </w:r>
                </w:p>
              </w:tc>
              <w:tc>
                <w:tcPr>
                  <w:tcW w:w="669" w:type="pct"/>
                  <w:shd w:val="clear" w:color="auto" w:fill="auto"/>
                  <w:noWrap w:val="0"/>
                  <w:vAlign w:val="center"/>
                </w:tcPr>
                <w:p w14:paraId="7959BD35">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w:t>
                  </w:r>
                </w:p>
              </w:tc>
              <w:tc>
                <w:tcPr>
                  <w:tcW w:w="492" w:type="pct"/>
                  <w:shd w:val="clear" w:color="auto" w:fill="auto"/>
                  <w:noWrap w:val="0"/>
                  <w:vAlign w:val="center"/>
                </w:tcPr>
                <w:p w14:paraId="6683EF24">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5</w:t>
                  </w:r>
                </w:p>
              </w:tc>
              <w:tc>
                <w:tcPr>
                  <w:tcW w:w="1234" w:type="pct"/>
                  <w:shd w:val="clear" w:color="auto" w:fill="auto"/>
                  <w:noWrap w:val="0"/>
                  <w:vAlign w:val="center"/>
                </w:tcPr>
                <w:p w14:paraId="26B00537">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kern w:val="2"/>
                      <w:sz w:val="21"/>
                      <w:szCs w:val="21"/>
                      <w:highlight w:val="none"/>
                      <w:lang w:val="en-US" w:eastAsia="en-US" w:bidi="ar-SA"/>
                      <w14:textFill>
                        <w14:solidFill>
                          <w14:schemeClr w14:val="tx1"/>
                        </w14:solidFill>
                      </w14:textFill>
                    </w:rPr>
                  </w:pPr>
                  <w:r>
                    <w:rPr>
                      <w:rFonts w:hint="default" w:ascii="Times New Roman" w:hAnsi="Times New Roman" w:cs="Times New Roman"/>
                      <w:color w:val="000000" w:themeColor="text1"/>
                      <w:spacing w:val="1"/>
                      <w:highlight w:val="none"/>
                      <w14:textFill>
                        <w14:solidFill>
                          <w14:schemeClr w14:val="tx1"/>
                        </w14:solidFill>
                      </w14:textFill>
                    </w:rPr>
                    <w:t>煅烧蒸发水蒸气</w:t>
                  </w:r>
                </w:p>
              </w:tc>
              <w:tc>
                <w:tcPr>
                  <w:tcW w:w="866" w:type="pct"/>
                  <w:shd w:val="clear" w:color="auto" w:fill="auto"/>
                  <w:noWrap w:val="0"/>
                  <w:vAlign w:val="center"/>
                </w:tcPr>
                <w:p w14:paraId="2D67D7F2">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1861</w:t>
                  </w:r>
                  <w:r>
                    <w:rPr>
                      <w:rFonts w:hint="default" w:ascii="Times New Roman" w:hAnsi="Times New Roman" w:cs="Times New Roman"/>
                      <w:color w:val="000000" w:themeColor="text1"/>
                      <w:spacing w:val="-2"/>
                      <w:highlight w:val="none"/>
                      <w:lang w:val="en-US" w:eastAsia="zh-CN"/>
                      <w14:textFill>
                        <w14:solidFill>
                          <w14:schemeClr w14:val="tx1"/>
                        </w14:solidFill>
                      </w14:textFill>
                    </w:rPr>
                    <w:t>1.8</w:t>
                  </w:r>
                </w:p>
              </w:tc>
              <w:tc>
                <w:tcPr>
                  <w:tcW w:w="706" w:type="pct"/>
                  <w:noWrap w:val="0"/>
                  <w:vAlign w:val="center"/>
                </w:tcPr>
                <w:p w14:paraId="6E424237">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cs="Times New Roman"/>
                      <w:color w:val="000000" w:themeColor="text1"/>
                      <w:spacing w:val="-2"/>
                      <w:highlight w:val="none"/>
                      <w:lang w:val="en-US" w:eastAsia="zh-CN"/>
                      <w14:textFill>
                        <w14:solidFill>
                          <w14:schemeClr w14:val="tx1"/>
                        </w14:solidFill>
                      </w14:textFill>
                    </w:rPr>
                    <w:t>/</w:t>
                  </w:r>
                </w:p>
              </w:tc>
            </w:tr>
            <w:tr w14:paraId="446C7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pct"/>
                  <w:shd w:val="clear" w:color="auto" w:fill="auto"/>
                  <w:noWrap w:val="0"/>
                  <w:vAlign w:val="center"/>
                </w:tcPr>
                <w:p w14:paraId="42620C0A">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6</w:t>
                  </w:r>
                </w:p>
              </w:tc>
              <w:tc>
                <w:tcPr>
                  <w:tcW w:w="638" w:type="pct"/>
                  <w:shd w:val="clear" w:color="auto" w:fill="auto"/>
                  <w:noWrap w:val="0"/>
                  <w:vAlign w:val="center"/>
                </w:tcPr>
                <w:p w14:paraId="27AEC823">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w:t>
                  </w:r>
                </w:p>
              </w:tc>
              <w:tc>
                <w:tcPr>
                  <w:tcW w:w="669" w:type="pct"/>
                  <w:shd w:val="clear" w:color="auto" w:fill="auto"/>
                  <w:noWrap w:val="0"/>
                  <w:vAlign w:val="center"/>
                </w:tcPr>
                <w:p w14:paraId="4303C424">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w:t>
                  </w:r>
                </w:p>
              </w:tc>
              <w:tc>
                <w:tcPr>
                  <w:tcW w:w="492" w:type="pct"/>
                  <w:shd w:val="clear" w:color="auto" w:fill="auto"/>
                  <w:noWrap w:val="0"/>
                  <w:vAlign w:val="center"/>
                </w:tcPr>
                <w:p w14:paraId="60B28D57">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6</w:t>
                  </w:r>
                </w:p>
              </w:tc>
              <w:tc>
                <w:tcPr>
                  <w:tcW w:w="1234" w:type="pct"/>
                  <w:noWrap w:val="0"/>
                  <w:vAlign w:val="center"/>
                </w:tcPr>
                <w:p w14:paraId="52F40E59">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eastAsia="zh-CN"/>
                      <w14:textFill>
                        <w14:solidFill>
                          <w14:schemeClr w14:val="tx1"/>
                        </w14:solidFill>
                      </w14:textFill>
                    </w:rPr>
                  </w:pPr>
                  <w:r>
                    <w:rPr>
                      <w:rFonts w:hint="default" w:ascii="Times New Roman" w:hAnsi="Times New Roman" w:cs="Times New Roman"/>
                      <w:color w:val="000000" w:themeColor="text1"/>
                      <w:spacing w:val="-2"/>
                      <w:highlight w:val="none"/>
                      <w14:textFill>
                        <w14:solidFill>
                          <w14:schemeClr w14:val="tx1"/>
                        </w14:solidFill>
                      </w14:textFill>
                    </w:rPr>
                    <w:t>烧失量</w:t>
                  </w:r>
                </w:p>
              </w:tc>
              <w:tc>
                <w:tcPr>
                  <w:tcW w:w="866" w:type="pct"/>
                  <w:noWrap w:val="0"/>
                  <w:vAlign w:val="center"/>
                </w:tcPr>
                <w:p w14:paraId="355CCCAD">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14:textFill>
                        <w14:solidFill>
                          <w14:schemeClr w14:val="tx1"/>
                        </w14:solidFill>
                      </w14:textFill>
                    </w:rPr>
                  </w:pPr>
                  <w:r>
                    <w:rPr>
                      <w:rFonts w:hint="default" w:ascii="Times New Roman" w:hAnsi="Times New Roman" w:cs="Times New Roman"/>
                      <w:color w:val="000000" w:themeColor="text1"/>
                      <w:spacing w:val="-2"/>
                      <w:highlight w:val="none"/>
                      <w:lang w:val="en-US" w:eastAsia="zh-CN"/>
                      <w14:textFill>
                        <w14:solidFill>
                          <w14:schemeClr w14:val="tx1"/>
                        </w14:solidFill>
                      </w14:textFill>
                    </w:rPr>
                    <w:t>59692</w:t>
                  </w:r>
                </w:p>
              </w:tc>
              <w:tc>
                <w:tcPr>
                  <w:tcW w:w="706" w:type="pct"/>
                  <w:noWrap w:val="0"/>
                  <w:vAlign w:val="center"/>
                </w:tcPr>
                <w:p w14:paraId="6FD0F7E3">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w:t>
                  </w:r>
                </w:p>
              </w:tc>
            </w:tr>
            <w:tr w14:paraId="0DB66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pct"/>
                  <w:noWrap w:val="0"/>
                  <w:vAlign w:val="center"/>
                </w:tcPr>
                <w:p w14:paraId="15CC1230">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cs="Times New Roman"/>
                      <w:color w:val="000000" w:themeColor="text1"/>
                      <w:spacing w:val="-2"/>
                      <w:highlight w:val="none"/>
                      <w:lang w:val="en-US" w:eastAsia="zh-CN"/>
                      <w14:textFill>
                        <w14:solidFill>
                          <w14:schemeClr w14:val="tx1"/>
                        </w14:solidFill>
                      </w14:textFill>
                    </w:rPr>
                    <w:t>7</w:t>
                  </w:r>
                </w:p>
              </w:tc>
              <w:tc>
                <w:tcPr>
                  <w:tcW w:w="638" w:type="pct"/>
                  <w:noWrap w:val="0"/>
                  <w:vAlign w:val="center"/>
                </w:tcPr>
                <w:p w14:paraId="20C4E228">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w:t>
                  </w:r>
                </w:p>
              </w:tc>
              <w:tc>
                <w:tcPr>
                  <w:tcW w:w="669" w:type="pct"/>
                  <w:noWrap w:val="0"/>
                  <w:vAlign w:val="center"/>
                </w:tcPr>
                <w:p w14:paraId="5A21F6D0">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w:t>
                  </w:r>
                </w:p>
              </w:tc>
              <w:tc>
                <w:tcPr>
                  <w:tcW w:w="492" w:type="pct"/>
                  <w:noWrap w:val="0"/>
                  <w:vAlign w:val="center"/>
                </w:tcPr>
                <w:p w14:paraId="4E14D1DA">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cs="Times New Roman"/>
                      <w:color w:val="000000" w:themeColor="text1"/>
                      <w:spacing w:val="-2"/>
                      <w:highlight w:val="none"/>
                      <w:lang w:val="en-US" w:eastAsia="zh-CN"/>
                      <w14:textFill>
                        <w14:solidFill>
                          <w14:schemeClr w14:val="tx1"/>
                        </w14:solidFill>
                      </w14:textFill>
                    </w:rPr>
                    <w:t>7</w:t>
                  </w:r>
                </w:p>
              </w:tc>
              <w:tc>
                <w:tcPr>
                  <w:tcW w:w="1234" w:type="pct"/>
                  <w:noWrap w:val="0"/>
                  <w:vAlign w:val="center"/>
                </w:tcPr>
                <w:p w14:paraId="05A874C9">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eastAsia="zh-CN"/>
                      <w14:textFill>
                        <w14:solidFill>
                          <w14:schemeClr w14:val="tx1"/>
                        </w14:solidFill>
                      </w14:textFill>
                    </w:rPr>
                  </w:pPr>
                  <w:r>
                    <w:rPr>
                      <w:rFonts w:hint="default" w:ascii="Times New Roman" w:hAnsi="Times New Roman" w:cs="Times New Roman"/>
                      <w:color w:val="000000" w:themeColor="text1"/>
                      <w:spacing w:val="3"/>
                      <w:highlight w:val="none"/>
                      <w:lang w:val="en-US" w:eastAsia="zh-CN"/>
                      <w14:textFill>
                        <w14:solidFill>
                          <w14:schemeClr w14:val="tx1"/>
                        </w14:solidFill>
                      </w14:textFill>
                    </w:rPr>
                    <w:t>除尘灰</w:t>
                  </w:r>
                </w:p>
              </w:tc>
              <w:tc>
                <w:tcPr>
                  <w:tcW w:w="866" w:type="pct"/>
                  <w:noWrap w:val="0"/>
                  <w:vAlign w:val="center"/>
                </w:tcPr>
                <w:p w14:paraId="78E02EC7">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cs="Times New Roman"/>
                      <w:color w:val="000000" w:themeColor="text1"/>
                      <w:spacing w:val="-2"/>
                      <w:highlight w:val="none"/>
                      <w:lang w:val="en-US" w:eastAsia="zh-CN"/>
                      <w14:textFill>
                        <w14:solidFill>
                          <w14:schemeClr w14:val="tx1"/>
                        </w14:solidFill>
                      </w14:textFill>
                    </w:rPr>
                    <w:t>1094.85</w:t>
                  </w:r>
                </w:p>
              </w:tc>
              <w:tc>
                <w:tcPr>
                  <w:tcW w:w="706" w:type="pct"/>
                  <w:vMerge w:val="restart"/>
                  <w:noWrap w:val="0"/>
                  <w:vAlign w:val="center"/>
                </w:tcPr>
                <w:p w14:paraId="67994A10">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作为建筑</w:t>
                  </w:r>
                </w:p>
                <w:p w14:paraId="0AA7C577">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材料外售</w:t>
                  </w:r>
                </w:p>
              </w:tc>
            </w:tr>
            <w:tr w14:paraId="72E566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pct"/>
                  <w:noWrap w:val="0"/>
                  <w:vAlign w:val="center"/>
                </w:tcPr>
                <w:p w14:paraId="778D4BDA">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cs="Times New Roman"/>
                      <w:color w:val="000000" w:themeColor="text1"/>
                      <w:spacing w:val="-2"/>
                      <w:highlight w:val="none"/>
                      <w:lang w:val="en-US" w:eastAsia="zh-CN"/>
                      <w14:textFill>
                        <w14:solidFill>
                          <w14:schemeClr w14:val="tx1"/>
                        </w14:solidFill>
                      </w14:textFill>
                    </w:rPr>
                    <w:t>8</w:t>
                  </w:r>
                </w:p>
              </w:tc>
              <w:tc>
                <w:tcPr>
                  <w:tcW w:w="638" w:type="pct"/>
                  <w:noWrap w:val="0"/>
                  <w:vAlign w:val="center"/>
                </w:tcPr>
                <w:p w14:paraId="0A389A17">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w:t>
                  </w:r>
                </w:p>
              </w:tc>
              <w:tc>
                <w:tcPr>
                  <w:tcW w:w="669" w:type="pct"/>
                  <w:noWrap w:val="0"/>
                  <w:vAlign w:val="center"/>
                </w:tcPr>
                <w:p w14:paraId="2A51634F">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w:t>
                  </w:r>
                </w:p>
              </w:tc>
              <w:tc>
                <w:tcPr>
                  <w:tcW w:w="492" w:type="pct"/>
                  <w:noWrap w:val="0"/>
                  <w:vAlign w:val="center"/>
                </w:tcPr>
                <w:p w14:paraId="47A75D49">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cs="Times New Roman"/>
                      <w:color w:val="000000" w:themeColor="text1"/>
                      <w:spacing w:val="-2"/>
                      <w:highlight w:val="none"/>
                      <w:lang w:val="en-US" w:eastAsia="zh-CN"/>
                      <w14:textFill>
                        <w14:solidFill>
                          <w14:schemeClr w14:val="tx1"/>
                        </w14:solidFill>
                      </w14:textFill>
                    </w:rPr>
                    <w:t>8</w:t>
                  </w:r>
                </w:p>
              </w:tc>
              <w:tc>
                <w:tcPr>
                  <w:tcW w:w="1234" w:type="pct"/>
                  <w:noWrap w:val="0"/>
                  <w:vAlign w:val="center"/>
                </w:tcPr>
                <w:p w14:paraId="07EE1979">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3"/>
                      <w:highlight w:val="none"/>
                      <w:lang w:val="en-US" w:eastAsia="zh-CN"/>
                      <w14:textFill>
                        <w14:solidFill>
                          <w14:schemeClr w14:val="tx1"/>
                        </w14:solidFill>
                      </w14:textFill>
                    </w:rPr>
                  </w:pPr>
                  <w:r>
                    <w:rPr>
                      <w:rFonts w:hint="default" w:ascii="Times New Roman" w:hAnsi="Times New Roman" w:cs="Times New Roman"/>
                      <w:color w:val="000000" w:themeColor="text1"/>
                      <w:spacing w:val="3"/>
                      <w:highlight w:val="none"/>
                      <w:lang w:val="en-US" w:eastAsia="zh-CN"/>
                      <w14:textFill>
                        <w14:solidFill>
                          <w14:schemeClr w14:val="tx1"/>
                        </w14:solidFill>
                      </w14:textFill>
                    </w:rPr>
                    <w:t>不合格品（黄料）</w:t>
                  </w:r>
                </w:p>
              </w:tc>
              <w:tc>
                <w:tcPr>
                  <w:tcW w:w="866" w:type="pct"/>
                  <w:noWrap w:val="0"/>
                  <w:vAlign w:val="center"/>
                </w:tcPr>
                <w:p w14:paraId="0C8D87A7">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10526</w:t>
                  </w:r>
                </w:p>
              </w:tc>
              <w:tc>
                <w:tcPr>
                  <w:tcW w:w="706" w:type="pct"/>
                  <w:vMerge w:val="continue"/>
                  <w:noWrap w:val="0"/>
                  <w:vAlign w:val="center"/>
                </w:tcPr>
                <w:p w14:paraId="71AD9ECA">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14:textFill>
                        <w14:solidFill>
                          <w14:schemeClr w14:val="tx1"/>
                        </w14:solidFill>
                      </w14:textFill>
                    </w:rPr>
                  </w:pPr>
                </w:p>
              </w:tc>
            </w:tr>
            <w:tr w14:paraId="21D87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pct"/>
                  <w:gridSpan w:val="2"/>
                  <w:noWrap w:val="0"/>
                  <w:vAlign w:val="center"/>
                </w:tcPr>
                <w:p w14:paraId="1D06A46E">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合计</w:t>
                  </w:r>
                </w:p>
              </w:tc>
              <w:tc>
                <w:tcPr>
                  <w:tcW w:w="669" w:type="pct"/>
                  <w:noWrap w:val="0"/>
                  <w:vAlign w:val="center"/>
                </w:tcPr>
                <w:p w14:paraId="070098E1">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28</w:t>
                  </w:r>
                  <w:r>
                    <w:rPr>
                      <w:rFonts w:hint="default" w:ascii="Times New Roman" w:hAnsi="Times New Roman" w:cs="Times New Roman"/>
                      <w:color w:val="000000" w:themeColor="text1"/>
                      <w:spacing w:val="-2"/>
                      <w:highlight w:val="none"/>
                      <w:lang w:val="en-US" w:eastAsia="zh-CN"/>
                      <w14:textFill>
                        <w14:solidFill>
                          <w14:schemeClr w14:val="tx1"/>
                        </w14:solidFill>
                      </w14:textFill>
                    </w:rPr>
                    <w:t>6069.15</w:t>
                  </w:r>
                </w:p>
              </w:tc>
              <w:tc>
                <w:tcPr>
                  <w:tcW w:w="1726" w:type="pct"/>
                  <w:gridSpan w:val="2"/>
                  <w:noWrap w:val="0"/>
                  <w:vAlign w:val="center"/>
                </w:tcPr>
                <w:p w14:paraId="44BDA450">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合计</w:t>
                  </w:r>
                </w:p>
              </w:tc>
              <w:tc>
                <w:tcPr>
                  <w:tcW w:w="866" w:type="pct"/>
                  <w:noWrap w:val="0"/>
                  <w:vAlign w:val="center"/>
                </w:tcPr>
                <w:p w14:paraId="199C3CF5">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28</w:t>
                  </w:r>
                  <w:r>
                    <w:rPr>
                      <w:rFonts w:hint="default" w:ascii="Times New Roman" w:hAnsi="Times New Roman" w:cs="Times New Roman"/>
                      <w:color w:val="000000" w:themeColor="text1"/>
                      <w:spacing w:val="-2"/>
                      <w:highlight w:val="none"/>
                      <w:lang w:val="en-US" w:eastAsia="zh-CN"/>
                      <w14:textFill>
                        <w14:solidFill>
                          <w14:schemeClr w14:val="tx1"/>
                        </w14:solidFill>
                      </w14:textFill>
                    </w:rPr>
                    <w:t>6069.15</w:t>
                  </w:r>
                </w:p>
              </w:tc>
              <w:tc>
                <w:tcPr>
                  <w:tcW w:w="706" w:type="pct"/>
                  <w:noWrap w:val="0"/>
                  <w:vAlign w:val="center"/>
                </w:tcPr>
                <w:p w14:paraId="16D7F018">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14:textFill>
                        <w14:solidFill>
                          <w14:schemeClr w14:val="tx1"/>
                        </w14:solidFill>
                      </w14:textFill>
                    </w:rPr>
                  </w:pPr>
                  <w:r>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t>/</w:t>
                  </w:r>
                </w:p>
              </w:tc>
            </w:tr>
            <w:tr w14:paraId="7C25F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0" w:type="pct"/>
                  <w:gridSpan w:val="2"/>
                  <w:noWrap w:val="0"/>
                  <w:vAlign w:val="center"/>
                </w:tcPr>
                <w:p w14:paraId="29A86166">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p>
              </w:tc>
              <w:tc>
                <w:tcPr>
                  <w:tcW w:w="669" w:type="pct"/>
                  <w:noWrap w:val="0"/>
                  <w:vAlign w:val="center"/>
                </w:tcPr>
                <w:p w14:paraId="3EA42376">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p>
              </w:tc>
              <w:tc>
                <w:tcPr>
                  <w:tcW w:w="1726" w:type="pct"/>
                  <w:gridSpan w:val="2"/>
                  <w:noWrap w:val="0"/>
                  <w:vAlign w:val="center"/>
                </w:tcPr>
                <w:p w14:paraId="0473FFC2">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p>
              </w:tc>
              <w:tc>
                <w:tcPr>
                  <w:tcW w:w="866" w:type="pct"/>
                  <w:noWrap w:val="0"/>
                  <w:vAlign w:val="center"/>
                </w:tcPr>
                <w:p w14:paraId="37F7A71D">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p>
              </w:tc>
              <w:tc>
                <w:tcPr>
                  <w:tcW w:w="706" w:type="pct"/>
                  <w:noWrap w:val="0"/>
                  <w:vAlign w:val="center"/>
                </w:tcPr>
                <w:p w14:paraId="13D12D97">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highlight w:val="none"/>
                      <w:lang w:val="en-US" w:eastAsia="zh-CN"/>
                      <w14:textFill>
                        <w14:solidFill>
                          <w14:schemeClr w14:val="tx1"/>
                        </w14:solidFill>
                      </w14:textFill>
                    </w:rPr>
                  </w:pPr>
                </w:p>
              </w:tc>
            </w:tr>
          </w:tbl>
          <w:p w14:paraId="1A120CBA">
            <w:pPr>
              <w:pStyle w:val="88"/>
              <w:widowControl/>
              <w:adjustRightInd/>
              <w:snapToGrid w:val="0"/>
              <w:spacing w:before="120" w:beforeLines="50" w:line="360" w:lineRule="auto"/>
              <w:ind w:firstLineChars="200"/>
              <w:jc w:val="both"/>
              <w:rPr>
                <w:rFonts w:hint="default" w:ascii="Times New Roman" w:hAnsi="Times New Roman" w:cs="Times New Roman"/>
                <w:b w:val="0"/>
                <w:bCs w:val="0"/>
                <w:color w:val="000000" w:themeColor="text1"/>
                <w:spacing w:val="-2"/>
                <w:position w:val="-1"/>
                <w:highlight w:val="none"/>
                <w14:textFill>
                  <w14:solidFill>
                    <w14:schemeClr w14:val="tx1"/>
                  </w14:solidFill>
                </w14:textFill>
              </w:rPr>
            </w:pPr>
            <w:r>
              <w:rPr>
                <w:rFonts w:hint="default" w:ascii="Times New Roman" w:hAnsi="Times New Roman" w:cs="Times New Roman"/>
                <w:b w:val="0"/>
                <w:bCs w:val="0"/>
                <w:color w:val="000000" w:themeColor="text1"/>
                <w:spacing w:val="-2"/>
                <w:position w:val="-1"/>
                <w:highlight w:val="none"/>
                <w:lang w:val="en-US" w:eastAsia="zh-CN"/>
                <w14:textFill>
                  <w14:solidFill>
                    <w14:schemeClr w14:val="tx1"/>
                  </w14:solidFill>
                </w14:textFill>
              </w:rPr>
              <w:t>根据建设单位实际运行情况，回转窑煅烧高岭土的物</w:t>
            </w:r>
            <w:r>
              <w:rPr>
                <w:rFonts w:hint="default" w:ascii="Times New Roman" w:hAnsi="Times New Roman" w:eastAsia="宋体" w:cs="Times New Roman"/>
                <w:b w:val="0"/>
                <w:bCs w:val="0"/>
                <w:color w:val="000000" w:themeColor="text1"/>
                <w:spacing w:val="-2"/>
                <w:position w:val="-1"/>
                <w:highlight w:val="none"/>
                <w:lang w:val="en-US" w:eastAsia="zh-CN"/>
                <w14:textFill>
                  <w14:solidFill>
                    <w14:schemeClr w14:val="tx1"/>
                  </w14:solidFill>
                </w14:textFill>
              </w:rPr>
              <w:t>料（黄料）损</w:t>
            </w:r>
            <w:r>
              <w:rPr>
                <w:rFonts w:hint="default" w:ascii="Times New Roman" w:hAnsi="Times New Roman" w:cs="Times New Roman"/>
                <w:b w:val="0"/>
                <w:bCs w:val="0"/>
                <w:color w:val="000000" w:themeColor="text1"/>
                <w:spacing w:val="-2"/>
                <w:position w:val="-1"/>
                <w:highlight w:val="none"/>
                <w:lang w:val="en-US" w:eastAsia="zh-CN"/>
                <w14:textFill>
                  <w14:solidFill>
                    <w14:schemeClr w14:val="tx1"/>
                  </w14:solidFill>
                </w14:textFill>
              </w:rPr>
              <w:t>耗率约为5%，本项目优质煅烧高岭土共计200000t/a，则需煅烧高岭土成品210526t/a。</w:t>
            </w:r>
          </w:p>
          <w:p w14:paraId="2276B4A1">
            <w:pPr>
              <w:pStyle w:val="88"/>
              <w:keepNext w:val="0"/>
              <w:keepLines w:val="0"/>
              <w:pageBreakBefore w:val="0"/>
              <w:widowControl/>
              <w:kinsoku/>
              <w:wordWrap/>
              <w:overflowPunct/>
              <w:topLinePunct w:val="0"/>
              <w:autoSpaceDE/>
              <w:autoSpaceDN/>
              <w:bidi w:val="0"/>
              <w:adjustRightInd/>
              <w:snapToGrid w:val="0"/>
              <w:spacing w:line="240" w:lineRule="auto"/>
              <w:ind w:firstLineChars="200"/>
              <w:jc w:val="center"/>
              <w:textAlignment w:val="baseline"/>
              <w:rPr>
                <w:rFonts w:hint="eastAsia" w:ascii="Times New Roman" w:hAnsi="Times New Roman" w:eastAsia="宋体" w:cs="Times New Roman"/>
                <w:b/>
                <w:bCs/>
                <w:color w:val="000000" w:themeColor="text1"/>
                <w:spacing w:val="-2"/>
                <w:highlight w:val="none"/>
                <w:lang w:eastAsia="zh-CN"/>
                <w14:textFill>
                  <w14:solidFill>
                    <w14:schemeClr w14:val="tx1"/>
                  </w14:solidFill>
                </w14:textFill>
              </w:rPr>
            </w:pPr>
            <w:r>
              <w:rPr>
                <w:rFonts w:hint="default" w:ascii="Times New Roman" w:hAnsi="Times New Roman" w:cs="Times New Roman"/>
                <w:b/>
                <w:bCs/>
                <w:color w:val="000000" w:themeColor="text1"/>
                <w:spacing w:val="-2"/>
                <w:position w:val="-1"/>
                <w:highlight w:val="none"/>
                <w14:textFill>
                  <w14:solidFill>
                    <w14:schemeClr w14:val="tx1"/>
                  </w14:solidFill>
                </w14:textFill>
              </w:rPr>
              <w:t>表</w:t>
            </w:r>
            <w:r>
              <w:rPr>
                <w:rFonts w:hint="default" w:ascii="Times New Roman" w:hAnsi="Times New Roman" w:cs="Times New Roman"/>
                <w:b/>
                <w:bCs/>
                <w:color w:val="000000" w:themeColor="text1"/>
                <w:spacing w:val="-2"/>
                <w:position w:val="-1"/>
                <w:highlight w:val="none"/>
                <w:lang w:val="en-US" w:eastAsia="zh-CN"/>
                <w14:textFill>
                  <w14:solidFill>
                    <w14:schemeClr w14:val="tx1"/>
                  </w14:solidFill>
                </w14:textFill>
              </w:rPr>
              <w:t>2-23</w:t>
            </w:r>
            <w:r>
              <w:rPr>
                <w:rFonts w:hint="default" w:ascii="Times New Roman" w:hAnsi="Times New Roman" w:cs="Times New Roman"/>
                <w:b/>
                <w:bCs/>
                <w:color w:val="000000" w:themeColor="text1"/>
                <w:spacing w:val="-2"/>
                <w:highlight w:val="none"/>
                <w14:textFill>
                  <w14:solidFill>
                    <w14:schemeClr w14:val="tx1"/>
                  </w14:solidFill>
                </w14:textFill>
              </w:rPr>
              <w:t>本项目生产物料平衡分析表</w:t>
            </w:r>
            <w:r>
              <w:rPr>
                <w:rFonts w:hint="eastAsia" w:cs="Times New Roman"/>
                <w:b/>
                <w:bCs/>
                <w:color w:val="000000" w:themeColor="text1"/>
                <w:spacing w:val="-2"/>
                <w:highlight w:val="none"/>
                <w:lang w:eastAsia="zh-CN"/>
                <w14:textFill>
                  <w14:solidFill>
                    <w14:schemeClr w14:val="tx1"/>
                  </w14:solidFill>
                </w14:textFill>
              </w:rPr>
              <w:t>（</w:t>
            </w:r>
            <w:r>
              <w:rPr>
                <w:rFonts w:hint="default" w:ascii="Times New Roman" w:hAnsi="Times New Roman" w:cs="Times New Roman"/>
                <w:b/>
                <w:bCs/>
                <w:color w:val="000000" w:themeColor="text1"/>
                <w:spacing w:val="-2"/>
                <w:highlight w:val="none"/>
                <w14:textFill>
                  <w14:solidFill>
                    <w14:schemeClr w14:val="tx1"/>
                  </w14:solidFill>
                </w14:textFill>
              </w:rPr>
              <w:t>单位：t/a</w:t>
            </w:r>
            <w:r>
              <w:rPr>
                <w:rFonts w:hint="eastAsia" w:cs="Times New Roman"/>
                <w:b/>
                <w:bCs/>
                <w:color w:val="000000" w:themeColor="text1"/>
                <w:spacing w:val="-2"/>
                <w:highlight w:val="none"/>
                <w:lang w:eastAsia="zh-CN"/>
                <w14:textFill>
                  <w14:solidFill>
                    <w14:schemeClr w14:val="tx1"/>
                  </w14:solidFill>
                </w14:textFill>
              </w:rPr>
              <w:t>）</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3"/>
              <w:gridCol w:w="1720"/>
              <w:gridCol w:w="2002"/>
              <w:gridCol w:w="956"/>
              <w:gridCol w:w="1128"/>
              <w:gridCol w:w="871"/>
              <w:gridCol w:w="948"/>
            </w:tblGrid>
            <w:tr w14:paraId="2BF77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3" w:type="dxa"/>
                  <w:noWrap w:val="0"/>
                  <w:vAlign w:val="center"/>
                </w:tcPr>
                <w:p w14:paraId="3E9309D3">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t>进料名称</w:t>
                  </w:r>
                </w:p>
              </w:tc>
              <w:tc>
                <w:tcPr>
                  <w:tcW w:w="1720" w:type="dxa"/>
                  <w:noWrap w:val="0"/>
                  <w:vAlign w:val="center"/>
                </w:tcPr>
                <w:p w14:paraId="6FCF2DED">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t>进料量</w:t>
                  </w:r>
                </w:p>
              </w:tc>
              <w:tc>
                <w:tcPr>
                  <w:tcW w:w="2002" w:type="dxa"/>
                  <w:noWrap w:val="0"/>
                  <w:vAlign w:val="center"/>
                </w:tcPr>
                <w:p w14:paraId="2B1B5F42">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t>含硫率</w:t>
                  </w:r>
                </w:p>
                <w:p w14:paraId="761056DD">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t>%</w:t>
                  </w:r>
                </w:p>
              </w:tc>
              <w:tc>
                <w:tcPr>
                  <w:tcW w:w="956" w:type="dxa"/>
                  <w:noWrap w:val="0"/>
                  <w:vAlign w:val="center"/>
                </w:tcPr>
                <w:p w14:paraId="152A3949">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t>含硫量</w:t>
                  </w:r>
                </w:p>
              </w:tc>
              <w:tc>
                <w:tcPr>
                  <w:tcW w:w="1128" w:type="dxa"/>
                  <w:noWrap w:val="0"/>
                  <w:vAlign w:val="center"/>
                </w:tcPr>
                <w:p w14:paraId="36369B11">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t>出料名称</w:t>
                  </w:r>
                </w:p>
              </w:tc>
              <w:tc>
                <w:tcPr>
                  <w:tcW w:w="871" w:type="dxa"/>
                  <w:noWrap w:val="0"/>
                  <w:vAlign w:val="center"/>
                </w:tcPr>
                <w:p w14:paraId="5F293D26">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t>含硫率%</w:t>
                  </w:r>
                </w:p>
              </w:tc>
              <w:tc>
                <w:tcPr>
                  <w:tcW w:w="948" w:type="dxa"/>
                  <w:noWrap w:val="0"/>
                  <w:vAlign w:val="center"/>
                </w:tcPr>
                <w:p w14:paraId="30A947DB">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含硫量</w:t>
                  </w:r>
                </w:p>
              </w:tc>
            </w:tr>
            <w:tr w14:paraId="6CC7B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3" w:type="dxa"/>
                  <w:noWrap w:val="0"/>
                  <w:vAlign w:val="center"/>
                </w:tcPr>
                <w:p w14:paraId="3C00E046">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t>原料粉</w:t>
                  </w:r>
                </w:p>
              </w:tc>
              <w:tc>
                <w:tcPr>
                  <w:tcW w:w="1720" w:type="dxa"/>
                  <w:noWrap w:val="0"/>
                  <w:vAlign w:val="center"/>
                </w:tcPr>
                <w:p w14:paraId="2BFF3CA6">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t>244234</w:t>
                  </w:r>
                </w:p>
              </w:tc>
              <w:tc>
                <w:tcPr>
                  <w:tcW w:w="2002" w:type="dxa"/>
                  <w:noWrap w:val="0"/>
                  <w:vAlign w:val="center"/>
                </w:tcPr>
                <w:p w14:paraId="4E28C338">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t>0.</w:t>
                  </w:r>
                  <w:r>
                    <w:rPr>
                      <w:rFonts w:hint="default" w:ascii="Times New Roman" w:hAnsi="Times New Roman" w:cs="Times New Roman"/>
                      <w:color w:val="000000" w:themeColor="text1"/>
                      <w:spacing w:val="5"/>
                      <w:sz w:val="21"/>
                      <w:szCs w:val="21"/>
                      <w:highlight w:val="none"/>
                      <w:lang w:val="en-US" w:eastAsia="zh-CN"/>
                      <w14:textFill>
                        <w14:solidFill>
                          <w14:schemeClr w14:val="tx1"/>
                        </w14:solidFill>
                      </w14:textFill>
                    </w:rPr>
                    <w:t>08</w:t>
                  </w:r>
                </w:p>
              </w:tc>
              <w:tc>
                <w:tcPr>
                  <w:tcW w:w="956" w:type="dxa"/>
                  <w:noWrap w:val="0"/>
                  <w:vAlign w:val="center"/>
                </w:tcPr>
                <w:p w14:paraId="64D1ACA5">
                  <w:pPr>
                    <w:keepNext w:val="0"/>
                    <w:keepLines w:val="0"/>
                    <w:widowControl/>
                    <w:suppressLineNumbers w:val="0"/>
                    <w:jc w:val="center"/>
                    <w:textAlignment w:val="cente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87.92</w:t>
                  </w:r>
                </w:p>
              </w:tc>
              <w:tc>
                <w:tcPr>
                  <w:tcW w:w="1128" w:type="dxa"/>
                  <w:noWrap w:val="0"/>
                  <w:vAlign w:val="center"/>
                </w:tcPr>
                <w:p w14:paraId="62E001F7">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t>高活性</w:t>
                  </w:r>
                </w:p>
                <w:p w14:paraId="5717A8D1">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t>高岭土</w:t>
                  </w:r>
                </w:p>
              </w:tc>
              <w:tc>
                <w:tcPr>
                  <w:tcW w:w="871" w:type="dxa"/>
                  <w:noWrap w:val="0"/>
                  <w:vAlign w:val="center"/>
                </w:tcPr>
                <w:p w14:paraId="3BE9AE24">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5"/>
                      <w:sz w:val="21"/>
                      <w:szCs w:val="21"/>
                      <w:highlight w:val="none"/>
                      <w:lang w:val="en-US" w:eastAsia="zh-CN"/>
                      <w14:textFill>
                        <w14:solidFill>
                          <w14:schemeClr w14:val="tx1"/>
                        </w14:solidFill>
                      </w14:textFill>
                    </w:rPr>
                    <w:t>~</w:t>
                  </w:r>
                </w:p>
              </w:tc>
              <w:tc>
                <w:tcPr>
                  <w:tcW w:w="948" w:type="dxa"/>
                  <w:noWrap w:val="0"/>
                  <w:vAlign w:val="center"/>
                </w:tcPr>
                <w:p w14:paraId="7E4B870C">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2"/>
                      <w:sz w:val="21"/>
                      <w:szCs w:val="21"/>
                      <w:highlight w:val="none"/>
                      <w:lang w:val="en-US" w:eastAsia="zh-CN"/>
                      <w14:textFill>
                        <w14:solidFill>
                          <w14:schemeClr w14:val="tx1"/>
                        </w14:solidFill>
                      </w14:textFill>
                    </w:rPr>
                    <w:t>19.54</w:t>
                  </w:r>
                </w:p>
              </w:tc>
            </w:tr>
            <w:tr w14:paraId="52909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3" w:type="dxa"/>
                  <w:noWrap w:val="0"/>
                  <w:vAlign w:val="center"/>
                </w:tcPr>
                <w:p w14:paraId="1C5CC73D">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14:textFill>
                        <w14:solidFill>
                          <w14:schemeClr w14:val="tx1"/>
                        </w14:solidFill>
                      </w14:textFill>
                    </w:rPr>
                    <w:t>煤气</w:t>
                  </w:r>
                </w:p>
              </w:tc>
              <w:tc>
                <w:tcPr>
                  <w:tcW w:w="1720" w:type="dxa"/>
                  <w:noWrap w:val="0"/>
                  <w:vAlign w:val="center"/>
                </w:tcPr>
                <w:p w14:paraId="29CF5DA0">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4403</w:t>
                  </w:r>
                  <w:r>
                    <w:rPr>
                      <w:rFonts w:hint="default" w:ascii="Times New Roman" w:hAnsi="Times New Roman" w:cs="Times New Roman"/>
                      <w:bCs/>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Cs/>
                      <w:color w:val="000000" w:themeColor="text1"/>
                      <w:sz w:val="21"/>
                      <w:szCs w:val="21"/>
                      <w:highlight w:val="none"/>
                      <w14:textFill>
                        <w14:solidFill>
                          <w14:schemeClr w14:val="tx1"/>
                        </w14:solidFill>
                      </w14:textFill>
                    </w:rPr>
                    <w:t>7×</w:t>
                  </w:r>
                  <w:r>
                    <w:rPr>
                      <w:rFonts w:hint="default" w:ascii="Times New Roman" w:hAnsi="Times New Roman" w:eastAsia="宋体" w:cs="Times New Roman"/>
                      <w:color w:val="000000" w:themeColor="text1"/>
                      <w:spacing w:val="5"/>
                      <w:sz w:val="21"/>
                      <w:szCs w:val="21"/>
                      <w:highlight w:val="none"/>
                      <w14:textFill>
                        <w14:solidFill>
                          <w14:schemeClr w14:val="tx1"/>
                        </w14:solidFill>
                      </w14:textFill>
                    </w:rPr>
                    <w:t>万Nm³/a</w:t>
                  </w:r>
                  <w:r>
                    <w:rPr>
                      <w:rFonts w:hint="default" w:ascii="Times New Roman" w:hAnsi="Times New Roman" w:eastAsia="宋体" w:cs="Times New Roman"/>
                      <w:color w:val="000000" w:themeColor="text1"/>
                      <w:spacing w:val="5"/>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t>0.9</w:t>
                  </w:r>
                  <w:r>
                    <w:rPr>
                      <w:rFonts w:hint="default" w:ascii="Times New Roman" w:hAnsi="Times New Roman" w:eastAsia="宋体" w:cs="Times New Roman"/>
                      <w:color w:val="000000" w:themeColor="text1"/>
                      <w:spacing w:val="5"/>
                      <w:sz w:val="21"/>
                      <w:szCs w:val="21"/>
                      <w:highlight w:val="none"/>
                      <w14:textFill>
                        <w14:solidFill>
                          <w14:schemeClr w14:val="tx1"/>
                        </w14:solidFill>
                      </w14:textFill>
                    </w:rPr>
                    <w:t>5kg/Nm³</w:t>
                  </w:r>
                  <w:r>
                    <w:rPr>
                      <w:rFonts w:hint="default" w:ascii="Times New Roman" w:hAnsi="Times New Roman" w:eastAsia="宋体" w:cs="Times New Roman"/>
                      <w:color w:val="000000" w:themeColor="text1"/>
                      <w:spacing w:val="5"/>
                      <w:sz w:val="21"/>
                      <w:szCs w:val="21"/>
                      <w:highlight w:val="none"/>
                      <w:lang w:eastAsia="zh-CN"/>
                      <w14:textFill>
                        <w14:solidFill>
                          <w14:schemeClr w14:val="tx1"/>
                        </w14:solidFill>
                      </w14:textFill>
                    </w:rPr>
                    <w:t>）</w:t>
                  </w:r>
                </w:p>
              </w:tc>
              <w:tc>
                <w:tcPr>
                  <w:tcW w:w="2002" w:type="dxa"/>
                  <w:noWrap w:val="0"/>
                  <w:vAlign w:val="center"/>
                </w:tcPr>
                <w:p w14:paraId="53D64457">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color w:val="000000" w:themeColor="text1"/>
                      <w:spacing w:val="5"/>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5"/>
                      <w:sz w:val="21"/>
                      <w:szCs w:val="21"/>
                      <w:highlight w:val="none"/>
                      <w:lang w:val="en-US" w:eastAsia="zh-CN"/>
                      <w14:textFill>
                        <w14:solidFill>
                          <w14:schemeClr w14:val="tx1"/>
                        </w14:solidFill>
                      </w14:textFill>
                    </w:rPr>
                    <w:t>H</w:t>
                  </w:r>
                  <w:r>
                    <w:rPr>
                      <w:rFonts w:hint="default" w:ascii="Times New Roman" w:hAnsi="Times New Roman" w:cs="Times New Roman"/>
                      <w:color w:val="000000" w:themeColor="text1"/>
                      <w:spacing w:val="5"/>
                      <w:sz w:val="21"/>
                      <w:szCs w:val="21"/>
                      <w:highlight w:val="none"/>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pacing w:val="5"/>
                      <w:sz w:val="21"/>
                      <w:szCs w:val="21"/>
                      <w:highlight w:val="none"/>
                      <w14:textFill>
                        <w14:solidFill>
                          <w14:schemeClr w14:val="tx1"/>
                        </w14:solidFill>
                      </w14:textFill>
                    </w:rPr>
                    <w:t>S</w:t>
                  </w:r>
                  <w:r>
                    <w:rPr>
                      <w:rFonts w:hint="default" w:ascii="Times New Roman" w:hAnsi="Times New Roman" w:cs="Times New Roman"/>
                      <w:color w:val="000000" w:themeColor="text1"/>
                      <w:spacing w:val="5"/>
                      <w:sz w:val="21"/>
                      <w:szCs w:val="21"/>
                      <w:highlight w:val="none"/>
                      <w:lang w:val="en-US" w:eastAsia="zh-CN"/>
                      <w14:textFill>
                        <w14:solidFill>
                          <w14:schemeClr w14:val="tx1"/>
                        </w14:solidFill>
                      </w14:textFill>
                    </w:rPr>
                    <w:t>20m</w:t>
                  </w:r>
                  <w:r>
                    <w:rPr>
                      <w:rFonts w:hint="default" w:ascii="Times New Roman" w:hAnsi="Times New Roman" w:eastAsia="宋体" w:cs="Times New Roman"/>
                      <w:color w:val="000000" w:themeColor="text1"/>
                      <w:spacing w:val="5"/>
                      <w:sz w:val="21"/>
                      <w:szCs w:val="21"/>
                      <w:highlight w:val="none"/>
                      <w14:textFill>
                        <w14:solidFill>
                          <w14:schemeClr w14:val="tx1"/>
                        </w14:solidFill>
                      </w14:textFill>
                    </w:rPr>
                    <w:t>g/Nm³</w:t>
                  </w:r>
                  <w:r>
                    <w:rPr>
                      <w:rFonts w:hint="eastAsia" w:ascii="Times New Roman" w:hAnsi="Times New Roman" w:cs="Times New Roman"/>
                      <w:color w:val="000000" w:themeColor="text1"/>
                      <w:spacing w:val="5"/>
                      <w:sz w:val="21"/>
                      <w:szCs w:val="21"/>
                      <w:highlight w:val="none"/>
                      <w:lang w:eastAsia="zh-CN"/>
                      <w14:textFill>
                        <w14:solidFill>
                          <w14:schemeClr w14:val="tx1"/>
                        </w14:solidFill>
                      </w14:textFill>
                    </w:rPr>
                    <w:t>,</w:t>
                  </w:r>
                </w:p>
                <w:p w14:paraId="478285E7">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5"/>
                      <w:sz w:val="21"/>
                      <w:szCs w:val="21"/>
                      <w:highlight w:val="none"/>
                      <w:lang w:val="en-US" w:eastAsia="zh-CN"/>
                      <w14:textFill>
                        <w14:solidFill>
                          <w14:schemeClr w14:val="tx1"/>
                        </w14:solidFill>
                      </w14:textFill>
                    </w:rPr>
                    <w:t>有机硫30m</w:t>
                  </w:r>
                  <w:r>
                    <w:rPr>
                      <w:rFonts w:hint="default" w:ascii="Times New Roman" w:hAnsi="Times New Roman" w:eastAsia="宋体" w:cs="Times New Roman"/>
                      <w:color w:val="000000" w:themeColor="text1"/>
                      <w:spacing w:val="5"/>
                      <w:sz w:val="21"/>
                      <w:szCs w:val="21"/>
                      <w:highlight w:val="none"/>
                      <w14:textFill>
                        <w14:solidFill>
                          <w14:schemeClr w14:val="tx1"/>
                        </w14:solidFill>
                      </w14:textFill>
                    </w:rPr>
                    <w:t>g/Nm³</w:t>
                  </w:r>
                </w:p>
              </w:tc>
              <w:tc>
                <w:tcPr>
                  <w:tcW w:w="956" w:type="dxa"/>
                  <w:noWrap w:val="0"/>
                  <w:vAlign w:val="center"/>
                </w:tcPr>
                <w:p w14:paraId="62016349">
                  <w:pPr>
                    <w:keepNext w:val="0"/>
                    <w:keepLines w:val="0"/>
                    <w:widowControl/>
                    <w:suppressLineNumbers w:val="0"/>
                    <w:jc w:val="center"/>
                    <w:textAlignment w:val="cente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3.63</w:t>
                  </w:r>
                </w:p>
              </w:tc>
              <w:tc>
                <w:tcPr>
                  <w:tcW w:w="1128" w:type="dxa"/>
                  <w:noWrap w:val="0"/>
                  <w:vAlign w:val="center"/>
                </w:tcPr>
                <w:p w14:paraId="73DFD547">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14:textFill>
                        <w14:solidFill>
                          <w14:schemeClr w14:val="tx1"/>
                        </w14:solidFill>
                      </w14:textFill>
                    </w:rPr>
                    <w:t>废气排放</w:t>
                  </w:r>
                </w:p>
              </w:tc>
              <w:tc>
                <w:tcPr>
                  <w:tcW w:w="871" w:type="dxa"/>
                  <w:noWrap w:val="0"/>
                  <w:vAlign w:val="center"/>
                </w:tcPr>
                <w:p w14:paraId="1B4031D6">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t>~</w:t>
                  </w:r>
                </w:p>
              </w:tc>
              <w:tc>
                <w:tcPr>
                  <w:tcW w:w="948" w:type="dxa"/>
                  <w:noWrap w:val="0"/>
                  <w:vAlign w:val="center"/>
                </w:tcPr>
                <w:p w14:paraId="7529D30B">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2"/>
                      <w:sz w:val="21"/>
                      <w:szCs w:val="21"/>
                      <w:highlight w:val="none"/>
                      <w:lang w:val="en-US" w:eastAsia="zh-CN"/>
                      <w14:textFill>
                        <w14:solidFill>
                          <w14:schemeClr w14:val="tx1"/>
                        </w14:solidFill>
                      </w14:textFill>
                    </w:rPr>
                    <w:t>17.95</w:t>
                  </w:r>
                </w:p>
              </w:tc>
            </w:tr>
            <w:tr w14:paraId="5FDBE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53" w:type="dxa"/>
                  <w:shd w:val="clear" w:color="auto" w:fill="auto"/>
                  <w:noWrap w:val="0"/>
                  <w:vAlign w:val="center"/>
                </w:tcPr>
                <w:p w14:paraId="0E068716">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t>/</w:t>
                  </w:r>
                </w:p>
              </w:tc>
              <w:tc>
                <w:tcPr>
                  <w:tcW w:w="1720" w:type="dxa"/>
                  <w:shd w:val="clear" w:color="auto" w:fill="auto"/>
                  <w:noWrap w:val="0"/>
                  <w:vAlign w:val="center"/>
                </w:tcPr>
                <w:p w14:paraId="615B839E">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t>/</w:t>
                  </w:r>
                </w:p>
              </w:tc>
              <w:tc>
                <w:tcPr>
                  <w:tcW w:w="2002" w:type="dxa"/>
                  <w:shd w:val="clear" w:color="auto" w:fill="auto"/>
                  <w:noWrap w:val="0"/>
                  <w:vAlign w:val="center"/>
                </w:tcPr>
                <w:p w14:paraId="2A81A191">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t>/</w:t>
                  </w:r>
                </w:p>
              </w:tc>
              <w:tc>
                <w:tcPr>
                  <w:tcW w:w="956" w:type="dxa"/>
                  <w:noWrap w:val="0"/>
                  <w:vAlign w:val="center"/>
                </w:tcPr>
                <w:p w14:paraId="7DDD324C">
                  <w:pPr>
                    <w:keepNext w:val="0"/>
                    <w:keepLines w:val="0"/>
                    <w:widowControl/>
                    <w:suppressLineNumbers w:val="0"/>
                    <w:jc w:val="center"/>
                    <w:textAlignment w:val="cente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w:t>
                  </w:r>
                </w:p>
              </w:tc>
              <w:tc>
                <w:tcPr>
                  <w:tcW w:w="1128" w:type="dxa"/>
                  <w:noWrap w:val="0"/>
                  <w:vAlign w:val="center"/>
                </w:tcPr>
                <w:p w14:paraId="3EB192B9">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t>收集除尘灰</w:t>
                  </w:r>
                </w:p>
              </w:tc>
              <w:tc>
                <w:tcPr>
                  <w:tcW w:w="871" w:type="dxa"/>
                  <w:noWrap w:val="0"/>
                  <w:vAlign w:val="center"/>
                </w:tcPr>
                <w:p w14:paraId="20664FB0">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t>~0.01</w:t>
                  </w:r>
                </w:p>
              </w:tc>
              <w:tc>
                <w:tcPr>
                  <w:tcW w:w="948" w:type="dxa"/>
                  <w:noWrap w:val="0"/>
                  <w:vAlign w:val="center"/>
                </w:tcPr>
                <w:p w14:paraId="640EE61D">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0.</w:t>
                  </w:r>
                  <w:r>
                    <w:rPr>
                      <w:rFonts w:hint="default" w:ascii="Times New Roman" w:hAnsi="Times New Roman" w:cs="Times New Roman"/>
                      <w:color w:val="000000" w:themeColor="text1"/>
                      <w:spacing w:val="-2"/>
                      <w:sz w:val="21"/>
                      <w:szCs w:val="21"/>
                      <w:highlight w:val="none"/>
                      <w:lang w:val="en-US" w:eastAsia="zh-CN"/>
                      <w14:textFill>
                        <w14:solidFill>
                          <w14:schemeClr w14:val="tx1"/>
                        </w14:solidFill>
                      </w14:textFill>
                    </w:rPr>
                    <w:t>001</w:t>
                  </w:r>
                </w:p>
              </w:tc>
            </w:tr>
            <w:tr w14:paraId="50F33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3" w:type="dxa"/>
                  <w:noWrap w:val="0"/>
                  <w:vAlign w:val="center"/>
                </w:tcPr>
                <w:p w14:paraId="7CD8CA34">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t>/</w:t>
                  </w:r>
                </w:p>
              </w:tc>
              <w:tc>
                <w:tcPr>
                  <w:tcW w:w="1720" w:type="dxa"/>
                  <w:noWrap w:val="0"/>
                  <w:vAlign w:val="center"/>
                </w:tcPr>
                <w:p w14:paraId="72186189">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t>/</w:t>
                  </w:r>
                </w:p>
              </w:tc>
              <w:tc>
                <w:tcPr>
                  <w:tcW w:w="2002" w:type="dxa"/>
                  <w:noWrap w:val="0"/>
                  <w:vAlign w:val="center"/>
                </w:tcPr>
                <w:p w14:paraId="1A9AA55E">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t>/</w:t>
                  </w:r>
                </w:p>
              </w:tc>
              <w:tc>
                <w:tcPr>
                  <w:tcW w:w="956" w:type="dxa"/>
                  <w:noWrap w:val="0"/>
                  <w:vAlign w:val="center"/>
                </w:tcPr>
                <w:p w14:paraId="5BB9BBD1">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t>/</w:t>
                  </w:r>
                </w:p>
              </w:tc>
              <w:tc>
                <w:tcPr>
                  <w:tcW w:w="1128" w:type="dxa"/>
                  <w:noWrap w:val="0"/>
                  <w:vAlign w:val="center"/>
                </w:tcPr>
                <w:p w14:paraId="13B19981">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14:textFill>
                        <w14:solidFill>
                          <w14:schemeClr w14:val="tx1"/>
                        </w14:solidFill>
                      </w14:textFill>
                    </w:rPr>
                    <w:t>进入脱硫</w:t>
                  </w:r>
                  <w:r>
                    <w:rPr>
                      <w:rFonts w:hint="default" w:ascii="Times New Roman" w:hAnsi="Times New Roman" w:cs="Times New Roman"/>
                      <w:color w:val="000000" w:themeColor="text1"/>
                      <w:spacing w:val="5"/>
                      <w:sz w:val="21"/>
                      <w:szCs w:val="21"/>
                      <w:highlight w:val="none"/>
                      <w:lang w:val="en-US" w:eastAsia="zh-CN"/>
                      <w14:textFill>
                        <w14:solidFill>
                          <w14:schemeClr w14:val="tx1"/>
                        </w14:solidFill>
                      </w14:textFill>
                    </w:rPr>
                    <w:t>石膏</w:t>
                  </w:r>
                </w:p>
              </w:tc>
              <w:tc>
                <w:tcPr>
                  <w:tcW w:w="871" w:type="dxa"/>
                  <w:noWrap w:val="0"/>
                  <w:vAlign w:val="center"/>
                </w:tcPr>
                <w:p w14:paraId="5DDCDECA">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14:textFill>
                        <w14:solidFill>
                          <w14:schemeClr w14:val="tx1"/>
                        </w14:solidFill>
                      </w14:textFill>
                    </w:rPr>
                    <w:t>~1</w:t>
                  </w:r>
                  <w:r>
                    <w:rPr>
                      <w:rFonts w:hint="default" w:ascii="Times New Roman" w:hAnsi="Times New Roman" w:cs="Times New Roman"/>
                      <w:color w:val="000000" w:themeColor="text1"/>
                      <w:spacing w:val="5"/>
                      <w:sz w:val="21"/>
                      <w:szCs w:val="21"/>
                      <w:highlight w:val="none"/>
                      <w:lang w:val="en-US" w:eastAsia="zh-CN"/>
                      <w14:textFill>
                        <w14:solidFill>
                          <w14:schemeClr w14:val="tx1"/>
                        </w14:solidFill>
                      </w14:textFill>
                    </w:rPr>
                    <w:t>6</w:t>
                  </w:r>
                </w:p>
              </w:tc>
              <w:tc>
                <w:tcPr>
                  <w:tcW w:w="948" w:type="dxa"/>
                  <w:noWrap w:val="0"/>
                  <w:vAlign w:val="center"/>
                </w:tcPr>
                <w:p w14:paraId="2EB38D30">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2"/>
                      <w:sz w:val="21"/>
                      <w:szCs w:val="21"/>
                      <w:highlight w:val="none"/>
                      <w:lang w:val="en-US" w:eastAsia="zh-CN"/>
                      <w14:textFill>
                        <w14:solidFill>
                          <w14:schemeClr w14:val="tx1"/>
                        </w14:solidFill>
                      </w14:textFill>
                    </w:rPr>
                    <w:t>161.53</w:t>
                  </w:r>
                </w:p>
              </w:tc>
            </w:tr>
            <w:tr w14:paraId="6FFC5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trPr>
              <w:tc>
                <w:tcPr>
                  <w:tcW w:w="753" w:type="dxa"/>
                  <w:noWrap w:val="0"/>
                  <w:vAlign w:val="center"/>
                </w:tcPr>
                <w:p w14:paraId="788896D2">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t>合计</w:t>
                  </w:r>
                </w:p>
              </w:tc>
              <w:tc>
                <w:tcPr>
                  <w:tcW w:w="1720" w:type="dxa"/>
                  <w:noWrap w:val="0"/>
                  <w:vAlign w:val="center"/>
                </w:tcPr>
                <w:p w14:paraId="29F29AB6">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t>/</w:t>
                  </w:r>
                </w:p>
              </w:tc>
              <w:tc>
                <w:tcPr>
                  <w:tcW w:w="2002" w:type="dxa"/>
                  <w:noWrap w:val="0"/>
                  <w:vAlign w:val="center"/>
                </w:tcPr>
                <w:p w14:paraId="46C67AAD">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t>/</w:t>
                  </w:r>
                </w:p>
              </w:tc>
              <w:tc>
                <w:tcPr>
                  <w:tcW w:w="956" w:type="dxa"/>
                  <w:noWrap w:val="0"/>
                  <w:vAlign w:val="center"/>
                </w:tcPr>
                <w:p w14:paraId="4A00FB04">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5"/>
                      <w:sz w:val="21"/>
                      <w:szCs w:val="21"/>
                      <w:highlight w:val="none"/>
                      <w:lang w:val="en-US" w:eastAsia="zh-CN"/>
                      <w14:textFill>
                        <w14:solidFill>
                          <w14:schemeClr w14:val="tx1"/>
                        </w14:solidFill>
                      </w14:textFill>
                    </w:rPr>
                    <w:t>199.02</w:t>
                  </w:r>
                </w:p>
              </w:tc>
              <w:tc>
                <w:tcPr>
                  <w:tcW w:w="1128" w:type="dxa"/>
                  <w:noWrap w:val="0"/>
                  <w:vAlign w:val="center"/>
                </w:tcPr>
                <w:p w14:paraId="0B884DF1">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5"/>
                      <w:sz w:val="21"/>
                      <w:szCs w:val="21"/>
                      <w:highlight w:val="none"/>
                      <w:lang w:val="en-US" w:eastAsia="zh-CN"/>
                      <w14:textFill>
                        <w14:solidFill>
                          <w14:schemeClr w14:val="tx1"/>
                        </w14:solidFill>
                      </w14:textFill>
                    </w:rPr>
                    <w:t>合计</w:t>
                  </w:r>
                </w:p>
              </w:tc>
              <w:tc>
                <w:tcPr>
                  <w:tcW w:w="871" w:type="dxa"/>
                  <w:noWrap w:val="0"/>
                  <w:vAlign w:val="center"/>
                </w:tcPr>
                <w:p w14:paraId="0EFB232D">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5"/>
                      <w:sz w:val="21"/>
                      <w:szCs w:val="21"/>
                      <w:highlight w:val="none"/>
                      <w14:textFill>
                        <w14:solidFill>
                          <w14:schemeClr w14:val="tx1"/>
                        </w14:solidFill>
                      </w14:textFill>
                    </w:rPr>
                  </w:pPr>
                </w:p>
              </w:tc>
              <w:tc>
                <w:tcPr>
                  <w:tcW w:w="948" w:type="dxa"/>
                  <w:noWrap w:val="0"/>
                  <w:vAlign w:val="center"/>
                </w:tcPr>
                <w:p w14:paraId="31897896">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2"/>
                      <w:sz w:val="21"/>
                      <w:szCs w:val="21"/>
                      <w:highlight w:val="none"/>
                      <w:lang w:val="en-US" w:eastAsia="zh-CN"/>
                      <w14:textFill>
                        <w14:solidFill>
                          <w14:schemeClr w14:val="tx1"/>
                        </w14:solidFill>
                      </w14:textFill>
                    </w:rPr>
                    <w:t>199.02</w:t>
                  </w:r>
                </w:p>
              </w:tc>
            </w:tr>
          </w:tbl>
          <w:p w14:paraId="38F9B8CF">
            <w:pPr>
              <w:pStyle w:val="88"/>
              <w:widowControl/>
              <w:adjustRightInd/>
              <w:snapToGrid w:val="0"/>
              <w:spacing w:before="120" w:beforeLines="50" w:line="240" w:lineRule="auto"/>
              <w:ind w:firstLineChars="200"/>
              <w:rPr>
                <w:rFonts w:hint="default" w:ascii="Times New Roman" w:hAnsi="Times New Roman" w:eastAsia="宋体" w:cs="Times New Roman"/>
                <w:b/>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1.</w:t>
            </w:r>
            <w:r>
              <w:rPr>
                <w:rFonts w:hint="default" w:ascii="Times New Roman" w:hAnsi="Times New Roman" w:cs="Times New Roman"/>
                <w:b/>
                <w:bCs/>
                <w:color w:val="000000" w:themeColor="text1"/>
                <w:highlight w:val="none"/>
                <w:lang w:val="en-US" w:eastAsia="zh-CN"/>
                <w14:textFill>
                  <w14:solidFill>
                    <w14:schemeClr w14:val="tx1"/>
                  </w14:solidFill>
                </w14:textFill>
              </w:rPr>
              <w:t>7</w:t>
            </w:r>
            <w:r>
              <w:rPr>
                <w:rFonts w:hint="default" w:ascii="Times New Roman" w:hAnsi="Times New Roman" w:eastAsia="宋体" w:cs="Times New Roman"/>
                <w:b/>
                <w:color w:val="000000" w:themeColor="text1"/>
                <w:highlight w:val="none"/>
                <w14:textFill>
                  <w14:solidFill>
                    <w14:schemeClr w14:val="tx1"/>
                  </w14:solidFill>
                </w14:textFill>
              </w:rPr>
              <w:t>物料的运输及存储</w:t>
            </w:r>
          </w:p>
          <w:p w14:paraId="38AD9CF8">
            <w:pPr>
              <w:spacing w:line="440" w:lineRule="exact"/>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本项目物料的运输及储存见</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下</w:t>
            </w:r>
            <w:r>
              <w:rPr>
                <w:rFonts w:hint="default" w:ascii="Times New Roman" w:hAnsi="Times New Roman" w:eastAsia="宋体" w:cs="Times New Roman"/>
                <w:color w:val="000000" w:themeColor="text1"/>
                <w:sz w:val="24"/>
                <w:highlight w:val="none"/>
                <w14:textFill>
                  <w14:solidFill>
                    <w14:schemeClr w14:val="tx1"/>
                  </w14:solidFill>
                </w14:textFill>
              </w:rPr>
              <w:t>表。</w:t>
            </w:r>
          </w:p>
          <w:p w14:paraId="0C82420D">
            <w:pPr>
              <w:pStyle w:val="88"/>
              <w:widowControl/>
              <w:adjustRightInd/>
              <w:snapToGrid w:val="0"/>
              <w:spacing w:before="120" w:beforeLines="50" w:line="240" w:lineRule="auto"/>
              <w:ind w:firstLineChars="200"/>
              <w:jc w:val="center"/>
              <w:rPr>
                <w:rFonts w:hint="default" w:ascii="Times New Roman" w:hAnsi="Times New Roman" w:eastAsia="宋体" w:cs="Times New Roman"/>
                <w:b/>
                <w:bCs/>
                <w:color w:val="000000" w:themeColor="text1"/>
                <w:spacing w:val="-2"/>
                <w:highlight w:val="none"/>
                <w14:textFill>
                  <w14:solidFill>
                    <w14:schemeClr w14:val="tx1"/>
                  </w14:solidFill>
                </w14:textFill>
              </w:rPr>
            </w:pPr>
            <w:r>
              <w:rPr>
                <w:rFonts w:hint="default" w:ascii="Times New Roman" w:hAnsi="Times New Roman" w:eastAsia="宋体" w:cs="Times New Roman"/>
                <w:b/>
                <w:bCs/>
                <w:color w:val="000000" w:themeColor="text1"/>
                <w:spacing w:val="-2"/>
                <w:highlight w:val="none"/>
                <w14:textFill>
                  <w14:solidFill>
                    <w14:schemeClr w14:val="tx1"/>
                  </w14:solidFill>
                </w14:textFill>
              </w:rPr>
              <w:t>表</w:t>
            </w:r>
            <w:r>
              <w:rPr>
                <w:rFonts w:hint="default" w:ascii="Times New Roman" w:hAnsi="Times New Roman" w:eastAsia="宋体" w:cs="Times New Roman"/>
                <w:b/>
                <w:bCs/>
                <w:color w:val="000000" w:themeColor="text1"/>
                <w:spacing w:val="-2"/>
                <w:highlight w:val="none"/>
                <w:lang w:val="en-US" w:eastAsia="zh-CN"/>
                <w14:textFill>
                  <w14:solidFill>
                    <w14:schemeClr w14:val="tx1"/>
                  </w14:solidFill>
                </w14:textFill>
              </w:rPr>
              <w:t>2-2</w:t>
            </w:r>
            <w:r>
              <w:rPr>
                <w:rFonts w:hint="default" w:ascii="Times New Roman" w:hAnsi="Times New Roman" w:cs="Times New Roman"/>
                <w:b/>
                <w:bCs/>
                <w:color w:val="000000" w:themeColor="text1"/>
                <w:spacing w:val="-2"/>
                <w:highlight w:val="none"/>
                <w:lang w:val="en-US" w:eastAsia="zh-CN"/>
                <w14:textFill>
                  <w14:solidFill>
                    <w14:schemeClr w14:val="tx1"/>
                  </w14:solidFill>
                </w14:textFill>
              </w:rPr>
              <w:t>4</w:t>
            </w:r>
            <w:r>
              <w:rPr>
                <w:rFonts w:hint="default" w:ascii="Times New Roman" w:hAnsi="Times New Roman" w:eastAsia="宋体" w:cs="Times New Roman"/>
                <w:b/>
                <w:bCs/>
                <w:color w:val="000000" w:themeColor="text1"/>
                <w:spacing w:val="-2"/>
                <w:highlight w:val="none"/>
                <w14:textFill>
                  <w14:solidFill>
                    <w14:schemeClr w14:val="tx1"/>
                  </w14:solidFill>
                </w14:textFill>
              </w:rPr>
              <w:t>物料运输及储存一览表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89"/>
              <w:gridCol w:w="1582"/>
              <w:gridCol w:w="2962"/>
              <w:gridCol w:w="1943"/>
            </w:tblGrid>
            <w:tr w14:paraId="71B27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27" w:type="pct"/>
                  <w:noWrap w:val="0"/>
                  <w:tcMar>
                    <w:left w:w="28" w:type="dxa"/>
                    <w:right w:w="28" w:type="dxa"/>
                  </w:tcMar>
                  <w:vAlign w:val="center"/>
                </w:tcPr>
                <w:p w14:paraId="4A9CB3AC">
                  <w:pPr>
                    <w:pStyle w:val="13"/>
                    <w:keepNext w:val="0"/>
                    <w:keepLines w:val="0"/>
                    <w:pageBreakBefore w:val="0"/>
                    <w:widowControl w:val="0"/>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物料名称</w:t>
                  </w:r>
                </w:p>
              </w:tc>
              <w:tc>
                <w:tcPr>
                  <w:tcW w:w="944" w:type="pct"/>
                  <w:noWrap w:val="0"/>
                  <w:tcMar>
                    <w:left w:w="28" w:type="dxa"/>
                    <w:right w:w="28" w:type="dxa"/>
                  </w:tcMar>
                  <w:vAlign w:val="center"/>
                </w:tcPr>
                <w:p w14:paraId="4D989124">
                  <w:pPr>
                    <w:pStyle w:val="13"/>
                    <w:keepNext w:val="0"/>
                    <w:keepLines w:val="0"/>
                    <w:pageBreakBefore w:val="0"/>
                    <w:widowControl w:val="0"/>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运输方式</w:t>
                  </w:r>
                </w:p>
              </w:tc>
              <w:tc>
                <w:tcPr>
                  <w:tcW w:w="1768" w:type="pct"/>
                  <w:noWrap w:val="0"/>
                  <w:tcMar>
                    <w:left w:w="28" w:type="dxa"/>
                    <w:right w:w="28" w:type="dxa"/>
                  </w:tcMar>
                  <w:vAlign w:val="center"/>
                </w:tcPr>
                <w:p w14:paraId="7F7790A5">
                  <w:pPr>
                    <w:pStyle w:val="13"/>
                    <w:keepNext w:val="0"/>
                    <w:keepLines w:val="0"/>
                    <w:pageBreakBefore w:val="0"/>
                    <w:widowControl w:val="0"/>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储存方式</w:t>
                  </w:r>
                </w:p>
              </w:tc>
              <w:tc>
                <w:tcPr>
                  <w:tcW w:w="1159" w:type="pct"/>
                  <w:noWrap w:val="0"/>
                  <w:vAlign w:val="center"/>
                </w:tcPr>
                <w:p w14:paraId="26C3A429">
                  <w:pPr>
                    <w:pStyle w:val="13"/>
                    <w:keepNext w:val="0"/>
                    <w:keepLines w:val="0"/>
                    <w:pageBreakBefore w:val="0"/>
                    <w:widowControl w:val="0"/>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存储量</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t</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/a</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p>
              </w:tc>
            </w:tr>
            <w:tr w14:paraId="68D35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27" w:type="pct"/>
                  <w:noWrap w:val="0"/>
                  <w:tcMar>
                    <w:left w:w="28" w:type="dxa"/>
                    <w:right w:w="28" w:type="dxa"/>
                  </w:tcMar>
                  <w:vAlign w:val="center"/>
                </w:tcPr>
                <w:p w14:paraId="06C8D9BB">
                  <w:pPr>
                    <w:pStyle w:val="13"/>
                    <w:keepNext w:val="0"/>
                    <w:keepLines w:val="0"/>
                    <w:pageBreakBefore w:val="0"/>
                    <w:widowControl w:val="0"/>
                    <w:kinsoku/>
                    <w:wordWrap/>
                    <w:overflowPunct/>
                    <w:topLinePunct w:val="0"/>
                    <w:autoSpaceDE/>
                    <w:autoSpaceDN/>
                    <w:bidi w:val="0"/>
                    <w:adjustRightInd/>
                    <w:snapToGrid w:val="0"/>
                    <w:spacing w:before="0" w:after="0" w:line="240" w:lineRule="auto"/>
                    <w:ind w:right="0" w:rightChars="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原料粉</w:t>
                  </w:r>
                </w:p>
              </w:tc>
              <w:tc>
                <w:tcPr>
                  <w:tcW w:w="944" w:type="pct"/>
                  <w:noWrap w:val="0"/>
                  <w:tcMar>
                    <w:left w:w="28" w:type="dxa"/>
                    <w:right w:w="28" w:type="dxa"/>
                  </w:tcMar>
                  <w:vAlign w:val="center"/>
                </w:tcPr>
                <w:p w14:paraId="6D7A74E6">
                  <w:pPr>
                    <w:pStyle w:val="13"/>
                    <w:keepNext w:val="0"/>
                    <w:keepLines w:val="0"/>
                    <w:pageBreakBefore w:val="0"/>
                    <w:widowControl w:val="0"/>
                    <w:kinsoku/>
                    <w:wordWrap/>
                    <w:overflowPunct/>
                    <w:topLinePunct w:val="0"/>
                    <w:autoSpaceDE/>
                    <w:autoSpaceDN/>
                    <w:bidi w:val="0"/>
                    <w:adjustRightInd/>
                    <w:snapToGrid w:val="0"/>
                    <w:spacing w:before="0" w:after="0" w:line="240" w:lineRule="auto"/>
                    <w:ind w:right="0" w:rightChars="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汽运</w:t>
                  </w:r>
                </w:p>
              </w:tc>
              <w:tc>
                <w:tcPr>
                  <w:tcW w:w="1768" w:type="pct"/>
                  <w:noWrap w:val="0"/>
                  <w:tcMar>
                    <w:left w:w="28" w:type="dxa"/>
                    <w:right w:w="28" w:type="dxa"/>
                  </w:tcMar>
                  <w:vAlign w:val="center"/>
                </w:tcPr>
                <w:p w14:paraId="3455AE33">
                  <w:pPr>
                    <w:pStyle w:val="13"/>
                    <w:keepNext w:val="0"/>
                    <w:keepLines w:val="0"/>
                    <w:pageBreakBefore w:val="0"/>
                    <w:widowControl w:val="0"/>
                    <w:kinsoku/>
                    <w:wordWrap/>
                    <w:overflowPunct/>
                    <w:topLinePunct w:val="0"/>
                    <w:autoSpaceDE/>
                    <w:autoSpaceDN/>
                    <w:bidi w:val="0"/>
                    <w:adjustRightInd/>
                    <w:snapToGrid w:val="0"/>
                    <w:spacing w:before="0" w:after="0" w:line="240" w:lineRule="auto"/>
                    <w:ind w:right="0" w:rightChars="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存储于全封闭原料</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仓</w:t>
                  </w:r>
                </w:p>
              </w:tc>
              <w:tc>
                <w:tcPr>
                  <w:tcW w:w="1159" w:type="pct"/>
                  <w:noWrap w:val="0"/>
                  <w:vAlign w:val="center"/>
                </w:tcPr>
                <w:p w14:paraId="0DF0C35E">
                  <w:pPr>
                    <w:pStyle w:val="13"/>
                    <w:keepNext w:val="0"/>
                    <w:keepLines w:val="0"/>
                    <w:pageBreakBefore w:val="0"/>
                    <w:widowControl w:val="0"/>
                    <w:kinsoku/>
                    <w:wordWrap/>
                    <w:overflowPunct/>
                    <w:topLinePunct w:val="0"/>
                    <w:autoSpaceDE/>
                    <w:autoSpaceDN/>
                    <w:bidi w:val="0"/>
                    <w:adjustRightInd/>
                    <w:snapToGrid w:val="0"/>
                    <w:spacing w:before="0" w:after="0" w:line="240" w:lineRule="auto"/>
                    <w:ind w:right="0" w:rightChars="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244234</w:t>
                  </w:r>
                </w:p>
              </w:tc>
            </w:tr>
            <w:tr w14:paraId="1651B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27" w:type="pct"/>
                  <w:noWrap w:val="0"/>
                  <w:tcMar>
                    <w:left w:w="28" w:type="dxa"/>
                    <w:right w:w="28" w:type="dxa"/>
                  </w:tcMar>
                  <w:vAlign w:val="center"/>
                </w:tcPr>
                <w:p w14:paraId="6F6CDE67">
                  <w:pPr>
                    <w:pStyle w:val="13"/>
                    <w:keepNext w:val="0"/>
                    <w:keepLines w:val="0"/>
                    <w:pageBreakBefore w:val="0"/>
                    <w:widowControl w:val="0"/>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石灰石</w:t>
                  </w:r>
                </w:p>
              </w:tc>
              <w:tc>
                <w:tcPr>
                  <w:tcW w:w="944" w:type="pct"/>
                  <w:noWrap w:val="0"/>
                  <w:tcMar>
                    <w:left w:w="28" w:type="dxa"/>
                    <w:right w:w="28" w:type="dxa"/>
                  </w:tcMar>
                  <w:vAlign w:val="center"/>
                </w:tcPr>
                <w:p w14:paraId="649B7597">
                  <w:pPr>
                    <w:pStyle w:val="13"/>
                    <w:keepNext w:val="0"/>
                    <w:keepLines w:val="0"/>
                    <w:pageBreakBefore w:val="0"/>
                    <w:widowControl w:val="0"/>
                    <w:kinsoku/>
                    <w:wordWrap/>
                    <w:overflowPunct/>
                    <w:topLinePunct w:val="0"/>
                    <w:autoSpaceDE/>
                    <w:autoSpaceDN/>
                    <w:bidi w:val="0"/>
                    <w:adjustRightInd/>
                    <w:snapToGrid w:val="0"/>
                    <w:spacing w:before="0" w:after="0" w:line="240" w:lineRule="auto"/>
                    <w:ind w:right="0" w:rightChars="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汽运</w:t>
                  </w:r>
                </w:p>
              </w:tc>
              <w:tc>
                <w:tcPr>
                  <w:tcW w:w="1768" w:type="pct"/>
                  <w:noWrap w:val="0"/>
                  <w:tcMar>
                    <w:left w:w="28" w:type="dxa"/>
                    <w:right w:w="28" w:type="dxa"/>
                  </w:tcMar>
                  <w:vAlign w:val="center"/>
                </w:tcPr>
                <w:p w14:paraId="45106C86">
                  <w:pPr>
                    <w:pStyle w:val="13"/>
                    <w:keepNext w:val="0"/>
                    <w:keepLines w:val="0"/>
                    <w:pageBreakBefore w:val="0"/>
                    <w:widowControl w:val="0"/>
                    <w:kinsoku/>
                    <w:wordWrap/>
                    <w:overflowPunct/>
                    <w:topLinePunct w:val="0"/>
                    <w:autoSpaceDE/>
                    <w:autoSpaceDN/>
                    <w:bidi w:val="0"/>
                    <w:adjustRightInd/>
                    <w:snapToGrid w:val="0"/>
                    <w:spacing w:before="0" w:after="0" w:line="240" w:lineRule="auto"/>
                    <w:ind w:right="0" w:rightChars="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存储于</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脱硫车间</w:t>
                  </w:r>
                </w:p>
              </w:tc>
              <w:tc>
                <w:tcPr>
                  <w:tcW w:w="1159" w:type="pct"/>
                  <w:noWrap w:val="0"/>
                  <w:vAlign w:val="center"/>
                </w:tcPr>
                <w:p w14:paraId="42389897">
                  <w:pPr>
                    <w:pStyle w:val="13"/>
                    <w:keepNext w:val="0"/>
                    <w:keepLines w:val="0"/>
                    <w:pageBreakBefore w:val="0"/>
                    <w:widowControl w:val="0"/>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600</w:t>
                  </w:r>
                </w:p>
              </w:tc>
            </w:tr>
            <w:tr w14:paraId="3D500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27" w:type="pct"/>
                  <w:noWrap w:val="0"/>
                  <w:tcMar>
                    <w:left w:w="28" w:type="dxa"/>
                    <w:right w:w="28" w:type="dxa"/>
                  </w:tcMar>
                  <w:vAlign w:val="center"/>
                </w:tcPr>
                <w:p w14:paraId="5F1D9FFB">
                  <w:pPr>
                    <w:pStyle w:val="13"/>
                    <w:keepNext w:val="0"/>
                    <w:keepLines w:val="0"/>
                    <w:pageBreakBefore w:val="0"/>
                    <w:widowControl w:val="0"/>
                    <w:kinsoku/>
                    <w:wordWrap/>
                    <w:overflowPunct/>
                    <w:topLinePunct w:val="0"/>
                    <w:autoSpaceDE/>
                    <w:autoSpaceDN/>
                    <w:bidi w:val="0"/>
                    <w:adjustRightInd/>
                    <w:snapToGrid w:val="0"/>
                    <w:spacing w:before="0" w:after="0" w:line="240" w:lineRule="auto"/>
                    <w:ind w:right="0" w:rightChars="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脱硫石膏</w:t>
                  </w:r>
                </w:p>
              </w:tc>
              <w:tc>
                <w:tcPr>
                  <w:tcW w:w="944" w:type="pct"/>
                  <w:noWrap w:val="0"/>
                  <w:tcMar>
                    <w:left w:w="28" w:type="dxa"/>
                    <w:right w:w="28" w:type="dxa"/>
                  </w:tcMar>
                  <w:vAlign w:val="center"/>
                </w:tcPr>
                <w:p w14:paraId="6C7C8A70">
                  <w:pPr>
                    <w:pStyle w:val="13"/>
                    <w:keepNext w:val="0"/>
                    <w:keepLines w:val="0"/>
                    <w:pageBreakBefore w:val="0"/>
                    <w:widowControl w:val="0"/>
                    <w:kinsoku/>
                    <w:wordWrap/>
                    <w:overflowPunct/>
                    <w:topLinePunct w:val="0"/>
                    <w:autoSpaceDE/>
                    <w:autoSpaceDN/>
                    <w:bidi w:val="0"/>
                    <w:adjustRightInd/>
                    <w:snapToGrid w:val="0"/>
                    <w:spacing w:before="0" w:after="0" w:line="240" w:lineRule="auto"/>
                    <w:ind w:right="0" w:rightChars="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汽运</w:t>
                  </w:r>
                </w:p>
              </w:tc>
              <w:tc>
                <w:tcPr>
                  <w:tcW w:w="1768" w:type="pct"/>
                  <w:noWrap w:val="0"/>
                  <w:tcMar>
                    <w:left w:w="28" w:type="dxa"/>
                    <w:right w:w="28" w:type="dxa"/>
                  </w:tcMar>
                  <w:vAlign w:val="center"/>
                </w:tcPr>
                <w:p w14:paraId="54FE9329">
                  <w:pPr>
                    <w:pStyle w:val="13"/>
                    <w:keepNext w:val="0"/>
                    <w:keepLines w:val="0"/>
                    <w:pageBreakBefore w:val="0"/>
                    <w:widowControl w:val="0"/>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存储于</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脱硫石膏库</w:t>
                  </w:r>
                </w:p>
              </w:tc>
              <w:tc>
                <w:tcPr>
                  <w:tcW w:w="1159" w:type="pct"/>
                  <w:noWrap w:val="0"/>
                  <w:vAlign w:val="center"/>
                </w:tcPr>
                <w:p w14:paraId="52C220A9">
                  <w:pPr>
                    <w:pStyle w:val="13"/>
                    <w:keepNext w:val="0"/>
                    <w:keepLines w:val="0"/>
                    <w:pageBreakBefore w:val="0"/>
                    <w:widowControl w:val="0"/>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1243</w:t>
                  </w:r>
                </w:p>
              </w:tc>
            </w:tr>
            <w:tr w14:paraId="44AF6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27" w:type="pct"/>
                  <w:noWrap w:val="0"/>
                  <w:tcMar>
                    <w:left w:w="28" w:type="dxa"/>
                    <w:right w:w="28" w:type="dxa"/>
                  </w:tcMar>
                  <w:vAlign w:val="center"/>
                </w:tcPr>
                <w:p w14:paraId="51FE3467">
                  <w:pPr>
                    <w:pStyle w:val="13"/>
                    <w:keepNext w:val="0"/>
                    <w:keepLines w:val="0"/>
                    <w:pageBreakBefore w:val="0"/>
                    <w:widowControl w:val="0"/>
                    <w:kinsoku/>
                    <w:wordWrap/>
                    <w:overflowPunct/>
                    <w:topLinePunct w:val="0"/>
                    <w:autoSpaceDE/>
                    <w:autoSpaceDN/>
                    <w:bidi w:val="0"/>
                    <w:adjustRightInd/>
                    <w:snapToGrid w:val="0"/>
                    <w:spacing w:before="0" w:after="0" w:line="240" w:lineRule="auto"/>
                    <w:ind w:right="0" w:rightChars="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氨水</w:t>
                  </w:r>
                </w:p>
              </w:tc>
              <w:tc>
                <w:tcPr>
                  <w:tcW w:w="944" w:type="pct"/>
                  <w:noWrap w:val="0"/>
                  <w:tcMar>
                    <w:left w:w="28" w:type="dxa"/>
                    <w:right w:w="28" w:type="dxa"/>
                  </w:tcMar>
                  <w:vAlign w:val="center"/>
                </w:tcPr>
                <w:p w14:paraId="61A0B71B">
                  <w:pPr>
                    <w:pStyle w:val="13"/>
                    <w:keepNext w:val="0"/>
                    <w:keepLines w:val="0"/>
                    <w:pageBreakBefore w:val="0"/>
                    <w:widowControl w:val="0"/>
                    <w:kinsoku/>
                    <w:wordWrap/>
                    <w:overflowPunct/>
                    <w:topLinePunct w:val="0"/>
                    <w:autoSpaceDE/>
                    <w:autoSpaceDN/>
                    <w:bidi w:val="0"/>
                    <w:adjustRightInd/>
                    <w:snapToGrid w:val="0"/>
                    <w:spacing w:before="0" w:after="0" w:line="240" w:lineRule="auto"/>
                    <w:ind w:right="0" w:rightChars="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汽运</w:t>
                  </w:r>
                </w:p>
              </w:tc>
              <w:tc>
                <w:tcPr>
                  <w:tcW w:w="1768" w:type="pct"/>
                  <w:noWrap w:val="0"/>
                  <w:tcMar>
                    <w:left w:w="28" w:type="dxa"/>
                    <w:right w:w="28" w:type="dxa"/>
                  </w:tcMar>
                  <w:vAlign w:val="center"/>
                </w:tcPr>
                <w:p w14:paraId="28A440FE">
                  <w:pPr>
                    <w:pStyle w:val="13"/>
                    <w:keepNext w:val="0"/>
                    <w:keepLines w:val="0"/>
                    <w:pageBreakBefore w:val="0"/>
                    <w:widowControl w:val="0"/>
                    <w:kinsoku/>
                    <w:wordWrap/>
                    <w:overflowPunct/>
                    <w:topLinePunct w:val="0"/>
                    <w:autoSpaceDE/>
                    <w:autoSpaceDN/>
                    <w:bidi w:val="0"/>
                    <w:adjustRightInd/>
                    <w:snapToGrid w:val="0"/>
                    <w:spacing w:before="0" w:after="0" w:line="240" w:lineRule="auto"/>
                    <w:ind w:right="0" w:rightChars="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存储于</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1个12m</w:t>
                  </w:r>
                  <w:r>
                    <w:rPr>
                      <w:rFonts w:hint="default" w:ascii="Times New Roman" w:hAnsi="Times New Roman" w:eastAsia="宋体" w:cs="Times New Roman"/>
                      <w:b w:val="0"/>
                      <w:bCs w:val="0"/>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的氨水罐</w:t>
                  </w:r>
                </w:p>
              </w:tc>
              <w:tc>
                <w:tcPr>
                  <w:tcW w:w="1159" w:type="pct"/>
                  <w:noWrap w:val="0"/>
                  <w:vAlign w:val="center"/>
                </w:tcPr>
                <w:p w14:paraId="1BC02064">
                  <w:pPr>
                    <w:pStyle w:val="13"/>
                    <w:keepNext w:val="0"/>
                    <w:keepLines w:val="0"/>
                    <w:pageBreakBefore w:val="0"/>
                    <w:widowControl w:val="0"/>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850</w:t>
                  </w:r>
                </w:p>
              </w:tc>
            </w:tr>
            <w:tr w14:paraId="2C619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27" w:type="pct"/>
                  <w:noWrap w:val="0"/>
                  <w:tcMar>
                    <w:left w:w="28" w:type="dxa"/>
                    <w:right w:w="28" w:type="dxa"/>
                  </w:tcMar>
                  <w:vAlign w:val="center"/>
                </w:tcPr>
                <w:p w14:paraId="25D4E5A5">
                  <w:pPr>
                    <w:pStyle w:val="13"/>
                    <w:keepNext w:val="0"/>
                    <w:keepLines w:val="0"/>
                    <w:pageBreakBefore w:val="0"/>
                    <w:widowControl w:val="0"/>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产品</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高岭土</w:t>
                  </w:r>
                </w:p>
              </w:tc>
              <w:tc>
                <w:tcPr>
                  <w:tcW w:w="944" w:type="pct"/>
                  <w:noWrap w:val="0"/>
                  <w:tcMar>
                    <w:left w:w="28" w:type="dxa"/>
                    <w:right w:w="28" w:type="dxa"/>
                  </w:tcMar>
                  <w:vAlign w:val="center"/>
                </w:tcPr>
                <w:p w14:paraId="48840819">
                  <w:pPr>
                    <w:pStyle w:val="13"/>
                    <w:keepNext w:val="0"/>
                    <w:keepLines w:val="0"/>
                    <w:pageBreakBefore w:val="0"/>
                    <w:widowControl w:val="0"/>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汽车运输</w:t>
                  </w:r>
                </w:p>
              </w:tc>
              <w:tc>
                <w:tcPr>
                  <w:tcW w:w="1768" w:type="pct"/>
                  <w:noWrap w:val="0"/>
                  <w:tcMar>
                    <w:left w:w="28" w:type="dxa"/>
                    <w:right w:w="28" w:type="dxa"/>
                  </w:tcMar>
                  <w:vAlign w:val="center"/>
                </w:tcPr>
                <w:p w14:paraId="346CBAE2">
                  <w:pPr>
                    <w:pStyle w:val="13"/>
                    <w:keepNext w:val="0"/>
                    <w:keepLines w:val="0"/>
                    <w:pageBreakBefore w:val="0"/>
                    <w:widowControl w:val="0"/>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存储于成品堆</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棚</w:t>
                  </w:r>
                </w:p>
              </w:tc>
              <w:tc>
                <w:tcPr>
                  <w:tcW w:w="1159" w:type="pct"/>
                  <w:noWrap w:val="0"/>
                  <w:vAlign w:val="center"/>
                </w:tcPr>
                <w:p w14:paraId="644F8AD3">
                  <w:pPr>
                    <w:pStyle w:val="13"/>
                    <w:keepNext w:val="0"/>
                    <w:keepLines w:val="0"/>
                    <w:pageBreakBefore w:val="0"/>
                    <w:widowControl w:val="0"/>
                    <w:kinsoku/>
                    <w:wordWrap/>
                    <w:overflowPunct/>
                    <w:topLinePunct w:val="0"/>
                    <w:autoSpaceDE/>
                    <w:autoSpaceDN/>
                    <w:bidi w:val="0"/>
                    <w:adjustRightInd/>
                    <w:snapToGrid w:val="0"/>
                    <w:spacing w:before="0" w:after="0" w:line="240" w:lineRule="auto"/>
                    <w:ind w:righ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20</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万</w:t>
                  </w:r>
                </w:p>
              </w:tc>
            </w:tr>
          </w:tbl>
          <w:p w14:paraId="77551EDF">
            <w:pPr>
              <w:widowControl/>
              <w:spacing w:before="120" w:beforeLines="50"/>
              <w:ind w:firstLine="482" w:firstLineChars="200"/>
              <w:jc w:val="left"/>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1.</w:t>
            </w:r>
            <w:r>
              <w:rPr>
                <w:rFonts w:hint="default" w:ascii="Times New Roman" w:hAnsi="Times New Roman" w:cs="Times New Roman"/>
                <w:b/>
                <w:bCs/>
                <w:color w:val="000000" w:themeColor="text1"/>
                <w:sz w:val="24"/>
                <w:highlight w:val="none"/>
                <w:lang w:val="en-US" w:eastAsia="zh-CN"/>
                <w14:textFill>
                  <w14:solidFill>
                    <w14:schemeClr w14:val="tx1"/>
                  </w14:solidFill>
                </w14:textFill>
              </w:rPr>
              <w:t>8</w:t>
            </w:r>
            <w:r>
              <w:rPr>
                <w:rFonts w:hint="default" w:ascii="Times New Roman" w:hAnsi="Times New Roman" w:eastAsia="宋体" w:cs="Times New Roman"/>
                <w:b/>
                <w:bCs/>
                <w:color w:val="000000" w:themeColor="text1"/>
                <w:sz w:val="24"/>
                <w:highlight w:val="none"/>
                <w14:textFill>
                  <w14:solidFill>
                    <w14:schemeClr w14:val="tx1"/>
                  </w14:solidFill>
                </w14:textFill>
              </w:rPr>
              <w:t>公用工程及依托工程</w:t>
            </w:r>
          </w:p>
          <w:p w14:paraId="5BF6B4D6">
            <w:pPr>
              <w:widowControl/>
              <w:spacing w:before="120" w:beforeLines="50"/>
              <w:ind w:firstLine="482"/>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（1）给水</w:t>
            </w:r>
          </w:p>
          <w:p w14:paraId="5F44D7AB">
            <w:pPr>
              <w:spacing w:before="120" w:beforeLines="50" w:line="360" w:lineRule="auto"/>
              <w:ind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本项目生产用水由园区供给</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中水</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，用水量为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157566</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m</w:t>
            </w:r>
            <w:r>
              <w:rPr>
                <w:rFonts w:hint="default" w:ascii="Times New Roman" w:hAnsi="Times New Roman" w:eastAsia="宋体" w:cs="Times New Roman"/>
                <w:b w:val="0"/>
                <w:bCs w:val="0"/>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/a</w:t>
            </w:r>
            <w:r>
              <w:rPr>
                <w:rFonts w:hint="default" w:ascii="Times New Roman" w:hAnsi="Times New Roman" w:eastAsia="宋体" w:cs="Times New Roman"/>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525.22</w:t>
            </w:r>
            <w:r>
              <w:rPr>
                <w:rFonts w:hint="default" w:ascii="Times New Roman" w:hAnsi="Times New Roman" w:eastAsia="宋体" w:cs="Times New Roman"/>
                <w:bCs/>
                <w:color w:val="000000" w:themeColor="text1"/>
                <w:sz w:val="24"/>
                <w:szCs w:val="24"/>
                <w:highlight w:val="none"/>
                <w14:textFill>
                  <w14:solidFill>
                    <w14:schemeClr w14:val="tx1"/>
                  </w14:solidFill>
                </w14:textFill>
              </w:rPr>
              <w:t>m</w:t>
            </w:r>
            <w:r>
              <w:rPr>
                <w:rFonts w:hint="default" w:ascii="Times New Roman" w:hAnsi="Times New Roman" w:eastAsia="宋体" w:cs="Times New Roman"/>
                <w:bCs/>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bCs/>
                <w:color w:val="000000" w:themeColor="text1"/>
                <w:sz w:val="24"/>
                <w:szCs w:val="24"/>
                <w:highlight w:val="none"/>
                <w14:textFill>
                  <w14:solidFill>
                    <w14:schemeClr w14:val="tx1"/>
                  </w14:solidFill>
                </w14:textFill>
              </w:rPr>
              <w:t>/d</w:t>
            </w:r>
            <w:r>
              <w:rPr>
                <w:rFonts w:hint="default" w:ascii="Times New Roman" w:hAnsi="Times New Roman" w:eastAsia="宋体" w:cs="Times New Roman"/>
                <w:bCs/>
                <w:color w:val="000000" w:themeColor="text1"/>
                <w:sz w:val="24"/>
                <w:szCs w:val="24"/>
                <w:highlight w:val="none"/>
                <w:lang w:eastAsia="zh-CN"/>
                <w14:textFill>
                  <w14:solidFill>
                    <w14:schemeClr w14:val="tx1"/>
                  </w14:solidFill>
                </w14:textFill>
              </w:rPr>
              <w:t>）</w:t>
            </w:r>
            <w:r>
              <w:rPr>
                <w:rFonts w:hint="default" w:ascii="Times New Roman" w:hAnsi="Times New Roman" w:cs="Times New Roman"/>
                <w:bCs/>
                <w:color w:val="000000" w:themeColor="text1"/>
                <w:sz w:val="24"/>
                <w:szCs w:val="24"/>
                <w:highlight w:val="none"/>
                <w:lang w:eastAsia="zh-CN"/>
                <w14:textFill>
                  <w14:solidFill>
                    <w14:schemeClr w14:val="tx1"/>
                  </w14:solidFill>
                </w14:textFill>
              </w:rPr>
              <w:t>，</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洒水抑尘、生活用水引自科源水务公司</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p>
          <w:p w14:paraId="709A58AE">
            <w:pPr>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highlight w:val="none"/>
                <w14:textFill>
                  <w14:solidFill>
                    <w14:schemeClr w14:val="tx1"/>
                  </w14:solidFill>
                </w14:textFill>
              </w:rPr>
              <w:t>生活用水</w:t>
            </w:r>
          </w:p>
          <w:p w14:paraId="60B702CF">
            <w:pPr>
              <w:pStyle w:val="9"/>
              <w:spacing w:after="0" w:line="360" w:lineRule="auto"/>
              <w:ind w:left="0" w:leftChars="0" w:firstLine="480" w:firstLineChars="200"/>
              <w:rPr>
                <w:rFonts w:hint="default" w:ascii="Times New Roman" w:hAnsi="Times New Roman" w:eastAsia="宋体" w:cs="Times New Roman"/>
                <w:bCs/>
                <w:color w:val="000000" w:themeColor="text1"/>
                <w:szCs w:val="24"/>
                <w:highlight w:val="none"/>
                <w14:textFill>
                  <w14:solidFill>
                    <w14:schemeClr w14:val="tx1"/>
                  </w14:solidFill>
                </w14:textFill>
              </w:rPr>
            </w:pPr>
            <w:r>
              <w:rPr>
                <w:rFonts w:hint="default" w:ascii="Times New Roman" w:hAnsi="Times New Roman" w:eastAsia="宋体" w:cs="Times New Roman"/>
                <w:bCs/>
                <w:color w:val="000000" w:themeColor="text1"/>
                <w:szCs w:val="24"/>
                <w:highlight w:val="none"/>
                <w14:textFill>
                  <w14:solidFill>
                    <w14:schemeClr w14:val="tx1"/>
                  </w14:solidFill>
                </w14:textFill>
              </w:rPr>
              <w:t>项目劳动定员为</w:t>
            </w: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t>3</w:t>
            </w:r>
            <w:r>
              <w:rPr>
                <w:rFonts w:hint="default" w:ascii="Times New Roman" w:hAnsi="Times New Roman" w:eastAsia="宋体" w:cs="Times New Roman"/>
                <w:bCs/>
                <w:color w:val="000000" w:themeColor="text1"/>
                <w:szCs w:val="24"/>
                <w:highlight w:val="none"/>
                <w14:textFill>
                  <w14:solidFill>
                    <w14:schemeClr w14:val="tx1"/>
                  </w14:solidFill>
                </w14:textFill>
              </w:rPr>
              <w:t>5人，根据《内蒙古自治区行业用水定额标准》</w:t>
            </w:r>
            <w:r>
              <w:rPr>
                <w:rFonts w:hint="default" w:ascii="Times New Roman" w:hAnsi="Times New Roman" w:eastAsia="宋体" w:cs="Times New Roman"/>
                <w:bCs/>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bCs/>
                <w:color w:val="000000" w:themeColor="text1"/>
                <w:szCs w:val="24"/>
                <w:highlight w:val="none"/>
                <w14:textFill>
                  <w14:solidFill>
                    <w14:schemeClr w14:val="tx1"/>
                  </w14:solidFill>
                </w14:textFill>
              </w:rPr>
              <w:t>DB15/T385</w:t>
            </w: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t>-</w:t>
            </w:r>
            <w:r>
              <w:rPr>
                <w:rFonts w:hint="default" w:ascii="Times New Roman" w:hAnsi="Times New Roman" w:eastAsia="宋体" w:cs="Times New Roman"/>
                <w:bCs/>
                <w:color w:val="000000" w:themeColor="text1"/>
                <w:szCs w:val="24"/>
                <w:highlight w:val="none"/>
                <w14:textFill>
                  <w14:solidFill>
                    <w14:schemeClr w14:val="tx1"/>
                  </w14:solidFill>
                </w14:textFill>
              </w:rPr>
              <w:t>2020</w:t>
            </w:r>
            <w:r>
              <w:rPr>
                <w:rFonts w:hint="default" w:ascii="Times New Roman" w:hAnsi="Times New Roman" w:eastAsia="宋体" w:cs="Times New Roman"/>
                <w:bCs/>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t>办公</w:t>
            </w:r>
            <w:r>
              <w:rPr>
                <w:rFonts w:hint="default" w:ascii="Times New Roman" w:hAnsi="Times New Roman" w:eastAsia="宋体" w:cs="Times New Roman"/>
                <w:bCs/>
                <w:color w:val="000000" w:themeColor="text1"/>
                <w:szCs w:val="24"/>
                <w:highlight w:val="none"/>
                <w14:textFill>
                  <w14:solidFill>
                    <w14:schemeClr w14:val="tx1"/>
                  </w14:solidFill>
                </w14:textFill>
              </w:rPr>
              <w:t>生活用水量按照60L/人·d计算，</w:t>
            </w: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t>办公</w:t>
            </w:r>
            <w:r>
              <w:rPr>
                <w:rFonts w:hint="default" w:ascii="Times New Roman" w:hAnsi="Times New Roman" w:eastAsia="宋体" w:cs="Times New Roman"/>
                <w:bCs/>
                <w:color w:val="000000" w:themeColor="text1"/>
                <w:szCs w:val="24"/>
                <w:highlight w:val="none"/>
                <w14:textFill>
                  <w14:solidFill>
                    <w14:schemeClr w14:val="tx1"/>
                  </w14:solidFill>
                </w14:textFill>
              </w:rPr>
              <w:t>生活用水量为</w:t>
            </w:r>
            <w:r>
              <w:rPr>
                <w:rFonts w:hint="default" w:ascii="Times New Roman" w:hAnsi="Times New Roman" w:eastAsia="宋体" w:cs="Times New Roman"/>
                <w:bCs/>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t>2.01</w:t>
            </w:r>
            <w:r>
              <w:rPr>
                <w:rFonts w:hint="default" w:ascii="Times New Roman" w:hAnsi="Times New Roman" w:eastAsia="宋体" w:cs="Times New Roman"/>
                <w:bCs/>
                <w:color w:val="000000" w:themeColor="text1"/>
                <w:szCs w:val="24"/>
                <w:highlight w:val="none"/>
                <w14:textFill>
                  <w14:solidFill>
                    <w14:schemeClr w14:val="tx1"/>
                  </w14:solidFill>
                </w14:textFill>
              </w:rPr>
              <w:t>m³/</w:t>
            </w: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t>d</w:t>
            </w:r>
            <w:r>
              <w:rPr>
                <w:rFonts w:hint="default" w:ascii="Times New Roman" w:hAnsi="Times New Roman" w:eastAsia="宋体" w:cs="Times New Roman"/>
                <w:bCs/>
                <w:color w:val="000000" w:themeColor="text1"/>
                <w:szCs w:val="24"/>
                <w:highlight w:val="none"/>
                <w:lang w:eastAsia="zh-CN"/>
                <w14:textFill>
                  <w14:solidFill>
                    <w14:schemeClr w14:val="tx1"/>
                  </w14:solidFill>
                </w14:textFill>
              </w:rPr>
              <w:t>）</w:t>
            </w: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t>6</w:t>
            </w:r>
            <w:r>
              <w:rPr>
                <w:rFonts w:hint="default" w:ascii="Times New Roman" w:hAnsi="Times New Roman" w:eastAsia="宋体" w:cs="Times New Roman"/>
                <w:bCs/>
                <w:color w:val="000000" w:themeColor="text1"/>
                <w:szCs w:val="24"/>
                <w:highlight w:val="none"/>
                <w14:textFill>
                  <w14:solidFill>
                    <w14:schemeClr w14:val="tx1"/>
                  </w14:solidFill>
                </w14:textFill>
              </w:rPr>
              <w:t>30m³/a。生活用水由园区自来水供水管网供给，其水质、水量均能满足生活、生产需求。</w:t>
            </w:r>
          </w:p>
          <w:p w14:paraId="542ACDAB">
            <w:pPr>
              <w:pStyle w:val="9"/>
              <w:spacing w:after="0" w:line="360" w:lineRule="auto"/>
              <w:ind w:left="0" w:leftChars="0" w:firstLine="480" w:firstLineChars="200"/>
              <w:rPr>
                <w:rFonts w:hint="default" w:ascii="Times New Roman" w:hAnsi="Times New Roman" w:eastAsia="宋体" w:cs="Times New Roman"/>
                <w:bCs/>
                <w:color w:val="000000" w:themeColor="text1"/>
                <w:szCs w:val="24"/>
                <w:highlight w:val="none"/>
                <w14:textFill>
                  <w14:solidFill>
                    <w14:schemeClr w14:val="tx1"/>
                  </w14:solidFill>
                </w14:textFill>
              </w:rPr>
            </w:pP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t>2）冷却系统</w:t>
            </w:r>
            <w:r>
              <w:rPr>
                <w:rFonts w:hint="default" w:ascii="Times New Roman" w:hAnsi="Times New Roman" w:eastAsia="宋体" w:cs="Times New Roman"/>
                <w:bCs/>
                <w:color w:val="000000" w:themeColor="text1"/>
                <w:szCs w:val="24"/>
                <w:highlight w:val="none"/>
                <w14:textFill>
                  <w14:solidFill>
                    <w14:schemeClr w14:val="tx1"/>
                  </w14:solidFill>
                </w14:textFill>
              </w:rPr>
              <w:t>用水</w:t>
            </w:r>
          </w:p>
          <w:p w14:paraId="44E09CFB">
            <w:pPr>
              <w:pStyle w:val="9"/>
              <w:spacing w:after="0" w:line="360" w:lineRule="auto"/>
              <w:ind w:left="0" w:leftChars="0" w:firstLine="480" w:firstLineChars="200"/>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Cs w:val="24"/>
                <w:highlight w:val="none"/>
                <w:lang w:val="en-US" w:eastAsia="en-US"/>
                <w14:textFill>
                  <w14:solidFill>
                    <w14:schemeClr w14:val="tx1"/>
                  </w14:solidFill>
                </w14:textFill>
              </w:rPr>
              <w:t>项目生产过程中风机等在运行过程中需要进行冷却。本项目</w:t>
            </w:r>
            <w:r>
              <w:rPr>
                <w:rFonts w:hint="default" w:ascii="Times New Roman" w:hAnsi="Times New Roman" w:eastAsia="宋体" w:cs="Times New Roman"/>
                <w:bCs/>
                <w:color w:val="000000" w:themeColor="text1"/>
                <w:sz w:val="24"/>
                <w:szCs w:val="24"/>
                <w:highlight w:val="none"/>
                <w:lang w:val="en-US" w:eastAsia="en-US"/>
                <w14:textFill>
                  <w14:solidFill>
                    <w14:schemeClr w14:val="tx1"/>
                  </w14:solidFill>
                </w14:textFill>
              </w:rPr>
              <w:t>设备冷却循环水</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由内蒙古伊东东发新材料有限责任公司提供。</w:t>
            </w:r>
          </w:p>
          <w:p w14:paraId="1ED22455">
            <w:pPr>
              <w:pStyle w:val="9"/>
              <w:spacing w:after="0" w:line="360" w:lineRule="auto"/>
              <w:ind w:left="0" w:leftChars="0"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bCs/>
                <w:color w:val="000000" w:themeColor="text1"/>
                <w:szCs w:val="24"/>
                <w:highlight w:val="none"/>
                <w:lang w:val="en-US" w:eastAsia="en-US"/>
                <w14:textFill>
                  <w14:solidFill>
                    <w14:schemeClr w14:val="tx1"/>
                  </w14:solidFill>
                </w14:textFill>
              </w:rPr>
              <w:t>本次工程循环冷却水系统采用</w:t>
            </w:r>
            <w:r>
              <w:rPr>
                <w:rFonts w:hint="default" w:ascii="Times New Roman" w:hAnsi="Times New Roman" w:eastAsia="宋体" w:cs="Times New Roman"/>
                <w:b/>
                <w:bCs w:val="0"/>
                <w:color w:val="000000" w:themeColor="text1"/>
                <w:szCs w:val="24"/>
                <w:highlight w:val="none"/>
                <w:lang w:val="en-US" w:eastAsia="en-US"/>
                <w14:textFill>
                  <w14:solidFill>
                    <w14:schemeClr w14:val="tx1"/>
                  </w14:solidFill>
                </w14:textFill>
              </w:rPr>
              <w:t>闭式循环水系统</w:t>
            </w:r>
            <w:r>
              <w:rPr>
                <w:rFonts w:hint="default" w:ascii="Times New Roman" w:hAnsi="Times New Roman" w:eastAsia="宋体" w:cs="Times New Roman"/>
                <w:bCs/>
                <w:color w:val="000000" w:themeColor="text1"/>
                <w:szCs w:val="24"/>
                <w:highlight w:val="none"/>
                <w:lang w:val="en-US" w:eastAsia="en-US"/>
                <w14:textFill>
                  <w14:solidFill>
                    <w14:schemeClr w14:val="tx1"/>
                  </w14:solidFill>
                </w14:textFill>
              </w:rPr>
              <w:t>。闭式循环水系统由循环水泵房、闭式冷却塔、外部喷淋水旁滤器、喷淋水泵、膨胀罐及循环供回水管线等组成。</w:t>
            </w:r>
            <w:r>
              <w:rPr>
                <w:rFonts w:hint="default" w:ascii="Times New Roman" w:hAnsi="Times New Roman" w:eastAsia="宋体" w:cs="Times New Roman"/>
                <w:color w:val="000000" w:themeColor="text1"/>
                <w:highlight w:val="none"/>
                <w14:textFill>
                  <w14:solidFill>
                    <w14:schemeClr w14:val="tx1"/>
                  </w14:solidFill>
                </w14:textFill>
              </w:rPr>
              <w:t>项目循环水</w:t>
            </w:r>
            <w:r>
              <w:rPr>
                <w:rFonts w:hint="default" w:ascii="Times New Roman" w:hAnsi="Times New Roman" w:eastAsia="宋体" w:cs="Times New Roman"/>
                <w:color w:val="000000" w:themeColor="text1"/>
                <w:highlight w:val="none"/>
                <w:lang w:eastAsia="zh-CN"/>
                <w14:textFill>
                  <w14:solidFill>
                    <w14:schemeClr w14:val="tx1"/>
                  </w14:solidFill>
                </w14:textFill>
              </w:rPr>
              <w:t>利用</w:t>
            </w:r>
            <w:r>
              <w:rPr>
                <w:rFonts w:hint="default" w:ascii="Times New Roman" w:hAnsi="Times New Roman" w:eastAsia="宋体" w:cs="Times New Roman"/>
                <w:color w:val="000000" w:themeColor="text1"/>
                <w:highlight w:val="none"/>
                <w14:textFill>
                  <w14:solidFill>
                    <w14:schemeClr w14:val="tx1"/>
                  </w14:solidFill>
                </w14:textFill>
              </w:rPr>
              <w:t>量计算参考《工业循环水冷却设计规范》（GB50050-2017）</w:t>
            </w:r>
            <w:r>
              <w:rPr>
                <w:rFonts w:hint="default" w:ascii="Times New Roman" w:hAnsi="Times New Roman" w:eastAsia="宋体" w:cs="Times New Roman"/>
                <w:color w:val="000000" w:themeColor="text1"/>
                <w:highlight w:val="none"/>
                <w:lang w:eastAsia="zh-CN"/>
                <w14:textFill>
                  <w14:solidFill>
                    <w14:schemeClr w14:val="tx1"/>
                  </w14:solidFill>
                </w14:textFill>
              </w:rPr>
              <w:t>，</w:t>
            </w:r>
            <w:r>
              <w:rPr>
                <w:rFonts w:hint="default" w:ascii="Times New Roman" w:hAnsi="Times New Roman" w:eastAsia="宋体" w:cs="Times New Roman"/>
                <w:bCs/>
                <w:color w:val="000000" w:themeColor="text1"/>
                <w:sz w:val="24"/>
                <w:szCs w:val="24"/>
                <w:highlight w:val="none"/>
                <w:lang w:val="en-US" w:eastAsia="en-US"/>
                <w14:textFill>
                  <w14:solidFill>
                    <w14:schemeClr w14:val="tx1"/>
                  </w14:solidFill>
                </w14:textFill>
              </w:rPr>
              <w:t>损耗量</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可忽略，</w:t>
            </w:r>
            <w:r>
              <w:rPr>
                <w:rFonts w:hint="default" w:ascii="Times New Roman" w:hAnsi="Times New Roman" w:eastAsia="宋体" w:cs="Times New Roman"/>
                <w:bCs/>
                <w:color w:val="000000" w:themeColor="text1"/>
                <w:sz w:val="24"/>
                <w:szCs w:val="24"/>
                <w:highlight w:val="none"/>
                <w:lang w:val="en-US" w:eastAsia="en-US"/>
                <w14:textFill>
                  <w14:solidFill>
                    <w14:schemeClr w14:val="tx1"/>
                  </w14:solidFill>
                </w14:textFill>
              </w:rPr>
              <w:t>循环冷却系统补水量</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和</w:t>
            </w:r>
            <w:r>
              <w:rPr>
                <w:rFonts w:hint="default" w:ascii="Times New Roman" w:hAnsi="Times New Roman" w:eastAsia="宋体" w:cs="Times New Roman"/>
                <w:bCs/>
                <w:color w:val="000000" w:themeColor="text1"/>
                <w:sz w:val="24"/>
                <w:szCs w:val="24"/>
                <w:highlight w:val="none"/>
                <w:lang w:val="en-US" w:eastAsia="en-US"/>
                <w14:textFill>
                  <w14:solidFill>
                    <w14:schemeClr w14:val="tx1"/>
                  </w14:solidFill>
                </w14:textFill>
              </w:rPr>
              <w:t>排水量</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相同，</w:t>
            </w:r>
            <w:r>
              <w:rPr>
                <w:rFonts w:hint="default" w:ascii="Times New Roman" w:hAnsi="Times New Roman" w:eastAsia="宋体" w:cs="Times New Roman"/>
                <w:color w:val="000000" w:themeColor="text1"/>
                <w:spacing w:val="-4"/>
                <w:highlight w:val="none"/>
                <w14:textFill>
                  <w14:solidFill>
                    <w14:schemeClr w14:val="tx1"/>
                  </w14:solidFill>
                </w14:textFill>
              </w:rPr>
              <w:t>排污量为</w:t>
            </w:r>
            <w:r>
              <w:rPr>
                <w:rFonts w:hint="default" w:ascii="Times New Roman" w:hAnsi="Times New Roman" w:eastAsia="宋体" w:cs="Times New Roman"/>
                <w:color w:val="000000" w:themeColor="text1"/>
                <w:spacing w:val="-4"/>
                <w:highlight w:val="none"/>
                <w:lang w:val="en-US" w:eastAsia="zh-CN"/>
                <w14:textFill>
                  <w14:solidFill>
                    <w14:schemeClr w14:val="tx1"/>
                  </w14:solidFill>
                </w14:textFill>
              </w:rPr>
              <w:t>循环量占比1%，</w:t>
            </w:r>
            <w:r>
              <w:rPr>
                <w:rFonts w:hint="default" w:ascii="Times New Roman" w:hAnsi="Times New Roman" w:cs="Times New Roman"/>
                <w:color w:val="000000" w:themeColor="text1"/>
                <w:spacing w:val="-4"/>
                <w:highlight w:val="none"/>
                <w:lang w:val="en-US" w:eastAsia="zh-CN"/>
                <w14:textFill>
                  <w14:solidFill>
                    <w14:schemeClr w14:val="tx1"/>
                  </w14:solidFill>
                </w14:textFill>
              </w:rPr>
              <w:t>本项目</w:t>
            </w:r>
            <w:r>
              <w:rPr>
                <w:rFonts w:hint="default" w:ascii="Times New Roman" w:hAnsi="Times New Roman" w:eastAsia="宋体" w:cs="Times New Roman"/>
                <w:color w:val="000000" w:themeColor="text1"/>
                <w:spacing w:val="-4"/>
                <w:highlight w:val="none"/>
                <w:lang w:val="en-US" w:eastAsia="zh-CN"/>
                <w14:textFill>
                  <w14:solidFill>
                    <w14:schemeClr w14:val="tx1"/>
                  </w14:solidFill>
                </w14:textFill>
              </w:rPr>
              <w:t>循环水循环量为</w:t>
            </w:r>
            <w:r>
              <w:rPr>
                <w:rFonts w:hint="default" w:ascii="Times New Roman" w:hAnsi="Times New Roman" w:cs="Times New Roman"/>
                <w:color w:val="000000" w:themeColor="text1"/>
                <w:spacing w:val="-4"/>
                <w:highlight w:val="none"/>
                <w:lang w:val="en-US" w:eastAsia="zh-CN"/>
                <w14:textFill>
                  <w14:solidFill>
                    <w14:schemeClr w14:val="tx1"/>
                  </w14:solidFill>
                </w14:textFill>
              </w:rPr>
              <w:t>82</w:t>
            </w:r>
            <w:r>
              <w:rPr>
                <w:rFonts w:hint="default" w:ascii="Times New Roman" w:hAnsi="Times New Roman" w:eastAsia="宋体" w:cs="Times New Roman"/>
                <w:color w:val="000000" w:themeColor="text1"/>
                <w:spacing w:val="-4"/>
                <w:highlight w:val="none"/>
                <w:lang w:val="en-US" w:eastAsia="zh-CN"/>
                <w14:textFill>
                  <w14:solidFill>
                    <w14:schemeClr w14:val="tx1"/>
                  </w14:solidFill>
                </w14:textFill>
              </w:rPr>
              <w:t>t/h，</w:t>
            </w:r>
            <w:r>
              <w:rPr>
                <w:rFonts w:hint="default" w:ascii="Times New Roman" w:hAnsi="Times New Roman" w:eastAsia="宋体" w:cs="Times New Roman"/>
                <w:color w:val="000000" w:themeColor="text1"/>
                <w:spacing w:val="-4"/>
                <w:highlight w:val="none"/>
                <w14:textFill>
                  <w14:solidFill>
                    <w14:schemeClr w14:val="tx1"/>
                  </w14:solidFill>
                </w14:textFill>
              </w:rPr>
              <w:t>循环水运行时间为7200h/a，</w:t>
            </w:r>
            <w:r>
              <w:rPr>
                <w:rFonts w:hint="default" w:ascii="Times New Roman" w:hAnsi="Times New Roman" w:eastAsia="宋体" w:cs="Times New Roman"/>
                <w:color w:val="000000" w:themeColor="text1"/>
                <w:spacing w:val="-4"/>
                <w:highlight w:val="none"/>
                <w:lang w:val="en-US" w:eastAsia="zh-CN"/>
                <w14:textFill>
                  <w14:solidFill>
                    <w14:schemeClr w14:val="tx1"/>
                  </w14:solidFill>
                </w14:textFill>
              </w:rPr>
              <w:t>则补充水量</w:t>
            </w:r>
            <w:r>
              <w:rPr>
                <w:rFonts w:hint="default" w:ascii="Times New Roman" w:hAnsi="Times New Roman" w:eastAsia="宋体" w:cs="Times New Roman"/>
                <w:bCs/>
                <w:color w:val="000000" w:themeColor="text1"/>
                <w:sz w:val="24"/>
                <w:szCs w:val="24"/>
                <w:highlight w:val="none"/>
                <w:lang w:val="en-US" w:eastAsia="en-US"/>
                <w14:textFill>
                  <w14:solidFill>
                    <w14:schemeClr w14:val="tx1"/>
                  </w14:solidFill>
                </w14:textFill>
              </w:rPr>
              <w:t>为</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0.82</w:t>
            </w:r>
            <w:r>
              <w:rPr>
                <w:rFonts w:hint="default" w:ascii="Times New Roman" w:hAnsi="Times New Roman" w:eastAsia="宋体" w:cs="Times New Roman"/>
                <w:bCs/>
                <w:color w:val="000000" w:themeColor="text1"/>
                <w:sz w:val="24"/>
                <w:szCs w:val="24"/>
                <w:highlight w:val="none"/>
                <w:lang w:val="en-US" w:eastAsia="en-US"/>
                <w14:textFill>
                  <w14:solidFill>
                    <w14:schemeClr w14:val="tx1"/>
                  </w14:solidFill>
                </w14:textFill>
              </w:rPr>
              <w:t>m³/</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h（</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5904</w:t>
            </w:r>
            <w:r>
              <w:rPr>
                <w:rFonts w:hint="default" w:ascii="Times New Roman" w:hAnsi="Times New Roman" w:eastAsia="宋体" w:cs="Times New Roman"/>
                <w:bCs/>
                <w:color w:val="000000" w:themeColor="text1"/>
                <w:sz w:val="24"/>
                <w:szCs w:val="24"/>
                <w:highlight w:val="none"/>
                <w:lang w:val="en-US" w:eastAsia="en-US"/>
                <w14:textFill>
                  <w14:solidFill>
                    <w14:schemeClr w14:val="tx1"/>
                  </w14:solidFill>
                </w14:textFill>
              </w:rPr>
              <w:t>m³/a</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bCs/>
                <w:color w:val="000000" w:themeColor="text1"/>
                <w:sz w:val="24"/>
                <w:szCs w:val="24"/>
                <w:highlight w:val="none"/>
                <w:lang w:val="en-US" w:eastAsia="en-US"/>
                <w14:textFill>
                  <w14:solidFill>
                    <w14:schemeClr w14:val="tx1"/>
                  </w14:solidFill>
                </w14:textFill>
              </w:rPr>
              <w:t>用</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水由生产供水系统直接补给。</w:t>
            </w:r>
          </w:p>
          <w:p w14:paraId="140BC00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3）余热锅炉用水</w:t>
            </w:r>
          </w:p>
          <w:p w14:paraId="034CA2D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32"/>
                <w:highlight w:val="none"/>
                <w:lang w:val="en-US"/>
                <w14:textFill>
                  <w14:solidFill>
                    <w14:schemeClr w14:val="tx1"/>
                  </w14:solidFill>
                </w14:textFill>
              </w:rPr>
            </w:pPr>
            <w:r>
              <w:rPr>
                <w:rFonts w:hint="default" w:ascii="Times New Roman" w:hAnsi="Times New Roman" w:eastAsia="宋体" w:cs="Times New Roman"/>
                <w:color w:val="000000" w:themeColor="text1"/>
                <w:sz w:val="24"/>
                <w:szCs w:val="32"/>
                <w:highlight w:val="none"/>
                <w14:textFill>
                  <w14:solidFill>
                    <w14:schemeClr w14:val="tx1"/>
                  </w14:solidFill>
                </w14:textFill>
              </w:rPr>
              <w:t>本项目</w:t>
            </w:r>
            <w:r>
              <w:rPr>
                <w:rFonts w:hint="default" w:ascii="Times New Roman" w:hAnsi="Times New Roman" w:eastAsia="宋体" w:cs="Times New Roman"/>
                <w:color w:val="000000" w:themeColor="text1"/>
                <w:sz w:val="24"/>
                <w:szCs w:val="32"/>
                <w:highlight w:val="none"/>
                <w:lang w:val="en-US" w:eastAsia="zh-CN"/>
                <w14:textFill>
                  <w14:solidFill>
                    <w14:schemeClr w14:val="tx1"/>
                  </w14:solidFill>
                </w14:textFill>
              </w:rPr>
              <w:t>配置了一套全自动软水制备装置，为余热锅炉用软水供应，原水通过多介质过滤器，活性炭过滤器，一级反渗透机组，二级反渗透机组等设备处理后，出水供给余热锅炉用水，软水制备能力为</w:t>
            </w:r>
            <w:r>
              <w:rPr>
                <w:rFonts w:hint="default" w:ascii="Times New Roman" w:hAnsi="Times New Roman" w:eastAsia="宋体" w:cs="Times New Roman"/>
                <w:b w:val="0"/>
                <w:bCs w:val="0"/>
                <w:color w:val="000000" w:themeColor="text1"/>
                <w:sz w:val="24"/>
                <w:szCs w:val="32"/>
                <w:highlight w:val="none"/>
                <w:lang w:val="en-US" w:eastAsia="zh-CN"/>
                <w14:textFill>
                  <w14:solidFill>
                    <w14:schemeClr w14:val="tx1"/>
                  </w14:solidFill>
                </w14:textFill>
              </w:rPr>
              <w:t>15m</w:t>
            </w:r>
            <w:r>
              <w:rPr>
                <w:rFonts w:hint="default" w:ascii="Times New Roman" w:hAnsi="Times New Roman" w:eastAsia="宋体" w:cs="Times New Roman"/>
                <w:b w:val="0"/>
                <w:bCs w:val="0"/>
                <w:color w:val="000000" w:themeColor="text1"/>
                <w:sz w:val="24"/>
                <w:szCs w:val="32"/>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4"/>
                <w:szCs w:val="32"/>
                <w:highlight w:val="none"/>
                <w:lang w:val="en-US" w:eastAsia="zh-CN"/>
                <w14:textFill>
                  <w14:solidFill>
                    <w14:schemeClr w14:val="tx1"/>
                  </w14:solidFill>
                </w14:textFill>
              </w:rPr>
              <w:t>/h</w:t>
            </w:r>
            <w:r>
              <w:rPr>
                <w:rFonts w:hint="default" w:ascii="Times New Roman" w:hAnsi="Times New Roman" w:eastAsia="宋体" w:cs="Times New Roman"/>
                <w:b/>
                <w:bCs/>
                <w:color w:val="000000" w:themeColor="text1"/>
                <w:sz w:val="24"/>
                <w:szCs w:val="32"/>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32"/>
                <w:highlight w:val="none"/>
                <w:lang w:val="en-US" w:eastAsia="zh-CN"/>
                <w14:textFill>
                  <w14:solidFill>
                    <w14:schemeClr w14:val="tx1"/>
                  </w14:solidFill>
                </w14:textFill>
              </w:rPr>
              <w:t>软化效率为90%。</w:t>
            </w:r>
          </w:p>
          <w:p w14:paraId="2B608DD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32"/>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highlight w:val="none"/>
                <w:lang w:val="en-US" w:eastAsia="zh-CN"/>
                <w14:textFill>
                  <w14:solidFill>
                    <w14:schemeClr w14:val="tx1"/>
                  </w14:solidFill>
                </w14:textFill>
              </w:rPr>
              <w:t>锅炉用软水制备工艺原理：水的硬度主要由其中的阳离子（Ca</w:t>
            </w:r>
            <w:r>
              <w:rPr>
                <w:rFonts w:hint="default" w:ascii="Times New Roman" w:hAnsi="Times New Roman" w:eastAsia="宋体" w:cs="Times New Roman"/>
                <w:color w:val="000000" w:themeColor="text1"/>
                <w:sz w:val="24"/>
                <w:szCs w:val="32"/>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32"/>
                <w:highlight w:val="none"/>
                <w:lang w:val="en-US" w:eastAsia="zh-CN"/>
                <w14:textFill>
                  <w14:solidFill>
                    <w14:schemeClr w14:val="tx1"/>
                  </w14:solidFill>
                </w14:textFill>
              </w:rPr>
              <w:t>、Mg</w:t>
            </w:r>
            <w:r>
              <w:rPr>
                <w:rFonts w:hint="default" w:ascii="Times New Roman" w:hAnsi="Times New Roman" w:eastAsia="宋体" w:cs="Times New Roman"/>
                <w:color w:val="000000" w:themeColor="text1"/>
                <w:sz w:val="24"/>
                <w:szCs w:val="32"/>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32"/>
                <w:highlight w:val="none"/>
                <w:lang w:val="en-US" w:eastAsia="zh-CN"/>
                <w14:textFill>
                  <w14:solidFill>
                    <w14:schemeClr w14:val="tx1"/>
                  </w14:solidFill>
                </w14:textFill>
              </w:rPr>
              <w:t>）离子构成。当含有硬度的原水通过交换器的树脂层时，水中的钙、镁离子被树脂吸附，同时释放出钠离子。这样从交换器内流出的水就是去掉了硬度离子的软化水，当吸附钙、镁离子的树脂达到一定程度后，出水硬度增大，此时软水器按照预定的程序自动进行失效树脂的再生工作，利用较高浓度的氯化钠溶液通过树脂，使失效的树脂重新恢复至钠型树脂。</w:t>
            </w:r>
          </w:p>
          <w:p w14:paraId="1F015C7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32"/>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 w:val="24"/>
                <w:szCs w:val="32"/>
                <w:highlight w:val="none"/>
                <w:lang w:val="en-US" w:eastAsia="zh-CN" w:bidi="ar"/>
                <w14:textFill>
                  <w14:solidFill>
                    <w14:schemeClr w14:val="tx1"/>
                  </w14:solidFill>
                </w14:textFill>
              </w:rPr>
              <w:t>根据《行业用水定额》（DB15T385-2020）中表13工业用水定额-D4430热力生产和供应，工业蒸汽生产系数为1.3m</w:t>
            </w:r>
            <w:r>
              <w:rPr>
                <w:rFonts w:hint="default" w:ascii="Times New Roman" w:hAnsi="Times New Roman" w:eastAsia="宋体" w:cs="Times New Roman"/>
                <w:color w:val="000000" w:themeColor="text1"/>
                <w:kern w:val="2"/>
                <w:sz w:val="24"/>
                <w:szCs w:val="32"/>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2"/>
                <w:sz w:val="24"/>
                <w:szCs w:val="32"/>
                <w:highlight w:val="none"/>
                <w:lang w:val="en-US" w:eastAsia="zh-CN" w:bidi="ar"/>
                <w14:textFill>
                  <w14:solidFill>
                    <w14:schemeClr w14:val="tx1"/>
                  </w14:solidFill>
                </w14:textFill>
              </w:rPr>
              <w:t>/m</w:t>
            </w:r>
            <w:r>
              <w:rPr>
                <w:rFonts w:hint="default" w:ascii="Times New Roman" w:hAnsi="Times New Roman" w:eastAsia="宋体" w:cs="Times New Roman"/>
                <w:color w:val="000000" w:themeColor="text1"/>
                <w:kern w:val="2"/>
                <w:sz w:val="24"/>
                <w:szCs w:val="32"/>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2"/>
                <w:sz w:val="24"/>
                <w:szCs w:val="32"/>
                <w:highlight w:val="none"/>
                <w:vertAlign w:val="baseline"/>
                <w:lang w:val="en-US" w:eastAsia="zh-CN" w:bidi="ar"/>
                <w14:textFill>
                  <w14:solidFill>
                    <w14:schemeClr w14:val="tx1"/>
                  </w14:solidFill>
                </w14:textFill>
              </w:rPr>
              <w:t>，锅炉负荷为15</w:t>
            </w:r>
            <w:r>
              <w:rPr>
                <w:rFonts w:hint="default" w:ascii="Times New Roman" w:hAnsi="Times New Roman" w:cs="Times New Roman"/>
                <w:color w:val="000000" w:themeColor="text1"/>
                <w:kern w:val="2"/>
                <w:sz w:val="24"/>
                <w:szCs w:val="32"/>
                <w:highlight w:val="none"/>
                <w:vertAlign w:val="baseline"/>
                <w:lang w:val="en-US" w:eastAsia="zh-CN" w:bidi="ar"/>
                <w14:textFill>
                  <w14:solidFill>
                    <w14:schemeClr w14:val="tx1"/>
                  </w14:solidFill>
                </w14:textFill>
              </w:rPr>
              <w:t>.09</w:t>
            </w:r>
            <w:r>
              <w:rPr>
                <w:rFonts w:hint="default" w:ascii="Times New Roman" w:hAnsi="Times New Roman" w:eastAsia="宋体" w:cs="Times New Roman"/>
                <w:color w:val="000000" w:themeColor="text1"/>
                <w:kern w:val="2"/>
                <w:sz w:val="24"/>
                <w:szCs w:val="32"/>
                <w:highlight w:val="none"/>
                <w:vertAlign w:val="baseline"/>
                <w:lang w:val="en-US" w:eastAsia="zh-CN" w:bidi="ar"/>
                <w14:textFill>
                  <w14:solidFill>
                    <w14:schemeClr w14:val="tx1"/>
                  </w14:solidFill>
                </w14:textFill>
              </w:rPr>
              <w:t>t/h（对外</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提供9.5t/h的蒸汽</w:t>
            </w:r>
            <w:r>
              <w:rPr>
                <w:rFonts w:hint="default" w:ascii="Times New Roman" w:hAnsi="Times New Roman" w:eastAsia="宋体" w:cs="Times New Roman"/>
                <w:color w:val="000000" w:themeColor="text1"/>
                <w:kern w:val="2"/>
                <w:sz w:val="24"/>
                <w:szCs w:val="32"/>
                <w:highlight w:val="none"/>
                <w:vertAlign w:val="baseline"/>
                <w:lang w:val="en-US" w:eastAsia="zh-CN" w:bidi="ar"/>
                <w14:textFill>
                  <w14:solidFill>
                    <w14:schemeClr w14:val="tx1"/>
                  </w14:solidFill>
                </w14:textFill>
              </w:rPr>
              <w:t>），则余热锅炉需软水量为141242.4m</w:t>
            </w:r>
            <w:r>
              <w:rPr>
                <w:rFonts w:hint="default" w:ascii="Times New Roman" w:hAnsi="Times New Roman" w:eastAsia="宋体" w:cs="Times New Roman"/>
                <w:color w:val="000000" w:themeColor="text1"/>
                <w:kern w:val="2"/>
                <w:sz w:val="24"/>
                <w:szCs w:val="32"/>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2"/>
                <w:sz w:val="24"/>
                <w:szCs w:val="32"/>
                <w:highlight w:val="none"/>
                <w:vertAlign w:val="baseline"/>
                <w:lang w:val="en-US" w:eastAsia="zh-CN" w:bidi="ar"/>
                <w14:textFill>
                  <w14:solidFill>
                    <w14:schemeClr w14:val="tx1"/>
                  </w14:solidFill>
                </w14:textFill>
              </w:rPr>
              <w:t>/a，</w:t>
            </w:r>
            <w:r>
              <w:rPr>
                <w:rFonts w:hint="default" w:ascii="Times New Roman" w:hAnsi="Times New Roman" w:eastAsia="宋体" w:cs="Times New Roman"/>
                <w:color w:val="000000" w:themeColor="text1"/>
                <w:kern w:val="2"/>
                <w:sz w:val="24"/>
                <w:szCs w:val="32"/>
                <w:highlight w:val="none"/>
                <w:lang w:val="en-US" w:eastAsia="zh-CN" w:bidi="ar"/>
                <w14:textFill>
                  <w14:solidFill>
                    <w14:schemeClr w14:val="tx1"/>
                  </w14:solidFill>
                </w14:textFill>
              </w:rPr>
              <w:t>软水制水率为90%</w:t>
            </w:r>
            <w:r>
              <w:rPr>
                <w:rFonts w:hint="default" w:ascii="Times New Roman" w:hAnsi="Times New Roman" w:eastAsia="宋体" w:cs="Times New Roman"/>
                <w:color w:val="000000" w:themeColor="text1"/>
                <w:spacing w:val="-4"/>
                <w:sz w:val="24"/>
                <w:szCs w:val="32"/>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2"/>
                <w:sz w:val="24"/>
                <w:szCs w:val="32"/>
                <w:highlight w:val="none"/>
                <w:lang w:val="en-US" w:eastAsia="zh-CN" w:bidi="ar"/>
                <w14:textFill>
                  <w14:solidFill>
                    <w14:schemeClr w14:val="tx1"/>
                  </w14:solidFill>
                </w14:textFill>
              </w:rPr>
              <w:t>则</w:t>
            </w:r>
            <w:r>
              <w:rPr>
                <w:rFonts w:hint="default" w:ascii="Times New Roman" w:hAnsi="Times New Roman" w:eastAsia="宋体" w:cs="Times New Roman"/>
                <w:color w:val="000000" w:themeColor="text1"/>
                <w:sz w:val="24"/>
                <w:szCs w:val="32"/>
                <w:highlight w:val="none"/>
                <w:lang w:val="en-US" w:eastAsia="zh-CN"/>
                <w14:textFill>
                  <w14:solidFill>
                    <w14:schemeClr w14:val="tx1"/>
                  </w14:solidFill>
                </w14:textFill>
              </w:rPr>
              <w:t>软水制备补充</w:t>
            </w:r>
            <w:r>
              <w:rPr>
                <w:rFonts w:hint="default" w:ascii="Times New Roman" w:hAnsi="Times New Roman" w:eastAsia="宋体" w:cs="Times New Roman"/>
                <w:color w:val="000000" w:themeColor="text1"/>
                <w:sz w:val="24"/>
                <w:szCs w:val="32"/>
                <w:highlight w:val="none"/>
                <w14:textFill>
                  <w14:solidFill>
                    <w14:schemeClr w14:val="tx1"/>
                  </w14:solidFill>
                </w14:textFill>
              </w:rPr>
              <w:t>用</w:t>
            </w:r>
            <w:r>
              <w:rPr>
                <w:rFonts w:hint="default" w:ascii="Times New Roman" w:hAnsi="Times New Roman" w:eastAsia="宋体" w:cs="Times New Roman"/>
                <w:color w:val="000000" w:themeColor="text1"/>
                <w:kern w:val="2"/>
                <w:sz w:val="24"/>
                <w:szCs w:val="32"/>
                <w:highlight w:val="none"/>
                <w:lang w:val="en-US" w:eastAsia="zh-CN" w:bidi="ar"/>
                <w14:textFill>
                  <w14:solidFill>
                    <w14:schemeClr w14:val="tx1"/>
                  </w14:solidFill>
                </w14:textFill>
              </w:rPr>
              <w:t>原水</w:t>
            </w:r>
            <w:r>
              <w:rPr>
                <w:rFonts w:hint="default" w:ascii="Times New Roman" w:hAnsi="Times New Roman" w:eastAsia="宋体" w:cs="Times New Roman"/>
                <w:color w:val="000000" w:themeColor="text1"/>
                <w:sz w:val="24"/>
                <w:szCs w:val="32"/>
                <w:highlight w:val="none"/>
                <w14:textFill>
                  <w14:solidFill>
                    <w14:schemeClr w14:val="tx1"/>
                  </w14:solidFill>
                </w14:textFill>
              </w:rPr>
              <w:t>水量为</w:t>
            </w:r>
            <w:r>
              <w:rPr>
                <w:rFonts w:hint="default" w:ascii="Times New Roman" w:hAnsi="Times New Roman" w:eastAsia="宋体" w:cs="Times New Roman"/>
                <w:color w:val="000000" w:themeColor="text1"/>
                <w:sz w:val="24"/>
                <w:szCs w:val="32"/>
                <w:highlight w:val="none"/>
                <w:lang w:val="en-US" w:eastAsia="zh-CN"/>
                <w14:textFill>
                  <w14:solidFill>
                    <w14:schemeClr w14:val="tx1"/>
                  </w14:solidFill>
                </w14:textFill>
              </w:rPr>
              <w:t>523.12</w:t>
            </w:r>
            <w:r>
              <w:rPr>
                <w:rFonts w:hint="default" w:ascii="Times New Roman" w:hAnsi="Times New Roman" w:eastAsia="宋体" w:cs="Times New Roman"/>
                <w:color w:val="000000" w:themeColor="text1"/>
                <w:spacing w:val="-4"/>
                <w:sz w:val="24"/>
                <w:szCs w:val="32"/>
                <w:highlight w:val="none"/>
                <w14:textFill>
                  <w14:solidFill>
                    <w14:schemeClr w14:val="tx1"/>
                  </w14:solidFill>
                </w14:textFill>
              </w:rPr>
              <w:t>m</w:t>
            </w:r>
            <w:r>
              <w:rPr>
                <w:rFonts w:hint="default" w:ascii="Times New Roman" w:hAnsi="Times New Roman" w:eastAsia="宋体" w:cs="Times New Roman"/>
                <w:color w:val="000000" w:themeColor="text1"/>
                <w:spacing w:val="-4"/>
                <w:sz w:val="24"/>
                <w:szCs w:val="32"/>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pacing w:val="-4"/>
                <w:sz w:val="24"/>
                <w:szCs w:val="32"/>
                <w:highlight w:val="none"/>
                <w14:textFill>
                  <w14:solidFill>
                    <w14:schemeClr w14:val="tx1"/>
                  </w14:solidFill>
                </w14:textFill>
              </w:rPr>
              <w:t>/d（</w:t>
            </w:r>
            <w:r>
              <w:rPr>
                <w:rFonts w:hint="default" w:ascii="Times New Roman" w:hAnsi="Times New Roman" w:eastAsia="宋体" w:cs="Times New Roman"/>
                <w:color w:val="000000" w:themeColor="text1"/>
                <w:spacing w:val="-4"/>
                <w:sz w:val="24"/>
                <w:szCs w:val="32"/>
                <w:highlight w:val="none"/>
                <w:lang w:val="en-US" w:eastAsia="zh-CN"/>
                <w14:textFill>
                  <w14:solidFill>
                    <w14:schemeClr w14:val="tx1"/>
                  </w14:solidFill>
                </w14:textFill>
              </w:rPr>
              <w:t>156936</w:t>
            </w:r>
            <w:r>
              <w:rPr>
                <w:rFonts w:hint="default" w:ascii="Times New Roman" w:hAnsi="Times New Roman" w:eastAsia="宋体" w:cs="Times New Roman"/>
                <w:color w:val="000000" w:themeColor="text1"/>
                <w:spacing w:val="-4"/>
                <w:sz w:val="24"/>
                <w:szCs w:val="32"/>
                <w:highlight w:val="none"/>
                <w14:textFill>
                  <w14:solidFill>
                    <w14:schemeClr w14:val="tx1"/>
                  </w14:solidFill>
                </w14:textFill>
              </w:rPr>
              <w:t>m</w:t>
            </w:r>
            <w:r>
              <w:rPr>
                <w:rFonts w:hint="default" w:ascii="Times New Roman" w:hAnsi="Times New Roman" w:eastAsia="宋体" w:cs="Times New Roman"/>
                <w:color w:val="000000" w:themeColor="text1"/>
                <w:spacing w:val="-4"/>
                <w:sz w:val="24"/>
                <w:szCs w:val="32"/>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pacing w:val="-4"/>
                <w:sz w:val="24"/>
                <w:szCs w:val="32"/>
                <w:highlight w:val="none"/>
                <w14:textFill>
                  <w14:solidFill>
                    <w14:schemeClr w14:val="tx1"/>
                  </w14:solidFill>
                </w14:textFill>
              </w:rPr>
              <w:t>/a）。</w:t>
            </w:r>
          </w:p>
          <w:p w14:paraId="07031C9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14:textFill>
                  <w14:solidFill>
                    <w14:schemeClr w14:val="tx1"/>
                  </w14:solidFill>
                </w14:textFill>
              </w:rPr>
              <w:t>脱硫装置补充水</w:t>
            </w:r>
          </w:p>
          <w:p w14:paraId="52EF5E7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脱硫系统对水质要求不高，脱硫系统石灰浆制备可软水排水，脱硫系统使用含固量20%浆液的石灰石，脱硫剂用量为</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12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00t/a，则脱硫系统用水量为</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48</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00m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/a。脱硫工艺过程中，脱硫石膏带走一部分水，损耗一部分水，其余作为脱硫系统废水用于灰的调湿。脱硫石膏含水量按</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0%计，则脱硫石膏</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量为1243t/a，</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带走水量为</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124</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/a；脱硫系统烟气损失量为80%，损耗</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38</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40m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/a，排水量</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836</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/a。</w:t>
            </w:r>
          </w:p>
          <w:p w14:paraId="1052767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highlight w:val="none"/>
                <w14:textFill>
                  <w14:solidFill>
                    <w14:schemeClr w14:val="tx1"/>
                  </w14:solidFill>
                </w14:textFill>
              </w:rPr>
              <w:t>洒水抑尘用水</w:t>
            </w:r>
          </w:p>
          <w:p w14:paraId="384132B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本项目在</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道路扬尘</w:t>
            </w:r>
            <w:r>
              <w:rPr>
                <w:rFonts w:hint="default" w:ascii="Times New Roman" w:hAnsi="Times New Roman" w:eastAsia="宋体" w:cs="Times New Roman"/>
                <w:color w:val="000000" w:themeColor="text1"/>
                <w:sz w:val="24"/>
                <w:szCs w:val="24"/>
                <w:highlight w:val="none"/>
                <w14:textFill>
                  <w14:solidFill>
                    <w14:schemeClr w14:val="tx1"/>
                  </w14:solidFill>
                </w14:textFill>
              </w:rPr>
              <w:t>过程中配置洒水抑尘装置，抑尘</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洒</w:t>
            </w:r>
            <w:r>
              <w:rPr>
                <w:rFonts w:hint="default" w:ascii="Times New Roman" w:hAnsi="Times New Roman" w:eastAsia="宋体" w:cs="Times New Roman"/>
                <w:color w:val="000000" w:themeColor="text1"/>
                <w:sz w:val="24"/>
                <w:szCs w:val="24"/>
                <w:highlight w:val="none"/>
                <w14:textFill>
                  <w14:solidFill>
                    <w14:schemeClr w14:val="tx1"/>
                  </w14:solidFill>
                </w14:textFill>
              </w:rPr>
              <w:t>水量按照3L/t.物料计算，抑尘</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洒水</w:t>
            </w:r>
            <w:r>
              <w:rPr>
                <w:rFonts w:hint="default" w:ascii="Times New Roman" w:hAnsi="Times New Roman" w:eastAsia="宋体" w:cs="Times New Roman"/>
                <w:color w:val="000000" w:themeColor="text1"/>
                <w:sz w:val="24"/>
                <w:szCs w:val="24"/>
                <w:highlight w:val="none"/>
                <w14:textFill>
                  <w14:solidFill>
                    <w14:schemeClr w14:val="tx1"/>
                  </w14:solidFill>
                </w14:textFill>
              </w:rPr>
              <w:t>消耗量为6</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00</w:t>
            </w:r>
            <w:r>
              <w:rPr>
                <w:rFonts w:hint="default" w:ascii="Times New Roman" w:hAnsi="Times New Roman" w:eastAsia="宋体" w:cs="Times New Roman"/>
                <w:color w:val="000000" w:themeColor="text1"/>
                <w:sz w:val="24"/>
                <w:szCs w:val="24"/>
                <w:highlight w:val="none"/>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/a。</w:t>
            </w:r>
          </w:p>
          <w:p w14:paraId="6638A4A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本项目厂区运输量较大，除及时清扫道路，保持清洁外，需要定期进行</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洒水</w:t>
            </w:r>
            <w:r>
              <w:rPr>
                <w:rFonts w:hint="default" w:ascii="Times New Roman" w:hAnsi="Times New Roman" w:eastAsia="宋体" w:cs="Times New Roman"/>
                <w:color w:val="000000" w:themeColor="text1"/>
                <w:sz w:val="24"/>
                <w:szCs w:val="24"/>
                <w:highlight w:val="none"/>
                <w14:textFill>
                  <w14:solidFill>
                    <w14:schemeClr w14:val="tx1"/>
                  </w14:solidFill>
                </w14:textFill>
              </w:rPr>
              <w:t>。本项目物料在厂区内运输道路总长度为710m、道路宽度为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7</w:t>
            </w:r>
            <w:r>
              <w:rPr>
                <w:rFonts w:hint="default" w:ascii="Times New Roman" w:hAnsi="Times New Roman" w:eastAsia="宋体" w:cs="Times New Roman"/>
                <w:color w:val="000000" w:themeColor="text1"/>
                <w:sz w:val="24"/>
                <w:szCs w:val="24"/>
                <w:highlight w:val="none"/>
                <w14:textFill>
                  <w14:solidFill>
                    <w14:schemeClr w14:val="tx1"/>
                  </w14:solidFill>
                </w14:textFill>
              </w:rPr>
              <w:t>m，根据《内蒙古自治区行业用水定额标准》</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DB15/T385-2020</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中规定，“城市环境卫生管理-场地、道路喷洒”用水定额为2L</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d，则本项目运营期道路</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洒水</w:t>
            </w:r>
            <w:r>
              <w:rPr>
                <w:rFonts w:hint="default" w:ascii="Times New Roman" w:hAnsi="Times New Roman" w:eastAsia="宋体" w:cs="Times New Roman"/>
                <w:color w:val="000000" w:themeColor="text1"/>
                <w:sz w:val="24"/>
                <w:szCs w:val="24"/>
                <w:highlight w:val="none"/>
                <w14:textFill>
                  <w14:solidFill>
                    <w14:schemeClr w14:val="tx1"/>
                  </w14:solidFill>
                </w14:textFill>
              </w:rPr>
              <w:t>抑尘用水量为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2982</w:t>
            </w:r>
            <w:r>
              <w:rPr>
                <w:rFonts w:hint="default" w:ascii="Times New Roman" w:hAnsi="Times New Roman" w:eastAsia="宋体" w:cs="Times New Roman"/>
                <w:color w:val="000000" w:themeColor="text1"/>
                <w:sz w:val="24"/>
                <w:szCs w:val="24"/>
                <w:highlight w:val="none"/>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cs="Times New Roman"/>
                <w:color w:val="000000" w:themeColor="text1"/>
                <w:sz w:val="24"/>
                <w:szCs w:val="24"/>
                <w:highlight w:val="none"/>
                <w:vertAlign w:val="baseline"/>
                <w:lang w:val="en-US" w:eastAsia="zh-CN"/>
                <w14:textFill>
                  <w14:solidFill>
                    <w14:schemeClr w14:val="tx1"/>
                  </w14:solidFill>
                </w14:textFill>
              </w:rPr>
              <w:t>/a</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p>
          <w:p w14:paraId="764807D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综上，本项目运营期抑尘</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洒水</w:t>
            </w:r>
            <w:r>
              <w:rPr>
                <w:rFonts w:hint="default" w:ascii="Times New Roman" w:hAnsi="Times New Roman" w:eastAsia="宋体" w:cs="Times New Roman"/>
                <w:color w:val="000000" w:themeColor="text1"/>
                <w:sz w:val="24"/>
                <w:szCs w:val="24"/>
                <w:highlight w:val="none"/>
                <w14:textFill>
                  <w14:solidFill>
                    <w14:schemeClr w14:val="tx1"/>
                  </w14:solidFill>
                </w14:textFill>
              </w:rPr>
              <w:t>总量为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3582</w:t>
            </w:r>
            <w:r>
              <w:rPr>
                <w:rFonts w:hint="default" w:ascii="Times New Roman" w:hAnsi="Times New Roman" w:eastAsia="宋体" w:cs="Times New Roman"/>
                <w:color w:val="000000" w:themeColor="text1"/>
                <w:sz w:val="24"/>
                <w:szCs w:val="24"/>
                <w:highlight w:val="none"/>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/a</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p>
          <w:p w14:paraId="39A91EC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绿化用水</w:t>
            </w:r>
          </w:p>
          <w:p w14:paraId="59E3143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根据《内蒙古自治区行业用水定额》（DB15/T385-2020），绿化用水量1.1L</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．D），本项目绿化面积约</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00.0m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，全年绿化时间150天，绿化用水量为</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t/a。</w:t>
            </w:r>
          </w:p>
          <w:p w14:paraId="1F48530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（2）排水</w:t>
            </w:r>
          </w:p>
          <w:p w14:paraId="32EB3C1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1）生活污水</w:t>
            </w:r>
          </w:p>
          <w:p w14:paraId="71C0A62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sz w:val="24"/>
                <w:szCs w:val="24"/>
                <w:highlight w:val="none"/>
                <w14:textFill>
                  <w14:solidFill>
                    <w14:schemeClr w14:val="tx1"/>
                  </w14:solidFill>
                </w14:textFill>
              </w:rPr>
              <w:t>本项目</w:t>
            </w:r>
            <w:r>
              <w:rPr>
                <w:rFonts w:hint="default" w:ascii="Times New Roman" w:hAnsi="Times New Roman" w:eastAsia="宋体" w:cs="Times New Roman"/>
                <w:color w:val="000000" w:themeColor="text1"/>
                <w:sz w:val="24"/>
                <w:szCs w:val="24"/>
                <w:highlight w:val="none"/>
                <w14:textFill>
                  <w14:solidFill>
                    <w14:schemeClr w14:val="tx1"/>
                  </w14:solidFill>
                </w14:textFill>
              </w:rPr>
              <w:t>生活污水产生系数按80%计算，本项目生活污水产生量为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504</w:t>
            </w:r>
            <w:r>
              <w:rPr>
                <w:rFonts w:hint="default" w:ascii="Times New Roman" w:hAnsi="Times New Roman" w:eastAsia="宋体" w:cs="Times New Roman"/>
                <w:bCs/>
                <w:color w:val="000000" w:themeColor="text1"/>
                <w:sz w:val="24"/>
                <w:szCs w:val="24"/>
                <w:highlight w:val="none"/>
                <w14:textFill>
                  <w14:solidFill>
                    <w14:schemeClr w14:val="tx1"/>
                  </w14:solidFill>
                </w14:textFill>
              </w:rPr>
              <w:t>m</w:t>
            </w:r>
            <w:r>
              <w:rPr>
                <w:rFonts w:hint="default" w:ascii="Times New Roman" w:hAnsi="Times New Roman" w:eastAsia="宋体" w:cs="Times New Roman"/>
                <w:bCs/>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bCs/>
                <w:color w:val="000000" w:themeColor="text1"/>
                <w:sz w:val="24"/>
                <w:szCs w:val="24"/>
                <w:highlight w:val="none"/>
                <w14:textFill>
                  <w14:solidFill>
                    <w14:schemeClr w14:val="tx1"/>
                  </w14:solidFill>
                </w14:textFill>
              </w:rPr>
              <w:t>/a，</w:t>
            </w:r>
            <w:r>
              <w:rPr>
                <w:rFonts w:hint="default" w:ascii="Times New Roman" w:hAnsi="Times New Roman" w:eastAsia="宋体" w:cs="Times New Roman"/>
                <w:color w:val="000000" w:themeColor="text1"/>
                <w:sz w:val="24"/>
                <w:szCs w:val="24"/>
                <w:highlight w:val="none"/>
                <w14:textFill>
                  <w14:solidFill>
                    <w14:schemeClr w14:val="tx1"/>
                  </w14:solidFill>
                </w14:textFill>
              </w:rPr>
              <w:t>由</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防渗</w:t>
            </w:r>
            <w:r>
              <w:rPr>
                <w:rFonts w:hint="default" w:ascii="Times New Roman" w:hAnsi="Times New Roman" w:eastAsia="宋体" w:cs="Times New Roman"/>
                <w:color w:val="000000" w:themeColor="text1"/>
                <w:sz w:val="24"/>
                <w:szCs w:val="24"/>
                <w:highlight w:val="none"/>
                <w14:textFill>
                  <w14:solidFill>
                    <w14:schemeClr w14:val="tx1"/>
                  </w14:solidFill>
                </w14:textFill>
              </w:rPr>
              <w:t>化粪池收集后通过</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罐车拉运</w:t>
            </w:r>
            <w:r>
              <w:rPr>
                <w:rFonts w:hint="default" w:ascii="Times New Roman" w:hAnsi="Times New Roman" w:eastAsia="宋体" w:cs="Times New Roman"/>
                <w:color w:val="000000" w:themeColor="text1"/>
                <w:sz w:val="24"/>
                <w:szCs w:val="24"/>
                <w:highlight w:val="none"/>
                <w14:textFill>
                  <w14:solidFill>
                    <w14:schemeClr w14:val="tx1"/>
                  </w14:solidFill>
                </w14:textFill>
              </w:rPr>
              <w:t>园区污水处理厂。</w:t>
            </w:r>
          </w:p>
          <w:p w14:paraId="35EE40B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2）软水制备排水</w:t>
            </w:r>
          </w:p>
          <w:p w14:paraId="694B27D3">
            <w:pPr>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 w:val="24"/>
                <w:szCs w:val="32"/>
                <w:highlight w:val="none"/>
                <w:lang w:val="en-US" w:eastAsia="zh-CN" w:bidi="ar"/>
                <w14:textFill>
                  <w14:solidFill>
                    <w14:schemeClr w14:val="tx1"/>
                  </w14:solidFill>
                </w14:textFill>
              </w:rPr>
              <w:t>根据项目用水情况</w:t>
            </w:r>
            <w:r>
              <w:rPr>
                <w:rFonts w:hint="default" w:ascii="Times New Roman" w:hAnsi="Times New Roman" w:eastAsia="宋体" w:cs="Times New Roman"/>
                <w:color w:val="000000" w:themeColor="text1"/>
                <w:sz w:val="24"/>
                <w:szCs w:val="32"/>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kern w:val="2"/>
                <w:sz w:val="24"/>
                <w:szCs w:val="32"/>
                <w:highlight w:val="none"/>
                <w:vertAlign w:val="baseline"/>
                <w:lang w:val="en-US" w:eastAsia="zh-CN" w:bidi="ar"/>
                <w14:textFill>
                  <w14:solidFill>
                    <w14:schemeClr w14:val="tx1"/>
                  </w14:solidFill>
                </w14:textFill>
              </w:rPr>
              <w:t>余热锅炉需软水量为141242.4m</w:t>
            </w:r>
            <w:r>
              <w:rPr>
                <w:rFonts w:hint="default" w:ascii="Times New Roman" w:hAnsi="Times New Roman" w:eastAsia="宋体" w:cs="Times New Roman"/>
                <w:color w:val="000000" w:themeColor="text1"/>
                <w:kern w:val="2"/>
                <w:sz w:val="24"/>
                <w:szCs w:val="32"/>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2"/>
                <w:sz w:val="24"/>
                <w:szCs w:val="32"/>
                <w:highlight w:val="none"/>
                <w:vertAlign w:val="baseline"/>
                <w:lang w:val="en-US" w:eastAsia="zh-CN" w:bidi="ar"/>
                <w14:textFill>
                  <w14:solidFill>
                    <w14:schemeClr w14:val="tx1"/>
                  </w14:solidFill>
                </w14:textFill>
              </w:rPr>
              <w:t>/a，</w:t>
            </w:r>
            <w:r>
              <w:rPr>
                <w:rFonts w:hint="default" w:ascii="Times New Roman" w:hAnsi="Times New Roman" w:eastAsia="宋体" w:cs="Times New Roman"/>
                <w:color w:val="000000" w:themeColor="text1"/>
                <w:kern w:val="2"/>
                <w:sz w:val="24"/>
                <w:szCs w:val="32"/>
                <w:highlight w:val="none"/>
                <w:lang w:val="en-US" w:eastAsia="zh-CN" w:bidi="ar"/>
                <w14:textFill>
                  <w14:solidFill>
                    <w14:schemeClr w14:val="tx1"/>
                  </w14:solidFill>
                </w14:textFill>
              </w:rPr>
              <w:t>软水制水率为90%</w:t>
            </w:r>
            <w:r>
              <w:rPr>
                <w:rFonts w:hint="default" w:ascii="Times New Roman" w:hAnsi="Times New Roman" w:eastAsia="宋体" w:cs="Times New Roman"/>
                <w:color w:val="000000" w:themeColor="text1"/>
                <w:spacing w:val="-4"/>
                <w:sz w:val="24"/>
                <w:szCs w:val="32"/>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2"/>
                <w:sz w:val="24"/>
                <w:szCs w:val="32"/>
                <w:highlight w:val="none"/>
                <w:lang w:val="en-US" w:eastAsia="zh-CN" w:bidi="ar"/>
                <w14:textFill>
                  <w14:solidFill>
                    <w14:schemeClr w14:val="tx1"/>
                  </w14:solidFill>
                </w14:textFill>
              </w:rPr>
              <w:t>则</w:t>
            </w:r>
            <w:r>
              <w:rPr>
                <w:rFonts w:hint="default" w:ascii="Times New Roman" w:hAnsi="Times New Roman" w:eastAsia="宋体" w:cs="Times New Roman"/>
                <w:color w:val="000000" w:themeColor="text1"/>
                <w:sz w:val="24"/>
                <w:szCs w:val="32"/>
                <w:highlight w:val="none"/>
                <w:lang w:val="en-US" w:eastAsia="zh-CN"/>
                <w14:textFill>
                  <w14:solidFill>
                    <w14:schemeClr w14:val="tx1"/>
                  </w14:solidFill>
                </w14:textFill>
              </w:rPr>
              <w:t>软水制备排水</w:t>
            </w:r>
            <w:r>
              <w:rPr>
                <w:rFonts w:hint="default" w:ascii="Times New Roman" w:hAnsi="Times New Roman" w:eastAsia="宋体" w:cs="Times New Roman"/>
                <w:color w:val="000000" w:themeColor="text1"/>
                <w:sz w:val="24"/>
                <w:szCs w:val="32"/>
                <w:highlight w:val="none"/>
                <w14:textFill>
                  <w14:solidFill>
                    <w14:schemeClr w14:val="tx1"/>
                  </w14:solidFill>
                </w14:textFill>
              </w:rPr>
              <w:t>量为</w:t>
            </w:r>
            <w:r>
              <w:rPr>
                <w:rFonts w:hint="default" w:ascii="Times New Roman" w:hAnsi="Times New Roman" w:eastAsia="宋体" w:cs="Times New Roman"/>
                <w:color w:val="000000" w:themeColor="text1"/>
                <w:sz w:val="24"/>
                <w:szCs w:val="32"/>
                <w:highlight w:val="none"/>
                <w:lang w:val="en-US" w:eastAsia="zh-CN"/>
                <w14:textFill>
                  <w14:solidFill>
                    <w14:schemeClr w14:val="tx1"/>
                  </w14:solidFill>
                </w14:textFill>
              </w:rPr>
              <w:t>52.31</w:t>
            </w:r>
            <w:r>
              <w:rPr>
                <w:rFonts w:hint="default" w:ascii="Times New Roman" w:hAnsi="Times New Roman" w:eastAsia="宋体" w:cs="Times New Roman"/>
                <w:color w:val="000000" w:themeColor="text1"/>
                <w:spacing w:val="-4"/>
                <w:sz w:val="24"/>
                <w:szCs w:val="32"/>
                <w:highlight w:val="none"/>
                <w14:textFill>
                  <w14:solidFill>
                    <w14:schemeClr w14:val="tx1"/>
                  </w14:solidFill>
                </w14:textFill>
              </w:rPr>
              <w:t>m</w:t>
            </w:r>
            <w:r>
              <w:rPr>
                <w:rFonts w:hint="default" w:ascii="Times New Roman" w:hAnsi="Times New Roman" w:eastAsia="宋体" w:cs="Times New Roman"/>
                <w:color w:val="000000" w:themeColor="text1"/>
                <w:spacing w:val="-4"/>
                <w:sz w:val="24"/>
                <w:szCs w:val="32"/>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pacing w:val="-4"/>
                <w:sz w:val="24"/>
                <w:szCs w:val="32"/>
                <w:highlight w:val="none"/>
                <w14:textFill>
                  <w14:solidFill>
                    <w14:schemeClr w14:val="tx1"/>
                  </w14:solidFill>
                </w14:textFill>
              </w:rPr>
              <w:t>/d（</w:t>
            </w:r>
            <w:r>
              <w:rPr>
                <w:rFonts w:hint="default" w:ascii="Times New Roman" w:hAnsi="Times New Roman" w:eastAsia="宋体" w:cs="Times New Roman"/>
                <w:color w:val="000000" w:themeColor="text1"/>
                <w:spacing w:val="-4"/>
                <w:sz w:val="24"/>
                <w:szCs w:val="32"/>
                <w:highlight w:val="none"/>
                <w:lang w:val="en-US" w:eastAsia="zh-CN"/>
                <w14:textFill>
                  <w14:solidFill>
                    <w14:schemeClr w14:val="tx1"/>
                  </w14:solidFill>
                </w14:textFill>
              </w:rPr>
              <w:t>15693.6</w:t>
            </w:r>
            <w:r>
              <w:rPr>
                <w:rFonts w:hint="default" w:ascii="Times New Roman" w:hAnsi="Times New Roman" w:eastAsia="宋体" w:cs="Times New Roman"/>
                <w:color w:val="000000" w:themeColor="text1"/>
                <w:spacing w:val="-4"/>
                <w:sz w:val="24"/>
                <w:szCs w:val="32"/>
                <w:highlight w:val="none"/>
                <w14:textFill>
                  <w14:solidFill>
                    <w14:schemeClr w14:val="tx1"/>
                  </w14:solidFill>
                </w14:textFill>
              </w:rPr>
              <w:t>m</w:t>
            </w:r>
            <w:r>
              <w:rPr>
                <w:rFonts w:hint="default" w:ascii="Times New Roman" w:hAnsi="Times New Roman" w:eastAsia="宋体" w:cs="Times New Roman"/>
                <w:color w:val="000000" w:themeColor="text1"/>
                <w:spacing w:val="-4"/>
                <w:sz w:val="24"/>
                <w:szCs w:val="32"/>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pacing w:val="-4"/>
                <w:sz w:val="24"/>
                <w:szCs w:val="32"/>
                <w:highlight w:val="none"/>
                <w14:textFill>
                  <w14:solidFill>
                    <w14:schemeClr w14:val="tx1"/>
                  </w14:solidFill>
                </w14:textFill>
              </w:rPr>
              <w:t>/a）</w:t>
            </w:r>
            <w:r>
              <w:rPr>
                <w:rFonts w:hint="default" w:ascii="Times New Roman" w:hAnsi="Times New Roman" w:eastAsia="宋体" w:cs="Times New Roman"/>
                <w:color w:val="000000" w:themeColor="text1"/>
                <w:spacing w:val="-4"/>
                <w:sz w:val="24"/>
                <w:szCs w:val="32"/>
                <w:highlight w:val="none"/>
                <w:lang w:val="en-US" w:eastAsia="zh-CN"/>
                <w14:textFill>
                  <w14:solidFill>
                    <w14:schemeClr w14:val="tx1"/>
                  </w14:solidFill>
                </w14:textFill>
              </w:rPr>
              <w:t>，通过罐车拉运至污水处理厂。</w:t>
            </w:r>
          </w:p>
          <w:p w14:paraId="64BF3B4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3）锅炉排污水</w:t>
            </w:r>
          </w:p>
          <w:p w14:paraId="32C3AA1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 w:val="24"/>
                <w:szCs w:val="32"/>
                <w:highlight w:val="none"/>
                <w:vertAlign w:val="baseline"/>
                <w:lang w:val="en-US" w:eastAsia="zh-CN" w:bidi="ar"/>
                <w14:textFill>
                  <w14:solidFill>
                    <w14:schemeClr w14:val="tx1"/>
                  </w14:solidFill>
                </w14:textFill>
              </w:rPr>
              <w:t>余热锅炉需软水量为141242.4m</w:t>
            </w:r>
            <w:r>
              <w:rPr>
                <w:rFonts w:hint="default" w:ascii="Times New Roman" w:hAnsi="Times New Roman" w:eastAsia="宋体" w:cs="Times New Roman"/>
                <w:color w:val="000000" w:themeColor="text1"/>
                <w:kern w:val="2"/>
                <w:sz w:val="24"/>
                <w:szCs w:val="32"/>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2"/>
                <w:sz w:val="24"/>
                <w:szCs w:val="32"/>
                <w:highlight w:val="none"/>
                <w:vertAlign w:val="baseline"/>
                <w:lang w:val="en-US" w:eastAsia="zh-CN" w:bidi="ar"/>
                <w14:textFill>
                  <w14:solidFill>
                    <w14:schemeClr w14:val="tx1"/>
                  </w14:solidFill>
                </w14:textFill>
              </w:rPr>
              <w:t>/a，</w:t>
            </w:r>
            <w:r>
              <w:rPr>
                <w:rFonts w:hint="default" w:ascii="Times New Roman" w:hAnsi="Times New Roman" w:eastAsia="宋体" w:cs="Times New Roman"/>
                <w:color w:val="000000" w:themeColor="text1"/>
                <w:kern w:val="2"/>
                <w:sz w:val="24"/>
                <w:szCs w:val="32"/>
                <w:highlight w:val="none"/>
                <w:lang w:bidi="ar"/>
                <w14:textFill>
                  <w14:solidFill>
                    <w14:schemeClr w14:val="tx1"/>
                  </w14:solidFill>
                </w14:textFill>
              </w:rPr>
              <w:t>项目</w:t>
            </w:r>
            <w:r>
              <w:rPr>
                <w:rFonts w:hint="default" w:ascii="Times New Roman" w:hAnsi="Times New Roman" w:eastAsia="宋体" w:cs="Times New Roman"/>
                <w:color w:val="000000" w:themeColor="text1"/>
                <w:kern w:val="2"/>
                <w:sz w:val="24"/>
                <w:szCs w:val="32"/>
                <w:highlight w:val="none"/>
                <w:lang w:val="en-US" w:eastAsia="zh-CN" w:bidi="ar"/>
                <w14:textFill>
                  <w14:solidFill>
                    <w14:schemeClr w14:val="tx1"/>
                  </w14:solidFill>
                </w14:textFill>
              </w:rPr>
              <w:t>余热锅炉</w:t>
            </w:r>
            <w:r>
              <w:rPr>
                <w:rFonts w:hint="default" w:ascii="Times New Roman" w:hAnsi="Times New Roman" w:eastAsia="宋体" w:cs="Times New Roman"/>
                <w:color w:val="000000" w:themeColor="text1"/>
                <w:sz w:val="24"/>
                <w:szCs w:val="32"/>
                <w:highlight w:val="none"/>
                <w:lang w:val="en-US" w:eastAsia="zh-CN"/>
                <w14:textFill>
                  <w14:solidFill>
                    <w14:schemeClr w14:val="tx1"/>
                  </w14:solidFill>
                </w14:textFill>
              </w:rPr>
              <w:t>的排污</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水量</w:t>
            </w:r>
            <w:r>
              <w:rPr>
                <w:rFonts w:hint="default" w:ascii="Times New Roman" w:hAnsi="Times New Roman" w:eastAsia="宋体" w:cs="Times New Roman"/>
                <w:color w:val="000000" w:themeColor="text1"/>
                <w:sz w:val="24"/>
                <w:szCs w:val="32"/>
                <w:highlight w:val="none"/>
                <w:lang w:val="en-US" w:eastAsia="zh-CN"/>
                <w14:textFill>
                  <w14:solidFill>
                    <w14:schemeClr w14:val="tx1"/>
                  </w14:solidFill>
                </w14:textFill>
              </w:rPr>
              <w:t>为15</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.09</w:t>
            </w:r>
            <w:r>
              <w:rPr>
                <w:rFonts w:hint="default" w:ascii="Times New Roman" w:hAnsi="Times New Roman" w:eastAsia="宋体" w:cs="Times New Roman"/>
                <w:color w:val="000000" w:themeColor="text1"/>
                <w:sz w:val="24"/>
                <w:szCs w:val="32"/>
                <w:highlight w:val="none"/>
                <w:lang w:val="en-US" w:eastAsia="zh-CN"/>
                <w14:textFill>
                  <w14:solidFill>
                    <w14:schemeClr w14:val="tx1"/>
                  </w14:solidFill>
                </w14:textFill>
              </w:rPr>
              <w:t>t/h的5%，则排污水量为</w:t>
            </w:r>
            <w:r>
              <w:rPr>
                <w:rFonts w:hint="default" w:ascii="Times New Roman" w:hAnsi="Times New Roman" w:eastAsia="宋体" w:cs="Times New Roman"/>
                <w:color w:val="000000" w:themeColor="text1"/>
                <w:spacing w:val="-4"/>
                <w:sz w:val="24"/>
                <w:szCs w:val="32"/>
                <w:highlight w:val="none"/>
                <w:lang w:val="en-US" w:eastAsia="zh-CN"/>
                <w14:textFill>
                  <w14:solidFill>
                    <w14:schemeClr w14:val="tx1"/>
                  </w14:solidFill>
                </w14:textFill>
              </w:rPr>
              <w:t>5432.4</w:t>
            </w:r>
            <w:r>
              <w:rPr>
                <w:rFonts w:hint="default" w:ascii="Times New Roman" w:hAnsi="Times New Roman" w:eastAsia="宋体" w:cs="Times New Roman"/>
                <w:color w:val="000000" w:themeColor="text1"/>
                <w:spacing w:val="-4"/>
                <w:sz w:val="24"/>
                <w:szCs w:val="32"/>
                <w:highlight w:val="none"/>
                <w14:textFill>
                  <w14:solidFill>
                    <w14:schemeClr w14:val="tx1"/>
                  </w14:solidFill>
                </w14:textFill>
              </w:rPr>
              <w:t>m</w:t>
            </w:r>
            <w:r>
              <w:rPr>
                <w:rFonts w:hint="default" w:ascii="Times New Roman" w:hAnsi="Times New Roman" w:eastAsia="宋体" w:cs="Times New Roman"/>
                <w:color w:val="000000" w:themeColor="text1"/>
                <w:spacing w:val="-4"/>
                <w:sz w:val="24"/>
                <w:szCs w:val="32"/>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pacing w:val="-4"/>
                <w:sz w:val="24"/>
                <w:szCs w:val="32"/>
                <w:highlight w:val="none"/>
                <w14:textFill>
                  <w14:solidFill>
                    <w14:schemeClr w14:val="tx1"/>
                  </w14:solidFill>
                </w14:textFill>
              </w:rPr>
              <w:t>/a</w:t>
            </w:r>
            <w:r>
              <w:rPr>
                <w:rFonts w:hint="default" w:ascii="Times New Roman" w:hAnsi="Times New Roman" w:cs="Times New Roman"/>
                <w:color w:val="000000" w:themeColor="text1"/>
                <w:spacing w:val="-4"/>
                <w:sz w:val="24"/>
                <w:szCs w:val="32"/>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4"/>
                <w:sz w:val="24"/>
                <w:szCs w:val="32"/>
                <w:highlight w:val="none"/>
                <w:lang w:val="en-US" w:eastAsia="zh-CN"/>
                <w14:textFill>
                  <w14:solidFill>
                    <w14:schemeClr w14:val="tx1"/>
                  </w14:solidFill>
                </w14:textFill>
              </w:rPr>
              <w:t>通过罐车拉运至污水处理厂</w:t>
            </w:r>
            <w:r>
              <w:rPr>
                <w:rFonts w:hint="default" w:ascii="Times New Roman" w:hAnsi="Times New Roman" w:cs="Times New Roman"/>
                <w:color w:val="000000" w:themeColor="text1"/>
                <w:spacing w:val="-4"/>
                <w:sz w:val="24"/>
                <w:szCs w:val="32"/>
                <w:highlight w:val="none"/>
                <w:lang w:val="en-US" w:eastAsia="zh-CN"/>
                <w14:textFill>
                  <w14:solidFill>
                    <w14:schemeClr w14:val="tx1"/>
                  </w14:solidFill>
                </w14:textFill>
              </w:rPr>
              <w:t>。</w:t>
            </w:r>
          </w:p>
          <w:p w14:paraId="0FBFB41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4）脱硫废水</w:t>
            </w:r>
          </w:p>
          <w:p w14:paraId="39AA352F">
            <w:pPr>
              <w:spacing w:line="360" w:lineRule="auto"/>
              <w:ind w:firstLine="480" w:firstLineChars="200"/>
              <w:rPr>
                <w:rFonts w:hint="default" w:ascii="Times New Roman" w:hAnsi="Times New Roman" w:eastAsia="宋体" w:cs="Times New Roman"/>
                <w:color w:val="000000" w:themeColor="text1"/>
                <w:kern w:val="2"/>
                <w:sz w:val="24"/>
                <w:szCs w:val="32"/>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2"/>
                <w:sz w:val="24"/>
                <w:szCs w:val="32"/>
                <w:highlight w:val="none"/>
                <w:lang w:val="en-US" w:eastAsia="zh-CN" w:bidi="ar"/>
                <w14:textFill>
                  <w14:solidFill>
                    <w14:schemeClr w14:val="tx1"/>
                  </w14:solidFill>
                </w14:textFill>
              </w:rPr>
              <w:t>本期工程石灰石—石膏湿法烟气脱硫系统运行时，在石灰石制浆过程及石膏脱水等过程中，产生的脱硫废水，主要污染物为pH、盐类及金属类，脱硫系统中设置专用脱硫废水处理设施（三联箱处理），处理后的脱硫废水，</w:t>
            </w:r>
            <w:r>
              <w:rPr>
                <w:rFonts w:hint="default" w:ascii="Times New Roman" w:hAnsi="Times New Roman" w:eastAsia="宋体" w:cs="Times New Roman"/>
                <w:color w:val="000000" w:themeColor="text1"/>
                <w:spacing w:val="-4"/>
                <w:sz w:val="24"/>
                <w:szCs w:val="32"/>
                <w:highlight w:val="none"/>
                <w:lang w:val="en-US" w:eastAsia="zh-CN"/>
                <w14:textFill>
                  <w14:solidFill>
                    <w14:schemeClr w14:val="tx1"/>
                  </w14:solidFill>
                </w14:textFill>
              </w:rPr>
              <w:t>通过罐车拉运至污水处理厂</w:t>
            </w:r>
            <w:r>
              <w:rPr>
                <w:rFonts w:hint="default" w:ascii="Times New Roman" w:hAnsi="Times New Roman" w:eastAsia="宋体" w:cs="Times New Roman"/>
                <w:color w:val="000000" w:themeColor="text1"/>
                <w:kern w:val="2"/>
                <w:sz w:val="24"/>
                <w:szCs w:val="32"/>
                <w:highlight w:val="none"/>
                <w:lang w:val="en-US" w:eastAsia="zh-CN" w:bidi="ar"/>
                <w14:textFill>
                  <w14:solidFill>
                    <w14:schemeClr w14:val="tx1"/>
                  </w14:solidFill>
                </w14:textFill>
              </w:rPr>
              <w:t>。</w:t>
            </w:r>
          </w:p>
          <w:p w14:paraId="4548C2B6">
            <w:pPr>
              <w:pStyle w:val="9"/>
              <w:spacing w:after="0" w:line="360" w:lineRule="auto"/>
              <w:ind w:left="0" w:leftChars="0" w:firstLine="480" w:firstLineChars="200"/>
              <w:rPr>
                <w:rFonts w:hint="default" w:ascii="Times New Roman" w:hAnsi="Times New Roman" w:eastAsia="宋体" w:cs="Times New Roman"/>
                <w:bCs/>
                <w:color w:val="000000" w:themeColor="text1"/>
                <w:szCs w:val="24"/>
                <w:highlight w:val="none"/>
                <w14:textFill>
                  <w14:solidFill>
                    <w14:schemeClr w14:val="tx1"/>
                  </w14:solidFill>
                </w14:textFill>
              </w:rPr>
            </w:pPr>
            <w:r>
              <w:rPr>
                <w:rFonts w:hint="default" w:ascii="Times New Roman" w:hAnsi="Times New Roman" w:cs="Times New Roman"/>
                <w:bCs/>
                <w:color w:val="000000" w:themeColor="text1"/>
                <w:szCs w:val="24"/>
                <w:highlight w:val="none"/>
                <w:lang w:val="en-US" w:eastAsia="zh-CN"/>
                <w14:textFill>
                  <w14:solidFill>
                    <w14:schemeClr w14:val="tx1"/>
                  </w14:solidFill>
                </w14:textFill>
              </w:rPr>
              <w:t>5）</w:t>
            </w:r>
            <w:r>
              <w:rPr>
                <w:rFonts w:hint="default" w:ascii="Times New Roman" w:hAnsi="Times New Roman" w:eastAsia="宋体" w:cs="Times New Roman"/>
                <w:bCs/>
                <w:color w:val="000000" w:themeColor="text1"/>
                <w:szCs w:val="24"/>
                <w:highlight w:val="none"/>
                <w:lang w:val="en-US" w:eastAsia="zh-CN"/>
                <w14:textFill>
                  <w14:solidFill>
                    <w14:schemeClr w14:val="tx1"/>
                  </w14:solidFill>
                </w14:textFill>
              </w:rPr>
              <w:t>冷却系统</w:t>
            </w:r>
            <w:r>
              <w:rPr>
                <w:rFonts w:hint="default" w:ascii="Times New Roman" w:hAnsi="Times New Roman" w:cs="Times New Roman"/>
                <w:bCs/>
                <w:color w:val="000000" w:themeColor="text1"/>
                <w:szCs w:val="24"/>
                <w:highlight w:val="none"/>
                <w:lang w:val="en-US" w:eastAsia="zh-CN"/>
                <w14:textFill>
                  <w14:solidFill>
                    <w14:schemeClr w14:val="tx1"/>
                  </w14:solidFill>
                </w14:textFill>
              </w:rPr>
              <w:t>排</w:t>
            </w:r>
            <w:r>
              <w:rPr>
                <w:rFonts w:hint="default" w:ascii="Times New Roman" w:hAnsi="Times New Roman" w:eastAsia="宋体" w:cs="Times New Roman"/>
                <w:bCs/>
                <w:color w:val="000000" w:themeColor="text1"/>
                <w:szCs w:val="24"/>
                <w:highlight w:val="none"/>
                <w14:textFill>
                  <w14:solidFill>
                    <w14:schemeClr w14:val="tx1"/>
                  </w14:solidFill>
                </w14:textFill>
              </w:rPr>
              <w:t>水</w:t>
            </w:r>
          </w:p>
          <w:p w14:paraId="4C9DC305">
            <w:pPr>
              <w:pStyle w:val="9"/>
              <w:spacing w:after="0" w:line="360" w:lineRule="auto"/>
              <w:ind w:left="0" w:leftChars="0" w:firstLine="480" w:firstLineChars="20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bCs/>
                <w:color w:val="000000" w:themeColor="text1"/>
                <w:szCs w:val="24"/>
                <w:highlight w:val="none"/>
                <w:lang w:val="en-US" w:eastAsia="en-US"/>
                <w14:textFill>
                  <w14:solidFill>
                    <w14:schemeClr w14:val="tx1"/>
                  </w14:solidFill>
                </w14:textFill>
              </w:rPr>
              <w:t>本项目</w:t>
            </w:r>
            <w:r>
              <w:rPr>
                <w:rFonts w:hint="default" w:ascii="Times New Roman" w:hAnsi="Times New Roman" w:eastAsia="宋体" w:cs="Times New Roman"/>
                <w:bCs/>
                <w:color w:val="000000" w:themeColor="text1"/>
                <w:sz w:val="24"/>
                <w:szCs w:val="24"/>
                <w:highlight w:val="none"/>
                <w:lang w:val="en-US" w:eastAsia="en-US"/>
                <w14:textFill>
                  <w14:solidFill>
                    <w14:schemeClr w14:val="tx1"/>
                  </w14:solidFill>
                </w14:textFill>
              </w:rPr>
              <w:t>设备冷却循环水</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排水</w:t>
            </w:r>
            <w:r>
              <w:rPr>
                <w:rFonts w:hint="default" w:ascii="Times New Roman" w:hAnsi="Times New Roman" w:eastAsia="宋体" w:cs="Times New Roman"/>
                <w:color w:val="000000" w:themeColor="text1"/>
                <w:spacing w:val="-4"/>
                <w:sz w:val="24"/>
                <w:szCs w:val="32"/>
                <w:highlight w:val="none"/>
                <w:lang w:val="en-US" w:eastAsia="zh-CN"/>
                <w14:textFill>
                  <w14:solidFill>
                    <w14:schemeClr w14:val="tx1"/>
                  </w14:solidFill>
                </w14:textFill>
              </w:rPr>
              <w:t>通过罐车拉运至污水处理厂</w:t>
            </w:r>
            <w:r>
              <w:rPr>
                <w:rFonts w:hint="default" w:ascii="Times New Roman" w:hAnsi="Times New Roman" w:cs="Times New Roman"/>
                <w:color w:val="000000" w:themeColor="text1"/>
                <w:spacing w:val="-4"/>
                <w:sz w:val="24"/>
                <w:szCs w:val="32"/>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项目水平衡一览表见</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下</w:t>
            </w:r>
            <w:r>
              <w:rPr>
                <w:rFonts w:hint="default" w:ascii="Times New Roman" w:hAnsi="Times New Roman" w:eastAsia="宋体" w:cs="Times New Roman"/>
                <w:color w:val="000000" w:themeColor="text1"/>
                <w:sz w:val="24"/>
                <w:highlight w:val="none"/>
                <w14:textFill>
                  <w14:solidFill>
                    <w14:schemeClr w14:val="tx1"/>
                  </w14:solidFill>
                </w14:textFill>
              </w:rPr>
              <w:t>表，本项目水平衡见</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下</w:t>
            </w:r>
            <w:r>
              <w:rPr>
                <w:rFonts w:hint="default" w:ascii="Times New Roman" w:hAnsi="Times New Roman" w:eastAsia="宋体" w:cs="Times New Roman"/>
                <w:color w:val="000000" w:themeColor="text1"/>
                <w:sz w:val="24"/>
                <w:highlight w:val="none"/>
                <w14:textFill>
                  <w14:solidFill>
                    <w14:schemeClr w14:val="tx1"/>
                  </w14:solidFill>
                </w14:textFill>
              </w:rPr>
              <w:t>图。</w:t>
            </w:r>
          </w:p>
          <w:p w14:paraId="6D76054C">
            <w:pPr>
              <w:keepNext/>
              <w:keepLines/>
              <w:snapToGrid w:val="0"/>
              <w:ind w:firstLine="482" w:firstLineChars="200"/>
              <w:jc w:val="center"/>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表</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2-2</w:t>
            </w:r>
            <w:r>
              <w:rPr>
                <w:rFonts w:hint="default" w:ascii="Times New Roman" w:hAnsi="Times New Roman" w:cs="Times New Roman"/>
                <w:b/>
                <w:bCs/>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项目水平衡一览表</w:t>
            </w:r>
          </w:p>
          <w:tbl>
            <w:tblPr>
              <w:tblStyle w:val="2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8"/>
              <w:gridCol w:w="1334"/>
              <w:gridCol w:w="1210"/>
              <w:gridCol w:w="1210"/>
              <w:gridCol w:w="1173"/>
              <w:gridCol w:w="1141"/>
              <w:gridCol w:w="1148"/>
            </w:tblGrid>
            <w:tr w14:paraId="2AC33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91" w:type="pct"/>
                  <w:noWrap w:val="0"/>
                  <w:vAlign w:val="center"/>
                </w:tcPr>
                <w:p w14:paraId="398CE14E">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类别</w:t>
                  </w:r>
                </w:p>
              </w:tc>
              <w:tc>
                <w:tcPr>
                  <w:tcW w:w="796" w:type="pct"/>
                  <w:noWrap w:val="0"/>
                  <w:vAlign w:val="center"/>
                </w:tcPr>
                <w:p w14:paraId="42894372">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新鲜</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/中水</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用水量</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p>
              </w:tc>
              <w:tc>
                <w:tcPr>
                  <w:tcW w:w="722" w:type="pct"/>
                  <w:noWrap w:val="0"/>
                  <w:vAlign w:val="center"/>
                </w:tcPr>
                <w:p w14:paraId="209D7916">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回用水</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量</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p>
              </w:tc>
              <w:tc>
                <w:tcPr>
                  <w:tcW w:w="722" w:type="pct"/>
                  <w:noWrap w:val="0"/>
                  <w:vAlign w:val="center"/>
                </w:tcPr>
                <w:p w14:paraId="01204872">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排水量</w:t>
                  </w:r>
                </w:p>
                <w:p w14:paraId="67DA0241">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c>
                <w:tcPr>
                  <w:tcW w:w="700" w:type="pct"/>
                  <w:noWrap w:val="0"/>
                  <w:vAlign w:val="center"/>
                </w:tcPr>
                <w:p w14:paraId="2B7DBEFB">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损耗</w:t>
                  </w:r>
                </w:p>
                <w:p w14:paraId="6EC18B5C">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c>
                <w:tcPr>
                  <w:tcW w:w="681" w:type="pct"/>
                  <w:noWrap w:val="0"/>
                  <w:vAlign w:val="center"/>
                </w:tcPr>
                <w:p w14:paraId="0DC34EB9">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产生污泥</w:t>
                  </w:r>
                </w:p>
                <w:p w14:paraId="26571CA4">
                  <w:pPr>
                    <w:pStyle w:val="9"/>
                    <w:keepNext w:val="0"/>
                    <w:keepLines w:val="0"/>
                    <w:pageBreakBefore w:val="0"/>
                    <w:widowControl w:val="0"/>
                    <w:kinsoku/>
                    <w:wordWrap/>
                    <w:overflowPunct/>
                    <w:topLinePunct w:val="0"/>
                    <w:autoSpaceDE/>
                    <w:autoSpaceDN/>
                    <w:bidi w:val="0"/>
                    <w:adjustRightInd/>
                    <w:spacing w:after="0"/>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c>
                <w:tcPr>
                  <w:tcW w:w="684" w:type="pct"/>
                  <w:noWrap w:val="0"/>
                  <w:vAlign w:val="center"/>
                </w:tcPr>
                <w:p w14:paraId="6AFAA0D3">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进入</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下游</w:t>
                  </w:r>
                </w:p>
                <w:p w14:paraId="15A5DCC5">
                  <w:pPr>
                    <w:keepNext w:val="0"/>
                    <w:keepLines w:val="0"/>
                    <w:pageBreakBefore w:val="0"/>
                    <w:widowControl w:val="0"/>
                    <w:kinsoku/>
                    <w:wordWrap/>
                    <w:overflowPunct/>
                    <w:topLinePunct w:val="0"/>
                    <w:autoSpaceDE/>
                    <w:autoSpaceDN/>
                    <w:bidi w:val="0"/>
                    <w:adjustRightInd/>
                    <w:snapToGrid w:val="0"/>
                    <w:jc w:val="center"/>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r>
            <w:tr w14:paraId="593D6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91" w:type="pct"/>
                  <w:noWrap w:val="0"/>
                  <w:vAlign w:val="center"/>
                </w:tcPr>
                <w:p w14:paraId="675F19F3">
                  <w:pPr>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软水</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站</w:t>
                  </w:r>
                </w:p>
              </w:tc>
              <w:tc>
                <w:tcPr>
                  <w:tcW w:w="1334" w:type="dxa"/>
                  <w:noWrap w:val="0"/>
                  <w:vAlign w:val="center"/>
                </w:tcPr>
                <w:p w14:paraId="56668188">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156936</w:t>
                  </w:r>
                </w:p>
              </w:tc>
              <w:tc>
                <w:tcPr>
                  <w:tcW w:w="1210" w:type="dxa"/>
                  <w:noWrap w:val="0"/>
                  <w:vAlign w:val="center"/>
                </w:tcPr>
                <w:p w14:paraId="3A12F998">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210" w:type="dxa"/>
                  <w:noWrap w:val="0"/>
                  <w:vAlign w:val="center"/>
                </w:tcPr>
                <w:p w14:paraId="46DA83C5">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15693.6</w:t>
                  </w:r>
                </w:p>
              </w:tc>
              <w:tc>
                <w:tcPr>
                  <w:tcW w:w="1173" w:type="dxa"/>
                  <w:noWrap w:val="0"/>
                  <w:vAlign w:val="center"/>
                </w:tcPr>
                <w:p w14:paraId="278FA160">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141" w:type="dxa"/>
                  <w:noWrap w:val="0"/>
                  <w:vAlign w:val="center"/>
                </w:tcPr>
                <w:p w14:paraId="61F7D83F">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148" w:type="dxa"/>
                  <w:noWrap w:val="0"/>
                  <w:vAlign w:val="center"/>
                </w:tcPr>
                <w:p w14:paraId="0A8BE804">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141242.4</w:t>
                  </w:r>
                </w:p>
              </w:tc>
            </w:tr>
            <w:tr w14:paraId="1CDF0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91" w:type="pct"/>
                  <w:noWrap w:val="0"/>
                  <w:vAlign w:val="center"/>
                </w:tcPr>
                <w:p w14:paraId="1C1F4414">
                  <w:pPr>
                    <w:snapToGrid w:val="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锅炉用水</w:t>
                  </w:r>
                </w:p>
              </w:tc>
              <w:tc>
                <w:tcPr>
                  <w:tcW w:w="1334" w:type="dxa"/>
                  <w:noWrap w:val="0"/>
                  <w:vAlign w:val="center"/>
                </w:tcPr>
                <w:p w14:paraId="3833CAAD">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141242.4</w:t>
                  </w:r>
                </w:p>
              </w:tc>
              <w:tc>
                <w:tcPr>
                  <w:tcW w:w="1210" w:type="dxa"/>
                  <w:noWrap w:val="0"/>
                  <w:vAlign w:val="center"/>
                </w:tcPr>
                <w:p w14:paraId="175AD68D">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210" w:type="dxa"/>
                  <w:noWrap w:val="0"/>
                  <w:vAlign w:val="center"/>
                </w:tcPr>
                <w:p w14:paraId="18BB45BF">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5432.4</w:t>
                  </w:r>
                </w:p>
              </w:tc>
              <w:tc>
                <w:tcPr>
                  <w:tcW w:w="1173" w:type="dxa"/>
                  <w:noWrap w:val="0"/>
                  <w:vAlign w:val="center"/>
                </w:tcPr>
                <w:p w14:paraId="30404B35">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24923</w:t>
                  </w:r>
                </w:p>
              </w:tc>
              <w:tc>
                <w:tcPr>
                  <w:tcW w:w="1141" w:type="dxa"/>
                  <w:noWrap w:val="0"/>
                  <w:vAlign w:val="center"/>
                </w:tcPr>
                <w:p w14:paraId="6B2ECFE3">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148" w:type="dxa"/>
                  <w:noWrap w:val="0"/>
                  <w:vAlign w:val="center"/>
                </w:tcPr>
                <w:p w14:paraId="69AAF083">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110887</w:t>
                  </w:r>
                </w:p>
              </w:tc>
            </w:tr>
            <w:tr w14:paraId="7D916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91" w:type="pct"/>
                  <w:noWrap w:val="0"/>
                  <w:vAlign w:val="center"/>
                </w:tcPr>
                <w:p w14:paraId="56463251">
                  <w:pPr>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脱硫用水</w:t>
                  </w:r>
                </w:p>
              </w:tc>
              <w:tc>
                <w:tcPr>
                  <w:tcW w:w="1334" w:type="dxa"/>
                  <w:noWrap w:val="0"/>
                  <w:vAlign w:val="center"/>
                </w:tcPr>
                <w:p w14:paraId="4838980F">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210" w:type="dxa"/>
                  <w:noWrap w:val="0"/>
                  <w:vAlign w:val="center"/>
                </w:tcPr>
                <w:p w14:paraId="45C204EA">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4418</w:t>
                  </w:r>
                </w:p>
              </w:tc>
              <w:tc>
                <w:tcPr>
                  <w:tcW w:w="1210" w:type="dxa"/>
                  <w:noWrap w:val="0"/>
                  <w:vAlign w:val="center"/>
                </w:tcPr>
                <w:p w14:paraId="7D682061">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836</w:t>
                  </w:r>
                </w:p>
              </w:tc>
              <w:tc>
                <w:tcPr>
                  <w:tcW w:w="1173" w:type="dxa"/>
                  <w:noWrap w:val="0"/>
                  <w:vAlign w:val="center"/>
                </w:tcPr>
                <w:p w14:paraId="0CCA6D9D">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3582</w:t>
                  </w:r>
                </w:p>
              </w:tc>
              <w:tc>
                <w:tcPr>
                  <w:tcW w:w="1141" w:type="dxa"/>
                  <w:noWrap w:val="0"/>
                  <w:vAlign w:val="center"/>
                </w:tcPr>
                <w:p w14:paraId="05B2A4A2">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忽略</w:t>
                  </w:r>
                </w:p>
              </w:tc>
              <w:tc>
                <w:tcPr>
                  <w:tcW w:w="1148" w:type="dxa"/>
                  <w:noWrap w:val="0"/>
                  <w:vAlign w:val="center"/>
                </w:tcPr>
                <w:p w14:paraId="5839A9AF">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r>
            <w:tr w14:paraId="4456F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91" w:type="pct"/>
                  <w:noWrap w:val="0"/>
                  <w:vAlign w:val="center"/>
                </w:tcPr>
                <w:p w14:paraId="639B1D07">
                  <w:pPr>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洒水抑尘</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用水</w:t>
                  </w:r>
                </w:p>
              </w:tc>
              <w:tc>
                <w:tcPr>
                  <w:tcW w:w="1334" w:type="dxa"/>
                  <w:noWrap w:val="0"/>
                  <w:vAlign w:val="center"/>
                </w:tcPr>
                <w:p w14:paraId="4BE68BAE">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210" w:type="dxa"/>
                  <w:noWrap w:val="0"/>
                  <w:vAlign w:val="center"/>
                </w:tcPr>
                <w:p w14:paraId="669B83C6">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3582</w:t>
                  </w:r>
                </w:p>
              </w:tc>
              <w:tc>
                <w:tcPr>
                  <w:tcW w:w="1210" w:type="dxa"/>
                  <w:noWrap w:val="0"/>
                  <w:vAlign w:val="center"/>
                </w:tcPr>
                <w:p w14:paraId="01D05311">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173" w:type="dxa"/>
                  <w:noWrap w:val="0"/>
                  <w:vAlign w:val="center"/>
                </w:tcPr>
                <w:p w14:paraId="4DC71014">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3582</w:t>
                  </w:r>
                </w:p>
              </w:tc>
              <w:tc>
                <w:tcPr>
                  <w:tcW w:w="1141" w:type="dxa"/>
                  <w:noWrap w:val="0"/>
                  <w:vAlign w:val="center"/>
                </w:tcPr>
                <w:p w14:paraId="2D94CE7A">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148" w:type="dxa"/>
                  <w:noWrap w:val="0"/>
                  <w:vAlign w:val="center"/>
                </w:tcPr>
                <w:p w14:paraId="0E5D7424">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r>
            <w:tr w14:paraId="7DB46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91" w:type="pct"/>
                  <w:noWrap w:val="0"/>
                  <w:vAlign w:val="center"/>
                </w:tcPr>
                <w:p w14:paraId="15693F6D">
                  <w:pPr>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生活用水</w:t>
                  </w:r>
                </w:p>
              </w:tc>
              <w:tc>
                <w:tcPr>
                  <w:tcW w:w="1334" w:type="dxa"/>
                  <w:noWrap w:val="0"/>
                  <w:vAlign w:val="center"/>
                </w:tcPr>
                <w:p w14:paraId="02A04A48">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630</w:t>
                  </w:r>
                </w:p>
              </w:tc>
              <w:tc>
                <w:tcPr>
                  <w:tcW w:w="1210" w:type="dxa"/>
                  <w:noWrap w:val="0"/>
                  <w:vAlign w:val="center"/>
                </w:tcPr>
                <w:p w14:paraId="2E30E6C6">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210" w:type="dxa"/>
                  <w:noWrap w:val="0"/>
                  <w:vAlign w:val="center"/>
                </w:tcPr>
                <w:p w14:paraId="36EC0FBC">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504</w:t>
                  </w:r>
                </w:p>
              </w:tc>
              <w:tc>
                <w:tcPr>
                  <w:tcW w:w="1173" w:type="dxa"/>
                  <w:noWrap w:val="0"/>
                  <w:vAlign w:val="center"/>
                </w:tcPr>
                <w:p w14:paraId="60C3ED83">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126</w:t>
                  </w:r>
                </w:p>
              </w:tc>
              <w:tc>
                <w:tcPr>
                  <w:tcW w:w="1141" w:type="dxa"/>
                  <w:noWrap w:val="0"/>
                  <w:vAlign w:val="center"/>
                </w:tcPr>
                <w:p w14:paraId="2D6FA4D0">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忽略</w:t>
                  </w:r>
                </w:p>
              </w:tc>
              <w:tc>
                <w:tcPr>
                  <w:tcW w:w="1148" w:type="dxa"/>
                  <w:noWrap w:val="0"/>
                  <w:vAlign w:val="center"/>
                </w:tcPr>
                <w:p w14:paraId="2B5161C4">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r>
            <w:tr w14:paraId="59D6A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91" w:type="pct"/>
                  <w:noWrap w:val="0"/>
                  <w:vAlign w:val="center"/>
                </w:tcPr>
                <w:p w14:paraId="671ABB9F">
                  <w:pPr>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绿化用水</w:t>
                  </w:r>
                </w:p>
              </w:tc>
              <w:tc>
                <w:tcPr>
                  <w:tcW w:w="1334" w:type="dxa"/>
                  <w:noWrap w:val="0"/>
                  <w:vAlign w:val="center"/>
                </w:tcPr>
                <w:p w14:paraId="1A1BA1EA">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132</w:t>
                  </w:r>
                </w:p>
              </w:tc>
              <w:tc>
                <w:tcPr>
                  <w:tcW w:w="1210" w:type="dxa"/>
                  <w:noWrap w:val="0"/>
                  <w:vAlign w:val="center"/>
                </w:tcPr>
                <w:p w14:paraId="541FFB80">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210" w:type="dxa"/>
                  <w:noWrap w:val="0"/>
                  <w:vAlign w:val="center"/>
                </w:tcPr>
                <w:p w14:paraId="2B6A9CEF">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173" w:type="dxa"/>
                  <w:noWrap w:val="0"/>
                  <w:vAlign w:val="center"/>
                </w:tcPr>
                <w:p w14:paraId="614C29C3">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132</w:t>
                  </w:r>
                </w:p>
              </w:tc>
              <w:tc>
                <w:tcPr>
                  <w:tcW w:w="1141" w:type="dxa"/>
                  <w:noWrap w:val="0"/>
                  <w:vAlign w:val="center"/>
                </w:tcPr>
                <w:p w14:paraId="477754A6">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148" w:type="dxa"/>
                  <w:noWrap w:val="0"/>
                  <w:vAlign w:val="center"/>
                </w:tcPr>
                <w:p w14:paraId="630F95A1">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r>
            <w:tr w14:paraId="676E9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91" w:type="pct"/>
                  <w:noWrap w:val="0"/>
                  <w:vAlign w:val="center"/>
                </w:tcPr>
                <w:p w14:paraId="681AB5B2">
                  <w:pPr>
                    <w:snapToGrid w:val="0"/>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循环冷却水补水</w:t>
                  </w:r>
                </w:p>
              </w:tc>
              <w:tc>
                <w:tcPr>
                  <w:tcW w:w="1334" w:type="dxa"/>
                  <w:noWrap w:val="0"/>
                  <w:vAlign w:val="center"/>
                </w:tcPr>
                <w:p w14:paraId="1095070A">
                  <w:pPr>
                    <w:keepNext w:val="0"/>
                    <w:keepLines w:val="0"/>
                    <w:widowControl/>
                    <w:suppressLineNumbers w:val="0"/>
                    <w:jc w:val="center"/>
                    <w:textAlignment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210" w:type="dxa"/>
                  <w:noWrap w:val="0"/>
                  <w:vAlign w:val="center"/>
                </w:tcPr>
                <w:p w14:paraId="6253C599">
                  <w:pPr>
                    <w:keepNext w:val="0"/>
                    <w:keepLines w:val="0"/>
                    <w:widowControl/>
                    <w:suppressLineNumbers w:val="0"/>
                    <w:jc w:val="center"/>
                    <w:textAlignment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5904</w:t>
                  </w:r>
                </w:p>
              </w:tc>
              <w:tc>
                <w:tcPr>
                  <w:tcW w:w="1210" w:type="dxa"/>
                  <w:noWrap w:val="0"/>
                  <w:vAlign w:val="center"/>
                </w:tcPr>
                <w:p w14:paraId="2936571A">
                  <w:pPr>
                    <w:keepNext w:val="0"/>
                    <w:keepLines w:val="0"/>
                    <w:widowControl/>
                    <w:suppressLineNumbers w:val="0"/>
                    <w:jc w:val="center"/>
                    <w:textAlignment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5904</w:t>
                  </w:r>
                </w:p>
              </w:tc>
              <w:tc>
                <w:tcPr>
                  <w:tcW w:w="1173" w:type="dxa"/>
                  <w:noWrap w:val="0"/>
                  <w:vAlign w:val="center"/>
                </w:tcPr>
                <w:p w14:paraId="7A1FCD37">
                  <w:pPr>
                    <w:keepNext w:val="0"/>
                    <w:keepLines w:val="0"/>
                    <w:widowControl/>
                    <w:suppressLineNumbers w:val="0"/>
                    <w:jc w:val="center"/>
                    <w:textAlignment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141" w:type="dxa"/>
                  <w:noWrap w:val="0"/>
                  <w:vAlign w:val="center"/>
                </w:tcPr>
                <w:p w14:paraId="2E7E3DFA">
                  <w:pPr>
                    <w:keepNext w:val="0"/>
                    <w:keepLines w:val="0"/>
                    <w:widowControl/>
                    <w:suppressLineNumbers w:val="0"/>
                    <w:jc w:val="center"/>
                    <w:textAlignment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148" w:type="dxa"/>
                  <w:noWrap w:val="0"/>
                  <w:vAlign w:val="center"/>
                </w:tcPr>
                <w:p w14:paraId="1C25AA1A">
                  <w:pPr>
                    <w:keepNext w:val="0"/>
                    <w:keepLines w:val="0"/>
                    <w:widowControl/>
                    <w:suppressLineNumbers w:val="0"/>
                    <w:jc w:val="center"/>
                    <w:textAlignment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r>
            <w:tr w14:paraId="010A8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91" w:type="pct"/>
                  <w:noWrap w:val="0"/>
                  <w:vAlign w:val="center"/>
                </w:tcPr>
                <w:p w14:paraId="233F08EC">
                  <w:pPr>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共计</w:t>
                  </w:r>
                </w:p>
              </w:tc>
              <w:tc>
                <w:tcPr>
                  <w:tcW w:w="1334" w:type="dxa"/>
                  <w:noWrap w:val="0"/>
                  <w:vAlign w:val="center"/>
                </w:tcPr>
                <w:p w14:paraId="55BEF926">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298940.4</w:t>
                  </w:r>
                </w:p>
              </w:tc>
              <w:tc>
                <w:tcPr>
                  <w:tcW w:w="1210" w:type="dxa"/>
                  <w:noWrap w:val="0"/>
                  <w:vAlign w:val="center"/>
                </w:tcPr>
                <w:p w14:paraId="41490885">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13904</w:t>
                  </w:r>
                </w:p>
              </w:tc>
              <w:tc>
                <w:tcPr>
                  <w:tcW w:w="1210" w:type="dxa"/>
                  <w:noWrap w:val="0"/>
                  <w:vAlign w:val="center"/>
                </w:tcPr>
                <w:p w14:paraId="0153619C">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28370</w:t>
                  </w:r>
                </w:p>
              </w:tc>
              <w:tc>
                <w:tcPr>
                  <w:tcW w:w="1173" w:type="dxa"/>
                  <w:noWrap w:val="0"/>
                  <w:vAlign w:val="center"/>
                </w:tcPr>
                <w:p w14:paraId="17BDF638">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32345</w:t>
                  </w:r>
                </w:p>
              </w:tc>
              <w:tc>
                <w:tcPr>
                  <w:tcW w:w="1141" w:type="dxa"/>
                  <w:noWrap w:val="0"/>
                  <w:vAlign w:val="center"/>
                </w:tcPr>
                <w:p w14:paraId="03A1CF04">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w:t>
                  </w:r>
                </w:p>
              </w:tc>
              <w:tc>
                <w:tcPr>
                  <w:tcW w:w="1147" w:type="dxa"/>
                  <w:noWrap w:val="0"/>
                  <w:vAlign w:val="center"/>
                </w:tcPr>
                <w:p w14:paraId="218ACABC">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252129.4</w:t>
                  </w:r>
                </w:p>
              </w:tc>
            </w:tr>
          </w:tbl>
          <w:p w14:paraId="4C7C6722">
            <w:pPr>
              <w:widowControl/>
              <w:spacing w:before="120" w:beforeLines="50"/>
              <w:jc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5324475" cy="3146425"/>
                  <wp:effectExtent l="0" t="0" r="9525" b="15875"/>
                  <wp:docPr id="6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
                          <pic:cNvPicPr>
                            <a:picLocks noChangeAspect="1"/>
                          </pic:cNvPicPr>
                        </pic:nvPicPr>
                        <pic:blipFill>
                          <a:blip r:embed="rId17"/>
                          <a:stretch>
                            <a:fillRect/>
                          </a:stretch>
                        </pic:blipFill>
                        <pic:spPr>
                          <a:xfrm>
                            <a:off x="0" y="0"/>
                            <a:ext cx="5324475" cy="3146425"/>
                          </a:xfrm>
                          <a:prstGeom prst="rect">
                            <a:avLst/>
                          </a:prstGeom>
                          <a:noFill/>
                          <a:ln>
                            <a:noFill/>
                          </a:ln>
                        </pic:spPr>
                      </pic:pic>
                    </a:graphicData>
                  </a:graphic>
                </wp:inline>
              </w:drawing>
            </w:r>
          </w:p>
          <w:p w14:paraId="33474DB2">
            <w:pPr>
              <w:widowControl/>
              <w:spacing w:before="120" w:beforeLines="50"/>
              <w:ind w:firstLine="482" w:firstLineChars="200"/>
              <w:jc w:val="cente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图2-2全厂水平衡图</w:t>
            </w:r>
          </w:p>
          <w:p w14:paraId="17346D73">
            <w:pPr>
              <w:widowControl/>
              <w:spacing w:before="120" w:beforeLines="50"/>
              <w:ind w:firstLine="480" w:firstLineChars="200"/>
              <w:jc w:val="left"/>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（3）供电</w:t>
            </w:r>
          </w:p>
          <w:p w14:paraId="478C19F1">
            <w:pPr>
              <w:spacing w:before="120" w:beforeLines="50" w:line="360" w:lineRule="auto"/>
              <w:ind w:firstLine="480" w:firstLineChars="200"/>
              <w:jc w:val="left"/>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本项目运营期新增用电约</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12.8</w:t>
            </w:r>
            <w:r>
              <w:rPr>
                <w:rFonts w:hint="default" w:ascii="Times New Roman" w:hAnsi="Times New Roman" w:eastAsia="宋体" w:cs="Times New Roman"/>
                <w:color w:val="000000" w:themeColor="text1"/>
                <w:sz w:val="24"/>
                <w:highlight w:val="none"/>
                <w14:textFill>
                  <w14:solidFill>
                    <w14:schemeClr w14:val="tx1"/>
                  </w14:solidFill>
                </w14:textFill>
              </w:rPr>
              <w:t>×10</w:t>
            </w:r>
            <w:r>
              <w:rPr>
                <w:rFonts w:hint="default"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6</w:t>
            </w:r>
            <w:r>
              <w:rPr>
                <w:rFonts w:hint="default" w:ascii="Times New Roman" w:hAnsi="Times New Roman" w:eastAsia="宋体" w:cs="Times New Roman"/>
                <w:color w:val="000000" w:themeColor="text1"/>
                <w:sz w:val="24"/>
                <w:highlight w:val="none"/>
                <w14:textFill>
                  <w14:solidFill>
                    <w14:schemeClr w14:val="tx1"/>
                  </w14:solidFill>
                </w14:textFill>
              </w:rPr>
              <w:t>kW</w:t>
            </w:r>
            <w:r>
              <w:rPr>
                <w:rFonts w:hint="default" w:ascii="Times New Roman" w:hAnsi="Times New Roman" w:eastAsia="宋体" w:cs="Times New Roman"/>
                <w:b/>
                <w:bCs/>
                <w:color w:val="000000" w:themeColor="text1"/>
                <w:sz w:val="24"/>
                <w:highlight w:val="none"/>
                <w:vertAlign w:val="superscript"/>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h/a，由园区供给。</w:t>
            </w:r>
          </w:p>
          <w:p w14:paraId="595A4B8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全厂装机容量</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4408KW，其中10kV装机容量：1890kW，低压装机容量</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2518kW。</w:t>
            </w:r>
          </w:p>
          <w:p w14:paraId="50EED07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按工艺流程及负荷分布情况。新设2个电气室（其中1个包含10kV配电系统）：</w:t>
            </w:r>
          </w:p>
          <w:p w14:paraId="0F3038F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1）高岭土粉磨电气室：位于高岭土粉磨系统大收尘器下，设车间变压器、低压配电柜MCC、低压变频柜、UPS、DCS现场柜等。供电范围：高岭土冷却、高岭土粉磨、空压机站</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中控化验室。</w:t>
            </w:r>
          </w:p>
          <w:p w14:paraId="774CE30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2）窑尾电气室：位于生产线窑尾大收尘器下，设10kV开关柜、中压变频柜、车间变压器、低压配电柜MCC、低压变频柜、UPS、DCS现场柜等。供电范围：高岭土煅烧废气处理、高岭土煅烧窑尾、高岭土煅烧窑中、脱硝系统、余热锅炉、脱硫系统。</w:t>
            </w:r>
          </w:p>
          <w:p w14:paraId="4F406F5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default" w:ascii="Times New Roman" w:hAnsi="Times New Roman" w:cs="Times New Roman"/>
                <w:color w:val="000000" w:themeColor="text1"/>
                <w:sz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）供暖与余热</w:t>
            </w:r>
          </w:p>
          <w:p w14:paraId="1C9090A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1）供热</w:t>
            </w:r>
          </w:p>
          <w:p w14:paraId="7D5D718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本项目热源来自市政热源和厂区蒸汽，有市政热源时，在热交换站经水-水板式换热器换热后，供采暖使用。当没有市政热源，由厂区提供蒸汽，经热交换站经汽-水板式换热器换热后，供采暖使用。</w:t>
            </w:r>
          </w:p>
          <w:p w14:paraId="3C538DA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换热站设置在靠近厂区负荷中心处。</w:t>
            </w:r>
          </w:p>
          <w:p w14:paraId="597D4E8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中控室、脱硫、水泵房等区域设置散热器供暖系统。</w:t>
            </w:r>
          </w:p>
          <w:p w14:paraId="6ADA554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室外采暖管网埋地敷设。</w:t>
            </w:r>
          </w:p>
          <w:p w14:paraId="352FFBB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2）余热</w:t>
            </w:r>
          </w:p>
          <w:p w14:paraId="12ABA0F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工程余热利用以内蒙古伊东东晟公司年产20万吨煤矸石煅烧高岭土项目配套设计，遵循节约能源和改善环境的技术原则，充分利用可回收余热量。综合考虑煤矸石预处理生产线的工艺流程、场地布置、供配电结构、供水设施等因素，利用煤矸石预处理生产线预热器余热资源，配置余热锅炉为用户</w:t>
            </w:r>
            <w:r>
              <w:rPr>
                <w:rFonts w:hint="default"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lang w:val="en-US" w:eastAsia="zh-CN"/>
                <w14:textFill>
                  <w14:solidFill>
                    <w14:schemeClr w14:val="tx1"/>
                  </w14:solidFill>
                </w14:textFill>
              </w:rPr>
              <w:t>附近造纸厂和化肥厂</w:t>
            </w:r>
            <w:r>
              <w:rPr>
                <w:rFonts w:hint="default"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提供生产用汽。冬季，可以为厂用供暖单元</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及附近工厂（高新公司、东发公司等）提供供暖需要的蒸汽</w:t>
            </w:r>
            <w:r>
              <w:rPr>
                <w:rFonts w:hint="default" w:ascii="Times New Roman" w:hAnsi="Times New Roman" w:eastAsia="宋体" w:cs="Times New Roman"/>
                <w:color w:val="000000" w:themeColor="text1"/>
                <w:sz w:val="24"/>
                <w:highlight w:val="none"/>
                <w14:textFill>
                  <w14:solidFill>
                    <w14:schemeClr w14:val="tx1"/>
                  </w14:solidFill>
                </w14:textFill>
              </w:rPr>
              <w:t>。同时，利旧原厂区高压发电机组的锅炉给水泵、除氧器、低压加热器、化水处理系统和循环水系</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统。</w:t>
            </w:r>
          </w:p>
          <w:p w14:paraId="4F6D418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（5）依托可行性分析</w:t>
            </w:r>
          </w:p>
          <w:p w14:paraId="6DB2076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cs="Times New Roman"/>
                <w:color w:val="000000" w:themeColor="text1"/>
                <w:sz w:val="24"/>
                <w:highlight w:val="none"/>
                <w:lang w:val="en-US" w:eastAsia="zh-CN"/>
                <w14:textFill>
                  <w14:solidFill>
                    <w14:schemeClr w14:val="tx1"/>
                  </w14:solidFill>
                </w14:textFill>
              </w:rPr>
              <w:t>1）循环冷却水系统</w:t>
            </w:r>
          </w:p>
          <w:p w14:paraId="71C5683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本项目循环冷却水系统依托内蒙古伊东东发新材料有限责任公司</w:t>
            </w:r>
            <w:r>
              <w:rPr>
                <w:rFonts w:hint="default" w:ascii="Times New Roman" w:hAnsi="Times New Roman" w:cs="Times New Roman"/>
                <w:color w:val="000000" w:themeColor="text1"/>
                <w:sz w:val="24"/>
                <w:highlight w:val="none"/>
                <w:lang w:val="en-US" w:eastAsia="zh-CN"/>
                <w14:textFill>
                  <w14:solidFill>
                    <w14:schemeClr w14:val="tx1"/>
                  </w14:solidFill>
                </w14:textFill>
              </w:rPr>
              <w:t>联合水泵站的</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循环冷却水系统。</w:t>
            </w:r>
            <w:r>
              <w:rPr>
                <w:rFonts w:hint="default" w:ascii="Times New Roman" w:hAnsi="Times New Roman" w:eastAsia="宋体" w:cs="Times New Roman"/>
                <w:color w:val="000000" w:themeColor="text1"/>
                <w:sz w:val="24"/>
                <w:highlight w:val="none"/>
                <w14:textFill>
                  <w14:solidFill>
                    <w14:schemeClr w14:val="tx1"/>
                  </w14:solidFill>
                </w14:textFill>
              </w:rPr>
              <w:t>水池利用</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内蒙古伊东东发新材料有限责任公司</w:t>
            </w:r>
            <w:r>
              <w:rPr>
                <w:rFonts w:hint="default" w:ascii="Times New Roman" w:hAnsi="Times New Roman" w:eastAsia="宋体" w:cs="Times New Roman"/>
                <w:color w:val="000000" w:themeColor="text1"/>
                <w:sz w:val="24"/>
                <w:highlight w:val="none"/>
                <w14:textFill>
                  <w14:solidFill>
                    <w14:schemeClr w14:val="tx1"/>
                  </w14:solidFill>
                </w14:textFill>
              </w:rPr>
              <w:t>循环水池及泵房</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lang w:val="en-US" w:eastAsia="zh-CN"/>
                <w14:textFill>
                  <w14:solidFill>
                    <w14:schemeClr w14:val="tx1"/>
                  </w14:solidFill>
                </w14:textFill>
              </w:rPr>
              <w:t>依托联合水泵站循环冷却水系统来源</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内蒙古伊东东发新材料有限责任公司</w:t>
            </w:r>
            <w:r>
              <w:rPr>
                <w:rFonts w:hint="default" w:ascii="Times New Roman" w:hAnsi="Times New Roman" w:cs="Times New Roman"/>
                <w:color w:val="000000" w:themeColor="text1"/>
                <w:sz w:val="24"/>
                <w:highlight w:val="none"/>
                <w:lang w:val="en-US" w:eastAsia="zh-CN"/>
                <w14:textFill>
                  <w14:solidFill>
                    <w14:schemeClr w14:val="tx1"/>
                  </w14:solidFill>
                </w14:textFill>
              </w:rPr>
              <w:t>位置于本项目位置关系详见附图。</w:t>
            </w:r>
          </w:p>
          <w:p w14:paraId="2B23D5F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内蒙古伊东东发新材料有限责任公司</w:t>
            </w:r>
            <w:r>
              <w:rPr>
                <w:rFonts w:hint="default" w:ascii="Times New Roman" w:hAnsi="Times New Roman" w:cs="Times New Roman"/>
                <w:color w:val="000000" w:themeColor="text1"/>
                <w:sz w:val="24"/>
                <w:highlight w:val="none"/>
                <w:lang w:val="en-US" w:eastAsia="zh-CN"/>
                <w14:textFill>
                  <w14:solidFill>
                    <w14:schemeClr w14:val="tx1"/>
                  </w14:solidFill>
                </w14:textFill>
              </w:rPr>
              <w:t>联合水泵站设置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14:textFill>
                  <w14:solidFill>
                    <w14:schemeClr w14:val="tx1"/>
                  </w14:solidFill>
                </w14:textFill>
              </w:rPr>
              <w:t>套循环冷却水系统</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用于生产冷却，</w:t>
            </w:r>
            <w:r>
              <w:rPr>
                <w:rFonts w:hint="default" w:ascii="Times New Roman" w:hAnsi="Times New Roman" w:eastAsia="宋体" w:cs="Times New Roman"/>
                <w:bCs/>
                <w:color w:val="000000" w:themeColor="text1"/>
                <w:sz w:val="24"/>
                <w:szCs w:val="24"/>
                <w:highlight w:val="none"/>
                <w:lang w:val="en-US" w:eastAsia="en-US"/>
                <w14:textFill>
                  <w14:solidFill>
                    <w14:schemeClr w14:val="tx1"/>
                  </w14:solidFill>
                </w14:textFill>
              </w:rPr>
              <w:t>冷却循环水</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总</w:t>
            </w:r>
            <w:r>
              <w:rPr>
                <w:rFonts w:hint="default" w:ascii="Times New Roman" w:hAnsi="Times New Roman" w:eastAsia="宋体" w:cs="Times New Roman"/>
                <w:bCs/>
                <w:color w:val="000000" w:themeColor="text1"/>
                <w:sz w:val="24"/>
                <w:szCs w:val="24"/>
                <w:highlight w:val="none"/>
                <w:lang w:val="en-US" w:eastAsia="en-US"/>
                <w14:textFill>
                  <w14:solidFill>
                    <w14:schemeClr w14:val="tx1"/>
                  </w14:solidFill>
                </w14:textFill>
              </w:rPr>
              <w:t>量为</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290</w:t>
            </w:r>
            <w:r>
              <w:rPr>
                <w:rFonts w:hint="default" w:ascii="Times New Roman" w:hAnsi="Times New Roman" w:eastAsia="宋体" w:cs="Times New Roman"/>
                <w:bCs/>
                <w:color w:val="000000" w:themeColor="text1"/>
                <w:sz w:val="24"/>
                <w:szCs w:val="24"/>
                <w:highlight w:val="none"/>
                <w:lang w:val="en-US" w:eastAsia="en-US"/>
                <w14:textFill>
                  <w14:solidFill>
                    <w14:schemeClr w14:val="tx1"/>
                  </w14:solidFill>
                </w14:textFill>
              </w:rPr>
              <w:t>m³/</w:t>
            </w:r>
            <w:r>
              <w:rPr>
                <w:rFonts w:hint="default" w:ascii="Times New Roman" w:hAnsi="Times New Roman" w:eastAsia="宋体" w:cs="Times New Roman"/>
                <w:bCs/>
                <w:color w:val="000000" w:themeColor="text1"/>
                <w:sz w:val="24"/>
                <w:szCs w:val="24"/>
                <w:highlight w:val="none"/>
                <w:lang w:val="en-US" w:eastAsia="zh-CN"/>
                <w14:textFill>
                  <w14:solidFill>
                    <w14:schemeClr w14:val="tx1"/>
                  </w14:solidFill>
                </w14:textFill>
              </w:rPr>
              <w:t>h，</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东发厂区</w:t>
            </w:r>
            <w:r>
              <w:rPr>
                <w:rFonts w:hint="default" w:ascii="Times New Roman" w:hAnsi="Times New Roman" w:cs="Times New Roman"/>
                <w:color w:val="000000" w:themeColor="text1"/>
                <w:spacing w:val="-2"/>
                <w:sz w:val="24"/>
                <w:szCs w:val="24"/>
                <w:highlight w:val="none"/>
                <w:lang w:val="zh-CN"/>
                <w14:textFill>
                  <w14:solidFill>
                    <w14:schemeClr w14:val="tx1"/>
                  </w14:solidFill>
                </w14:textFill>
              </w:rPr>
              <w:t>用循环水泵两台（</w:t>
            </w:r>
            <w:r>
              <w:rPr>
                <w:rFonts w:hint="default" w:ascii="Times New Roman" w:hAnsi="Times New Roman" w:cs="Times New Roman"/>
                <w:color w:val="000000" w:themeColor="text1"/>
                <w:spacing w:val="-2"/>
                <w:sz w:val="24"/>
                <w:szCs w:val="24"/>
                <w:highlight w:val="none"/>
                <w:lang w:val="en-US" w:eastAsia="zh-CN"/>
                <w14:textFill>
                  <w14:solidFill>
                    <w14:schemeClr w14:val="tx1"/>
                  </w14:solidFill>
                </w14:textFill>
              </w:rPr>
              <w:t>Q=208m</w:t>
            </w:r>
            <w:r>
              <w:rPr>
                <w:rFonts w:hint="default" w:ascii="Times New Roman" w:hAnsi="Times New Roman" w:cs="Times New Roman"/>
                <w:color w:val="000000" w:themeColor="text1"/>
                <w:spacing w:val="-2"/>
                <w:sz w:val="24"/>
                <w:szCs w:val="24"/>
                <w:highlight w:val="none"/>
                <w:vertAlign w:val="superscript"/>
                <w:lang w:val="en-US" w:eastAsia="zh-CN"/>
                <w14:textFill>
                  <w14:solidFill>
                    <w14:schemeClr w14:val="tx1"/>
                  </w14:solidFill>
                </w14:textFill>
              </w:rPr>
              <w:t>3</w:t>
            </w:r>
            <w:r>
              <w:rPr>
                <w:rFonts w:hint="default" w:ascii="Times New Roman" w:hAnsi="Times New Roman" w:cs="Times New Roman"/>
                <w:color w:val="000000" w:themeColor="text1"/>
                <w:spacing w:val="-2"/>
                <w:sz w:val="24"/>
                <w:szCs w:val="24"/>
                <w:highlight w:val="none"/>
                <w:lang w:val="en-US" w:eastAsia="zh-CN"/>
                <w14:textFill>
                  <w14:solidFill>
                    <w14:schemeClr w14:val="tx1"/>
                  </w14:solidFill>
                </w14:textFill>
              </w:rPr>
              <w:t>/h，H=55.5m，N=55kW</w:t>
            </w:r>
            <w:r>
              <w:rPr>
                <w:rFonts w:hint="default" w:ascii="Times New Roman" w:hAnsi="Times New Roman" w:cs="Times New Roman"/>
                <w:color w:val="000000" w:themeColor="text1"/>
                <w:spacing w:val="-2"/>
                <w:sz w:val="24"/>
                <w:szCs w:val="24"/>
                <w:highlight w:val="none"/>
                <w:lang w:val="zh-CN"/>
                <w14:textFill>
                  <w14:solidFill>
                    <w14:schemeClr w14:val="tx1"/>
                  </w14:solidFill>
                </w14:textFill>
              </w:rPr>
              <w:t>），一用一备；</w:t>
            </w:r>
            <w:r>
              <w:rPr>
                <w:rFonts w:hint="default" w:ascii="Times New Roman" w:hAnsi="Times New Roman" w:cs="Times New Roman"/>
                <w:color w:val="000000" w:themeColor="text1"/>
                <w:spacing w:val="-2"/>
                <w:sz w:val="24"/>
                <w:szCs w:val="24"/>
                <w:highlight w:val="none"/>
                <w:lang w:val="en-US" w:eastAsia="zh-CN"/>
                <w14:textFill>
                  <w14:solidFill>
                    <w14:schemeClr w14:val="tx1"/>
                  </w14:solidFill>
                </w14:textFill>
              </w:rPr>
              <w:t>外供循环水</w:t>
            </w:r>
            <w:r>
              <w:rPr>
                <w:rFonts w:hint="eastAsia" w:ascii="Times New Roman" w:hAnsi="Times New Roman" w:cs="Times New Roman"/>
                <w:color w:val="000000" w:themeColor="text1"/>
                <w:spacing w:val="-2"/>
                <w:sz w:val="24"/>
                <w:szCs w:val="24"/>
                <w:highlight w:val="none"/>
                <w:lang w:val="en-US" w:eastAsia="zh-CN"/>
                <w14:textFill>
                  <w14:solidFill>
                    <w14:schemeClr w14:val="tx1"/>
                  </w14:solidFill>
                </w14:textFill>
              </w:rPr>
              <w:t>给予</w:t>
            </w:r>
            <w:r>
              <w:rPr>
                <w:rFonts w:hint="default" w:ascii="Times New Roman" w:hAnsi="Times New Roman" w:cs="Times New Roman"/>
                <w:color w:val="000000" w:themeColor="text1"/>
                <w:spacing w:val="-2"/>
                <w:sz w:val="24"/>
                <w:szCs w:val="24"/>
                <w:highlight w:val="none"/>
                <w:lang w:val="en-US" w:eastAsia="zh-CN"/>
                <w14:textFill>
                  <w14:solidFill>
                    <w14:schemeClr w14:val="tx1"/>
                  </w14:solidFill>
                </w14:textFill>
              </w:rPr>
              <w:t>企业</w:t>
            </w:r>
            <w:r>
              <w:rPr>
                <w:rFonts w:hint="default" w:ascii="Times New Roman" w:hAnsi="Times New Roman" w:cs="Times New Roman"/>
                <w:color w:val="000000" w:themeColor="text1"/>
                <w:spacing w:val="-2"/>
                <w:sz w:val="24"/>
                <w:szCs w:val="24"/>
                <w:highlight w:val="none"/>
                <w:lang w:val="zh-CN"/>
                <w14:textFill>
                  <w14:solidFill>
                    <w14:schemeClr w14:val="tx1"/>
                  </w14:solidFill>
                </w14:textFill>
              </w:rPr>
              <w:t>东晟厂区用循环水泵两台（</w:t>
            </w:r>
            <w:r>
              <w:rPr>
                <w:rFonts w:hint="default" w:ascii="Times New Roman" w:hAnsi="Times New Roman" w:cs="Times New Roman"/>
                <w:color w:val="000000" w:themeColor="text1"/>
                <w:spacing w:val="-2"/>
                <w:sz w:val="24"/>
                <w:szCs w:val="24"/>
                <w:highlight w:val="none"/>
                <w:lang w:val="en-US" w:eastAsia="zh-CN"/>
                <w14:textFill>
                  <w14:solidFill>
                    <w14:schemeClr w14:val="tx1"/>
                  </w14:solidFill>
                </w14:textFill>
              </w:rPr>
              <w:t>Q=82m</w:t>
            </w:r>
            <w:r>
              <w:rPr>
                <w:rFonts w:hint="default" w:ascii="Times New Roman" w:hAnsi="Times New Roman" w:cs="Times New Roman"/>
                <w:color w:val="000000" w:themeColor="text1"/>
                <w:spacing w:val="-2"/>
                <w:sz w:val="24"/>
                <w:szCs w:val="24"/>
                <w:highlight w:val="none"/>
                <w:vertAlign w:val="superscript"/>
                <w:lang w:val="en-US" w:eastAsia="zh-CN"/>
                <w14:textFill>
                  <w14:solidFill>
                    <w14:schemeClr w14:val="tx1"/>
                  </w14:solidFill>
                </w14:textFill>
              </w:rPr>
              <w:t>3</w:t>
            </w:r>
            <w:r>
              <w:rPr>
                <w:rFonts w:hint="default" w:ascii="Times New Roman" w:hAnsi="Times New Roman" w:cs="Times New Roman"/>
                <w:color w:val="000000" w:themeColor="text1"/>
                <w:spacing w:val="-2"/>
                <w:sz w:val="24"/>
                <w:szCs w:val="24"/>
                <w:highlight w:val="none"/>
                <w:lang w:val="en-US" w:eastAsia="zh-CN"/>
                <w14:textFill>
                  <w14:solidFill>
                    <w14:schemeClr w14:val="tx1"/>
                  </w14:solidFill>
                </w14:textFill>
              </w:rPr>
              <w:t>/h，H=85m，N=37kW</w:t>
            </w:r>
            <w:r>
              <w:rPr>
                <w:rFonts w:hint="default" w:ascii="Times New Roman" w:hAnsi="Times New Roman" w:cs="Times New Roman"/>
                <w:color w:val="000000" w:themeColor="text1"/>
                <w:spacing w:val="-2"/>
                <w:sz w:val="24"/>
                <w:szCs w:val="24"/>
                <w:highlight w:val="none"/>
                <w:lang w:val="zh-CN"/>
                <w14:textFill>
                  <w14:solidFill>
                    <w14:schemeClr w14:val="tx1"/>
                  </w14:solidFill>
                </w14:textFill>
              </w:rPr>
              <w:t>），一用一备。</w:t>
            </w:r>
            <w:r>
              <w:rPr>
                <w:rFonts w:hint="default" w:ascii="Times New Roman" w:hAnsi="Times New Roman" w:eastAsia="宋体" w:cs="Times New Roman"/>
                <w:bCs/>
                <w:color w:val="000000" w:themeColor="text1"/>
                <w:sz w:val="24"/>
                <w:szCs w:val="24"/>
                <w:highlight w:val="none"/>
                <w:lang w:val="en-US" w:eastAsia="en-US"/>
                <w14:textFill>
                  <w14:solidFill>
                    <w14:schemeClr w14:val="tx1"/>
                  </w14:solidFill>
                </w14:textFill>
              </w:rPr>
              <w:t>本</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项目</w:t>
            </w:r>
            <w:r>
              <w:rPr>
                <w:rFonts w:hint="default" w:ascii="Times New Roman" w:hAnsi="Times New Roman" w:eastAsia="宋体" w:cs="Times New Roman"/>
                <w:bCs/>
                <w:color w:val="000000" w:themeColor="text1"/>
                <w:sz w:val="24"/>
                <w:szCs w:val="24"/>
                <w:highlight w:val="none"/>
                <w:lang w:val="en-US" w:eastAsia="en-US"/>
                <w14:textFill>
                  <w14:solidFill>
                    <w14:schemeClr w14:val="tx1"/>
                  </w14:solidFill>
                </w14:textFill>
              </w:rPr>
              <w:t>循环冷却水系统循环水</w:t>
            </w:r>
            <w:r>
              <w:rPr>
                <w:rFonts w:hint="default" w:ascii="Times New Roman" w:hAnsi="Times New Roman" w:cs="Times New Roman"/>
                <w:bCs/>
                <w:color w:val="000000" w:themeColor="text1"/>
                <w:sz w:val="24"/>
                <w:szCs w:val="24"/>
                <w:highlight w:val="none"/>
                <w:lang w:val="en-US" w:eastAsia="zh-CN"/>
                <w14:textFill>
                  <w14:solidFill>
                    <w14:schemeClr w14:val="tx1"/>
                  </w14:solidFill>
                </w14:textFill>
              </w:rPr>
              <w:t>量为</w:t>
            </w:r>
            <w:r>
              <w:rPr>
                <w:rFonts w:hint="default" w:ascii="Times New Roman" w:hAnsi="Times New Roman" w:cs="Times New Roman"/>
                <w:color w:val="000000" w:themeColor="text1"/>
                <w:spacing w:val="-2"/>
                <w:sz w:val="24"/>
                <w:szCs w:val="24"/>
                <w:highlight w:val="none"/>
                <w:lang w:val="en-US" w:eastAsia="zh-CN"/>
                <w14:textFill>
                  <w14:solidFill>
                    <w14:schemeClr w14:val="tx1"/>
                  </w14:solidFill>
                </w14:textFill>
              </w:rPr>
              <w:t>82m</w:t>
            </w:r>
            <w:r>
              <w:rPr>
                <w:rFonts w:hint="default" w:ascii="Times New Roman" w:hAnsi="Times New Roman" w:cs="Times New Roman"/>
                <w:color w:val="000000" w:themeColor="text1"/>
                <w:spacing w:val="-2"/>
                <w:sz w:val="24"/>
                <w:szCs w:val="24"/>
                <w:highlight w:val="none"/>
                <w:vertAlign w:val="superscript"/>
                <w:lang w:val="en-US" w:eastAsia="zh-CN"/>
                <w14:textFill>
                  <w14:solidFill>
                    <w14:schemeClr w14:val="tx1"/>
                  </w14:solidFill>
                </w14:textFill>
              </w:rPr>
              <w:t>3</w:t>
            </w:r>
            <w:r>
              <w:rPr>
                <w:rFonts w:hint="default" w:ascii="Times New Roman" w:hAnsi="Times New Roman" w:cs="Times New Roman"/>
                <w:color w:val="000000" w:themeColor="text1"/>
                <w:spacing w:val="-2"/>
                <w:sz w:val="24"/>
                <w:szCs w:val="24"/>
                <w:highlight w:val="none"/>
                <w:lang w:val="en-US" w:eastAsia="zh-CN"/>
                <w14:textFill>
                  <w14:solidFill>
                    <w14:schemeClr w14:val="tx1"/>
                  </w14:solidFill>
                </w14:textFill>
              </w:rPr>
              <w:t>/h</w:t>
            </w:r>
            <w:r>
              <w:rPr>
                <w:rFonts w:hint="default" w:ascii="Times New Roman" w:hAnsi="Times New Roman" w:eastAsia="宋体" w:cs="Times New Roman"/>
                <w:color w:val="000000" w:themeColor="text1"/>
                <w:sz w:val="24"/>
                <w:szCs w:val="24"/>
                <w:highlight w:val="none"/>
                <w:lang w:val="en-US" w:eastAsia="en-US"/>
                <w14:textFill>
                  <w14:solidFill>
                    <w14:schemeClr w14:val="tx1"/>
                  </w14:solidFill>
                </w14:textFill>
              </w:rPr>
              <w:t>。</w:t>
            </w:r>
          </w:p>
          <w:p w14:paraId="3E13DEB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cs="Times New Roman"/>
                <w:color w:val="000000" w:themeColor="text1"/>
                <w:sz w:val="24"/>
                <w:highlight w:val="none"/>
                <w:lang w:val="en-US" w:eastAsia="zh-CN"/>
                <w14:textFill>
                  <w14:solidFill>
                    <w14:schemeClr w14:val="tx1"/>
                  </w14:solidFill>
                </w14:textFill>
              </w:rPr>
              <w:t>2）燃料</w:t>
            </w:r>
          </w:p>
          <w:p w14:paraId="30115BB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本项目煤气由内蒙古伊东东方能源公司提供，内蒙古伊东东方能源公司位于内蒙古鄂尔多斯</w:t>
            </w:r>
            <w:r>
              <w:rPr>
                <w:rFonts w:hint="eastAsia" w:cs="Times New Roman"/>
                <w:color w:val="000000" w:themeColor="text1"/>
                <w:sz w:val="24"/>
                <w:highlight w:val="none"/>
                <w:lang w:val="en-US" w:eastAsia="zh-CN"/>
                <w14:textFill>
                  <w14:solidFill>
                    <w14:schemeClr w14:val="tx1"/>
                  </w14:solidFill>
                </w14:textFill>
              </w:rPr>
              <w:t>市</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准格尔经济开发区准格尔产业园（经度110.863799，纬度39.703745），主要生产销售洗精煤、焦炭及附属产品，煤焦油，粗苯硫磺，煤气，蒸汽等。本项目所需煤气由已建管道输送，管道全长约</w:t>
            </w:r>
            <w:r>
              <w:rPr>
                <w:rFonts w:hint="default" w:ascii="Times New Roman" w:hAnsi="Times New Roman" w:cs="Times New Roman"/>
                <w:color w:val="000000" w:themeColor="text1"/>
                <w:sz w:val="24"/>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3公里。输送管道材质为螺旋钢管，内径为DN500，输送量约6000m。所输送煤气主要成分为氢气（55%～60%）和甲烷（23%～27%），另外还含有少量的一氧化碳（5%～8%）、C2以上不饱和烃（2%～4%）、二氧化碳（1.5%～3%）、氧气（0.3%～0.8%）</w:t>
            </w:r>
            <w:r>
              <w:rPr>
                <w:rFonts w:hint="default" w:ascii="Times New Roman" w:hAnsi="Times New Roman" w:cs="Times New Roman"/>
                <w:color w:val="000000" w:themeColor="text1"/>
                <w:sz w:val="24"/>
                <w:highlight w:val="none"/>
                <w:lang w:val="en-US" w:eastAsia="zh-CN"/>
                <w14:textFill>
                  <w14:solidFill>
                    <w14:schemeClr w14:val="tx1"/>
                  </w14:solidFill>
                </w14:textFill>
              </w:rPr>
              <w:t>和</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氮气（3%～7%）。其中氢气、甲烷、一氧化碳、C2以上不饱和烃为可燃组分二氧化碳、氮气、氧气为不可燃组分。</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根据《内蒙古伊东集团东方能源化工有限责任公司直立炉绿色转型节能技改项目环境影响报告书》中产品方</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案，</w:t>
            </w:r>
            <w:r>
              <w:rPr>
                <w:rFonts w:hint="default" w:ascii="Times New Roman" w:hAnsi="Times New Roman" w:eastAsia="宋体" w:cs="Times New Roman"/>
                <w:b w:val="0"/>
                <w:bCs w:val="0"/>
                <w:color w:val="000000" w:themeColor="text1"/>
                <w:spacing w:val="-1"/>
                <w:sz w:val="24"/>
                <w:szCs w:val="24"/>
                <w:highlight w:val="none"/>
                <w14:textFill>
                  <w14:solidFill>
                    <w14:schemeClr w14:val="tx1"/>
                  </w14:solidFill>
                </w14:textFill>
              </w:rPr>
              <w:t>技改前产品方案</w:t>
            </w:r>
            <w:r>
              <w:rPr>
                <w:rFonts w:hint="default" w:ascii="Times New Roman" w:hAnsi="Times New Roman" w:eastAsia="宋体" w:cs="Times New Roman"/>
                <w:b w:val="0"/>
                <w:bCs w:val="0"/>
                <w:color w:val="000000" w:themeColor="text1"/>
                <w:spacing w:val="-1"/>
                <w:sz w:val="24"/>
                <w:szCs w:val="24"/>
                <w:highlight w:val="none"/>
                <w:lang w:val="en-US" w:eastAsia="zh-CN"/>
                <w14:textFill>
                  <w14:solidFill>
                    <w14:schemeClr w14:val="tx1"/>
                  </w14:solidFill>
                </w14:textFill>
              </w:rPr>
              <w:t>煤气产量为64169</w:t>
            </w:r>
            <w:r>
              <w:rPr>
                <w:rFonts w:hint="eastAsia" w:ascii="Times New Roman" w:hAnsi="Times New Roman" w:eastAsia="宋体" w:cs="Times New Roman"/>
                <w:b w:val="0"/>
                <w:bCs w:val="0"/>
                <w:color w:val="000000" w:themeColor="text1"/>
                <w:spacing w:val="-1"/>
                <w:sz w:val="24"/>
                <w:szCs w:val="24"/>
                <w:highlight w:val="none"/>
                <w:lang w:val="en-US" w:eastAsia="zh-CN"/>
                <w14:textFill>
                  <w14:solidFill>
                    <w14:schemeClr w14:val="tx1"/>
                  </w14:solidFill>
                </w14:textFill>
              </w:rPr>
              <w:t>.23</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/h</w:t>
            </w:r>
            <w:r>
              <w:rPr>
                <w:rFonts w:hint="default" w:ascii="Times New Roman" w:hAnsi="Times New Roman" w:eastAsia="宋体" w:cs="Times New Roman"/>
                <w:b w:val="0"/>
                <w:bCs w:val="0"/>
                <w:color w:val="000000" w:themeColor="text1"/>
                <w:spacing w:val="-1"/>
                <w:sz w:val="24"/>
                <w:szCs w:val="24"/>
                <w:highlight w:val="none"/>
                <w:lang w:val="en-US" w:eastAsia="zh-CN"/>
                <w14:textFill>
                  <w14:solidFill>
                    <w14:schemeClr w14:val="tx1"/>
                  </w14:solidFill>
                </w14:textFill>
              </w:rPr>
              <w:t>（51335.38</w:t>
            </w:r>
            <w:r>
              <w:rPr>
                <w:rFonts w:hint="eastAsia" w:ascii="Times New Roman" w:hAnsi="Times New Roman" w:eastAsia="宋体" w:cs="Times New Roman"/>
                <w:b w:val="0"/>
                <w:bCs w:val="0"/>
                <w:color w:val="000000" w:themeColor="text1"/>
                <w:spacing w:val="-1"/>
                <w:sz w:val="24"/>
                <w:szCs w:val="24"/>
                <w:highlight w:val="none"/>
                <w:lang w:val="en-US" w:eastAsia="zh-CN"/>
                <w14:textFill>
                  <w14:solidFill>
                    <w14:schemeClr w14:val="tx1"/>
                  </w14:solidFill>
                </w14:textFill>
              </w:rPr>
              <w:t>万</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/a）</w:t>
            </w:r>
            <w:r>
              <w:rPr>
                <w:rFonts w:hint="default" w:ascii="Times New Roman" w:hAnsi="Times New Roman" w:eastAsia="宋体" w:cs="Times New Roman"/>
                <w:b w:val="0"/>
                <w:bCs w:val="0"/>
                <w:color w:val="000000" w:themeColor="text1"/>
                <w:spacing w:val="-1"/>
                <w:sz w:val="24"/>
                <w:szCs w:val="24"/>
                <w:highlight w:val="none"/>
                <w:lang w:val="en-US" w:eastAsia="zh-CN"/>
                <w14:textFill>
                  <w14:solidFill>
                    <w14:schemeClr w14:val="tx1"/>
                  </w14:solidFill>
                </w14:textFill>
              </w:rPr>
              <w:t>，技改后</w:t>
            </w:r>
            <w:r>
              <w:rPr>
                <w:rFonts w:hint="default" w:ascii="Times New Roman" w:hAnsi="Times New Roman" w:eastAsia="宋体" w:cs="Times New Roman"/>
                <w:b w:val="0"/>
                <w:bCs w:val="0"/>
                <w:color w:val="000000" w:themeColor="text1"/>
                <w:spacing w:val="-1"/>
                <w:sz w:val="24"/>
                <w:szCs w:val="24"/>
                <w:highlight w:val="none"/>
                <w14:textFill>
                  <w14:solidFill>
                    <w14:schemeClr w14:val="tx1"/>
                  </w14:solidFill>
                </w14:textFill>
              </w:rPr>
              <w:t>产品方案</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煤气产量</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82826.25</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/h（66261万m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/a），</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技改后煤气</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新增</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量为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18657.03</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/h</w:t>
            </w:r>
            <w:r>
              <w:rPr>
                <w:rFonts w:hint="default" w:ascii="Times New Roman" w:hAnsi="Times New Roman" w:eastAsia="宋体" w:cs="Times New Roman"/>
                <w:b w:val="0"/>
                <w:bCs w:val="0"/>
                <w:color w:val="000000" w:themeColor="text1"/>
                <w:spacing w:val="-1"/>
                <w:sz w:val="24"/>
                <w:szCs w:val="24"/>
                <w:highlight w:val="none"/>
                <w:lang w:val="en-US" w:eastAsia="zh-CN"/>
                <w14:textFill>
                  <w14:solidFill>
                    <w14:schemeClr w14:val="tx1"/>
                  </w14:solidFill>
                </w14:textFill>
              </w:rPr>
              <w:t>（</w:t>
            </w:r>
            <w:r>
              <w:rPr>
                <w:rFonts w:hint="eastAsia" w:ascii="Times New Roman" w:hAnsi="Times New Roman" w:eastAsia="宋体" w:cs="Times New Roman"/>
                <w:b w:val="0"/>
                <w:bCs w:val="0"/>
                <w:color w:val="000000" w:themeColor="text1"/>
                <w:spacing w:val="-1"/>
                <w:sz w:val="24"/>
                <w:szCs w:val="24"/>
                <w:highlight w:val="none"/>
                <w:lang w:val="en-US" w:eastAsia="zh-CN"/>
                <w14:textFill>
                  <w14:solidFill>
                    <w14:schemeClr w14:val="tx1"/>
                  </w14:solidFill>
                </w14:textFill>
              </w:rPr>
              <w:t>14925.62万</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m</w:t>
            </w:r>
            <w:r>
              <w:rPr>
                <w:rFonts w:hint="default" w:ascii="Times New Roman" w:hAnsi="Times New Roman" w:eastAsia="宋体" w:cs="Times New Roman"/>
                <w:b w:val="0"/>
                <w:bCs w:val="0"/>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/a）</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，本项目煤气用量为</w:t>
            </w:r>
            <w:r>
              <w:rPr>
                <w:rFonts w:hint="eastAsia" w:cs="Times New Roman"/>
                <w:color w:val="000000" w:themeColor="text1"/>
                <w:sz w:val="24"/>
                <w:szCs w:val="24"/>
                <w:highlight w:val="none"/>
                <w:lang w:val="en-US" w:eastAsia="zh-CN"/>
                <w14:textFill>
                  <w14:solidFill>
                    <w14:schemeClr w14:val="tx1"/>
                  </w14:solidFill>
                </w14:textFill>
              </w:rPr>
              <w:t>20730.03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/h（</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14925.62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万m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vertAlign w:val="baseline"/>
                <w:lang w:val="en-US" w:eastAsia="zh-CN"/>
                <w14:textFill>
                  <w14:solidFill>
                    <w14:schemeClr w14:val="tx1"/>
                  </w14:solidFill>
                </w14:textFill>
              </w:rPr>
              <w:t>/a</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），可以满足本项目用气需求。</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20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21年</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项目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停运，</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原有煤气制备甲醇工序停产，项目20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23年</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项目进行</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技改环评，</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技改项目计划20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26年5月启炉</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，因此，</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气量满足</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本项目用量</w:t>
            </w:r>
            <w:r>
              <w:rPr>
                <w:rFonts w:hint="eastAsia" w:cs="Times New Roman"/>
                <w:color w:val="000000" w:themeColor="text1"/>
                <w:sz w:val="24"/>
                <w:highlight w:val="none"/>
                <w:lang w:val="en-US" w:eastAsia="zh-CN"/>
                <w14:textFill>
                  <w14:solidFill>
                    <w14:schemeClr w14:val="tx1"/>
                  </w14:solidFill>
                </w14:textFill>
              </w:rPr>
              <w:t>。</w:t>
            </w:r>
            <w:r>
              <w:rPr>
                <w:rFonts w:hint="default" w:ascii="Times New Roman" w:hAnsi="Times New Roman" w:cs="Times New Roman"/>
                <w:color w:val="000000" w:themeColor="text1"/>
                <w:sz w:val="24"/>
                <w:highlight w:val="none"/>
                <w:lang w:val="en-US" w:eastAsia="zh-CN"/>
                <w14:textFill>
                  <w14:solidFill>
                    <w14:schemeClr w14:val="tx1"/>
                  </w14:solidFill>
                </w14:textFill>
              </w:rPr>
              <w:t>煤气来源内蒙古伊东东方能源公司位置</w:t>
            </w:r>
            <w:r>
              <w:rPr>
                <w:rFonts w:hint="eastAsia" w:ascii="Times New Roman" w:hAnsi="Times New Roman" w:cs="Times New Roman"/>
                <w:color w:val="000000" w:themeColor="text1"/>
                <w:sz w:val="24"/>
                <w:highlight w:val="none"/>
                <w:lang w:val="en-US" w:eastAsia="zh-CN"/>
                <w14:textFill>
                  <w14:solidFill>
                    <w14:schemeClr w14:val="tx1"/>
                  </w14:solidFill>
                </w14:textFill>
              </w:rPr>
              <w:t>与</w:t>
            </w:r>
            <w:r>
              <w:rPr>
                <w:rFonts w:hint="default" w:ascii="Times New Roman" w:hAnsi="Times New Roman" w:cs="Times New Roman"/>
                <w:color w:val="000000" w:themeColor="text1"/>
                <w:sz w:val="24"/>
                <w:highlight w:val="none"/>
                <w:lang w:val="en-US" w:eastAsia="zh-CN"/>
                <w14:textFill>
                  <w14:solidFill>
                    <w14:schemeClr w14:val="tx1"/>
                  </w14:solidFill>
                </w14:textFill>
              </w:rPr>
              <w:t>本项目位置关系详见附图。</w:t>
            </w:r>
          </w:p>
          <w:p w14:paraId="123AF7C9">
            <w:pPr>
              <w:keepNext w:val="0"/>
              <w:keepLines w:val="0"/>
              <w:pageBreakBefore w:val="0"/>
              <w:widowControl/>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1.</w:t>
            </w:r>
            <w:r>
              <w:rPr>
                <w:rFonts w:hint="default" w:ascii="Times New Roman" w:hAnsi="Times New Roman" w:cs="Times New Roman"/>
                <w:b/>
                <w:bCs/>
                <w:color w:val="000000" w:themeColor="text1"/>
                <w:sz w:val="24"/>
                <w:highlight w:val="none"/>
                <w:lang w:val="en-US" w:eastAsia="zh-CN"/>
                <w14:textFill>
                  <w14:solidFill>
                    <w14:schemeClr w14:val="tx1"/>
                  </w14:solidFill>
                </w14:textFill>
              </w:rPr>
              <w:t>9</w:t>
            </w:r>
            <w:r>
              <w:rPr>
                <w:rFonts w:hint="default" w:ascii="Times New Roman" w:hAnsi="Times New Roman" w:eastAsia="宋体" w:cs="Times New Roman"/>
                <w:b/>
                <w:bCs/>
                <w:color w:val="000000" w:themeColor="text1"/>
                <w:sz w:val="24"/>
                <w:highlight w:val="none"/>
                <w14:textFill>
                  <w14:solidFill>
                    <w14:schemeClr w14:val="tx1"/>
                  </w14:solidFill>
                </w14:textFill>
              </w:rPr>
              <w:t>厂区平面布局合理性分析</w:t>
            </w:r>
          </w:p>
          <w:p w14:paraId="58AE636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highlight w:val="none"/>
                <w:lang w:val="en-US" w:eastAsia="zh-CN"/>
                <w14:textFill>
                  <w14:solidFill>
                    <w14:schemeClr w14:val="tx1"/>
                  </w14:solidFill>
                </w14:textFill>
              </w:rPr>
            </w:pPr>
            <w:r>
              <w:rPr>
                <w:rFonts w:hint="default" w:ascii="Times New Roman" w:hAnsi="Times New Roman" w:cs="Times New Roman"/>
                <w:color w:val="000000" w:themeColor="text1"/>
                <w:sz w:val="24"/>
                <w:highlight w:val="none"/>
                <w:lang w:val="en-US" w:eastAsia="zh-CN"/>
                <w14:textFill>
                  <w14:solidFill>
                    <w14:schemeClr w14:val="tx1"/>
                  </w14:solidFill>
                </w14:textFill>
              </w:rPr>
              <w:t>1）工厂总平面设计</w:t>
            </w:r>
          </w:p>
          <w:p w14:paraId="1B42647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根据所能使用的场地条件及工艺流程要求，结合工厂总图运输设计原则，总图布置将新增煤矸石生产线与内蒙古伊东高新材料有限公司的粉磨站平行布置</w:t>
            </w:r>
            <w:r>
              <w:rPr>
                <w:rFonts w:hint="default" w:ascii="Times New Roman" w:hAnsi="Times New Roman" w:cs="Times New Roman"/>
                <w:color w:val="000000" w:themeColor="text1"/>
                <w:sz w:val="24"/>
                <w:highlight w:val="none"/>
                <w:lang w:val="en-US" w:eastAsia="zh-CN"/>
                <w14:textFill>
                  <w14:solidFill>
                    <w14:schemeClr w14:val="tx1"/>
                  </w14:solidFill>
                </w14:textFill>
              </w:rPr>
              <w:t>，便于原料气力输送</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。根据不同的功能分区，本项目总共分为3个区域，分别为窑尾烧成区、高岭土冷却分选区</w:t>
            </w:r>
            <w:r>
              <w:rPr>
                <w:rFonts w:hint="default" w:ascii="Times New Roman" w:hAnsi="Times New Roman" w:cs="Times New Roman"/>
                <w:color w:val="000000" w:themeColor="text1"/>
                <w:sz w:val="24"/>
                <w:highlight w:val="none"/>
                <w:lang w:val="en-US" w:eastAsia="zh-CN"/>
                <w14:textFill>
                  <w14:solidFill>
                    <w14:schemeClr w14:val="tx1"/>
                  </w14:solidFill>
                </w14:textFill>
              </w:rPr>
              <w:t>（含窑头电气）</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、大小袋包装及储存区等。本项目辅助生产</w:t>
            </w:r>
            <w:r>
              <w:rPr>
                <w:rFonts w:hint="default" w:ascii="Times New Roman" w:hAnsi="Times New Roman" w:cs="Times New Roman"/>
                <w:color w:val="000000" w:themeColor="text1"/>
                <w:sz w:val="24"/>
                <w:highlight w:val="none"/>
                <w:lang w:val="en-US" w:eastAsia="zh-CN"/>
                <w14:textFill>
                  <w14:solidFill>
                    <w14:schemeClr w14:val="tx1"/>
                  </w14:solidFill>
                </w14:textFill>
              </w:rPr>
              <w:t>及环保工程</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主要有：中控化验室、空压站、</w:t>
            </w:r>
            <w:r>
              <w:rPr>
                <w:rFonts w:hint="eastAsia" w:cs="Times New Roman"/>
                <w:color w:val="000000" w:themeColor="text1"/>
                <w:sz w:val="24"/>
                <w:highlight w:val="none"/>
                <w:lang w:val="en-US" w:eastAsia="zh-CN"/>
                <w14:textFill>
                  <w14:solidFill>
                    <w14:schemeClr w14:val="tx1"/>
                  </w14:solidFill>
                </w14:textFill>
              </w:rPr>
              <w:t>软水</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处理、电气室、余热锅炉、脱硫系统、脱硝系统、门卫等。辅助生产车间根据主要服务车间的不同，分散布置在各自的负荷中心附近，以最大限度减少管道、线路等长度，节省工程投资，减少损耗，节省能源等。具体布置情况如下：</w:t>
            </w:r>
          </w:p>
          <w:p w14:paraId="4765447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一</w:t>
            </w:r>
            <w:r>
              <w:rPr>
                <w:rFonts w:hint="default" w:ascii="Times New Roman" w:hAnsi="Times New Roman"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窑尾烧成区</w:t>
            </w:r>
          </w:p>
          <w:p w14:paraId="1A25F69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该</w:t>
            </w:r>
            <w:r>
              <w:rPr>
                <w:rFonts w:hint="default" w:ascii="Times New Roman" w:hAnsi="Times New Roman" w:cs="Times New Roman"/>
                <w:color w:val="000000" w:themeColor="text1"/>
                <w:sz w:val="24"/>
                <w:highlight w:val="none"/>
                <w:lang w:val="en-US" w:eastAsia="zh-CN"/>
                <w14:textFill>
                  <w14:solidFill>
                    <w14:schemeClr w14:val="tx1"/>
                  </w14:solidFill>
                </w14:textFill>
              </w:rPr>
              <w:t>区域</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位于本项目用地的</w:t>
            </w:r>
            <w:r>
              <w:rPr>
                <w:rFonts w:hint="default" w:ascii="Times New Roman" w:hAnsi="Times New Roman" w:cs="Times New Roman"/>
                <w:color w:val="000000" w:themeColor="text1"/>
                <w:sz w:val="24"/>
                <w:highlight w:val="none"/>
                <w:lang w:val="en-US" w:eastAsia="zh-CN"/>
                <w14:textFill>
                  <w14:solidFill>
                    <w14:schemeClr w14:val="tx1"/>
                  </w14:solidFill>
                </w14:textFill>
              </w:rPr>
              <w:t>中部</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，包括</w:t>
            </w:r>
            <w:r>
              <w:rPr>
                <w:rFonts w:hint="default" w:ascii="Times New Roman" w:hAnsi="Times New Roman" w:cs="Times New Roman"/>
                <w:color w:val="000000" w:themeColor="text1"/>
                <w:sz w:val="24"/>
                <w:highlight w:val="none"/>
                <w:lang w:val="en-US" w:eastAsia="zh-CN"/>
                <w14:textFill>
                  <w14:solidFill>
                    <w14:schemeClr w14:val="tx1"/>
                  </w14:solidFill>
                </w14:textFill>
              </w:rPr>
              <w:t>煅烧</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窑尾及收尘、</w:t>
            </w:r>
            <w:r>
              <w:rPr>
                <w:rFonts w:hint="default" w:ascii="Times New Roman" w:hAnsi="Times New Roman" w:cs="Times New Roman"/>
                <w:color w:val="000000" w:themeColor="text1"/>
                <w:sz w:val="24"/>
                <w:highlight w:val="none"/>
                <w:lang w:val="en-US" w:eastAsia="zh-CN"/>
                <w14:textFill>
                  <w14:solidFill>
                    <w14:schemeClr w14:val="tx1"/>
                  </w14:solidFill>
                </w14:textFill>
              </w:rPr>
              <w:t>煅烧</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窑中等，该</w:t>
            </w:r>
            <w:r>
              <w:rPr>
                <w:rFonts w:hint="default" w:ascii="Times New Roman" w:hAnsi="Times New Roman" w:cs="Times New Roman"/>
                <w:color w:val="000000" w:themeColor="text1"/>
                <w:sz w:val="24"/>
                <w:highlight w:val="none"/>
                <w:lang w:val="en-US" w:eastAsia="zh-CN"/>
                <w14:textFill>
                  <w14:solidFill>
                    <w14:schemeClr w14:val="tx1"/>
                  </w14:solidFill>
                </w14:textFill>
              </w:rPr>
              <w:t>区域</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位于本项目场地较高处。</w:t>
            </w:r>
          </w:p>
          <w:p w14:paraId="3069FE1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二</w:t>
            </w:r>
            <w:r>
              <w:rPr>
                <w:rFonts w:hint="default" w:ascii="Times New Roman" w:hAnsi="Times New Roman"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高岭土冷却分选区</w:t>
            </w:r>
          </w:p>
          <w:p w14:paraId="4F27CA0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该区位于本项目用地中部，主要有高岭土冷却、高岭土分选车间等。</w:t>
            </w:r>
          </w:p>
          <w:p w14:paraId="3C103C7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三</w:t>
            </w:r>
            <w:r>
              <w:rPr>
                <w:rFonts w:hint="default" w:ascii="Times New Roman" w:hAnsi="Times New Roman"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大小袋包装及储存区</w:t>
            </w:r>
          </w:p>
          <w:p w14:paraId="36D4AC6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该区位于本项目用地</w:t>
            </w:r>
            <w:r>
              <w:rPr>
                <w:rFonts w:hint="default" w:ascii="Times New Roman" w:hAnsi="Times New Roman" w:cs="Times New Roman"/>
                <w:color w:val="000000" w:themeColor="text1"/>
                <w:sz w:val="24"/>
                <w:highlight w:val="none"/>
                <w:lang w:val="en-US" w:eastAsia="zh-CN"/>
                <w14:textFill>
                  <w14:solidFill>
                    <w14:schemeClr w14:val="tx1"/>
                  </w14:solidFill>
                </w14:textFill>
              </w:rPr>
              <w:t>北部</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，主要有</w:t>
            </w:r>
            <w:r>
              <w:rPr>
                <w:rFonts w:hint="eastAsia" w:cs="Times New Roman"/>
                <w:color w:val="000000" w:themeColor="text1"/>
                <w:sz w:val="24"/>
                <w:highlight w:val="none"/>
                <w:lang w:val="en-US" w:eastAsia="zh-CN"/>
                <w14:textFill>
                  <w14:solidFill>
                    <w14:schemeClr w14:val="tx1"/>
                  </w14:solidFill>
                </w14:textFill>
              </w:rPr>
              <w:t>软水</w:t>
            </w:r>
            <w:r>
              <w:rPr>
                <w:rFonts w:hint="default" w:ascii="Times New Roman" w:hAnsi="Times New Roman" w:cs="Times New Roman"/>
                <w:color w:val="000000" w:themeColor="text1"/>
                <w:sz w:val="24"/>
                <w:highlight w:val="none"/>
                <w:lang w:val="en-US" w:eastAsia="zh-CN"/>
                <w14:textFill>
                  <w14:solidFill>
                    <w14:schemeClr w14:val="tx1"/>
                  </w14:solidFill>
                </w14:textFill>
              </w:rPr>
              <w:t>处理、原料粉储存及输送、机电车间及材料库、黄料库。</w:t>
            </w:r>
          </w:p>
          <w:p w14:paraId="650D370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highlight w:val="none"/>
                <w:lang w:val="en-US" w:eastAsia="zh-CN"/>
                <w14:textFill>
                  <w14:solidFill>
                    <w14:schemeClr w14:val="tx1"/>
                  </w14:solidFill>
                </w14:textFill>
              </w:rPr>
            </w:pPr>
            <w:r>
              <w:rPr>
                <w:rFonts w:hint="default" w:ascii="Times New Roman" w:hAnsi="Times New Roman" w:cs="Times New Roman"/>
                <w:color w:val="000000" w:themeColor="text1"/>
                <w:sz w:val="24"/>
                <w:highlight w:val="none"/>
                <w:lang w:val="en-US" w:eastAsia="zh-CN"/>
                <w14:textFill>
                  <w14:solidFill>
                    <w14:schemeClr w14:val="tx1"/>
                  </w14:solidFill>
                </w14:textFill>
              </w:rPr>
              <w:t>四、产品存储及包装</w:t>
            </w:r>
          </w:p>
          <w:p w14:paraId="17712AC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高岭土大袋包装、高岭土小袋包装、成品堆棚等。该区位于本项目场地较低处，且与园区环城路距离较近，便于成品装车和发运。</w:t>
            </w:r>
          </w:p>
          <w:p w14:paraId="4EB9BD95">
            <w:pPr>
              <w:pStyle w:val="8"/>
              <w:spacing w:line="360" w:lineRule="auto"/>
              <w:rPr>
                <w:rFonts w:hint="default" w:ascii="Times New Roman" w:hAnsi="Times New Roman" w:cs="Times New Roman"/>
                <w:color w:val="000000" w:themeColor="text1"/>
                <w:sz w:val="24"/>
                <w:highlight w:val="none"/>
                <w:lang w:val="en-US" w:eastAsia="zh-CN"/>
                <w14:textFill>
                  <w14:solidFill>
                    <w14:schemeClr w14:val="tx1"/>
                  </w14:solidFill>
                </w14:textFill>
              </w:rPr>
            </w:pPr>
            <w:r>
              <w:rPr>
                <w:rFonts w:hint="default" w:ascii="Times New Roman" w:hAnsi="Times New Roman" w:cs="Times New Roman"/>
                <w:color w:val="000000" w:themeColor="text1"/>
                <w:sz w:val="24"/>
                <w:highlight w:val="none"/>
                <w:lang w:val="en-US" w:eastAsia="zh-CN"/>
                <w14:textFill>
                  <w14:solidFill>
                    <w14:schemeClr w14:val="tx1"/>
                  </w14:solidFill>
                </w14:textFill>
              </w:rPr>
              <w:t>五、</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辅助生产车间</w:t>
            </w:r>
            <w:r>
              <w:rPr>
                <w:rFonts w:hint="default" w:ascii="Times New Roman" w:hAnsi="Times New Roman" w:cs="Times New Roman"/>
                <w:color w:val="000000" w:themeColor="text1"/>
                <w:sz w:val="24"/>
                <w:highlight w:val="none"/>
                <w:lang w:val="en-US" w:eastAsia="zh-CN"/>
                <w14:textFill>
                  <w14:solidFill>
                    <w14:schemeClr w14:val="tx1"/>
                  </w14:solidFill>
                </w14:textFill>
              </w:rPr>
              <w:t>和环保工程</w:t>
            </w:r>
          </w:p>
          <w:p w14:paraId="59A102AF">
            <w:pPr>
              <w:pStyle w:val="8"/>
              <w:spacing w:line="360" w:lineRule="auto"/>
              <w:rPr>
                <w:rFonts w:hint="default" w:ascii="Times New Roman" w:hAnsi="Times New Roman" w:cs="Times New Roman"/>
                <w:color w:val="000000" w:themeColor="text1"/>
                <w:highlight w:val="none"/>
                <w:lang w:val="en-US"/>
                <w14:textFill>
                  <w14:solidFill>
                    <w14:schemeClr w14:val="tx1"/>
                  </w14:solidFill>
                </w14:textFill>
              </w:rPr>
            </w:pPr>
            <w:r>
              <w:rPr>
                <w:rFonts w:hint="default" w:ascii="Times New Roman" w:hAnsi="Times New Roman" w:cs="Times New Roman"/>
                <w:color w:val="000000" w:themeColor="text1"/>
                <w:sz w:val="24"/>
                <w:highlight w:val="none"/>
                <w:lang w:val="en-US" w:eastAsia="zh-CN"/>
                <w14:textFill>
                  <w14:solidFill>
                    <w14:schemeClr w14:val="tx1"/>
                  </w14:solidFill>
                </w14:textFill>
              </w:rPr>
              <w:t>氨水罐区、脱硫系统、换热站、中控室、办公楼。</w:t>
            </w:r>
          </w:p>
          <w:p w14:paraId="0BB11F0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具体布置详见厂区总平面布置图。</w:t>
            </w:r>
          </w:p>
          <w:p w14:paraId="3F53836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综上，本方案布置工艺流程合理，物料流向顺畅、短捷，厂区交通便利，总平面布置紧凑、完善等优点</w:t>
            </w:r>
            <w:r>
              <w:rPr>
                <w:rFonts w:hint="default" w:ascii="Times New Roman" w:hAnsi="Times New Roman" w:eastAsia="宋体" w:cs="Times New Roman"/>
                <w:color w:val="000000" w:themeColor="text1"/>
                <w:sz w:val="24"/>
                <w:highlight w:val="none"/>
                <w14:textFill>
                  <w14:solidFill>
                    <w14:schemeClr w14:val="tx1"/>
                  </w14:solidFill>
                </w14:textFill>
              </w:rPr>
              <w:t>。</w:t>
            </w:r>
          </w:p>
          <w:p w14:paraId="775C39D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厂区竖向设计及场地排水</w:t>
            </w:r>
          </w:p>
          <w:p w14:paraId="48E70B0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本方案顺应地势进行竖向设计，以尽量减少场平填挖方量，同时满足运输、消防、检修和排水</w:t>
            </w:r>
            <w:r>
              <w:rPr>
                <w:rFonts w:hint="default" w:ascii="Times New Roman" w:hAnsi="Times New Roman" w:cs="Times New Roman"/>
                <w:color w:val="000000" w:themeColor="text1"/>
                <w:sz w:val="24"/>
                <w:highlight w:val="none"/>
                <w:lang w:val="en-US" w:eastAsia="zh-CN"/>
                <w14:textFill>
                  <w14:solidFill>
                    <w14:schemeClr w14:val="tx1"/>
                  </w14:solidFill>
                </w14:textFill>
              </w:rPr>
              <w:t>等</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要求。</w:t>
            </w:r>
          </w:p>
          <w:p w14:paraId="52EEAEC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厂区内设置排雨水管网系统，以收集雨水排出厂外。</w:t>
            </w:r>
          </w:p>
          <w:p w14:paraId="0B25A30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厂区道路</w:t>
            </w:r>
          </w:p>
          <w:p w14:paraId="1F0F223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结合运输、消防及检修要求，结合粉磨站已建厂区道路及硬化场地现状，本项目新增道路及硬化场地范围满足生产运营、检修、消防</w:t>
            </w:r>
            <w:r>
              <w:rPr>
                <w:rFonts w:hint="default" w:ascii="Times New Roman" w:hAnsi="Times New Roman" w:cs="Times New Roman"/>
                <w:color w:val="000000" w:themeColor="text1"/>
                <w:sz w:val="24"/>
                <w:highlight w:val="none"/>
                <w:lang w:val="en-US" w:eastAsia="zh-CN"/>
                <w14:textFill>
                  <w14:solidFill>
                    <w14:schemeClr w14:val="tx1"/>
                  </w14:solidFill>
                </w14:textFill>
              </w:rPr>
              <w:t>等</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需求。</w:t>
            </w:r>
          </w:p>
          <w:p w14:paraId="5B7EEF6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厂内道路呈环形设置，采用郊区型道路型式。厂内主要道路宽7</w:t>
            </w:r>
            <w:r>
              <w:rPr>
                <w:rFonts w:hint="default" w:ascii="Times New Roman" w:hAnsi="Times New Roman" w:cs="Times New Roman"/>
                <w:color w:val="000000" w:themeColor="text1"/>
                <w:sz w:val="24"/>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，车间引道宽4</w:t>
            </w:r>
            <w:r>
              <w:rPr>
                <w:rFonts w:hint="default" w:ascii="Times New Roman" w:hAnsi="Times New Roman" w:cs="Times New Roman"/>
                <w:color w:val="000000" w:themeColor="text1"/>
                <w:sz w:val="24"/>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，以满足厂内物料运输、设备检修及消防的需要。各主要建构筑物一侧或两侧均设有道路，各主要车间设计有车间引道，使车辆可以顺利地进入各车间，以满足大型设备检修及消防安全的需要。</w:t>
            </w:r>
          </w:p>
          <w:p w14:paraId="587A58F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鉴于沙圪堵镇</w:t>
            </w:r>
            <w:r>
              <w:rPr>
                <w:rFonts w:hint="default" w:ascii="Times New Roman" w:hAnsi="Times New Roman" w:cs="Times New Roman"/>
                <w:color w:val="000000" w:themeColor="text1"/>
                <w:sz w:val="24"/>
                <w:highlight w:val="none"/>
                <w:lang w:val="en-US" w:eastAsia="zh-CN"/>
                <w14:textFill>
                  <w14:solidFill>
                    <w14:schemeClr w14:val="tx1"/>
                  </w14:solidFill>
                </w14:textFill>
              </w:rPr>
              <w:t>覆土深度</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达1</w:t>
            </w:r>
            <w:r>
              <w:rPr>
                <w:rFonts w:hint="default" w:ascii="Times New Roman" w:hAnsi="Times New Roman" w:cs="Times New Roman"/>
                <w:color w:val="000000" w:themeColor="text1"/>
                <w:sz w:val="24"/>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，道路路基需进行换填处理；换填作业中开挖的土方，可用于成品库装车站台的填方工程。</w:t>
            </w:r>
          </w:p>
          <w:p w14:paraId="76D7F34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工厂运输</w:t>
            </w:r>
          </w:p>
          <w:p w14:paraId="6864406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本项目原料通过气力输送设备等运输，成品运输为汽车运输。本设计不考虑购置运输设备，由社会运输力量解决厂外物料运输的问题。</w:t>
            </w:r>
          </w:p>
          <w:p w14:paraId="1FE3AB6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本项目新增1台汽车衡进行成品结算计量，汽车衡设在厂区大门口处。</w:t>
            </w:r>
          </w:p>
          <w:p w14:paraId="5094C8A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cs="Times New Roman"/>
                <w:color w:val="000000" w:themeColor="text1"/>
                <w:sz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工厂绿化规划</w:t>
            </w:r>
          </w:p>
          <w:p w14:paraId="5FAEE57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为了改善工厂生产、生活环境，对本厂进行绿化规划。</w:t>
            </w:r>
          </w:p>
          <w:p w14:paraId="0556608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本方案绿化以厂内道路两侧条带地段及场地边坡绿化为主，车间四周空地绿化为辅。对有粉尘产生的车间四周种植一些阔叶、抗尘吸尘树种作为防护带，尽量减少粉尘的扩散。</w:t>
            </w:r>
          </w:p>
          <w:p w14:paraId="3580084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本项目地理位置总平面布置图见</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附图1、</w:t>
            </w:r>
            <w:r>
              <w:rPr>
                <w:rFonts w:hint="default" w:ascii="Times New Roman" w:hAnsi="Times New Roman" w:eastAsia="宋体" w:cs="Times New Roman"/>
                <w:color w:val="000000" w:themeColor="text1"/>
                <w:sz w:val="24"/>
                <w:highlight w:val="none"/>
                <w14:textFill>
                  <w14:solidFill>
                    <w14:schemeClr w14:val="tx1"/>
                  </w14:solidFill>
                </w14:textFill>
              </w:rPr>
              <w:t>图</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14:textFill>
                  <w14:solidFill>
                    <w14:schemeClr w14:val="tx1"/>
                  </w14:solidFill>
                </w14:textFill>
              </w:rPr>
              <w:t>。</w:t>
            </w:r>
          </w:p>
        </w:tc>
      </w:tr>
      <w:tr w14:paraId="2A669C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65" w:hRule="atLeast"/>
          <w:jc w:val="center"/>
        </w:trPr>
        <w:tc>
          <w:tcPr>
            <w:tcW w:w="251" w:type="pct"/>
            <w:noWrap w:val="0"/>
            <w:vAlign w:val="center"/>
          </w:tcPr>
          <w:p w14:paraId="5DB14371">
            <w:pPr>
              <w:pStyle w:val="20"/>
              <w:adjustRightInd w:val="0"/>
              <w:snapToGrid w:val="0"/>
              <w:spacing w:before="0" w:beforeAutospacing="0" w:after="0" w:afterAutospacing="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4"/>
                <w:highlight w:val="none"/>
                <w14:textFill>
                  <w14:solidFill>
                    <w14:schemeClr w14:val="tx1"/>
                  </w14:solidFill>
                </w14:textFill>
              </w:rPr>
              <w:t>工艺流程和产排污环节</w:t>
            </w:r>
          </w:p>
        </w:tc>
        <w:tc>
          <w:tcPr>
            <w:tcW w:w="4748" w:type="pct"/>
            <w:noWrap w:val="0"/>
            <w:vAlign w:val="top"/>
          </w:tcPr>
          <w:p w14:paraId="17393259">
            <w:pPr>
              <w:pStyle w:val="9"/>
              <w:spacing w:before="120" w:beforeLines="50" w:after="0"/>
              <w:ind w:left="0" w:leftChars="0" w:firstLine="482"/>
              <w:jc w:val="left"/>
              <w:rPr>
                <w:rFonts w:hint="default" w:ascii="Times New Roman" w:hAnsi="Times New Roman" w:eastAsia="宋体" w:cs="Times New Roman"/>
                <w:color w:val="000000" w:themeColor="text1"/>
                <w:szCs w:val="24"/>
                <w:highlight w:val="none"/>
                <w14:textFill>
                  <w14:solidFill>
                    <w14:schemeClr w14:val="tx1"/>
                  </w14:solidFill>
                </w14:textFill>
              </w:rPr>
            </w:pPr>
            <w:r>
              <w:rPr>
                <w:rFonts w:hint="default" w:ascii="Times New Roman" w:hAnsi="Times New Roman" w:eastAsia="宋体" w:cs="Times New Roman"/>
                <w:b/>
                <w:bCs/>
                <w:color w:val="000000" w:themeColor="text1"/>
                <w:szCs w:val="24"/>
                <w:highlight w:val="none"/>
                <w14:textFill>
                  <w14:solidFill>
                    <w14:schemeClr w14:val="tx1"/>
                  </w14:solidFill>
                </w14:textFill>
              </w:rPr>
              <w:t>一、施工期主要工序及排污节点</w:t>
            </w:r>
          </w:p>
          <w:p w14:paraId="08D1BD03">
            <w:pPr>
              <w:pStyle w:val="99"/>
              <w:spacing w:before="120" w:beforeLines="50" w:line="360" w:lineRule="auto"/>
              <w:ind w:firstLineChars="20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本项目的施工过程包括：土方开挖、主体工程建设、设备安装等步骤，施工过程中主要产生少量粉尘、施工废水、噪声、生活污水及施工垃圾等污染物。施工工艺流程及排污节点如</w:t>
            </w:r>
            <w:r>
              <w:rPr>
                <w:rFonts w:hint="default" w:ascii="Times New Roman" w:hAnsi="Times New Roman" w:eastAsia="宋体" w:cs="Times New Roman"/>
                <w:color w:val="000000" w:themeColor="text1"/>
                <w:highlight w:val="none"/>
                <w:lang w:val="en-US" w:eastAsia="zh-CN"/>
                <w14:textFill>
                  <w14:solidFill>
                    <w14:schemeClr w14:val="tx1"/>
                  </w14:solidFill>
                </w14:textFill>
              </w:rPr>
              <w:t>下</w:t>
            </w:r>
            <w:r>
              <w:rPr>
                <w:rFonts w:hint="default" w:ascii="Times New Roman" w:hAnsi="Times New Roman" w:eastAsia="宋体" w:cs="Times New Roman"/>
                <w:color w:val="000000" w:themeColor="text1"/>
                <w:highlight w:val="none"/>
                <w14:textFill>
                  <w14:solidFill>
                    <w14:schemeClr w14:val="tx1"/>
                  </w14:solidFill>
                </w14:textFill>
              </w:rPr>
              <w:t>图所示。</w:t>
            </w:r>
          </w:p>
          <w:p w14:paraId="08812EFC">
            <w:pPr>
              <w:pStyle w:val="14"/>
              <w:rPr>
                <w:rFonts w:hint="default" w:ascii="Times New Roman" w:hAnsi="Times New Roman" w:eastAsia="宋体" w:cs="Times New Roman"/>
                <w:color w:val="000000" w:themeColor="text1"/>
                <w:highlight w:val="none"/>
                <w14:textFill>
                  <w14:solidFill>
                    <w14:schemeClr w14:val="tx1"/>
                  </w14:solidFill>
                </w14:textFill>
              </w:rPr>
            </w:pPr>
          </w:p>
          <w:p w14:paraId="2606E09B">
            <w:pPr>
              <w:jc w:val="center"/>
              <w:rPr>
                <w:rFonts w:hint="default" w:ascii="Times New Roman" w:hAnsi="Times New Roman" w:eastAsia="宋体" w:cs="Times New Roman"/>
                <w:color w:val="000000" w:themeColor="text1"/>
                <w:sz w:val="24"/>
                <w:highlight w:val="none"/>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710464" behindDoc="0" locked="0" layoutInCell="1" allowOverlap="1">
                      <wp:simplePos x="0" y="0"/>
                      <wp:positionH relativeFrom="column">
                        <wp:posOffset>2778125</wp:posOffset>
                      </wp:positionH>
                      <wp:positionV relativeFrom="paragraph">
                        <wp:posOffset>259715</wp:posOffset>
                      </wp:positionV>
                      <wp:extent cx="1608455" cy="1859915"/>
                      <wp:effectExtent l="0" t="0" r="10795" b="6985"/>
                      <wp:wrapNone/>
                      <wp:docPr id="87" name="文本框 87"/>
                      <wp:cNvGraphicFramePr/>
                      <a:graphic xmlns:a="http://schemas.openxmlformats.org/drawingml/2006/main">
                        <a:graphicData uri="http://schemas.microsoft.com/office/word/2010/wordprocessingShape">
                          <wps:wsp>
                            <wps:cNvSpPr txBox="1"/>
                            <wps:spPr>
                              <a:xfrm>
                                <a:off x="0" y="0"/>
                                <a:ext cx="1608455" cy="1859915"/>
                              </a:xfrm>
                              <a:prstGeom prst="rect">
                                <a:avLst/>
                              </a:prstGeom>
                              <a:solidFill>
                                <a:srgbClr val="FFFFFF"/>
                              </a:solidFill>
                              <a:ln>
                                <a:noFill/>
                              </a:ln>
                            </wps:spPr>
                            <wps:txbx>
                              <w:txbxContent>
                                <w:p w14:paraId="6AB1B805"/>
                              </w:txbxContent>
                            </wps:txbx>
                            <wps:bodyPr upright="1"/>
                          </wps:wsp>
                        </a:graphicData>
                      </a:graphic>
                    </wp:anchor>
                  </w:drawing>
                </mc:Choice>
                <mc:Fallback>
                  <w:pict>
                    <v:shape id="_x0000_s1026" o:spid="_x0000_s1026" o:spt="202" type="#_x0000_t202" style="position:absolute;left:0pt;margin-left:218.75pt;margin-top:20.45pt;height:146.45pt;width:126.65pt;z-index:251710464;mso-width-relative:page;mso-height-relative:page;" fillcolor="#FFFFFF" filled="t" stroked="f" coordsize="21600,21600" o:gfxdata="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CAPeg7YAAAACgEAAA8AAAAAAAAAAQAgAAAAIgAAAGRycy9kb3ducmV2&#10;LnhtbFBLAQIUABQAAAAIAIdO4kDdmcZXwwEAAHoDAAAOAAAAAAAAAAEAIAAAACcBAABkcnMvZTJv&#10;RG9jLnhtbFBLBQYAAAAABgAGAFkBAABcBQAAAAA=&#10;">
                      <v:fill on="t" focussize="0,0"/>
                      <v:stroke on="f"/>
                      <v:imagedata o:title=""/>
                      <o:lock v:ext="edit" aspectratio="f"/>
                      <v:textbox>
                        <w:txbxContent>
                          <w:p w14:paraId="6AB1B805"/>
                        </w:txbxContent>
                      </v:textbox>
                    </v:shape>
                  </w:pict>
                </mc:Fallback>
              </mc:AlternateContent>
            </w:r>
            <w:r>
              <w:rPr>
                <w:rFonts w:hint="default" w:ascii="Times New Roman" w:hAnsi="Times New Roman" w:cs="Times New Roman"/>
                <w:color w:val="000000" w:themeColor="text1"/>
                <w:sz w:val="21"/>
                <w:highlight w:val="none"/>
                <w14:textFill>
                  <w14:solidFill>
                    <w14:schemeClr w14:val="tx1"/>
                  </w14:solidFill>
                </w14:textFill>
              </w:rPr>
              <mc:AlternateContent>
                <mc:Choice Requires="wps">
                  <w:drawing>
                    <wp:anchor distT="0" distB="0" distL="114300" distR="114300" simplePos="0" relativeHeight="251691008" behindDoc="0" locked="0" layoutInCell="1" allowOverlap="1">
                      <wp:simplePos x="0" y="0"/>
                      <wp:positionH relativeFrom="column">
                        <wp:posOffset>2564130</wp:posOffset>
                      </wp:positionH>
                      <wp:positionV relativeFrom="paragraph">
                        <wp:posOffset>27305</wp:posOffset>
                      </wp:positionV>
                      <wp:extent cx="961390" cy="2037715"/>
                      <wp:effectExtent l="0" t="0" r="3810" b="6985"/>
                      <wp:wrapNone/>
                      <wp:docPr id="35" name="文本框 197"/>
                      <wp:cNvGraphicFramePr/>
                      <a:graphic xmlns:a="http://schemas.openxmlformats.org/drawingml/2006/main">
                        <a:graphicData uri="http://schemas.microsoft.com/office/word/2010/wordprocessingShape">
                          <wps:wsp>
                            <wps:cNvSpPr txBox="1"/>
                            <wps:spPr>
                              <a:xfrm>
                                <a:off x="0" y="0"/>
                                <a:ext cx="961390" cy="2037715"/>
                              </a:xfrm>
                              <a:prstGeom prst="rect">
                                <a:avLst/>
                              </a:prstGeom>
                              <a:solidFill>
                                <a:srgbClr val="FFFFFF"/>
                              </a:solidFill>
                              <a:ln>
                                <a:noFill/>
                              </a:ln>
                            </wps:spPr>
                            <wps:txbx>
                              <w:txbxContent>
                                <w:p w14:paraId="53A41751"/>
                              </w:txbxContent>
                            </wps:txbx>
                            <wps:bodyPr upright="1"/>
                          </wps:wsp>
                        </a:graphicData>
                      </a:graphic>
                    </wp:anchor>
                  </w:drawing>
                </mc:Choice>
                <mc:Fallback>
                  <w:pict>
                    <v:shape id="文本框 197" o:spid="_x0000_s1026" o:spt="202" type="#_x0000_t202" style="position:absolute;left:0pt;margin-left:201.9pt;margin-top:2.15pt;height:160.45pt;width:75.7pt;z-index:251691008;mso-width-relative:page;mso-height-relative:page;" fillcolor="#FFFFFF" filled="t" stroked="f" coordsize="21600,21600" o:gfxdata="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xblp59cAAAAJAQAADwAAAAAAAAABACAAAAAiAAAAZHJzL2Rvd25yZXYu&#10;eG1sUEsBAhQAFAAAAAgAh07iQPFlLjXDAQAAegMAAA4AAAAAAAAAAQAgAAAAJgEAAGRycy9lMm9E&#10;b2MueG1sUEsFBgAAAAAGAAYAWQEAAFsFAAAAAA==&#10;">
                      <v:fill on="t" focussize="0,0"/>
                      <v:stroke on="f"/>
                      <v:imagedata o:title=""/>
                      <o:lock v:ext="edit" aspectratio="f"/>
                      <v:textbox>
                        <w:txbxContent>
                          <w:p w14:paraId="53A41751"/>
                        </w:txbxContent>
                      </v:textbox>
                    </v:shape>
                  </w:pict>
                </mc:Fallback>
              </mc:AlternateContent>
            </w: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4784725" cy="3879215"/>
                  <wp:effectExtent l="0" t="0" r="3175" b="6985"/>
                  <wp:docPr id="4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7"/>
                          <pic:cNvPicPr>
                            <a:picLocks noChangeAspect="1"/>
                          </pic:cNvPicPr>
                        </pic:nvPicPr>
                        <pic:blipFill>
                          <a:blip r:embed="rId18"/>
                          <a:stretch>
                            <a:fillRect/>
                          </a:stretch>
                        </pic:blipFill>
                        <pic:spPr>
                          <a:xfrm>
                            <a:off x="0" y="0"/>
                            <a:ext cx="4784725" cy="3879215"/>
                          </a:xfrm>
                          <a:prstGeom prst="rect">
                            <a:avLst/>
                          </a:prstGeom>
                          <a:noFill/>
                          <a:ln>
                            <a:noFill/>
                          </a:ln>
                        </pic:spPr>
                      </pic:pic>
                    </a:graphicData>
                  </a:graphic>
                </wp:inline>
              </w:drawing>
            </w:r>
          </w:p>
          <w:p w14:paraId="328D310C">
            <w:pPr>
              <w:tabs>
                <w:tab w:val="left" w:pos="180"/>
              </w:tabs>
              <w:snapToGrid w:val="0"/>
              <w:spacing w:line="360" w:lineRule="auto"/>
              <w:ind w:firstLine="422"/>
              <w:jc w:val="center"/>
              <w:rPr>
                <w:rFonts w:hint="default" w:ascii="Times New Roman" w:hAnsi="Times New Roman" w:cs="Times New Roman"/>
                <w:b/>
                <w:color w:val="000000" w:themeColor="text1"/>
                <w:sz w:val="24"/>
                <w:highlight w:val="none"/>
                <w14:textFill>
                  <w14:solidFill>
                    <w14:schemeClr w14:val="tx1"/>
                  </w14:solidFill>
                </w14:textFill>
              </w:rPr>
            </w:pPr>
            <w:r>
              <w:rPr>
                <w:rFonts w:hint="default" w:ascii="Times New Roman" w:hAnsi="Times New Roman" w:cs="Times New Roman"/>
                <w:b/>
                <w:color w:val="000000" w:themeColor="text1"/>
                <w:sz w:val="24"/>
                <w:highlight w:val="none"/>
                <w14:textFill>
                  <w14:solidFill>
                    <w14:schemeClr w14:val="tx1"/>
                  </w14:solidFill>
                </w14:textFill>
              </w:rPr>
              <w:t>图2-</w:t>
            </w:r>
            <w:r>
              <w:rPr>
                <w:rFonts w:hint="default" w:ascii="Times New Roman" w:hAnsi="Times New Roman" w:cs="Times New Roman"/>
                <w:b/>
                <w:color w:val="000000" w:themeColor="text1"/>
                <w:sz w:val="24"/>
                <w:highlight w:val="none"/>
                <w:lang w:val="en-US" w:eastAsia="zh-CN"/>
                <w14:textFill>
                  <w14:solidFill>
                    <w14:schemeClr w14:val="tx1"/>
                  </w14:solidFill>
                </w14:textFill>
              </w:rPr>
              <w:t>3</w:t>
            </w:r>
            <w:r>
              <w:rPr>
                <w:rFonts w:hint="default" w:ascii="Times New Roman" w:hAnsi="Times New Roman" w:cs="Times New Roman"/>
                <w:b/>
                <w:color w:val="000000" w:themeColor="text1"/>
                <w:sz w:val="24"/>
                <w:highlight w:val="none"/>
                <w14:textFill>
                  <w14:solidFill>
                    <w14:schemeClr w14:val="tx1"/>
                  </w14:solidFill>
                </w14:textFill>
              </w:rPr>
              <w:t>建设项目施工期工艺流程及产污环节图</w:t>
            </w:r>
          </w:p>
          <w:p w14:paraId="46EACF4B">
            <w:pPr>
              <w:snapToGrid w:val="0"/>
              <w:spacing w:line="360" w:lineRule="auto"/>
              <w:ind w:firstLine="482"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工艺流程说明：</w:t>
            </w:r>
          </w:p>
          <w:p w14:paraId="39C6FBB6">
            <w:pPr>
              <w:autoSpaceDE w:val="0"/>
              <w:autoSpaceDN w:val="0"/>
              <w:snapToGrid w:val="0"/>
              <w:spacing w:line="360" w:lineRule="auto"/>
              <w:ind w:right="96"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①场平工程：通过对施工场地进行前期施工测量，并提出合理的土石方调配方案，选择符合要求的施工机械，在以上基础上得出较为完善的施工组织计划，通过场地土石方的填筑作业和建立必要的、能够满足施工要求的供水、排水、供电、道路以及临时建筑等基础设施，保证下一阶段施工能顺利开展。主要污染物为：粉尘、废水、施工噪声及工程弃渣。</w:t>
            </w:r>
          </w:p>
          <w:p w14:paraId="410A25F5">
            <w:pPr>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②</w:t>
            </w:r>
            <w:r>
              <w:rPr>
                <w:rFonts w:hint="default" w:ascii="Times New Roman" w:hAnsi="Times New Roman" w:cs="Times New Roman"/>
                <w:color w:val="000000" w:themeColor="text1"/>
                <w:sz w:val="24"/>
                <w:highlight w:val="none"/>
                <w:lang w:eastAsia="zh-CN"/>
                <w14:textFill>
                  <w14:solidFill>
                    <w14:schemeClr w14:val="tx1"/>
                  </w14:solidFill>
                </w14:textFill>
              </w:rPr>
              <w:t>基坑开挖</w:t>
            </w:r>
            <w:r>
              <w:rPr>
                <w:rFonts w:hint="default" w:ascii="Times New Roman" w:hAnsi="Times New Roman" w:cs="Times New Roman"/>
                <w:color w:val="000000" w:themeColor="text1"/>
                <w:sz w:val="24"/>
                <w:highlight w:val="none"/>
                <w14:textFill>
                  <w14:solidFill>
                    <w14:schemeClr w14:val="tx1"/>
                  </w14:solidFill>
                </w14:textFill>
              </w:rPr>
              <w:t>工程：</w:t>
            </w:r>
            <w:r>
              <w:rPr>
                <w:rFonts w:hint="default" w:ascii="Times New Roman" w:hAnsi="Times New Roman" w:cs="Times New Roman"/>
                <w:color w:val="000000" w:themeColor="text1"/>
                <w:sz w:val="24"/>
                <w:highlight w:val="none"/>
                <w:lang w:eastAsia="zh-CN"/>
                <w14:textFill>
                  <w14:solidFill>
                    <w14:schemeClr w14:val="tx1"/>
                  </w14:solidFill>
                </w14:textFill>
              </w:rPr>
              <w:t>基坑开挖</w:t>
            </w:r>
            <w:r>
              <w:rPr>
                <w:rFonts w:hint="default" w:ascii="Times New Roman" w:hAnsi="Times New Roman" w:cs="Times New Roman"/>
                <w:color w:val="000000" w:themeColor="text1"/>
                <w:sz w:val="24"/>
                <w:highlight w:val="none"/>
                <w14:textFill>
                  <w14:solidFill>
                    <w14:schemeClr w14:val="tx1"/>
                  </w14:solidFill>
                </w14:textFill>
              </w:rPr>
              <w:t>工程主要施工工艺为：场地测量定位→机械进场→土石方开挖→人工修边角→基底平整→基底普探，主要采用挖掘机、装载机及自卸汽车等施工机械，按照设计要求，开挖出符合主体工程施工要求的基础，保证下一阶段主体工程顺利开展。主要污染物为：粉尘、废水、施工噪声及工</w:t>
            </w:r>
            <w:r>
              <w:rPr>
                <w:rFonts w:hint="default" w:ascii="Times New Roman" w:hAnsi="Times New Roman" w:eastAsia="宋体" w:cs="Times New Roman"/>
                <w:color w:val="000000" w:themeColor="text1"/>
                <w:sz w:val="24"/>
                <w:highlight w:val="none"/>
                <w14:textFill>
                  <w14:solidFill>
                    <w14:schemeClr w14:val="tx1"/>
                  </w14:solidFill>
                </w14:textFill>
              </w:rPr>
              <w:t>程弃渣。</w:t>
            </w:r>
          </w:p>
          <w:p w14:paraId="5B4513DC">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③主体工程：主体工程主要施工工艺为：施工测量放线→</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基础混凝土内预埋螺栓</w:t>
            </w: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钢结构安装</w:t>
            </w:r>
            <w:r>
              <w:rPr>
                <w:rFonts w:hint="default" w:ascii="Times New Roman" w:hAnsi="Times New Roman" w:eastAsia="宋体" w:cs="Times New Roman"/>
                <w:color w:val="000000" w:themeColor="text1"/>
                <w:sz w:val="24"/>
                <w:highlight w:val="none"/>
                <w14:textFill>
                  <w14:solidFill>
                    <w14:schemeClr w14:val="tx1"/>
                  </w14:solidFill>
                </w14:textFill>
              </w:rPr>
              <w:t>，主要采用塔吊、自卸汽车、起升机、钢筋折弯机、</w:t>
            </w:r>
            <w:r>
              <w:rPr>
                <w:rFonts w:hint="default" w:ascii="Times New Roman" w:hAnsi="Times New Roman" w:cs="Times New Roman"/>
                <w:color w:val="000000" w:themeColor="text1"/>
                <w:sz w:val="24"/>
                <w:highlight w:val="none"/>
                <w14:textFill>
                  <w14:solidFill>
                    <w14:schemeClr w14:val="tx1"/>
                  </w14:solidFill>
                </w14:textFill>
              </w:rPr>
              <w:t>电焊机及万能木工圆锯等施工机械。主要污染物为：粉尘、废水、施工噪声及建筑垃圾。</w:t>
            </w:r>
          </w:p>
          <w:p w14:paraId="297631D0">
            <w:pPr>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fldChar w:fldCharType="begin"/>
            </w:r>
            <w:r>
              <w:rPr>
                <w:rFonts w:hint="default" w:ascii="Times New Roman" w:hAnsi="Times New Roman" w:cs="Times New Roman"/>
                <w:color w:val="000000" w:themeColor="text1"/>
                <w:sz w:val="24"/>
                <w:highlight w:val="none"/>
                <w14:textFill>
                  <w14:solidFill>
                    <w14:schemeClr w14:val="tx1"/>
                  </w14:solidFill>
                </w14:textFill>
              </w:rPr>
              <w:instrText xml:space="preserve"> = 4 \* GB3 \* MERGEFORMAT </w:instrText>
            </w:r>
            <w:r>
              <w:rPr>
                <w:rFonts w:hint="default" w:ascii="Times New Roman" w:hAnsi="Times New Roman" w:cs="Times New Roman"/>
                <w:color w:val="000000" w:themeColor="text1"/>
                <w:sz w:val="24"/>
                <w:highlight w:val="none"/>
                <w14:textFill>
                  <w14:solidFill>
                    <w14:schemeClr w14:val="tx1"/>
                  </w14:solidFill>
                </w14:textFill>
              </w:rPr>
              <w:fldChar w:fldCharType="separate"/>
            </w:r>
            <w:r>
              <w:rPr>
                <w:rFonts w:hint="default" w:ascii="Times New Roman" w:hAnsi="Times New Roman" w:cs="Times New Roman"/>
                <w:color w:val="000000" w:themeColor="text1"/>
                <w:sz w:val="24"/>
                <w:highlight w:val="none"/>
                <w14:textFill>
                  <w14:solidFill>
                    <w14:schemeClr w14:val="tx1"/>
                  </w14:solidFill>
                </w14:textFill>
              </w:rPr>
              <w:t>④</w:t>
            </w:r>
            <w:r>
              <w:rPr>
                <w:rFonts w:hint="default" w:ascii="Times New Roman" w:hAnsi="Times New Roman" w:cs="Times New Roman"/>
                <w:color w:val="000000" w:themeColor="text1"/>
                <w:sz w:val="24"/>
                <w:highlight w:val="none"/>
                <w14:textFill>
                  <w14:solidFill>
                    <w14:schemeClr w14:val="tx1"/>
                  </w14:solidFill>
                </w14:textFill>
              </w:rPr>
              <w:fldChar w:fldCharType="end"/>
            </w:r>
            <w:r>
              <w:rPr>
                <w:rFonts w:hint="default" w:ascii="Times New Roman" w:hAnsi="Times New Roman" w:cs="Times New Roman"/>
                <w:color w:val="000000" w:themeColor="text1"/>
                <w:sz w:val="24"/>
                <w:highlight w:val="none"/>
                <w14:textFill>
                  <w14:solidFill>
                    <w14:schemeClr w14:val="tx1"/>
                  </w14:solidFill>
                </w14:textFill>
              </w:rPr>
              <w:t>装饰工程：装饰装修工程是为保护建筑物的主体结构、完善建筑物的物理性能、使用功能和美化建筑物，采用装饰装修材料或饰物对建筑物的内外表面及空间进行的各种处理过程。主要采用电动台锯、手电钻、电刨、空压机、砂轮机</w:t>
            </w:r>
            <w:r>
              <w:rPr>
                <w:rFonts w:hint="default" w:ascii="Times New Roman" w:hAnsi="Times New Roman" w:cs="Times New Roman"/>
                <w:color w:val="000000" w:themeColor="text1"/>
                <w:sz w:val="24"/>
                <w:highlight w:val="none"/>
                <w:lang w:eastAsia="zh-CN"/>
                <w14:textFill>
                  <w14:solidFill>
                    <w14:schemeClr w14:val="tx1"/>
                  </w14:solidFill>
                </w14:textFill>
              </w:rPr>
              <w:t>及</w:t>
            </w:r>
            <w:r>
              <w:rPr>
                <w:rFonts w:hint="default" w:ascii="Times New Roman" w:hAnsi="Times New Roman" w:cs="Times New Roman"/>
                <w:color w:val="000000" w:themeColor="text1"/>
                <w:sz w:val="24"/>
                <w:highlight w:val="none"/>
                <w14:textFill>
                  <w14:solidFill>
                    <w14:schemeClr w14:val="tx1"/>
                  </w14:solidFill>
                </w14:textFill>
              </w:rPr>
              <w:t>电焊机等。主要污染物为：粉尘及有机废气、废水、施工噪声、建筑垃圾及危险废物。</w:t>
            </w:r>
          </w:p>
          <w:p w14:paraId="6F069F5C">
            <w:pPr>
              <w:keepNext w:val="0"/>
              <w:keepLines w:val="0"/>
              <w:pageBreakBefore w:val="0"/>
              <w:widowControl w:val="0"/>
              <w:kinsoku/>
              <w:wordWrap/>
              <w:overflowPunct/>
              <w:topLinePunct w:val="0"/>
              <w:autoSpaceDE/>
              <w:autoSpaceDN/>
              <w:bidi w:val="0"/>
              <w:adjustRightInd/>
              <w:snapToGrid/>
              <w:spacing w:before="120" w:beforeLines="50"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fldChar w:fldCharType="begin"/>
            </w:r>
            <w:r>
              <w:rPr>
                <w:rFonts w:hint="default" w:ascii="Times New Roman" w:hAnsi="Times New Roman" w:cs="Times New Roman"/>
                <w:color w:val="000000" w:themeColor="text1"/>
                <w:sz w:val="24"/>
                <w:highlight w:val="none"/>
                <w14:textFill>
                  <w14:solidFill>
                    <w14:schemeClr w14:val="tx1"/>
                  </w14:solidFill>
                </w14:textFill>
              </w:rPr>
              <w:instrText xml:space="preserve"> = 5 \* GB3 \* MERGEFORMAT </w:instrText>
            </w:r>
            <w:r>
              <w:rPr>
                <w:rFonts w:hint="default" w:ascii="Times New Roman" w:hAnsi="Times New Roman" w:cs="Times New Roman"/>
                <w:color w:val="000000" w:themeColor="text1"/>
                <w:sz w:val="24"/>
                <w:highlight w:val="none"/>
                <w14:textFill>
                  <w14:solidFill>
                    <w14:schemeClr w14:val="tx1"/>
                  </w14:solidFill>
                </w14:textFill>
              </w:rPr>
              <w:fldChar w:fldCharType="separate"/>
            </w:r>
            <w:r>
              <w:rPr>
                <w:rFonts w:hint="default" w:ascii="Times New Roman" w:hAnsi="Times New Roman" w:cs="Times New Roman"/>
                <w:color w:val="000000" w:themeColor="text1"/>
                <w:sz w:val="24"/>
                <w:highlight w:val="none"/>
                <w14:textFill>
                  <w14:solidFill>
                    <w14:schemeClr w14:val="tx1"/>
                  </w14:solidFill>
                </w14:textFill>
              </w:rPr>
              <w:t>⑤</w:t>
            </w:r>
            <w:r>
              <w:rPr>
                <w:rFonts w:hint="default" w:ascii="Times New Roman" w:hAnsi="Times New Roman" w:cs="Times New Roman"/>
                <w:color w:val="000000" w:themeColor="text1"/>
                <w:sz w:val="24"/>
                <w:highlight w:val="none"/>
                <w14:textFill>
                  <w14:solidFill>
                    <w14:schemeClr w14:val="tx1"/>
                  </w14:solidFill>
                </w14:textFill>
              </w:rPr>
              <w:fldChar w:fldCharType="end"/>
            </w:r>
            <w:r>
              <w:rPr>
                <w:rFonts w:hint="default" w:ascii="Times New Roman" w:hAnsi="Times New Roman" w:cs="Times New Roman"/>
                <w:color w:val="000000" w:themeColor="text1"/>
                <w:sz w:val="24"/>
                <w:highlight w:val="none"/>
                <w14:textFill>
                  <w14:solidFill>
                    <w14:schemeClr w14:val="tx1"/>
                  </w14:solidFill>
                </w14:textFill>
              </w:rPr>
              <w:t>安装工程：安装工程包括各种设备、装置的安装工程，通常包括电气、通风、给排水</w:t>
            </w:r>
            <w:r>
              <w:rPr>
                <w:rFonts w:hint="default" w:ascii="Times New Roman" w:hAnsi="Times New Roman" w:cs="Times New Roman"/>
                <w:color w:val="000000" w:themeColor="text1"/>
                <w:spacing w:val="-5"/>
                <w:sz w:val="24"/>
                <w:highlight w:val="none"/>
                <w14:textFill>
                  <w14:solidFill>
                    <w14:schemeClr w14:val="tx1"/>
                  </w14:solidFill>
                </w14:textFill>
              </w:rPr>
              <w:t>以及设备安装等工作内容。主要采用剪板机、联合角咬</w:t>
            </w:r>
            <w:r>
              <w:rPr>
                <w:rFonts w:hint="default" w:ascii="Times New Roman" w:hAnsi="Times New Roman" w:cs="Times New Roman"/>
                <w:color w:val="000000" w:themeColor="text1"/>
                <w:spacing w:val="-5"/>
                <w:sz w:val="24"/>
                <w:highlight w:val="none"/>
                <w:lang w:eastAsia="zh-CN"/>
                <w14:textFill>
                  <w14:solidFill>
                    <w14:schemeClr w14:val="tx1"/>
                  </w14:solidFill>
                </w14:textFill>
              </w:rPr>
              <w:t>扣机</w:t>
            </w:r>
            <w:r>
              <w:rPr>
                <w:rFonts w:hint="default" w:ascii="Times New Roman" w:hAnsi="Times New Roman" w:cs="Times New Roman"/>
                <w:color w:val="000000" w:themeColor="text1"/>
                <w:spacing w:val="-5"/>
                <w:sz w:val="24"/>
                <w:highlight w:val="none"/>
                <w14:textFill>
                  <w14:solidFill>
                    <w14:schemeClr w14:val="tx1"/>
                  </w14:solidFill>
                </w14:textFill>
              </w:rPr>
              <w:t>、汽车吊、电焊机、</w:t>
            </w:r>
            <w:r>
              <w:rPr>
                <w:rFonts w:hint="default" w:ascii="Times New Roman" w:hAnsi="Times New Roman" w:cs="Times New Roman"/>
                <w:color w:val="000000" w:themeColor="text1"/>
                <w:spacing w:val="-5"/>
                <w:sz w:val="24"/>
                <w:highlight w:val="none"/>
                <w:lang w:eastAsia="zh-CN"/>
                <w14:textFill>
                  <w14:solidFill>
                    <w14:schemeClr w14:val="tx1"/>
                  </w14:solidFill>
                </w14:textFill>
              </w:rPr>
              <w:t>砂轮切割机</w:t>
            </w:r>
            <w:r>
              <w:rPr>
                <w:rFonts w:hint="default" w:ascii="Times New Roman" w:hAnsi="Times New Roman" w:cs="Times New Roman"/>
                <w:color w:val="000000" w:themeColor="text1"/>
                <w:sz w:val="24"/>
                <w:highlight w:val="none"/>
                <w14:textFill>
                  <w14:solidFill>
                    <w14:schemeClr w14:val="tx1"/>
                  </w14:solidFill>
                </w14:textFill>
              </w:rPr>
              <w:t>、手电钻等。主要污染物为：粉尘、废水、施工噪声、建筑垃圾及危险废物。</w:t>
            </w:r>
          </w:p>
          <w:p w14:paraId="5C15B172">
            <w:pPr>
              <w:pStyle w:val="9"/>
              <w:spacing w:before="120" w:beforeLines="50" w:after="0" w:line="360" w:lineRule="auto"/>
              <w:ind w:left="0" w:leftChars="0" w:firstLine="482"/>
              <w:jc w:val="both"/>
              <w:rPr>
                <w:rFonts w:hint="default" w:ascii="Times New Roman" w:hAnsi="Times New Roman" w:eastAsia="宋体" w:cs="Times New Roman"/>
                <w:b/>
                <w:bCs/>
                <w:color w:val="000000" w:themeColor="text1"/>
                <w:szCs w:val="24"/>
                <w:highlight w:val="none"/>
                <w14:textFill>
                  <w14:solidFill>
                    <w14:schemeClr w14:val="tx1"/>
                  </w14:solidFill>
                </w14:textFill>
              </w:rPr>
            </w:pPr>
            <w:r>
              <w:rPr>
                <w:rFonts w:hint="default" w:ascii="Times New Roman" w:hAnsi="Times New Roman" w:eastAsia="宋体" w:cs="Times New Roman"/>
                <w:b/>
                <w:bCs/>
                <w:color w:val="000000" w:themeColor="text1"/>
                <w:szCs w:val="24"/>
                <w:highlight w:val="none"/>
                <w14:textFill>
                  <w14:solidFill>
                    <w14:schemeClr w14:val="tx1"/>
                  </w14:solidFill>
                </w14:textFill>
              </w:rPr>
              <w:t>二、营运期工作流程及排污节点</w:t>
            </w:r>
          </w:p>
          <w:p w14:paraId="5DB00445">
            <w:pPr>
              <w:spacing w:line="360" w:lineRule="auto"/>
              <w:ind w:firstLine="482" w:firstLineChars="200"/>
              <w:jc w:val="both"/>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1</w:t>
            </w:r>
            <w:r>
              <w:rPr>
                <w:rFonts w:hint="default" w:ascii="Times New Roman" w:hAnsi="Times New Roman" w:eastAsia="宋体" w:cs="Times New Roman"/>
                <w:b/>
                <w:bCs/>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高岭土生产工艺流程及产排污环节</w:t>
            </w:r>
          </w:p>
          <w:p w14:paraId="2E061A75">
            <w:pPr>
              <w:spacing w:line="360" w:lineRule="auto"/>
              <w:ind w:firstLine="480" w:firstLineChars="200"/>
              <w:jc w:val="both"/>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1）煅烧原理</w:t>
            </w:r>
            <w:r>
              <w:rPr>
                <w:rFonts w:hint="default" w:ascii="Times New Roman" w:hAnsi="Times New Roman" w:cs="Times New Roman"/>
                <w:color w:val="000000" w:themeColor="text1"/>
                <w:sz w:val="24"/>
                <w:highlight w:val="none"/>
                <w:lang w:val="en-US" w:eastAsia="zh-CN"/>
                <w14:textFill>
                  <w14:solidFill>
                    <w14:schemeClr w14:val="tx1"/>
                  </w14:solidFill>
                </w14:textFill>
              </w:rPr>
              <w:t>和生产方法</w:t>
            </w:r>
          </w:p>
          <w:p w14:paraId="0D6342EC">
            <w:pPr>
              <w:spacing w:line="360" w:lineRule="auto"/>
              <w:ind w:firstLine="480" w:firstLineChars="200"/>
              <w:jc w:val="both"/>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煅烧的主要目的是去除结晶水，提高氧化铝、二氧化硅含量。煤系高岭土在加热过程中脱水、分解、析出新相等变化较为复杂，主要包括两个阶段</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脱水阶段与脱水后产物的转化阶段。</w:t>
            </w:r>
          </w:p>
          <w:p w14:paraId="521965AA">
            <w:pPr>
              <w:spacing w:line="360" w:lineRule="auto"/>
              <w:ind w:firstLine="480" w:firstLineChars="200"/>
              <w:jc w:val="both"/>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本项目采用四级预热器+悬浮炉＋回转窑</w:t>
            </w:r>
            <w:r>
              <w:rPr>
                <w:rFonts w:hint="default" w:ascii="Times New Roman" w:hAnsi="Times New Roman" w:cs="Times New Roman"/>
                <w:color w:val="000000" w:themeColor="text1"/>
                <w:sz w:val="24"/>
                <w:highlight w:val="none"/>
                <w:lang w:val="en-US" w:eastAsia="zh-CN"/>
                <w14:textFill>
                  <w14:solidFill>
                    <w14:schemeClr w14:val="tx1"/>
                  </w14:solidFill>
                </w14:textFill>
              </w:rPr>
              <w:t>煅烧</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＋高温粉体冷却机制备高活性高岭土生产工艺。</w:t>
            </w:r>
          </w:p>
          <w:p w14:paraId="07607B31">
            <w:pPr>
              <w:spacing w:line="360" w:lineRule="auto"/>
              <w:ind w:firstLine="480" w:firstLineChars="200"/>
              <w:jc w:val="both"/>
              <w:rPr>
                <w:rFonts w:hint="default" w:ascii="Times New Roman" w:hAnsi="Times New Roman"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在煤矸石低位热值为600kCal/kg时，煅烧高岭土1号产品（用于陶瓷釉料）烧成热耗480kCal/kg；煅烧高岭土2号产品（用于玻纤原料）烧成热耗240kCal/kg。煅烧高岭土1号产品</w:t>
            </w:r>
            <w:r>
              <w:rPr>
                <w:rFonts w:hint="default" w:ascii="Times New Roman" w:hAnsi="Times New Roman" w:cs="Times New Roman"/>
                <w:color w:val="000000" w:themeColor="text1"/>
                <w:sz w:val="24"/>
                <w:highlight w:val="none"/>
                <w:lang w:val="en-US" w:eastAsia="zh-CN"/>
                <w14:textFill>
                  <w14:solidFill>
                    <w14:schemeClr w14:val="tx1"/>
                  </w14:solidFill>
                </w14:textFill>
              </w:rPr>
              <w:t>和2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号产品</w:t>
            </w:r>
            <w:r>
              <w:rPr>
                <w:rFonts w:hint="default" w:ascii="Times New Roman" w:hAnsi="Times New Roman" w:cs="Times New Roman"/>
                <w:color w:val="000000" w:themeColor="text1"/>
                <w:sz w:val="24"/>
                <w:highlight w:val="none"/>
                <w:lang w:val="en-US" w:eastAsia="zh-CN"/>
                <w14:textFill>
                  <w14:solidFill>
                    <w14:schemeClr w14:val="tx1"/>
                  </w14:solidFill>
                </w14:textFill>
              </w:rPr>
              <w:t>所用燃料量不同。</w:t>
            </w:r>
          </w:p>
          <w:p w14:paraId="76759C00">
            <w:pPr>
              <w:pStyle w:val="8"/>
              <w:spacing w:line="360" w:lineRule="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物料走向：生料→预热器预热→悬浮炉完成大部分碳酸盐分解→回转窑完成熟料烧成→冷却→成品仓库。</w:t>
            </w:r>
          </w:p>
          <w:p w14:paraId="08F20010">
            <w:pPr>
              <w:spacing w:line="360" w:lineRule="auto"/>
              <w:ind w:firstLine="480" w:firstLineChars="200"/>
              <w:jc w:val="both"/>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核心热源循环：</w:t>
            </w:r>
            <w:r>
              <w:rPr>
                <w:rFonts w:hint="default" w:ascii="Times New Roman" w:hAnsi="Times New Roman" w:cs="Times New Roman"/>
                <w:color w:val="000000" w:themeColor="text1"/>
                <w:sz w:val="24"/>
                <w:highlight w:val="none"/>
                <w:lang w:val="en-US" w:eastAsia="zh-CN"/>
                <w14:textFill>
                  <w14:solidFill>
                    <w14:schemeClr w14:val="tx1"/>
                  </w14:solidFill>
                </w14:textFill>
              </w:rPr>
              <w:t>冷却系统</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回收高温热风→分二路（二次风去回转窑、三次风去悬浮炉），为焙烧提供热量；</w:t>
            </w:r>
          </w:p>
          <w:p w14:paraId="151F0D5D">
            <w:pPr>
              <w:spacing w:line="360" w:lineRule="auto"/>
              <w:ind w:firstLine="480" w:firstLineChars="200"/>
              <w:jc w:val="both"/>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废气排放路径：悬浮炉燃烧产生的烟气→进入预热器，加热生料后降温→经收尘、脱硫处理后达标排放；</w:t>
            </w:r>
          </w:p>
          <w:p w14:paraId="536E269A">
            <w:pPr>
              <w:spacing w:line="360" w:lineRule="auto"/>
              <w:ind w:firstLine="480" w:firstLineChars="200"/>
              <w:jc w:val="both"/>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燃料燃烧</w:t>
            </w:r>
            <w:r>
              <w:rPr>
                <w:rFonts w:hint="default" w:ascii="Times New Roman" w:hAnsi="Times New Roman"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回转窑需喷入燃料，燃烧所需空气来自篦冷机热风+部分冷空气。</w:t>
            </w:r>
          </w:p>
          <w:p w14:paraId="1994E44E">
            <w:pPr>
              <w:spacing w:line="360" w:lineRule="auto"/>
              <w:ind w:firstLine="480" w:firstLineChars="200"/>
              <w:jc w:val="both"/>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原辅料存储及转运</w:t>
            </w:r>
          </w:p>
          <w:p w14:paraId="2156BD52">
            <w:pPr>
              <w:spacing w:line="360" w:lineRule="auto"/>
              <w:ind w:firstLine="480" w:firstLineChars="200"/>
              <w:jc w:val="both"/>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cs="Times New Roman"/>
                <w:color w:val="000000" w:themeColor="text1"/>
                <w:sz w:val="24"/>
                <w:highlight w:val="none"/>
                <w:lang w:val="en-US" w:eastAsia="zh-CN"/>
                <w14:textFill>
                  <w14:solidFill>
                    <w14:schemeClr w14:val="tx1"/>
                  </w14:solidFill>
                </w14:textFill>
              </w:rPr>
              <w:t>原料粉</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由隔壁高新材料公司粉磨系统输送入库。库内的</w:t>
            </w:r>
            <w:r>
              <w:rPr>
                <w:rFonts w:hint="default" w:ascii="Times New Roman" w:hAnsi="Times New Roman" w:cs="Times New Roman"/>
                <w:color w:val="000000" w:themeColor="text1"/>
                <w:sz w:val="24"/>
                <w:highlight w:val="none"/>
                <w:lang w:val="en-US" w:eastAsia="zh-CN"/>
                <w14:textFill>
                  <w14:solidFill>
                    <w14:schemeClr w14:val="tx1"/>
                  </w14:solidFill>
                </w14:textFill>
              </w:rPr>
              <w:t>原料粉</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经库底链式输送机、提升机与窑灰仓粉料一起喂入喂料仓进行充分混合，出喂料仓的粉料经计量秤计量后，由螺旋输送机、提升机直接喂入悬浮煅烧系统。</w:t>
            </w:r>
          </w:p>
          <w:p w14:paraId="0C0EE082">
            <w:pPr>
              <w:spacing w:line="360" w:lineRule="auto"/>
              <w:ind w:firstLine="482" w:firstLineChars="200"/>
              <w:jc w:val="both"/>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废气：</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气力输送过程中煤矸石仓内产生废气（G1-1、G1-2），通过仓顶</w:t>
            </w:r>
            <w:r>
              <w:rPr>
                <w:rFonts w:hint="default" w:ascii="Times New Roman" w:hAnsi="Times New Roman" w:cs="Times New Roman"/>
                <w:color w:val="000000" w:themeColor="text1"/>
                <w:sz w:val="24"/>
                <w:highlight w:val="none"/>
                <w:lang w:val="en-US" w:eastAsia="zh-CN"/>
                <w14:textFill>
                  <w14:solidFill>
                    <w14:schemeClr w14:val="tx1"/>
                  </w14:solidFill>
                </w14:textFill>
              </w:rPr>
              <w:t>布袋</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除尘器除尘灰排放；转运喂料产生废气（G1-3），通过</w:t>
            </w:r>
            <w:r>
              <w:rPr>
                <w:rFonts w:hint="default" w:ascii="Times New Roman" w:hAnsi="Times New Roman" w:cs="Times New Roman"/>
                <w:color w:val="000000" w:themeColor="text1"/>
                <w:sz w:val="24"/>
                <w:highlight w:val="none"/>
                <w:lang w:val="en-US" w:eastAsia="zh-CN"/>
                <w14:textFill>
                  <w14:solidFill>
                    <w14:schemeClr w14:val="tx1"/>
                  </w14:solidFill>
                </w14:textFill>
              </w:rPr>
              <w:t>布袋</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除尘器除尘灰排放；</w:t>
            </w:r>
          </w:p>
          <w:p w14:paraId="7B5A7F2D">
            <w:pPr>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3）窑尾</w:t>
            </w:r>
            <w:r>
              <w:rPr>
                <w:rFonts w:hint="default" w:ascii="Times New Roman" w:hAnsi="Times New Roman" w:eastAsia="宋体" w:cs="Times New Roman"/>
                <w:color w:val="000000" w:themeColor="text1"/>
                <w:sz w:val="24"/>
                <w:highlight w:val="none"/>
                <w14:textFill>
                  <w14:solidFill>
                    <w14:schemeClr w14:val="tx1"/>
                  </w14:solidFill>
                </w14:textFill>
              </w:rPr>
              <w:t>悬浮</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炉焙</w:t>
            </w:r>
            <w:r>
              <w:rPr>
                <w:rFonts w:hint="default" w:ascii="Times New Roman" w:hAnsi="Times New Roman" w:eastAsia="宋体" w:cs="Times New Roman"/>
                <w:color w:val="000000" w:themeColor="text1"/>
                <w:sz w:val="24"/>
                <w:highlight w:val="none"/>
                <w14:textFill>
                  <w14:solidFill>
                    <w14:schemeClr w14:val="tx1"/>
                  </w14:solidFill>
                </w14:textFill>
              </w:rPr>
              <w:t>烧</w:t>
            </w:r>
          </w:p>
          <w:p w14:paraId="5DDED397">
            <w:pPr>
              <w:spacing w:line="360" w:lineRule="auto"/>
              <w:ind w:firstLine="480" w:firstLineChars="200"/>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窑尾预热器的核心功能是利用回转窑排出的高温烟气，对进入窑系统的生料</w:t>
            </w:r>
            <w:r>
              <w:rPr>
                <w:rFonts w:hint="default" w:ascii="Times New Roman" w:hAnsi="Times New Roman" w:cs="Times New Roman"/>
                <w:color w:val="000000" w:themeColor="text1"/>
                <w:sz w:val="24"/>
                <w:highlight w:val="none"/>
                <w:lang w:val="en-US" w:eastAsia="zh-CN"/>
                <w14:textFill>
                  <w14:solidFill>
                    <w14:schemeClr w14:val="tx1"/>
                  </w14:solidFill>
                </w14:textFill>
              </w:rPr>
              <w:t>原料粉</w:t>
            </w:r>
            <w:r>
              <w:rPr>
                <w:rFonts w:hint="default" w:ascii="Times New Roman" w:hAnsi="Times New Roman" w:eastAsia="宋体" w:cs="Times New Roman"/>
                <w:color w:val="000000" w:themeColor="text1"/>
                <w:sz w:val="24"/>
                <w:highlight w:val="none"/>
                <w14:textFill>
                  <w14:solidFill>
                    <w14:schemeClr w14:val="tx1"/>
                  </w14:solidFill>
                </w14:textFill>
              </w:rPr>
              <w:t>进行预热干燥、碳酸盐分解（部分预分解），目的是降低后续回转窑的热负荷、提高系统热效率。经过预热器的生料，温度会大幅提升，但并未达到完全焙烧所需的温度和反应条件</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p>
          <w:p w14:paraId="1024F6D4">
            <w:pPr>
              <w:spacing w:line="360" w:lineRule="auto"/>
              <w:ind w:firstLine="480" w:firstLineChars="200"/>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highlight w:val="none"/>
                <w:lang w:eastAsia="zh-CN"/>
                <w14:textFill>
                  <w14:solidFill>
                    <w14:schemeClr w14:val="tx1"/>
                  </w14:solidFill>
                </w14:textFill>
              </w:rPr>
              <w:t>窑尾的悬浮炉是衔接预热器和回转窑的关键设备。</w:t>
            </w:r>
          </w:p>
          <w:p w14:paraId="410B62CB">
            <w:pPr>
              <w:spacing w:line="360" w:lineRule="auto"/>
              <w:ind w:firstLine="480" w:firstLineChars="200"/>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highlight w:val="none"/>
                <w:lang w:eastAsia="zh-CN"/>
                <w14:textFill>
                  <w14:solidFill>
                    <w14:schemeClr w14:val="tx1"/>
                  </w14:solidFill>
                </w14:textFill>
              </w:rPr>
              <w:t>它会通入二次风、三次风（从篦冷机回收的高温热风），同时喷入燃料（</w:t>
            </w:r>
            <w:r>
              <w:rPr>
                <w:rFonts w:hint="default" w:ascii="Times New Roman" w:hAnsi="Times New Roman" w:cs="Times New Roman"/>
                <w:color w:val="000000" w:themeColor="text1"/>
                <w:sz w:val="24"/>
                <w:highlight w:val="none"/>
                <w:lang w:eastAsia="zh-CN"/>
                <w14:textFill>
                  <w14:solidFill>
                    <w14:schemeClr w14:val="tx1"/>
                  </w14:solidFill>
                </w14:textFill>
              </w:rPr>
              <w:t>煤气</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）进行燃烧，产生高温环境；</w:t>
            </w:r>
          </w:p>
          <w:p w14:paraId="10418409">
            <w:pPr>
              <w:spacing w:line="360" w:lineRule="auto"/>
              <w:ind w:firstLine="480" w:firstLineChars="200"/>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highlight w:val="none"/>
                <w:lang w:eastAsia="zh-CN"/>
                <w14:textFill>
                  <w14:solidFill>
                    <w14:schemeClr w14:val="tx1"/>
                  </w14:solidFill>
                </w14:textFill>
              </w:rPr>
              <w:t>预热器送来的预热生料在</w:t>
            </w:r>
            <w:r>
              <w:rPr>
                <w:rFonts w:hint="default" w:ascii="Times New Roman" w:hAnsi="Times New Roman" w:cs="Times New Roman"/>
                <w:color w:val="000000" w:themeColor="text1"/>
                <w:sz w:val="24"/>
                <w:highlight w:val="none"/>
                <w:lang w:val="en-US" w:eastAsia="zh-CN"/>
                <w14:textFill>
                  <w14:solidFill>
                    <w14:schemeClr w14:val="tx1"/>
                  </w14:solidFill>
                </w14:textFill>
              </w:rPr>
              <w:t>悬浮</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炉内呈悬浮态，与高温气流充分混合，完成大部分碳酸盐分解和固相反应，相当于“提前完成焙烧的核心反应”；</w:t>
            </w:r>
          </w:p>
          <w:p w14:paraId="14ACF029">
            <w:pPr>
              <w:spacing w:line="360" w:lineRule="auto"/>
              <w:ind w:firstLine="480" w:firstLineChars="200"/>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脱水阶段</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100-110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游离水排除</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110-140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其他矿物杂质带入水的排除</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400-450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晶格水开始缓慢排除</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450-550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晶格水快速排出</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500-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7</w:t>
            </w:r>
            <w:r>
              <w:rPr>
                <w:rFonts w:hint="default" w:ascii="Times New Roman" w:hAnsi="Times New Roman" w:eastAsia="宋体" w:cs="Times New Roman"/>
                <w:color w:val="000000" w:themeColor="text1"/>
                <w:sz w:val="24"/>
                <w:highlight w:val="none"/>
                <w14:textFill>
                  <w14:solidFill>
                    <w14:schemeClr w14:val="tx1"/>
                  </w14:solidFill>
                </w14:textFill>
              </w:rPr>
              <w:t>00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脱水缓慢进行</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残余水</w:t>
            </w:r>
            <w:r>
              <w:rPr>
                <w:rFonts w:hint="eastAsia" w:ascii="Times New Roman" w:hAnsi="Times New Roman" w:cs="Times New Roman"/>
                <w:color w:val="000000" w:themeColor="text1"/>
                <w:sz w:val="24"/>
                <w:highlight w:val="none"/>
                <w:lang w:eastAsia="zh-CN"/>
                <w14:textFill>
                  <w14:solidFill>
                    <w14:schemeClr w14:val="tx1"/>
                  </w14:solidFill>
                </w14:textFill>
              </w:rPr>
              <w:t>排出</w:t>
            </w:r>
            <w:r>
              <w:rPr>
                <w:rFonts w:hint="default" w:ascii="Times New Roman" w:hAnsi="Times New Roman" w:eastAsia="宋体" w:cs="Times New Roman"/>
                <w:color w:val="000000" w:themeColor="text1"/>
                <w:sz w:val="24"/>
                <w:highlight w:val="none"/>
                <w14:textFill>
                  <w14:solidFill>
                    <w14:schemeClr w14:val="tx1"/>
                  </w14:solidFill>
                </w14:textFill>
              </w:rPr>
              <w:t>完毕</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p>
          <w:p w14:paraId="1B2622FD">
            <w:pPr>
              <w:spacing w:line="360" w:lineRule="auto"/>
              <w:ind w:firstLine="480"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煤矸石结晶水的排除，</w:t>
            </w:r>
            <w:r>
              <w:rPr>
                <w:rFonts w:hint="default" w:ascii="Times New Roman" w:hAnsi="Times New Roman" w:cs="Times New Roman"/>
                <w:color w:val="000000" w:themeColor="text1"/>
                <w:sz w:val="24"/>
                <w:szCs w:val="24"/>
                <w:highlight w:val="none"/>
                <w14:textFill>
                  <w14:solidFill>
                    <w14:schemeClr w14:val="tx1"/>
                  </w14:solidFill>
                </w14:textFill>
              </w:rPr>
              <w:t>其主要反应如下：</w:t>
            </w:r>
          </w:p>
          <w:p w14:paraId="7AEB3661">
            <w:pPr>
              <w:spacing w:line="360" w:lineRule="auto"/>
              <w:ind w:firstLine="480"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Al</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4</w:t>
            </w:r>
            <w:r>
              <w:rPr>
                <w:rFonts w:hint="default" w:ascii="Times New Roman" w:hAnsi="Times New Roman" w:cs="Times New Roman"/>
                <w:color w:val="000000" w:themeColor="text1"/>
                <w:sz w:val="24"/>
                <w:szCs w:val="24"/>
                <w:highlight w:val="none"/>
                <w14:textFill>
                  <w14:solidFill>
                    <w14:schemeClr w14:val="tx1"/>
                  </w14:solidFill>
                </w14:textFill>
              </w:rPr>
              <w:t>[Si</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4</w:t>
            </w:r>
            <w:r>
              <w:rPr>
                <w:rFonts w:hint="default" w:ascii="Times New Roman" w:hAnsi="Times New Roman" w:cs="Times New Roman"/>
                <w:color w:val="000000" w:themeColor="text1"/>
                <w:sz w:val="24"/>
                <w:szCs w:val="24"/>
                <w:highlight w:val="none"/>
                <w14:textFill>
                  <w14:solidFill>
                    <w14:schemeClr w14:val="tx1"/>
                  </w14:solidFill>
                </w14:textFill>
              </w:rPr>
              <w:t>O</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10</w:t>
            </w:r>
            <w:r>
              <w:rPr>
                <w:rFonts w:hint="default" w:ascii="Times New Roman" w:hAnsi="Times New Roman" w:cs="Times New Roman"/>
                <w:color w:val="000000" w:themeColor="text1"/>
                <w:sz w:val="24"/>
                <w:szCs w:val="24"/>
                <w:highlight w:val="none"/>
                <w14:textFill>
                  <w14:solidFill>
                    <w14:schemeClr w14:val="tx1"/>
                  </w14:solidFill>
                </w14:textFill>
              </w:rPr>
              <w:t>]</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OH</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8</w:t>
            </w:r>
            <w:r>
              <w:rPr>
                <w:rFonts w:hint="default" w:ascii="Times New Roman" w:hAnsi="Times New Roman" w:cs="Times New Roman"/>
                <w:color w:val="000000" w:themeColor="text1"/>
                <w:sz w:val="24"/>
                <w:szCs w:val="24"/>
                <w:highlight w:val="none"/>
                <w14:textFill>
                  <w14:solidFill>
                    <w14:schemeClr w14:val="tx1"/>
                  </w14:solidFill>
                </w14:textFill>
              </w:rPr>
              <w:t>·4H</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O</w:t>
            </w:r>
            <w:r>
              <w:rPr>
                <w:rFonts w:hint="default" w:ascii="Times New Roman" w:hAnsi="Times New Roman" w:cs="Times New Roman"/>
                <w:color w:val="000000" w:themeColor="text1"/>
                <w:sz w:val="24"/>
                <w:szCs w:val="24"/>
                <w:highlight w:val="none"/>
                <w14:textFill>
                  <w14:solidFill>
                    <w14:schemeClr w14:val="tx1"/>
                  </w14:solidFill>
                </w14:textFill>
              </w:rPr>
              <w:t>=2[2SiO</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·Al</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O</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]+8H</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O</w:t>
            </w:r>
          </w:p>
          <w:p w14:paraId="0E804747">
            <w:pPr>
              <w:spacing w:line="360" w:lineRule="auto"/>
              <w:ind w:firstLine="480" w:firstLineChars="200"/>
              <w:rPr>
                <w:rFonts w:hint="default" w:ascii="Times New Roman" w:hAnsi="Times New Roman" w:cs="Times New Roman"/>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煅烧后高岭土品质的好坏，将对产品的品质有重要影响。衡量高岭土煅烧品质主要有两个指标：煅烧后白度和细度。</w:t>
            </w:r>
            <w:r>
              <w:rPr>
                <w:rFonts w:hint="default" w:ascii="Times New Roman" w:hAnsi="Times New Roman" w:cs="Times New Roman"/>
                <w:color w:val="000000" w:themeColor="text1"/>
                <w:sz w:val="24"/>
                <w:szCs w:val="24"/>
                <w:highlight w:val="none"/>
                <w14:textFill>
                  <w14:solidFill>
                    <w14:schemeClr w14:val="tx1"/>
                  </w14:solidFill>
                </w14:textFill>
              </w:rPr>
              <w:t>物料在煅烧窑内停留时间为50～65min，要求煅烧后物料，灼减约14%</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p>
          <w:p w14:paraId="2F289E31">
            <w:pPr>
              <w:pStyle w:val="8"/>
              <w:spacing w:line="360" w:lineRule="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工艺简</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述：</w:t>
            </w:r>
          </w:p>
          <w:p w14:paraId="0A8FDDB8">
            <w:pPr>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cs="Times New Roman"/>
                <w:color w:val="000000" w:themeColor="text1"/>
                <w:sz w:val="24"/>
                <w:highlight w:val="none"/>
                <w:lang w:val="en-US" w:eastAsia="zh-CN"/>
                <w14:textFill>
                  <w14:solidFill>
                    <w14:schemeClr w14:val="tx1"/>
                  </w14:solidFill>
                </w14:textFill>
              </w:rPr>
              <w:t>原料粉</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经喂料仓底喂料计量系统按设定量卸出经螺旋输送机、钢丝胶带提升机，再经螺旋输送机</w:t>
            </w:r>
            <w:r>
              <w:rPr>
                <w:rFonts w:hint="default" w:ascii="Times New Roman" w:hAnsi="Times New Roman" w:cs="Times New Roman"/>
                <w:color w:val="000000" w:themeColor="text1"/>
                <w:sz w:val="24"/>
                <w:highlight w:val="none"/>
                <w:lang w:val="en-US" w:eastAsia="zh-CN"/>
                <w14:textFill>
                  <w14:solidFill>
                    <w14:schemeClr w14:val="tx1"/>
                  </w14:solidFill>
                </w14:textFill>
              </w:rPr>
              <w:t>即可</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从C2-C1旋风筒的上升风管上喂入旋风筒内，也可从C3-C2旋风筒的上升风管上喂入旋风筒内</w:t>
            </w:r>
            <w:r>
              <w:rPr>
                <w:rFonts w:hint="default" w:ascii="Times New Roman" w:hAnsi="Times New Roman"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物料经各级旋风筒及连接风管进行换热后进入悬浮炉，在悬浮炉与窑头冷却装置来的三次风进行</w:t>
            </w:r>
            <w:r>
              <w:rPr>
                <w:rFonts w:hint="default" w:ascii="Times New Roman" w:hAnsi="Times New Roman" w:cs="Times New Roman"/>
                <w:color w:val="000000" w:themeColor="text1"/>
                <w:sz w:val="24"/>
                <w:highlight w:val="none"/>
                <w:lang w:val="en-US" w:eastAsia="zh-CN"/>
                <w14:textFill>
                  <w14:solidFill>
                    <w14:schemeClr w14:val="tx1"/>
                  </w14:solidFill>
                </w14:textFill>
              </w:rPr>
              <w:t>直接接触</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燃烧脱碳，在</w:t>
            </w:r>
            <w:r>
              <w:rPr>
                <w:rFonts w:hint="default" w:ascii="Times New Roman" w:hAnsi="Times New Roman" w:cs="Times New Roman"/>
                <w:color w:val="000000" w:themeColor="text1"/>
                <w:sz w:val="24"/>
                <w:highlight w:val="none"/>
                <w:lang w:val="en-US" w:eastAsia="zh-CN"/>
                <w14:textFill>
                  <w14:solidFill>
                    <w14:schemeClr w14:val="tx1"/>
                  </w14:solidFill>
                </w14:textFill>
              </w:rPr>
              <w:t>原料粉</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热值600kCal/kg的情况下，利用自身热值可完成轻烧脱碳。脱碳后的</w:t>
            </w:r>
            <w:r>
              <w:rPr>
                <w:rFonts w:hint="default" w:ascii="Times New Roman" w:hAnsi="Times New Roman" w:cs="Times New Roman"/>
                <w:color w:val="000000" w:themeColor="text1"/>
                <w:sz w:val="24"/>
                <w:highlight w:val="none"/>
                <w:lang w:val="en-US" w:eastAsia="zh-CN"/>
                <w14:textFill>
                  <w14:solidFill>
                    <w14:schemeClr w14:val="tx1"/>
                  </w14:solidFill>
                </w14:textFill>
              </w:rPr>
              <w:t>原料粉</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经C4旋风筒进入回转窑。C1出口废气约525℃，经余热锅炉进行热回收后约200℃，再送至煅烧废气处理系统。</w:t>
            </w:r>
          </w:p>
          <w:p w14:paraId="17CEB371">
            <w:pPr>
              <w:spacing w:line="360" w:lineRule="auto"/>
              <w:ind w:firstLine="482"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废气：</w:t>
            </w:r>
            <w:r>
              <w:rPr>
                <w:rFonts w:hint="default" w:ascii="Times New Roman" w:hAnsi="Times New Roman" w:cs="Times New Roman"/>
                <w:color w:val="000000" w:themeColor="text1"/>
                <w:sz w:val="24"/>
                <w:highlight w:val="none"/>
                <w:lang w:val="en-US" w:eastAsia="zh-CN"/>
                <w14:textFill>
                  <w14:solidFill>
                    <w14:schemeClr w14:val="tx1"/>
                  </w14:solidFill>
                </w14:textFill>
              </w:rPr>
              <w:t>窑尾喂料仓卸料</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粉尘（G1-4）经过</w:t>
            </w:r>
            <w:r>
              <w:rPr>
                <w:rFonts w:hint="default" w:ascii="Times New Roman" w:hAnsi="Times New Roman" w:eastAsia="宋体" w:cs="Times New Roman"/>
                <w:b/>
                <w:bCs/>
                <w:color w:val="000000" w:themeColor="text1"/>
                <w:sz w:val="24"/>
                <w:highlight w:val="none"/>
                <w14:textFill>
                  <w14:solidFill>
                    <w14:schemeClr w14:val="tx1"/>
                  </w14:solidFill>
                </w14:textFill>
              </w:rPr>
              <w:t>收尘器</w:t>
            </w:r>
            <w:r>
              <w:rPr>
                <w:rFonts w:hint="default" w:ascii="Times New Roman" w:hAnsi="Times New Roman" w:eastAsia="宋体" w:cs="Times New Roman"/>
                <w:color w:val="000000" w:themeColor="text1"/>
                <w:sz w:val="24"/>
                <w:highlight w:val="none"/>
                <w14:textFill>
                  <w14:solidFill>
                    <w14:schemeClr w14:val="tx1"/>
                  </w14:solidFill>
                </w14:textFill>
              </w:rPr>
              <w:t>进行粉尘净化处理</w:t>
            </w:r>
            <w:r>
              <w:rPr>
                <w:rFonts w:hint="default" w:ascii="Times New Roman" w:hAnsi="Times New Roman" w:cs="Times New Roman"/>
                <w:color w:val="000000" w:themeColor="text1"/>
                <w:sz w:val="24"/>
                <w:highlight w:val="none"/>
                <w:lang w:val="en-US" w:eastAsia="zh-CN"/>
                <w14:textFill>
                  <w14:solidFill>
                    <w14:schemeClr w14:val="tx1"/>
                  </w14:solidFill>
                </w14:textFill>
              </w:rPr>
              <w:t>后</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经1根</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0m高</w:t>
            </w:r>
            <w:r>
              <w:rPr>
                <w:rFonts w:hint="eastAsia" w:cs="Times New Roman"/>
                <w:b w:val="0"/>
                <w:bCs w:val="0"/>
                <w:color w:val="000000" w:themeColor="text1"/>
                <w:sz w:val="24"/>
                <w:szCs w:val="24"/>
                <w:highlight w:val="none"/>
                <w:lang w:val="en-US"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（DA004）排放</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窑尾提升机卸料粉尘废气（G1-</w:t>
            </w:r>
            <w:r>
              <w:rPr>
                <w:rFonts w:hint="default" w:ascii="Times New Roman" w:hAnsi="Times New Roman" w:cs="Times New Roman"/>
                <w:color w:val="000000" w:themeColor="text1"/>
                <w:sz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）经过</w:t>
            </w:r>
            <w:r>
              <w:rPr>
                <w:rFonts w:hint="default" w:ascii="Times New Roman" w:hAnsi="Times New Roman" w:eastAsia="宋体" w:cs="Times New Roman"/>
                <w:b/>
                <w:bCs/>
                <w:color w:val="000000" w:themeColor="text1"/>
                <w:sz w:val="24"/>
                <w:highlight w:val="none"/>
                <w14:textFill>
                  <w14:solidFill>
                    <w14:schemeClr w14:val="tx1"/>
                  </w14:solidFill>
                </w14:textFill>
              </w:rPr>
              <w:t>收尘器</w:t>
            </w:r>
            <w:r>
              <w:rPr>
                <w:rFonts w:hint="default" w:ascii="Times New Roman" w:hAnsi="Times New Roman" w:eastAsia="宋体" w:cs="Times New Roman"/>
                <w:color w:val="000000" w:themeColor="text1"/>
                <w:sz w:val="24"/>
                <w:highlight w:val="none"/>
                <w14:textFill>
                  <w14:solidFill>
                    <w14:schemeClr w14:val="tx1"/>
                  </w14:solidFill>
                </w14:textFill>
              </w:rPr>
              <w:t>进行粉尘净化处理</w:t>
            </w:r>
            <w:r>
              <w:rPr>
                <w:rFonts w:hint="default" w:ascii="Times New Roman" w:hAnsi="Times New Roman" w:cs="Times New Roman"/>
                <w:color w:val="000000" w:themeColor="text1"/>
                <w:sz w:val="24"/>
                <w:highlight w:val="none"/>
                <w:lang w:val="en-US" w:eastAsia="zh-CN"/>
                <w14:textFill>
                  <w14:solidFill>
                    <w14:schemeClr w14:val="tx1"/>
                  </w14:solidFill>
                </w14:textFill>
              </w:rPr>
              <w:t>后</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经1根</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9</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0m高</w:t>
            </w:r>
            <w:r>
              <w:rPr>
                <w:rFonts w:hint="eastAsia" w:cs="Times New Roman"/>
                <w:b w:val="0"/>
                <w:bCs w:val="0"/>
                <w:color w:val="000000" w:themeColor="text1"/>
                <w:sz w:val="24"/>
                <w:szCs w:val="24"/>
                <w:highlight w:val="none"/>
                <w:lang w:val="en-US"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（DA00</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）排放</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p>
          <w:p w14:paraId="0D8CCBEB">
            <w:pPr>
              <w:spacing w:line="360" w:lineRule="auto"/>
              <w:ind w:firstLine="420" w:firstLineChars="200"/>
              <w:jc w:val="cente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1924050" cy="2914650"/>
                  <wp:effectExtent l="0" t="0" r="0" b="0"/>
                  <wp:docPr id="4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8"/>
                          <pic:cNvPicPr>
                            <a:picLocks noChangeAspect="1"/>
                          </pic:cNvPicPr>
                        </pic:nvPicPr>
                        <pic:blipFill>
                          <a:blip r:embed="rId19"/>
                          <a:stretch>
                            <a:fillRect/>
                          </a:stretch>
                        </pic:blipFill>
                        <pic:spPr>
                          <a:xfrm>
                            <a:off x="0" y="0"/>
                            <a:ext cx="1924050" cy="2914650"/>
                          </a:xfrm>
                          <a:prstGeom prst="rect">
                            <a:avLst/>
                          </a:prstGeom>
                          <a:noFill/>
                          <a:ln>
                            <a:noFill/>
                          </a:ln>
                        </pic:spPr>
                      </pic:pic>
                    </a:graphicData>
                  </a:graphic>
                </wp:inline>
              </w:drawing>
            </w:r>
          </w:p>
          <w:p w14:paraId="25A92500">
            <w:pPr>
              <w:spacing w:line="360" w:lineRule="auto"/>
              <w:ind w:firstLine="482" w:firstLineChars="200"/>
              <w:jc w:val="cente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图2-4悬浮预热器+悬浮炉</w:t>
            </w:r>
          </w:p>
          <w:p w14:paraId="24B12F07">
            <w:pPr>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cs="Times New Roman"/>
                <w:color w:val="000000" w:themeColor="text1"/>
                <w:sz w:val="24"/>
                <w:highlight w:val="none"/>
                <w:lang w:val="en-US" w:eastAsia="zh-CN"/>
                <w14:textFill>
                  <w14:solidFill>
                    <w14:schemeClr w14:val="tx1"/>
                  </w14:solidFill>
                </w14:textFill>
              </w:rPr>
              <w:t>焙烧废气处理</w:t>
            </w:r>
          </w:p>
          <w:p w14:paraId="0E5FB524">
            <w:pPr>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从余热锅炉出来的废气经窑尾袋收尘器进行粉尘净化处理，处理后的废气再经窑尾主排风机送至脱硫系统脱硫，脱硫后废气达到排放标准后经脱硫塔烟囱排入大气。收尘器收集的粉尘窑灰经链式输送机、板链提升机送至窑灰仓储存。窑灰再经仓底卸料与出库</w:t>
            </w:r>
            <w:r>
              <w:rPr>
                <w:rFonts w:hint="default" w:ascii="Times New Roman" w:hAnsi="Times New Roman" w:cs="Times New Roman"/>
                <w:color w:val="000000" w:themeColor="text1"/>
                <w:sz w:val="24"/>
                <w:highlight w:val="none"/>
                <w:lang w:val="en-US" w:eastAsia="zh-CN"/>
                <w14:textFill>
                  <w14:solidFill>
                    <w14:schemeClr w14:val="tx1"/>
                  </w14:solidFill>
                </w14:textFill>
              </w:rPr>
              <w:t>原料粉</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搭配送至喂料仓。</w:t>
            </w:r>
          </w:p>
          <w:p w14:paraId="3E5BE8AA">
            <w:pPr>
              <w:spacing w:line="360" w:lineRule="auto"/>
              <w:ind w:firstLine="482" w:firstLineChars="200"/>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废气</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：回转窑</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窑尾预热器烟气排放口的烟气送余热锅炉回收热量后</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烟气（G1-</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6</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）：回转窑</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窑尾</w:t>
            </w:r>
            <w:r>
              <w:rPr>
                <w:rFonts w:hint="default" w:ascii="Times New Roman" w:hAnsi="Times New Roman" w:cs="Times New Roman"/>
                <w:color w:val="000000" w:themeColor="text1"/>
                <w:sz w:val="24"/>
                <w:highlight w:val="none"/>
                <w:lang w:val="en-US" w:eastAsia="zh-CN"/>
                <w14:textFill>
                  <w14:solidFill>
                    <w14:schemeClr w14:val="tx1"/>
                  </w14:solidFill>
                </w14:textFill>
              </w:rPr>
              <w:t>采用“</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分级燃烧+缺氧燃烧+烟气再循环（FGR）”组合</w:t>
            </w:r>
            <w:r>
              <w:rPr>
                <w:rFonts w:hint="default" w:ascii="Times New Roman" w:hAnsi="Times New Roman" w:cs="Times New Roman"/>
                <w:color w:val="000000" w:themeColor="text1"/>
                <w:sz w:val="24"/>
                <w:highlight w:val="none"/>
                <w:lang w:val="en-US" w:eastAsia="zh-CN"/>
                <w14:textFill>
                  <w14:solidFill>
                    <w14:schemeClr w14:val="tx1"/>
                  </w14:solidFill>
                </w14:textFill>
              </w:rPr>
              <w:t>低氮燃烧</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煅烧会产生烟气，该部分燃烧烟气</w:t>
            </w:r>
            <w:r>
              <w:rPr>
                <w:rFonts w:hint="default" w:ascii="Times New Roman" w:hAnsi="Times New Roman" w:eastAsia="宋体" w:cs="Times New Roman"/>
                <w:color w:val="000000" w:themeColor="text1"/>
                <w:sz w:val="24"/>
                <w:highlight w:val="none"/>
                <w14:textFill>
                  <w14:solidFill>
                    <w14:schemeClr w14:val="tx1"/>
                  </w14:solidFill>
                </w14:textFill>
              </w:rPr>
              <w:t>从高温风机出来的废气</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后</w:t>
            </w:r>
            <w:r>
              <w:rPr>
                <w:rFonts w:hint="default" w:ascii="Times New Roman" w:hAnsi="Times New Roman" w:eastAsia="宋体" w:cs="Times New Roman"/>
                <w:color w:val="000000" w:themeColor="text1"/>
                <w:sz w:val="24"/>
                <w:highlight w:val="none"/>
                <w14:textFill>
                  <w14:solidFill>
                    <w14:schemeClr w14:val="tx1"/>
                  </w14:solidFill>
                </w14:textFill>
              </w:rPr>
              <w:t>经</w:t>
            </w:r>
            <w:r>
              <w:rPr>
                <w:rFonts w:hint="default" w:ascii="Times New Roman" w:hAnsi="Times New Roman" w:cs="Times New Roman"/>
                <w:color w:val="000000" w:themeColor="text1"/>
                <w:sz w:val="24"/>
                <w:highlight w:val="none"/>
                <w:lang w:val="en-US" w:eastAsia="zh-CN"/>
                <w14:textFill>
                  <w14:solidFill>
                    <w14:schemeClr w14:val="tx1"/>
                  </w14:solidFill>
                </w14:textFill>
              </w:rPr>
              <w:t>余热锅炉回收热量后，经</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脱硝装置</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SNCR</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脱硝，脱硝后进入</w:t>
            </w:r>
            <w:r>
              <w:rPr>
                <w:rFonts w:hint="default" w:ascii="Times New Roman" w:hAnsi="Times New Roman" w:eastAsia="宋体" w:cs="Times New Roman"/>
                <w:b w:val="0"/>
                <w:bCs w:val="0"/>
                <w:color w:val="000000" w:themeColor="text1"/>
                <w:sz w:val="24"/>
                <w:highlight w:val="none"/>
                <w14:textFill>
                  <w14:solidFill>
                    <w14:schemeClr w14:val="tx1"/>
                  </w14:solidFill>
                </w14:textFill>
              </w:rPr>
              <w:t>窑尾袋收尘器</w:t>
            </w:r>
            <w:r>
              <w:rPr>
                <w:rFonts w:hint="default" w:ascii="Times New Roman" w:hAnsi="Times New Roman" w:eastAsia="宋体" w:cs="Times New Roman"/>
                <w:color w:val="000000" w:themeColor="text1"/>
                <w:sz w:val="24"/>
                <w:highlight w:val="none"/>
                <w14:textFill>
                  <w14:solidFill>
                    <w14:schemeClr w14:val="tx1"/>
                  </w14:solidFill>
                </w14:textFill>
              </w:rPr>
              <w:t>进行粉尘净化处理，处理后的废气再经窑尾废气风机送至</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石灰石</w:t>
            </w:r>
            <w:r>
              <w:rPr>
                <w:rFonts w:hint="default" w:ascii="Times New Roman" w:hAnsi="Times New Roman"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石膏湿法</w:t>
            </w:r>
            <w:r>
              <w:rPr>
                <w:rFonts w:hint="default" w:ascii="Times New Roman" w:hAnsi="Times New Roman" w:eastAsia="宋体" w:cs="Times New Roman"/>
                <w:color w:val="000000" w:themeColor="text1"/>
                <w:sz w:val="24"/>
                <w:highlight w:val="none"/>
                <w14:textFill>
                  <w14:solidFill>
                    <w14:schemeClr w14:val="tx1"/>
                  </w14:solidFill>
                </w14:textFill>
              </w:rPr>
              <w:t>脱硫系统脱硫，脱硫后废气达到排放标准后经烟囱排入大气。收尘器收集的粉尘窑灰经链式输送机、板链提升机送至</w:t>
            </w:r>
            <w:r>
              <w:rPr>
                <w:rFonts w:hint="default" w:ascii="Times New Roman" w:hAnsi="Times New Roman" w:eastAsia="宋体" w:cs="Times New Roman"/>
                <w:b w:val="0"/>
                <w:bCs w:val="0"/>
                <w:color w:val="000000" w:themeColor="text1"/>
                <w:sz w:val="24"/>
                <w:highlight w:val="none"/>
                <w14:textFill>
                  <w14:solidFill>
                    <w14:schemeClr w14:val="tx1"/>
                  </w14:solidFill>
                </w14:textFill>
              </w:rPr>
              <w:t>窑灰仓</w:t>
            </w:r>
            <w:r>
              <w:rPr>
                <w:rFonts w:hint="default" w:ascii="Times New Roman" w:hAnsi="Times New Roman" w:eastAsia="宋体" w:cs="Times New Roman"/>
                <w:color w:val="000000" w:themeColor="text1"/>
                <w:sz w:val="24"/>
                <w:highlight w:val="none"/>
                <w14:textFill>
                  <w14:solidFill>
                    <w14:schemeClr w14:val="tx1"/>
                  </w14:solidFill>
                </w14:textFill>
              </w:rPr>
              <w:t>储存。窑灰再经仓底卸料计量输送设备与</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悬浮炉物料</w:t>
            </w:r>
            <w:r>
              <w:rPr>
                <w:rFonts w:hint="default" w:ascii="Times New Roman" w:hAnsi="Times New Roman" w:eastAsia="宋体" w:cs="Times New Roman"/>
                <w:color w:val="000000" w:themeColor="text1"/>
                <w:sz w:val="24"/>
                <w:highlight w:val="none"/>
                <w14:textFill>
                  <w14:solidFill>
                    <w14:schemeClr w14:val="tx1"/>
                  </w14:solidFill>
                </w14:textFill>
              </w:rPr>
              <w:t>搭配送至入窑提升机入</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回转窑</w:t>
            </w:r>
            <w:r>
              <w:rPr>
                <w:rFonts w:hint="default" w:ascii="Times New Roman" w:hAnsi="Times New Roman" w:eastAsia="宋体" w:cs="Times New Roman"/>
                <w:color w:val="000000" w:themeColor="text1"/>
                <w:sz w:val="24"/>
                <w:highlight w:val="none"/>
                <w14:textFill>
                  <w14:solidFill>
                    <w14:schemeClr w14:val="tx1"/>
                  </w14:solidFill>
                </w14:textFill>
              </w:rPr>
              <w:t>煅烧系统。</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经1根</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42m</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高</w:t>
            </w:r>
            <w:r>
              <w:rPr>
                <w:rFonts w:hint="eastAsia" w:cs="Times New Roman"/>
                <w:b w:val="0"/>
                <w:bCs w:val="0"/>
                <w:color w:val="000000" w:themeColor="text1"/>
                <w:sz w:val="24"/>
                <w:szCs w:val="24"/>
                <w:highlight w:val="none"/>
                <w:lang w:val="en-US"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（DA006）排放。</w:t>
            </w:r>
          </w:p>
          <w:p w14:paraId="01D6634E">
            <w:pPr>
              <w:spacing w:line="360" w:lineRule="auto"/>
              <w:ind w:firstLine="482"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固废：</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废气湿法脱硫后产生脱硫石膏固废（S2）、脱硫废水沉淀污泥（S3）和脱硫废水（W2）。</w:t>
            </w:r>
          </w:p>
          <w:p w14:paraId="0E7B1EA4">
            <w:pPr>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回转</w:t>
            </w:r>
            <w:r>
              <w:rPr>
                <w:rFonts w:hint="default" w:ascii="Times New Roman" w:hAnsi="Times New Roman" w:eastAsia="宋体" w:cs="Times New Roman"/>
                <w:b w:val="0"/>
                <w:bCs w:val="0"/>
                <w:color w:val="000000" w:themeColor="text1"/>
                <w:sz w:val="24"/>
                <w:highlight w:val="none"/>
                <w14:textFill>
                  <w14:solidFill>
                    <w14:schemeClr w14:val="tx1"/>
                  </w14:solidFill>
                </w14:textFill>
              </w:rPr>
              <w:t>窑</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窑中</w:t>
            </w:r>
            <w:r>
              <w:rPr>
                <w:rFonts w:hint="default" w:ascii="Times New Roman" w:hAnsi="Times New Roman" w:eastAsia="宋体" w:cs="Times New Roman"/>
                <w:color w:val="000000" w:themeColor="text1"/>
                <w:sz w:val="24"/>
                <w:highlight w:val="none"/>
                <w14:textFill>
                  <w14:solidFill>
                    <w14:schemeClr w14:val="tx1"/>
                  </w14:solidFill>
                </w14:textFill>
              </w:rPr>
              <w:t>煅烧</w:t>
            </w:r>
          </w:p>
          <w:p w14:paraId="6E691352">
            <w:pPr>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脱水后产物的转化阶段</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脱水过程中自550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开始生成偏高岭石，偏高岭石是接近煤系高岭土结构的产物，但不完全是晶体</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脱水后产物继续转化的起始温度是925</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w:t>
            </w:r>
          </w:p>
          <w:p w14:paraId="647A2E26">
            <w:pPr>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转化阶段</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其主要反应如下：</w:t>
            </w:r>
          </w:p>
          <w:p w14:paraId="1BE7A6A4">
            <w:pPr>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脱水产物分解出无定形</w:t>
            </w:r>
            <w:r>
              <w:rPr>
                <w:rFonts w:hint="default" w:ascii="Times New Roman" w:hAnsi="Times New Roman" w:cs="Times New Roman"/>
                <w:color w:val="000000" w:themeColor="text1"/>
                <w:sz w:val="24"/>
                <w:szCs w:val="24"/>
                <w:highlight w:val="none"/>
                <w14:textFill>
                  <w14:solidFill>
                    <w14:schemeClr w14:val="tx1"/>
                  </w14:solidFill>
                </w14:textFill>
              </w:rPr>
              <w:t>Al</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O</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在950℃左右开始转变为</w:t>
            </w:r>
            <w:r>
              <w:rPr>
                <w:rFonts w:hint="default" w:ascii="Times New Roman" w:hAnsi="Times New Roman" w:cs="Times New Roman"/>
                <w:color w:val="000000" w:themeColor="text1"/>
                <w:sz w:val="24"/>
                <w:szCs w:val="24"/>
                <w:highlight w:val="none"/>
                <w:vertAlign w:val="baseline"/>
                <w:lang w:val="en-US" w:eastAsia="zh-CN"/>
                <w14:textFill>
                  <w14:solidFill>
                    <w14:schemeClr w14:val="tx1"/>
                  </w14:solidFill>
                </w14:textFill>
              </w:rPr>
              <w:t>γ</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-Al</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O</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default" w:ascii="Times New Roman" w:hAnsi="Times New Roman" w:cs="Times New Roman"/>
                <w:color w:val="000000" w:themeColor="text1"/>
                <w:sz w:val="24"/>
                <w:szCs w:val="24"/>
                <w:highlight w:val="none"/>
                <w:vertAlign w:val="baseline"/>
                <w:lang w:val="en-US" w:eastAsia="zh-CN"/>
                <w14:textFill>
                  <w14:solidFill>
                    <w14:schemeClr w14:val="tx1"/>
                  </w14:solidFill>
                </w14:textFill>
              </w:rPr>
              <w:t>γ</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-Al</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O</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与SiO</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在1100℃可生成微量莫来石晶体。</w:t>
            </w:r>
          </w:p>
          <w:p w14:paraId="12148045">
            <w:pPr>
              <w:spacing w:line="360" w:lineRule="auto"/>
              <w:ind w:firstLine="480" w:firstLineChars="200"/>
              <w:rPr>
                <w:rFonts w:hint="default" w:ascii="Times New Roman" w:hAnsi="Times New Roman" w:cs="Times New Roman"/>
                <w:color w:val="000000" w:themeColor="text1"/>
                <w:sz w:val="24"/>
                <w:szCs w:val="24"/>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SiO</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Al</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O</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3</w:t>
            </w:r>
            <w:r>
              <w:rPr>
                <w:rFonts w:hint="default" w:ascii="Times New Roman" w:hAnsi="Times New Roman" w:cs="Times New Roman"/>
                <w:color w:val="000000" w:themeColor="text1"/>
                <w:sz w:val="24"/>
                <w:szCs w:val="24"/>
                <w:highlight w:val="none"/>
                <w:vertAlign w:val="baseline"/>
                <w:lang w:val="en-US"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Al</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O</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3</w:t>
            </w:r>
            <w:r>
              <w:rPr>
                <w:rFonts w:hint="default" w:ascii="Times New Roman" w:hAnsi="Times New Roman" w:cs="Times New Roman"/>
                <w:color w:val="000000" w:themeColor="text1"/>
                <w:sz w:val="24"/>
                <w:szCs w:val="24"/>
                <w:highlight w:val="none"/>
                <w:vertAlign w:val="baseli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vertAlign w:val="baseline"/>
                <w:lang w:val="en-US" w:eastAsia="zh-CN"/>
                <w14:textFill>
                  <w14:solidFill>
                    <w14:schemeClr w14:val="tx1"/>
                  </w14:solidFill>
                </w14:textFill>
              </w:rPr>
              <w:t>无定形</w:t>
            </w:r>
            <w:r>
              <w:rPr>
                <w:rFonts w:hint="default" w:ascii="Times New Roman" w:hAnsi="Times New Roman" w:cs="Times New Roman"/>
                <w:color w:val="000000" w:themeColor="text1"/>
                <w:sz w:val="24"/>
                <w:szCs w:val="24"/>
                <w:highlight w:val="none"/>
                <w:vertAlign w:val="baseli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vertAlign w:val="baseline"/>
                <w:lang w:val="en-US" w:eastAsia="zh-CN"/>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SiO</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cs="Times New Roman"/>
                <w:color w:val="000000" w:themeColor="text1"/>
                <w:sz w:val="24"/>
                <w:szCs w:val="24"/>
                <w:highlight w:val="none"/>
                <w:vertAlign w:val="baseli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vertAlign w:val="baseline"/>
                <w:lang w:val="en-US" w:eastAsia="zh-CN"/>
                <w14:textFill>
                  <w14:solidFill>
                    <w14:schemeClr w14:val="tx1"/>
                  </w14:solidFill>
                </w14:textFill>
              </w:rPr>
              <w:t>无定形</w:t>
            </w:r>
            <w:r>
              <w:rPr>
                <w:rFonts w:hint="default" w:ascii="Times New Roman" w:hAnsi="Times New Roman" w:cs="Times New Roman"/>
                <w:color w:val="000000" w:themeColor="text1"/>
                <w:sz w:val="24"/>
                <w:szCs w:val="24"/>
                <w:highlight w:val="none"/>
                <w:vertAlign w:val="baseline"/>
                <w:lang w:eastAsia="zh-CN"/>
                <w14:textFill>
                  <w14:solidFill>
                    <w14:schemeClr w14:val="tx1"/>
                  </w14:solidFill>
                </w14:textFill>
              </w:rPr>
              <w:t>）</w:t>
            </w:r>
          </w:p>
          <w:p w14:paraId="5096864B">
            <w:pPr>
              <w:spacing w:line="360" w:lineRule="auto"/>
              <w:ind w:firstLine="480" w:firstLineChars="200"/>
              <w:rPr>
                <w:rFonts w:hint="default" w:ascii="Times New Roman" w:hAnsi="Times New Roman" w:cs="Times New Roman"/>
                <w:color w:val="000000" w:themeColor="text1"/>
                <w:sz w:val="24"/>
                <w:szCs w:val="24"/>
                <w:highlight w:val="none"/>
                <w:vertAlign w:val="subscript"/>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Al</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O</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3</w:t>
            </w:r>
            <w:r>
              <w:rPr>
                <w:rFonts w:hint="default" w:ascii="Times New Roman" w:hAnsi="Times New Roman" w:cs="Times New Roman"/>
                <w:color w:val="000000" w:themeColor="text1"/>
                <w:sz w:val="24"/>
                <w:szCs w:val="24"/>
                <w:highlight w:val="none"/>
                <w:vertAlign w:val="baseli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vertAlign w:val="baseline"/>
                <w:lang w:val="en-US" w:eastAsia="zh-CN"/>
                <w14:textFill>
                  <w14:solidFill>
                    <w14:schemeClr w14:val="tx1"/>
                  </w14:solidFill>
                </w14:textFill>
              </w:rPr>
              <w:t>无定形</w:t>
            </w:r>
            <w:r>
              <w:rPr>
                <w:rFonts w:hint="default" w:ascii="Times New Roman" w:hAnsi="Times New Roman" w:cs="Times New Roman"/>
                <w:color w:val="000000" w:themeColor="text1"/>
                <w:sz w:val="24"/>
                <w:szCs w:val="24"/>
                <w:highlight w:val="none"/>
                <w:vertAlign w:val="baseline"/>
                <w:lang w:eastAsia="zh-CN"/>
                <w14:textFill>
                  <w14:solidFill>
                    <w14:schemeClr w14:val="tx1"/>
                  </w14:solidFill>
                </w14:textFill>
              </w:rPr>
              <w:t>）</w:t>
            </w:r>
            <w:r>
              <w:rPr>
                <w:rFonts w:hint="default" w:ascii="Times New Roman" w:hAnsi="Times New Roman" w:cs="Times New Roman"/>
                <w:color w:val="000000" w:themeColor="text1"/>
                <w:sz w:val="24"/>
                <w:szCs w:val="24"/>
                <w:highlight w:val="none"/>
                <w:vertAlign w:val="baseline"/>
                <w:lang w:val="en-US" w:eastAsia="zh-CN"/>
                <w14:textFill>
                  <w14:solidFill>
                    <w14:schemeClr w14:val="tx1"/>
                  </w14:solidFill>
                </w14:textFill>
              </w:rPr>
              <w:t>=γ-</w:t>
            </w:r>
            <w:r>
              <w:rPr>
                <w:rFonts w:hint="default" w:ascii="Times New Roman" w:hAnsi="Times New Roman" w:cs="Times New Roman"/>
                <w:color w:val="000000" w:themeColor="text1"/>
                <w:sz w:val="24"/>
                <w:szCs w:val="24"/>
                <w:highlight w:val="none"/>
                <w14:textFill>
                  <w14:solidFill>
                    <w14:schemeClr w14:val="tx1"/>
                  </w14:solidFill>
                </w14:textFill>
              </w:rPr>
              <w:t>Al</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O</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3</w:t>
            </w:r>
          </w:p>
          <w:p w14:paraId="2C072F8E">
            <w:pPr>
              <w:spacing w:line="360" w:lineRule="auto"/>
              <w:ind w:firstLine="480" w:firstLineChars="200"/>
              <w:rPr>
                <w:rFonts w:hint="default"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vertAlign w:val="baseline"/>
                <w:lang w:val="en-US" w:eastAsia="zh-CN"/>
                <w14:textFill>
                  <w14:solidFill>
                    <w14:schemeClr w14:val="tx1"/>
                  </w14:solidFill>
                </w14:textFill>
              </w:rPr>
              <w:t>γ-</w:t>
            </w:r>
            <w:r>
              <w:rPr>
                <w:rFonts w:hint="default" w:ascii="Times New Roman" w:hAnsi="Times New Roman" w:cs="Times New Roman"/>
                <w:color w:val="000000" w:themeColor="text1"/>
                <w:sz w:val="24"/>
                <w:szCs w:val="24"/>
                <w:highlight w:val="none"/>
                <w14:textFill>
                  <w14:solidFill>
                    <w14:schemeClr w14:val="tx1"/>
                  </w14:solidFill>
                </w14:textFill>
              </w:rPr>
              <w:t>Al</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O</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3</w:t>
            </w:r>
            <w:r>
              <w:rPr>
                <w:rFonts w:hint="default" w:ascii="Times New Roman" w:hAnsi="Times New Roman" w:cs="Times New Roman"/>
                <w:color w:val="000000" w:themeColor="text1"/>
                <w:sz w:val="24"/>
                <w:szCs w:val="24"/>
                <w:highlight w:val="none"/>
                <w:vertAlign w:val="baseline"/>
                <w:lang w:val="en-US" w:eastAsia="zh-CN"/>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SiO</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cs="Times New Roman"/>
                <w:color w:val="000000" w:themeColor="text1"/>
                <w:sz w:val="24"/>
                <w:szCs w:val="24"/>
                <w:highlight w:val="none"/>
                <w:vertAlign w:val="baseline"/>
                <w:lang w:val="en-US" w:eastAsia="zh-CN"/>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Al</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O</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3</w:t>
            </w:r>
            <w:r>
              <w:rPr>
                <w:rFonts w:hint="default" w:ascii="Times New Roman" w:hAnsi="Times New Roman" w:cs="Times New Roman"/>
                <w:color w:val="000000" w:themeColor="text1"/>
                <w:sz w:val="24"/>
                <w:szCs w:val="24"/>
                <w:highlight w:val="none"/>
                <w14:textFill>
                  <w14:solidFill>
                    <w14:schemeClr w14:val="tx1"/>
                  </w14:solidFill>
                </w14:textFill>
              </w:rPr>
              <w:t>·</w:t>
            </w:r>
            <w:r>
              <w:rPr>
                <w:rFonts w:hint="default" w:ascii="Times New Roman" w:hAnsi="Times New Roman" w:cs="Times New Roman"/>
                <w:color w:val="000000" w:themeColor="text1"/>
                <w:sz w:val="24"/>
                <w:szCs w:val="24"/>
                <w:highlight w:val="none"/>
                <w:vertAlign w:val="baseline"/>
                <w:lang w:val="en-US" w:eastAsia="zh-CN"/>
                <w14:textFill>
                  <w14:solidFill>
                    <w14:schemeClr w14:val="tx1"/>
                  </w14:solidFill>
                </w14:textFill>
              </w:rPr>
              <w:t>2</w:t>
            </w:r>
            <w:r>
              <w:rPr>
                <w:rFonts w:hint="default" w:ascii="Times New Roman" w:hAnsi="Times New Roman" w:cs="Times New Roman"/>
                <w:color w:val="000000" w:themeColor="text1"/>
                <w:sz w:val="24"/>
                <w:szCs w:val="24"/>
                <w:highlight w:val="none"/>
                <w14:textFill>
                  <w14:solidFill>
                    <w14:schemeClr w14:val="tx1"/>
                  </w14:solidFill>
                </w14:textFill>
              </w:rPr>
              <w:t>SiO</w:t>
            </w:r>
            <w:r>
              <w:rPr>
                <w:rFonts w:hint="default" w:ascii="Times New Roman" w:hAnsi="Times New Roman" w:cs="Times New Roman"/>
                <w:color w:val="000000" w:themeColor="text1"/>
                <w:sz w:val="24"/>
                <w:szCs w:val="24"/>
                <w:highlight w:val="none"/>
                <w:vertAlign w:val="subscript"/>
                <w14:textFill>
                  <w14:solidFill>
                    <w14:schemeClr w14:val="tx1"/>
                  </w14:solidFill>
                </w14:textFill>
              </w:rPr>
              <w:t>2</w:t>
            </w:r>
          </w:p>
          <w:p w14:paraId="60D7A7C9">
            <w:pPr>
              <w:spacing w:line="360" w:lineRule="auto"/>
              <w:ind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工艺简述：</w:t>
            </w:r>
          </w:p>
          <w:p w14:paraId="4BC7DDDA">
            <w:pPr>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已在悬浮煅烧系统中完成轻烧脱碳的</w:t>
            </w:r>
            <w:r>
              <w:rPr>
                <w:rFonts w:hint="default" w:ascii="Times New Roman" w:hAnsi="Times New Roman" w:cs="Times New Roman"/>
                <w:color w:val="000000" w:themeColor="text1"/>
                <w:sz w:val="24"/>
                <w:highlight w:val="none"/>
                <w:lang w:val="en-US" w:eastAsia="zh-CN"/>
                <w14:textFill>
                  <w14:solidFill>
                    <w14:schemeClr w14:val="tx1"/>
                  </w14:solidFill>
                </w14:textFill>
              </w:rPr>
              <w:t>原料粉从除尘器下料仓卸料</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进入回转窑，在回转窑内通过较长时间的</w:t>
            </w:r>
            <w:r>
              <w:rPr>
                <w:rFonts w:hint="default" w:ascii="Times New Roman" w:hAnsi="Times New Roman" w:cs="Times New Roman"/>
                <w:color w:val="000000" w:themeColor="text1"/>
                <w:sz w:val="24"/>
                <w:highlight w:val="none"/>
                <w:lang w:val="en-US" w:eastAsia="zh-CN"/>
                <w14:textFill>
                  <w14:solidFill>
                    <w14:schemeClr w14:val="tx1"/>
                  </w14:solidFill>
                </w14:textFill>
              </w:rPr>
              <w:t>煅烧</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进一步降低碳含量，提高白度，深度脱碳增白。深度脱碳后的煤矸石即为高岭土，从窑口卸出进入窑头冷却系统。</w:t>
            </w:r>
          </w:p>
          <w:p w14:paraId="5CF17A83">
            <w:pPr>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回转窑深度脱碳煅烧热量来源于窑头燃气热风炉（出炉热风温度约1350℃），回转窑深度脱碳煅烧热量来源于窑头燃气热风炉，燃料为煤气。</w:t>
            </w:r>
            <w:r>
              <w:rPr>
                <w:rFonts w:hint="eastAsia" w:ascii="Times New Roman" w:hAnsi="Times New Roman" w:cs="Times New Roman"/>
                <w:color w:val="000000" w:themeColor="text1"/>
                <w:sz w:val="24"/>
                <w:highlight w:val="none"/>
                <w:lang w:val="en-US" w:eastAsia="zh-CN"/>
                <w14:textFill>
                  <w14:solidFill>
                    <w14:schemeClr w14:val="tx1"/>
                  </w14:solidFill>
                </w14:textFill>
              </w:rPr>
              <w:t>热风炉燃烧器采</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用</w:t>
            </w:r>
            <w:r>
              <w:rPr>
                <w:rFonts w:hint="default" w:ascii="Times New Roman" w:hAnsi="Times New Roman"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分级燃烧+缺氧燃烧+烟气再循环（FGR）</w:t>
            </w:r>
            <w:r>
              <w:rPr>
                <w:rFonts w:hint="default" w:ascii="Times New Roman" w:hAnsi="Times New Roman"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降氮技术。</w:t>
            </w:r>
          </w:p>
          <w:p w14:paraId="6C5DB197">
            <w:pPr>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成品</w:t>
            </w:r>
            <w:r>
              <w:rPr>
                <w:rFonts w:hint="default" w:ascii="Times New Roman" w:hAnsi="Times New Roman" w:eastAsia="宋体" w:cs="Times New Roman"/>
                <w:color w:val="000000" w:themeColor="text1"/>
                <w:sz w:val="24"/>
                <w:highlight w:val="none"/>
                <w14:textFill>
                  <w14:solidFill>
                    <w14:schemeClr w14:val="tx1"/>
                  </w14:solidFill>
                </w14:textFill>
              </w:rPr>
              <w:t>冷却</w:t>
            </w:r>
          </w:p>
          <w:p w14:paraId="0CB5CDB8">
            <w:pPr>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物料经回转窑煅烧后从窑</w:t>
            </w:r>
            <w:r>
              <w:rPr>
                <w:rFonts w:hint="default" w:ascii="Times New Roman" w:hAnsi="Times New Roman" w:cs="Times New Roman"/>
                <w:color w:val="000000" w:themeColor="text1"/>
                <w:sz w:val="24"/>
                <w:highlight w:val="none"/>
                <w:lang w:val="en-US" w:eastAsia="zh-CN"/>
                <w14:textFill>
                  <w14:solidFill>
                    <w14:schemeClr w14:val="tx1"/>
                  </w14:solidFill>
                </w14:textFill>
              </w:rPr>
              <w:t>头</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出料口</w:t>
            </w:r>
            <w:r>
              <w:rPr>
                <w:rFonts w:hint="default" w:ascii="Times New Roman" w:hAnsi="Times New Roman" w:cs="Times New Roman"/>
                <w:color w:val="000000" w:themeColor="text1"/>
                <w:sz w:val="24"/>
                <w:highlight w:val="none"/>
                <w:lang w:val="en-US" w:eastAsia="zh-CN"/>
                <w14:textFill>
                  <w14:solidFill>
                    <w14:schemeClr w14:val="tx1"/>
                  </w14:solidFill>
                </w14:textFill>
              </w:rPr>
              <w:t>卸出，</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通过溜槽落入冷却窑内，在冷却窑尾投入冷却空气，对物料进行冷却，</w:t>
            </w:r>
            <w:r>
              <w:rPr>
                <w:rFonts w:hint="default" w:ascii="Times New Roman" w:hAnsi="Times New Roman" w:eastAsia="宋体" w:cs="Times New Roman"/>
                <w:color w:val="000000" w:themeColor="text1"/>
                <w:sz w:val="24"/>
                <w:highlight w:val="none"/>
                <w14:textFill>
                  <w14:solidFill>
                    <w14:schemeClr w14:val="tx1"/>
                  </w14:solidFill>
                </w14:textFill>
              </w:rPr>
              <w:t>本项目采用了两级冷却，第一级采用</w:t>
            </w:r>
            <w:r>
              <w:rPr>
                <w:rFonts w:hint="default" w:ascii="Times New Roman" w:hAnsi="Times New Roman" w:eastAsia="宋体" w:cs="Times New Roman"/>
                <w:b w:val="0"/>
                <w:bCs w:val="0"/>
                <w:color w:val="000000" w:themeColor="text1"/>
                <w:sz w:val="24"/>
                <w:highlight w:val="none"/>
                <w14:textFill>
                  <w14:solidFill>
                    <w14:schemeClr w14:val="tx1"/>
                  </w14:solidFill>
                </w14:textFill>
              </w:rPr>
              <w:t>高温粉体对流式急冷换热装置，</w:t>
            </w:r>
            <w:r>
              <w:rPr>
                <w:rFonts w:hint="default" w:ascii="Times New Roman" w:hAnsi="Times New Roman" w:eastAsia="宋体" w:cs="Times New Roman"/>
                <w:color w:val="000000" w:themeColor="text1"/>
                <w:sz w:val="24"/>
                <w:highlight w:val="none"/>
                <w14:textFill>
                  <w14:solidFill>
                    <w14:schemeClr w14:val="tx1"/>
                  </w14:solidFill>
                </w14:textFill>
              </w:rPr>
              <w:t>完成高温物料快速冷却，将高岭土从1</w:t>
            </w:r>
            <w:r>
              <w:rPr>
                <w:rFonts w:hint="default" w:ascii="Times New Roman" w:hAnsi="Times New Roman" w:cs="Times New Roman"/>
                <w:color w:val="000000" w:themeColor="text1"/>
                <w:sz w:val="24"/>
                <w:highlight w:val="none"/>
                <w:lang w:val="en-US" w:eastAsia="zh-CN"/>
                <w14:textFill>
                  <w14:solidFill>
                    <w14:schemeClr w14:val="tx1"/>
                  </w14:solidFill>
                </w14:textFill>
              </w:rPr>
              <w:t>35</w:t>
            </w:r>
            <w:r>
              <w:rPr>
                <w:rFonts w:hint="default" w:ascii="Times New Roman" w:hAnsi="Times New Roman" w:eastAsia="宋体" w:cs="Times New Roman"/>
                <w:color w:val="000000" w:themeColor="text1"/>
                <w:sz w:val="24"/>
                <w:highlight w:val="none"/>
                <w14:textFill>
                  <w14:solidFill>
                    <w14:schemeClr w14:val="tx1"/>
                  </w14:solidFill>
                </w14:textFill>
              </w:rPr>
              <w:t>0℃冷却至400℃，对冷却后的热风一部分作为二次风与热风炉热风混合入窑，另一部分作为三次风供悬浮炉煤矸石燃烧，实现了最大程度的热回收利用；第一级冷却后的高岭土再经</w:t>
            </w:r>
            <w:r>
              <w:rPr>
                <w:rFonts w:hint="default" w:ascii="Times New Roman" w:hAnsi="Times New Roman" w:eastAsia="宋体" w:cs="Times New Roman"/>
                <w:b w:val="0"/>
                <w:bCs w:val="0"/>
                <w:color w:val="000000" w:themeColor="text1"/>
                <w:sz w:val="24"/>
                <w:highlight w:val="none"/>
                <w14:textFill>
                  <w14:solidFill>
                    <w14:schemeClr w14:val="tx1"/>
                  </w14:solidFill>
                </w14:textFill>
              </w:rPr>
              <w:t>吸风输送管道</w:t>
            </w:r>
            <w:r>
              <w:rPr>
                <w:rFonts w:hint="default" w:ascii="Times New Roman" w:hAnsi="Times New Roman" w:eastAsia="宋体" w:cs="Times New Roman"/>
                <w:color w:val="000000" w:themeColor="text1"/>
                <w:sz w:val="24"/>
                <w:highlight w:val="none"/>
                <w14:textFill>
                  <w14:solidFill>
                    <w14:schemeClr w14:val="tx1"/>
                  </w14:solidFill>
                </w14:textFill>
              </w:rPr>
              <w:t>进行冷却，将高岭土从</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highlight w:val="none"/>
                <w14:textFill>
                  <w14:solidFill>
                    <w14:schemeClr w14:val="tx1"/>
                  </w14:solidFill>
                </w14:textFill>
              </w:rPr>
              <w:t>00℃冷却至</w:t>
            </w:r>
            <w:r>
              <w:rPr>
                <w:rFonts w:hint="default" w:ascii="Times New Roman" w:hAnsi="Times New Roman" w:cs="Times New Roman"/>
                <w:color w:val="000000" w:themeColor="text1"/>
                <w:sz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highlight w:val="none"/>
                <w14:textFill>
                  <w14:solidFill>
                    <w14:schemeClr w14:val="tx1"/>
                  </w14:solidFill>
                </w14:textFill>
              </w:rPr>
              <w:t>0℃，并且将</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高活性的</w:t>
            </w:r>
            <w:r>
              <w:rPr>
                <w:rFonts w:hint="default" w:ascii="Times New Roman" w:hAnsi="Times New Roman" w:eastAsia="宋体" w:cs="Times New Roman"/>
                <w:color w:val="000000" w:themeColor="text1"/>
                <w:sz w:val="24"/>
                <w:highlight w:val="none"/>
                <w14:textFill>
                  <w14:solidFill>
                    <w14:schemeClr w14:val="tx1"/>
                  </w14:solidFill>
                </w14:textFill>
              </w:rPr>
              <w:t>高岭土送至高岭土</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分选</w:t>
            </w:r>
            <w:r>
              <w:rPr>
                <w:rFonts w:hint="default" w:ascii="Times New Roman" w:hAnsi="Times New Roman" w:eastAsia="宋体" w:cs="Times New Roman"/>
                <w:color w:val="000000" w:themeColor="text1"/>
                <w:sz w:val="24"/>
                <w:highlight w:val="none"/>
                <w14:textFill>
                  <w14:solidFill>
                    <w14:schemeClr w14:val="tx1"/>
                  </w14:solidFill>
                </w14:textFill>
              </w:rPr>
              <w:t>车间。</w:t>
            </w:r>
          </w:p>
          <w:p w14:paraId="2C3F8778">
            <w:pPr>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成品分选</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打散分级、</w:t>
            </w:r>
            <w:r>
              <w:rPr>
                <w:rFonts w:hint="default" w:ascii="Times New Roman" w:hAnsi="Times New Roman" w:eastAsia="宋体" w:cs="Times New Roman"/>
                <w:color w:val="000000" w:themeColor="text1"/>
                <w:sz w:val="24"/>
                <w:highlight w:val="none"/>
                <w14:textFill>
                  <w14:solidFill>
                    <w14:schemeClr w14:val="tx1"/>
                  </w14:solidFill>
                </w14:textFill>
              </w:rPr>
              <w:t>粉磨</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p>
          <w:p w14:paraId="229B0430">
            <w:pPr>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吸风输送管送来的高岭土随气流经</w:t>
            </w:r>
            <w:r>
              <w:rPr>
                <w:rFonts w:hint="default" w:ascii="Times New Roman" w:hAnsi="Times New Roman" w:eastAsia="宋体" w:cs="Times New Roman"/>
                <w:b w:val="0"/>
                <w:bCs w:val="0"/>
                <w:color w:val="000000" w:themeColor="text1"/>
                <w:sz w:val="24"/>
                <w:highlight w:val="none"/>
                <w14:textFill>
                  <w14:solidFill>
                    <w14:schemeClr w14:val="tx1"/>
                  </w14:solidFill>
                </w14:textFill>
              </w:rPr>
              <w:t>打散分级机</w:t>
            </w:r>
            <w:r>
              <w:rPr>
                <w:rFonts w:hint="default" w:ascii="Times New Roman" w:hAnsi="Times New Roman" w:eastAsia="宋体" w:cs="Times New Roman"/>
                <w:color w:val="000000" w:themeColor="text1"/>
                <w:sz w:val="24"/>
                <w:highlight w:val="none"/>
                <w14:textFill>
                  <w14:solidFill>
                    <w14:schemeClr w14:val="tx1"/>
                  </w14:solidFill>
                </w14:textFill>
              </w:rPr>
              <w:t>分选</w:t>
            </w:r>
            <w:r>
              <w:rPr>
                <w:rFonts w:hint="default" w:ascii="Times New Roman" w:hAnsi="Times New Roman" w:cs="Times New Roman"/>
                <w:color w:val="000000" w:themeColor="text1"/>
                <w:sz w:val="24"/>
                <w:highlight w:val="none"/>
                <w:lang w:val="en-US" w:eastAsia="zh-CN"/>
                <w14:textFill>
                  <w14:solidFill>
                    <w14:schemeClr w14:val="tx1"/>
                  </w14:solidFill>
                </w14:textFill>
              </w:rPr>
              <w:t>后</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粉磨</w:t>
            </w:r>
            <w:r>
              <w:rPr>
                <w:rFonts w:hint="default" w:ascii="Times New Roman" w:hAnsi="Times New Roman" w:eastAsia="宋体" w:cs="Times New Roman"/>
                <w:color w:val="000000" w:themeColor="text1"/>
                <w:sz w:val="24"/>
                <w:highlight w:val="none"/>
                <w14:textFill>
                  <w14:solidFill>
                    <w14:schemeClr w14:val="tx1"/>
                  </w14:solidFill>
                </w14:textFill>
              </w:rPr>
              <w:t>，粗料（又称煅烧团聚料）</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进入</w:t>
            </w:r>
            <w:r>
              <w:rPr>
                <w:rFonts w:hint="default" w:ascii="Times New Roman" w:hAnsi="Times New Roman" w:eastAsia="宋体" w:cs="Times New Roman"/>
                <w:color w:val="000000" w:themeColor="text1"/>
                <w:sz w:val="24"/>
                <w:highlight w:val="none"/>
                <w14:textFill>
                  <w14:solidFill>
                    <w14:schemeClr w14:val="tx1"/>
                  </w14:solidFill>
                </w14:textFill>
              </w:rPr>
              <w:t>磨头钢仓，经定量卸料后</w:t>
            </w:r>
            <w:r>
              <w:rPr>
                <w:rFonts w:hint="default" w:ascii="Times New Roman" w:hAnsi="Times New Roman" w:cs="Times New Roman"/>
                <w:color w:val="000000" w:themeColor="text1"/>
                <w:sz w:val="24"/>
                <w:highlight w:val="none"/>
                <w:lang w:eastAsia="zh-CN"/>
                <w14:textFill>
                  <w14:solidFill>
                    <w14:schemeClr w14:val="tx1"/>
                  </w14:solidFill>
                </w14:textFill>
              </w:rPr>
              <w:t>即可</w:t>
            </w:r>
            <w:r>
              <w:rPr>
                <w:rFonts w:hint="default" w:ascii="Times New Roman" w:hAnsi="Times New Roman" w:eastAsia="宋体" w:cs="Times New Roman"/>
                <w:color w:val="000000" w:themeColor="text1"/>
                <w:sz w:val="24"/>
                <w:highlight w:val="none"/>
                <w14:textFill>
                  <w14:solidFill>
                    <w14:schemeClr w14:val="tx1"/>
                  </w14:solidFill>
                </w14:textFill>
              </w:rPr>
              <w:t>大袋包装出厂，</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也可</w:t>
            </w:r>
            <w:r>
              <w:rPr>
                <w:rFonts w:hint="default" w:ascii="Times New Roman" w:hAnsi="Times New Roman" w:eastAsia="宋体" w:cs="Times New Roman"/>
                <w:color w:val="000000" w:themeColor="text1"/>
                <w:sz w:val="24"/>
                <w:highlight w:val="none"/>
                <w14:textFill>
                  <w14:solidFill>
                    <w14:schemeClr w14:val="tx1"/>
                  </w14:solidFill>
                </w14:textFill>
              </w:rPr>
              <w:t>进入球磨，粉磨后再经提升机、空气输送斜槽分两路，一路可返回打散分级机再次分选，另一路送至磨尾钢仓，钢仓下设两路：一路大袋包装出厂，另一路送至</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成品堆棚内的筒仓</w:t>
            </w:r>
            <w:r>
              <w:rPr>
                <w:rFonts w:hint="default" w:ascii="Times New Roman" w:hAnsi="Times New Roman" w:eastAsia="宋体" w:cs="Times New Roman"/>
                <w:color w:val="000000" w:themeColor="text1"/>
                <w:sz w:val="24"/>
                <w:highlight w:val="none"/>
                <w14:textFill>
                  <w14:solidFill>
                    <w14:schemeClr w14:val="tx1"/>
                  </w14:solidFill>
                </w14:textFill>
              </w:rPr>
              <w:t>储存；打散分级机分选出来的细料随气流送至</w:t>
            </w:r>
            <w:r>
              <w:rPr>
                <w:rFonts w:hint="default" w:ascii="Times New Roman" w:hAnsi="Times New Roman" w:cs="Times New Roman"/>
                <w:color w:val="000000" w:themeColor="text1"/>
                <w:sz w:val="24"/>
                <w:highlight w:val="none"/>
                <w:lang w:val="en-US" w:eastAsia="zh-CN"/>
                <w14:textFill>
                  <w14:solidFill>
                    <w14:schemeClr w14:val="tx1"/>
                  </w14:solidFill>
                </w14:textFill>
              </w:rPr>
              <w:t>布</w:t>
            </w:r>
            <w:r>
              <w:rPr>
                <w:rFonts w:hint="default" w:ascii="Times New Roman" w:hAnsi="Times New Roman" w:eastAsia="宋体" w:cs="Times New Roman"/>
                <w:color w:val="000000" w:themeColor="text1"/>
                <w:sz w:val="24"/>
                <w:highlight w:val="none"/>
                <w14:textFill>
                  <w14:solidFill>
                    <w14:schemeClr w14:val="tx1"/>
                  </w14:solidFill>
                </w14:textFill>
              </w:rPr>
              <w:t>袋收尘器收集，收集的成品即合格高岭土</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（此时高岭土已从150℃冷却至50℃）由</w:t>
            </w:r>
            <w:r>
              <w:rPr>
                <w:rFonts w:hint="default" w:ascii="Times New Roman" w:hAnsi="Times New Roman" w:eastAsia="宋体" w:cs="Times New Roman"/>
                <w:color w:val="000000" w:themeColor="text1"/>
                <w:sz w:val="24"/>
                <w:highlight w:val="none"/>
                <w14:textFill>
                  <w14:solidFill>
                    <w14:schemeClr w14:val="tx1"/>
                  </w14:solidFill>
                </w14:textFill>
              </w:rPr>
              <w:t>空气输送斜槽送</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至</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成品堆棚内的筒仓</w:t>
            </w:r>
            <w:r>
              <w:rPr>
                <w:rFonts w:hint="default" w:ascii="Times New Roman" w:hAnsi="Times New Roman" w:eastAsia="宋体" w:cs="Times New Roman"/>
                <w:color w:val="000000" w:themeColor="text1"/>
                <w:sz w:val="24"/>
                <w:highlight w:val="none"/>
                <w14:textFill>
                  <w14:solidFill>
                    <w14:schemeClr w14:val="tx1"/>
                  </w14:solidFill>
                </w14:textFill>
              </w:rPr>
              <w:t>储存，净化后的废气由废气风机排入大气。</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打散分级机分选出来的粗料进入高频重力筛分机，筛分机的筛上物料直接外排，筛分机的筛下物料经吸风输送管道进入打散分级机再次打散分选</w:t>
            </w:r>
            <w:r>
              <w:rPr>
                <w:rFonts w:hint="default" w:ascii="Times New Roman" w:hAnsi="Times New Roman" w:cs="Times New Roman"/>
                <w:color w:val="000000" w:themeColor="text1"/>
                <w:sz w:val="24"/>
                <w:highlight w:val="none"/>
                <w:lang w:val="en-US" w:eastAsia="zh-CN"/>
                <w14:textFill>
                  <w14:solidFill>
                    <w14:schemeClr w14:val="tx1"/>
                  </w14:solidFill>
                </w14:textFill>
              </w:rPr>
              <w:t>。</w:t>
            </w:r>
          </w:p>
          <w:p w14:paraId="30F2786A">
            <w:pPr>
              <w:spacing w:line="360" w:lineRule="auto"/>
              <w:ind w:firstLine="482" w:firstLineChars="200"/>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废气：</w:t>
            </w:r>
            <w:r>
              <w:rPr>
                <w:rFonts w:hint="default" w:ascii="Times New Roman" w:hAnsi="Times New Roman" w:eastAsia="宋体" w:cs="Times New Roman"/>
                <w:b w:val="0"/>
                <w:bCs w:val="0"/>
                <w:color w:val="000000" w:themeColor="text1"/>
                <w:sz w:val="24"/>
                <w:highlight w:val="none"/>
                <w14:textFill>
                  <w14:solidFill>
                    <w14:schemeClr w14:val="tx1"/>
                  </w14:solidFill>
                </w14:textFill>
              </w:rPr>
              <w:t>打散</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分级</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和</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粉磨过程产生的粉尘废气（G1-</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7、</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G1-</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8</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）：分选车间</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打</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散</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分级</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和粉磨过程中会产生粉尘分别经过袋式除尘器收尘，除尘收尘后通过管道收集汇经1根30m高</w:t>
            </w:r>
            <w:r>
              <w:rPr>
                <w:rFonts w:hint="eastAsia" w:cs="Times New Roman"/>
                <w:b w:val="0"/>
                <w:bCs w:val="0"/>
                <w:color w:val="000000" w:themeColor="text1"/>
                <w:sz w:val="24"/>
                <w:szCs w:val="24"/>
                <w:highlight w:val="none"/>
                <w:lang w:val="en-US"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（DA00</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7、</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DA00</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8</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）排放</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；不合格产品气力输送至黄料仓，黄料仓</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产生的粉尘废气（G1-</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9</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）经1根</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0m高</w:t>
            </w:r>
            <w:r>
              <w:rPr>
                <w:rFonts w:hint="eastAsia" w:cs="Times New Roman"/>
                <w:b w:val="0"/>
                <w:bCs w:val="0"/>
                <w:color w:val="000000" w:themeColor="text1"/>
                <w:sz w:val="24"/>
                <w:szCs w:val="24"/>
                <w:highlight w:val="none"/>
                <w:lang w:val="en-US"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（DA0</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14</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）排放。</w:t>
            </w:r>
          </w:p>
          <w:p w14:paraId="3E9590A6">
            <w:pPr>
              <w:pStyle w:val="8"/>
              <w:spacing w:line="360" w:lineRule="auto"/>
              <w:rPr>
                <w:rFonts w:hint="default" w:ascii="Times New Roman" w:hAnsi="Times New Roman" w:cs="Times New Roman"/>
                <w:color w:val="000000" w:themeColor="text1"/>
                <w:highlight w:val="none"/>
                <w:lang w:val="en-US"/>
                <w14:textFill>
                  <w14:solidFill>
                    <w14:schemeClr w14:val="tx1"/>
                  </w14:solidFill>
                </w14:textFill>
              </w:rPr>
            </w:pP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固废：</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冷却后的物料经检验不合格品（S4），气力输送至北侧黄料筒仓。</w:t>
            </w:r>
          </w:p>
          <w:p w14:paraId="6FC5367C">
            <w:pPr>
              <w:numPr>
                <w:ilvl w:val="0"/>
                <w:numId w:val="0"/>
              </w:numPr>
              <w:spacing w:line="360" w:lineRule="auto"/>
              <w:ind w:firstLine="480" w:firstLineChars="200"/>
              <w:rPr>
                <w:rFonts w:hint="default" w:ascii="Times New Roman" w:hAnsi="Times New Roman" w:cs="Times New Roman"/>
                <w:color w:val="000000" w:themeColor="text1"/>
                <w:sz w:val="24"/>
                <w:szCs w:val="24"/>
                <w:highlight w:val="none"/>
                <w:lang w:val="en-US"/>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7）</w:t>
            </w:r>
            <w:r>
              <w:rPr>
                <w:rFonts w:hint="default" w:ascii="Times New Roman" w:hAnsi="Times New Roman" w:cs="Times New Roman"/>
                <w:color w:val="000000" w:themeColor="text1"/>
                <w:sz w:val="24"/>
                <w:szCs w:val="24"/>
                <w:highlight w:val="none"/>
                <w14:textFill>
                  <w14:solidFill>
                    <w14:schemeClr w14:val="tx1"/>
                  </w14:solidFill>
                </w14:textFill>
              </w:rPr>
              <w:t>包装</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存储及发运</w:t>
            </w:r>
          </w:p>
          <w:p w14:paraId="14638569">
            <w:pPr>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分选车间后的粉料通过空气输送斜槽、胶带提升机送入粉料成品筒仓存储，设置5座φ12×24m钢板仓作为粉料筒仓，每座粉料储库库顶设置一套布袋收尘器并配备排气筒，粉料成品经包装的粉料成品由空气输送斜槽输送至成品堆棚包装区。</w:t>
            </w:r>
          </w:p>
          <w:p w14:paraId="4C2AB2B3">
            <w:pPr>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本项目高岭土发运及包装系统设</w:t>
            </w:r>
            <w:r>
              <w:rPr>
                <w:rFonts w:hint="default" w:ascii="Times New Roman" w:hAnsi="Times New Roman" w:cs="Times New Roman"/>
                <w:color w:val="000000" w:themeColor="text1"/>
                <w:sz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台八嘴回转包装机（配套有自动插袋机）和</w:t>
            </w:r>
            <w:r>
              <w:rPr>
                <w:rFonts w:hint="default" w:ascii="Times New Roman" w:hAnsi="Times New Roman" w:cs="Times New Roman"/>
                <w:color w:val="000000" w:themeColor="text1"/>
                <w:sz w:val="24"/>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台大袋包装机。</w:t>
            </w:r>
          </w:p>
          <w:p w14:paraId="3CF497C6">
            <w:pPr>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 w:val="24"/>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台大袋包装机设置在成品高岭土储存库库底，其中三座成品高岭土储存库库底分别设置两台大袋包装机，另外两座成品高岭土储存库库底分别设置一台大袋包装机</w:t>
            </w:r>
            <w:r>
              <w:rPr>
                <w:rFonts w:hint="default" w:ascii="Times New Roman" w:hAnsi="Times New Roman" w:cs="Times New Roman"/>
                <w:color w:val="000000" w:themeColor="text1"/>
                <w:sz w:val="24"/>
                <w:highlight w:val="none"/>
                <w:lang w:val="en-US" w:eastAsia="zh-CN"/>
                <w14:textFill>
                  <w14:solidFill>
                    <w14:schemeClr w14:val="tx1"/>
                  </w14:solidFill>
                </w14:textFill>
              </w:rPr>
              <w:t>和</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小袋包装机的出料口。出成品高岭土库的物料经回转喂料阀、链式输送机、钢丝胶带提升机、振动筛、中间仓，再由包装仓下叶轮喂料机进入包装机包装成袋装高岭土后，经卸包机、清包机、带式输送机、最后通过码垛机进行码垛后进行堆放。</w:t>
            </w:r>
          </w:p>
          <w:p w14:paraId="629AD47B">
            <w:pPr>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大袋包装系统通过仓下大袋包装系统包装后放入堆棚内进行堆放。</w:t>
            </w:r>
          </w:p>
          <w:p w14:paraId="49DF55AA">
            <w:pPr>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设一座66×126m成品库（含二期待征土地建设部分）用于袋装高岭土储存。</w:t>
            </w:r>
          </w:p>
          <w:p w14:paraId="1F73DE13">
            <w:pPr>
              <w:spacing w:line="360" w:lineRule="auto"/>
              <w:ind w:firstLine="482"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废气：</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粉料仓储粉尘（G1-</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10</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、G1-</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11</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、G1-1</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本项目设置5座粉料</w:t>
            </w:r>
            <w:r>
              <w:rPr>
                <w:rFonts w:hint="default" w:ascii="Times New Roman" w:hAnsi="Times New Roman" w:cs="Times New Roman"/>
                <w:color w:val="000000" w:themeColor="text1"/>
                <w:sz w:val="24"/>
                <w:highlight w:val="none"/>
                <w:lang w:val="en-US" w:eastAsia="zh-CN"/>
                <w14:textFill>
                  <w14:solidFill>
                    <w14:schemeClr w14:val="tx1"/>
                  </w14:solidFill>
                </w14:textFill>
              </w:rPr>
              <w:t>（两两一组，多余1座单设一组，合计3组）</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储罐粉料筒仓储存过程中会产生呼吸粉尘：粉料筒仓为全封闭筒仓，筒仓顶部均配有</w:t>
            </w:r>
            <w:r>
              <w:rPr>
                <w:rFonts w:hint="default" w:ascii="Times New Roman" w:hAnsi="Times New Roman" w:cs="Times New Roman"/>
                <w:color w:val="000000" w:themeColor="text1"/>
                <w:sz w:val="24"/>
                <w:highlight w:val="none"/>
                <w:lang w:val="en-US" w:eastAsia="zh-CN"/>
                <w14:textFill>
                  <w14:solidFill>
                    <w14:schemeClr w14:val="tx1"/>
                  </w14:solidFill>
                </w14:textFill>
              </w:rPr>
              <w:t>布袋除尘器（覆膜袋式）</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default" w:ascii="Times New Roman" w:hAnsi="Times New Roman" w:cs="Times New Roman"/>
                <w:color w:val="000000" w:themeColor="text1"/>
                <w:sz w:val="24"/>
                <w:highlight w:val="none"/>
                <w:lang w:val="en-US" w:eastAsia="zh-CN"/>
                <w14:textFill>
                  <w14:solidFill>
                    <w14:schemeClr w14:val="tx1"/>
                  </w14:solidFill>
                </w14:textFill>
              </w:rPr>
              <w:t>分别</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处理后</w:t>
            </w:r>
            <w:r>
              <w:rPr>
                <w:rFonts w:hint="default" w:ascii="Times New Roman" w:hAnsi="Times New Roman" w:cs="Times New Roman"/>
                <w:color w:val="000000" w:themeColor="text1"/>
                <w:sz w:val="24"/>
                <w:highlight w:val="none"/>
                <w:lang w:val="en-US" w:eastAsia="zh-CN"/>
                <w14:textFill>
                  <w14:solidFill>
                    <w14:schemeClr w14:val="tx1"/>
                  </w14:solidFill>
                </w14:textFill>
              </w:rPr>
              <w:t>经过</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w:t>
            </w:r>
            <w:r>
              <w:rPr>
                <w:rFonts w:hint="default" w:ascii="Times New Roman" w:hAnsi="Times New Roman" w:cs="Times New Roman"/>
                <w:color w:val="000000" w:themeColor="text1"/>
                <w:sz w:val="24"/>
                <w:highlight w:val="none"/>
                <w:lang w:val="en-US" w:eastAsia="zh-CN"/>
                <w14:textFill>
                  <w14:solidFill>
                    <w14:schemeClr w14:val="tx1"/>
                  </w14:solidFill>
                </w14:textFill>
              </w:rPr>
              <w:t>根50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m</w:t>
            </w:r>
            <w:r>
              <w:rPr>
                <w:rFonts w:hint="default" w:ascii="Times New Roman" w:hAnsi="Times New Roman" w:cs="Times New Roman"/>
                <w:color w:val="000000" w:themeColor="text1"/>
                <w:sz w:val="24"/>
                <w:highlight w:val="none"/>
                <w:lang w:val="en-US" w:eastAsia="zh-CN"/>
                <w14:textFill>
                  <w14:solidFill>
                    <w14:schemeClr w14:val="tx1"/>
                  </w14:solidFill>
                </w14:textFill>
              </w:rPr>
              <w:t>高的</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（DA00</w:t>
            </w:r>
            <w:r>
              <w:rPr>
                <w:rFonts w:hint="default" w:ascii="Times New Roman" w:hAnsi="Times New Roman" w:cs="Times New Roman"/>
                <w:color w:val="000000" w:themeColor="text1"/>
                <w:sz w:val="24"/>
                <w:highlight w:val="none"/>
                <w:lang w:val="en-US" w:eastAsia="zh-CN"/>
                <w14:textFill>
                  <w14:solidFill>
                    <w14:schemeClr w14:val="tx1"/>
                  </w14:solidFill>
                </w14:textFill>
              </w:rPr>
              <w:t>9</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、DA0</w:t>
            </w:r>
            <w:r>
              <w:rPr>
                <w:rFonts w:hint="default" w:ascii="Times New Roman" w:hAnsi="Times New Roman" w:cs="Times New Roman"/>
                <w:color w:val="000000" w:themeColor="text1"/>
                <w:sz w:val="24"/>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和1根</w:t>
            </w:r>
            <w:r>
              <w:rPr>
                <w:rFonts w:hint="default" w:ascii="Times New Roman" w:hAnsi="Times New Roman" w:cs="Times New Roman"/>
                <w:color w:val="000000" w:themeColor="text1"/>
                <w:sz w:val="24"/>
                <w:highlight w:val="none"/>
                <w:lang w:val="en-US" w:eastAsia="zh-CN"/>
                <w14:textFill>
                  <w14:solidFill>
                    <w14:schemeClr w14:val="tx1"/>
                  </w14:solidFill>
                </w14:textFill>
              </w:rPr>
              <w:t>30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m</w:t>
            </w:r>
            <w:r>
              <w:rPr>
                <w:rFonts w:hint="default" w:ascii="Times New Roman" w:hAnsi="Times New Roman" w:cs="Times New Roman"/>
                <w:color w:val="000000" w:themeColor="text1"/>
                <w:sz w:val="24"/>
                <w:highlight w:val="none"/>
                <w:lang w:val="en-US" w:eastAsia="zh-CN"/>
                <w14:textFill>
                  <w14:solidFill>
                    <w14:schemeClr w14:val="tx1"/>
                  </w14:solidFill>
                </w14:textFill>
              </w:rPr>
              <w:t>高的</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DA012）达标排放。</w:t>
            </w:r>
          </w:p>
          <w:p w14:paraId="0602B358">
            <w:pPr>
              <w:spacing w:line="360" w:lineRule="auto"/>
              <w:ind w:firstLine="480" w:firstLineChars="200"/>
              <w:jc w:val="both"/>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包装粉尘（G1-1</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、G1-1</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本项目包装过程中会产生粉尘，该部分粉尘经集气罩收集后，经大包装产生废气集气罩收集后经布袋收尘器处理后收集废气汇集通过1根30m高的</w:t>
            </w:r>
            <w:r>
              <w:rPr>
                <w:rFonts w:hint="eastAsia" w:cs="Times New Roman"/>
                <w:color w:val="000000" w:themeColor="text1"/>
                <w:sz w:val="24"/>
                <w:szCs w:val="24"/>
                <w:highlight w:val="none"/>
                <w:lang w:val="en-US" w:eastAsia="zh-CN"/>
                <w14:textFill>
                  <w14:solidFill>
                    <w14:schemeClr w14:val="tx1"/>
                  </w14:solidFill>
                </w14:textFill>
              </w:rPr>
              <w:t>排气口</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（DA010）排放，小包装产生废气集气罩收集后经布袋收尘器处理后收集废气汇集通过1根</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0m高的</w:t>
            </w:r>
            <w:r>
              <w:rPr>
                <w:rFonts w:hint="eastAsia" w:cs="Times New Roman"/>
                <w:color w:val="000000" w:themeColor="text1"/>
                <w:sz w:val="24"/>
                <w:szCs w:val="24"/>
                <w:highlight w:val="none"/>
                <w:lang w:val="en-US" w:eastAsia="zh-CN"/>
                <w14:textFill>
                  <w14:solidFill>
                    <w14:schemeClr w14:val="tx1"/>
                  </w14:solidFill>
                </w14:textFill>
              </w:rPr>
              <w:t>排气口</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（DA01</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达标排放</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46AE092D">
            <w:pPr>
              <w:spacing w:line="360" w:lineRule="auto"/>
              <w:ind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工艺流程及产污环节见图</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w:t>
            </w:r>
            <w:r>
              <w:rPr>
                <w:rFonts w:hint="default" w:ascii="Times New Roman" w:hAnsi="Times New Roman" w:cs="Times New Roman"/>
                <w:color w:val="000000" w:themeColor="text1"/>
                <w:sz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highlight w:val="none"/>
                <w14:textFill>
                  <w14:solidFill>
                    <w14:schemeClr w14:val="tx1"/>
                  </w14:solidFill>
                </w14:textFill>
              </w:rPr>
              <w:t>。</w:t>
            </w:r>
          </w:p>
          <w:p w14:paraId="782F0C19">
            <w:pPr>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4992370" cy="7239000"/>
                  <wp:effectExtent l="0" t="0" r="11430" b="0"/>
                  <wp:docPr id="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
                          <pic:cNvPicPr>
                            <a:picLocks noChangeAspect="1"/>
                          </pic:cNvPicPr>
                        </pic:nvPicPr>
                        <pic:blipFill>
                          <a:blip r:embed="rId20"/>
                          <a:stretch>
                            <a:fillRect/>
                          </a:stretch>
                        </pic:blipFill>
                        <pic:spPr>
                          <a:xfrm>
                            <a:off x="0" y="0"/>
                            <a:ext cx="4992370" cy="7239000"/>
                          </a:xfrm>
                          <a:prstGeom prst="rect">
                            <a:avLst/>
                          </a:prstGeom>
                          <a:noFill/>
                          <a:ln>
                            <a:noFill/>
                          </a:ln>
                        </pic:spPr>
                      </pic:pic>
                    </a:graphicData>
                  </a:graphic>
                </wp:inline>
              </w:drawing>
            </w:r>
          </w:p>
          <w:p w14:paraId="40A024B1">
            <w:pPr>
              <w:spacing w:line="360" w:lineRule="auto"/>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图</w:t>
            </w: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2-5</w:t>
            </w:r>
            <w:r>
              <w:rPr>
                <w:rFonts w:hint="default" w:ascii="Times New Roman" w:hAnsi="Times New Roman" w:eastAsia="宋体" w:cs="Times New Roman"/>
                <w:b/>
                <w:bCs/>
                <w:color w:val="000000" w:themeColor="text1"/>
                <w:sz w:val="24"/>
                <w:highlight w:val="none"/>
                <w14:textFill>
                  <w14:solidFill>
                    <w14:schemeClr w14:val="tx1"/>
                  </w14:solidFill>
                </w14:textFill>
              </w:rPr>
              <w:t>工艺流程及产污环节</w:t>
            </w:r>
          </w:p>
          <w:p w14:paraId="58AA24DD">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baseline"/>
              <w:rPr>
                <w:rFonts w:hint="default" w:ascii="Times New Roman" w:hAnsi="Times New Roman" w:eastAsia="宋体" w:cs="Times New Roman"/>
                <w:b/>
                <w:bCs/>
                <w:color w:val="000000" w:themeColor="text1"/>
                <w:sz w:val="24"/>
                <w:szCs w:val="18"/>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18"/>
                <w:highlight w:val="none"/>
                <w:lang w:val="en-US" w:eastAsia="zh-CN"/>
                <w14:textFill>
                  <w14:solidFill>
                    <w14:schemeClr w14:val="tx1"/>
                  </w14:solidFill>
                </w14:textFill>
              </w:rPr>
              <w:t>（2）煅烧窑余热回收利用</w:t>
            </w:r>
          </w:p>
          <w:p w14:paraId="0A3B5E7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color w:val="000000" w:themeColor="text1"/>
                <w:sz w:val="24"/>
                <w:szCs w:val="18"/>
                <w:highlight w:val="none"/>
                <w14:textFill>
                  <w14:solidFill>
                    <w14:schemeClr w14:val="tx1"/>
                  </w14:solidFill>
                </w14:textFill>
              </w:rPr>
            </w:pPr>
            <w:r>
              <w:rPr>
                <w:rFonts w:hint="default" w:ascii="Times New Roman" w:hAnsi="Times New Roman" w:eastAsia="宋体" w:cs="Times New Roman"/>
                <w:color w:val="000000" w:themeColor="text1"/>
                <w:sz w:val="24"/>
                <w:szCs w:val="18"/>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18"/>
                <w:highlight w:val="none"/>
                <w14:textFill>
                  <w14:solidFill>
                    <w14:schemeClr w14:val="tx1"/>
                  </w14:solidFill>
                </w14:textFill>
              </w:rPr>
              <w:t>余热利用流程</w:t>
            </w:r>
            <w:r>
              <w:rPr>
                <w:rFonts w:hint="default" w:ascii="Times New Roman" w:hAnsi="Times New Roman" w:eastAsia="宋体" w:cs="Times New Roman"/>
                <w:color w:val="000000" w:themeColor="text1"/>
                <w:sz w:val="24"/>
                <w:szCs w:val="18"/>
                <w:highlight w:val="none"/>
                <w:lang w:val="en-US" w:eastAsia="zh-CN"/>
                <w14:textFill>
                  <w14:solidFill>
                    <w14:schemeClr w14:val="tx1"/>
                  </w14:solidFill>
                </w14:textFill>
              </w:rPr>
              <w:t>及产排污环节</w:t>
            </w:r>
          </w:p>
          <w:p w14:paraId="18F8915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color w:val="000000" w:themeColor="text1"/>
                <w:sz w:val="24"/>
                <w:szCs w:val="18"/>
                <w:highlight w:val="none"/>
                <w14:textFill>
                  <w14:solidFill>
                    <w14:schemeClr w14:val="tx1"/>
                  </w14:solidFill>
                </w14:textFill>
              </w:rPr>
            </w:pPr>
            <w:r>
              <w:rPr>
                <w:rFonts w:hint="default" w:ascii="Times New Roman" w:hAnsi="Times New Roman" w:eastAsia="宋体" w:cs="Times New Roman"/>
                <w:color w:val="000000" w:themeColor="text1"/>
                <w:sz w:val="24"/>
                <w:szCs w:val="18"/>
                <w:highlight w:val="none"/>
                <w14:textFill>
                  <w14:solidFill>
                    <w14:schemeClr w14:val="tx1"/>
                  </w14:solidFill>
                </w14:textFill>
              </w:rPr>
              <w:t>本方案技术不使用燃料来补燃，不对环境产生附加污染，是资源综合利用工程，运行的可靠性和安全性高，运行成本低，日常管理简单。</w:t>
            </w:r>
          </w:p>
          <w:p w14:paraId="103D14A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color w:val="000000" w:themeColor="text1"/>
                <w:sz w:val="24"/>
                <w:szCs w:val="18"/>
                <w:highlight w:val="none"/>
                <w14:textFill>
                  <w14:solidFill>
                    <w14:schemeClr w14:val="tx1"/>
                  </w14:solidFill>
                </w14:textFill>
              </w:rPr>
            </w:pPr>
            <w:r>
              <w:rPr>
                <w:rFonts w:hint="default" w:ascii="Times New Roman" w:hAnsi="Times New Roman" w:eastAsia="宋体" w:cs="Times New Roman"/>
                <w:color w:val="000000" w:themeColor="text1"/>
                <w:sz w:val="24"/>
                <w:szCs w:val="18"/>
                <w:highlight w:val="none"/>
                <w14:textFill>
                  <w14:solidFill>
                    <w14:schemeClr w14:val="tx1"/>
                  </w14:solidFill>
                </w14:textFill>
              </w:rPr>
              <w:t>系统主机包括：1台余热锅炉。</w:t>
            </w:r>
          </w:p>
          <w:p w14:paraId="7E62437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color w:val="000000" w:themeColor="text1"/>
                <w:sz w:val="24"/>
                <w:szCs w:val="18"/>
                <w:highlight w:val="none"/>
                <w14:textFill>
                  <w14:solidFill>
                    <w14:schemeClr w14:val="tx1"/>
                  </w14:solidFill>
                </w14:textFill>
              </w:rPr>
            </w:pPr>
            <w:r>
              <w:rPr>
                <w:rFonts w:hint="default" w:ascii="Times New Roman" w:hAnsi="Times New Roman" w:eastAsia="宋体" w:cs="Times New Roman"/>
                <w:color w:val="000000" w:themeColor="text1"/>
                <w:sz w:val="24"/>
                <w:szCs w:val="18"/>
                <w:highlight w:val="none"/>
                <w14:textFill>
                  <w14:solidFill>
                    <w14:schemeClr w14:val="tx1"/>
                  </w14:solidFill>
                </w14:textFill>
              </w:rPr>
              <w:t>余热锅炉：在煤矸石预处理生产线预热器C1出口设置一台余热锅炉，该锅炉包括过热器、蒸发器、省煤器。过热器产生的过热蒸汽送往蒸汽用户。余热锅炉出口废气温度降至200℃。</w:t>
            </w:r>
          </w:p>
          <w:p w14:paraId="52F0A20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color w:val="000000" w:themeColor="text1"/>
                <w:sz w:val="24"/>
                <w:szCs w:val="18"/>
                <w:highlight w:val="none"/>
                <w14:textFill>
                  <w14:solidFill>
                    <w14:schemeClr w14:val="tx1"/>
                  </w14:solidFill>
                </w14:textFill>
              </w:rPr>
            </w:pPr>
            <w:r>
              <w:rPr>
                <w:rFonts w:hint="default" w:ascii="Times New Roman" w:hAnsi="Times New Roman" w:eastAsia="宋体" w:cs="Times New Roman"/>
                <w:color w:val="000000" w:themeColor="text1"/>
                <w:sz w:val="24"/>
                <w:szCs w:val="18"/>
                <w:highlight w:val="none"/>
                <w14:textFill>
                  <w14:solidFill>
                    <w14:schemeClr w14:val="tx1"/>
                  </w14:solidFill>
                </w14:textFill>
              </w:rPr>
              <w:t>整个工艺流程是：化补水由供水泵加压依次低压加热器、除氧器，加热成150℃的给水，再由给水泵送至余热锅炉省煤器；给水依次经过余热锅炉省煤器、蒸发器、过热器产生过热蒸汽，送至蒸汽用户。</w:t>
            </w:r>
          </w:p>
          <w:p w14:paraId="72031AF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color w:val="000000" w:themeColor="text1"/>
                <w:sz w:val="24"/>
                <w:szCs w:val="18"/>
                <w:highlight w:val="none"/>
                <w14:textFill>
                  <w14:solidFill>
                    <w14:schemeClr w14:val="tx1"/>
                  </w14:solidFill>
                </w14:textFill>
              </w:rPr>
            </w:pPr>
            <w:r>
              <w:rPr>
                <w:rFonts w:hint="default" w:ascii="Times New Roman" w:hAnsi="Times New Roman" w:eastAsia="宋体" w:cs="Times New Roman"/>
                <w:color w:val="000000" w:themeColor="text1"/>
                <w:sz w:val="24"/>
                <w:szCs w:val="18"/>
                <w:highlight w:val="none"/>
                <w14:textFill>
                  <w14:solidFill>
                    <w14:schemeClr w14:val="tx1"/>
                  </w14:solidFill>
                </w14:textFill>
              </w:rPr>
              <w:t>2</w:t>
            </w:r>
            <w:r>
              <w:rPr>
                <w:rFonts w:hint="default" w:ascii="Times New Roman" w:hAnsi="Times New Roman" w:eastAsia="宋体" w:cs="Times New Roman"/>
                <w:color w:val="000000" w:themeColor="text1"/>
                <w:sz w:val="24"/>
                <w:szCs w:val="18"/>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18"/>
                <w:highlight w:val="none"/>
                <w14:textFill>
                  <w14:solidFill>
                    <w14:schemeClr w14:val="tx1"/>
                  </w14:solidFill>
                </w14:textFill>
              </w:rPr>
              <w:t>热力工艺系统</w:t>
            </w:r>
          </w:p>
          <w:p w14:paraId="604E826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color w:val="000000" w:themeColor="text1"/>
                <w:sz w:val="24"/>
                <w:szCs w:val="18"/>
                <w:highlight w:val="none"/>
                <w14:textFill>
                  <w14:solidFill>
                    <w14:schemeClr w14:val="tx1"/>
                  </w14:solidFill>
                </w14:textFill>
              </w:rPr>
            </w:pPr>
            <w:r>
              <w:rPr>
                <w:rFonts w:hint="default" w:ascii="Times New Roman" w:hAnsi="Times New Roman" w:eastAsia="宋体" w:cs="Times New Roman"/>
                <w:color w:val="000000" w:themeColor="text1"/>
                <w:sz w:val="24"/>
                <w:szCs w:val="18"/>
                <w:highlight w:val="none"/>
                <w14:textFill>
                  <w14:solidFill>
                    <w14:schemeClr w14:val="tx1"/>
                  </w14:solidFill>
                </w14:textFill>
              </w:rPr>
              <w:t>热力工艺系统主要包括：主蒸汽系统、疏放水及放气系统、给水系统、锅炉排污系统、给水回热系统等。</w:t>
            </w:r>
          </w:p>
          <w:p w14:paraId="1208409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color w:val="000000" w:themeColor="text1"/>
                <w:sz w:val="24"/>
                <w:szCs w:val="18"/>
                <w:highlight w:val="none"/>
                <w14:textFill>
                  <w14:solidFill>
                    <w14:schemeClr w14:val="tx1"/>
                  </w14:solidFill>
                </w14:textFill>
              </w:rPr>
            </w:pPr>
            <w:r>
              <w:rPr>
                <w:rFonts w:hint="default" w:ascii="Times New Roman" w:hAnsi="Times New Roman" w:eastAsia="宋体" w:cs="Times New Roman"/>
                <w:color w:val="000000" w:themeColor="text1"/>
                <w:sz w:val="24"/>
                <w:szCs w:val="18"/>
                <w:highlight w:val="none"/>
                <w14:textFill>
                  <w14:solidFill>
                    <w14:schemeClr w14:val="tx1"/>
                  </w14:solidFill>
                </w14:textFill>
              </w:rPr>
              <w:t>a.主蒸汽系统</w:t>
            </w:r>
          </w:p>
          <w:p w14:paraId="3BEA821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color w:val="000000" w:themeColor="text1"/>
                <w:sz w:val="24"/>
                <w:szCs w:val="18"/>
                <w:highlight w:val="none"/>
                <w14:textFill>
                  <w14:solidFill>
                    <w14:schemeClr w14:val="tx1"/>
                  </w14:solidFill>
                </w14:textFill>
              </w:rPr>
            </w:pPr>
            <w:r>
              <w:rPr>
                <w:rFonts w:hint="default" w:ascii="Times New Roman" w:hAnsi="Times New Roman" w:eastAsia="宋体" w:cs="Times New Roman"/>
                <w:color w:val="000000" w:themeColor="text1"/>
                <w:sz w:val="24"/>
                <w:szCs w:val="18"/>
                <w:highlight w:val="none"/>
                <w14:textFill>
                  <w14:solidFill>
                    <w14:schemeClr w14:val="tx1"/>
                  </w14:solidFill>
                </w14:textFill>
              </w:rPr>
              <w:t>主蒸汽系统采用单母管制。</w:t>
            </w:r>
          </w:p>
          <w:p w14:paraId="6EEDEBF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color w:val="000000" w:themeColor="text1"/>
                <w:sz w:val="24"/>
                <w:szCs w:val="18"/>
                <w:highlight w:val="none"/>
                <w14:textFill>
                  <w14:solidFill>
                    <w14:schemeClr w14:val="tx1"/>
                  </w14:solidFill>
                </w14:textFill>
              </w:rPr>
            </w:pPr>
            <w:r>
              <w:rPr>
                <w:rFonts w:hint="default" w:ascii="Times New Roman" w:hAnsi="Times New Roman" w:eastAsia="宋体" w:cs="Times New Roman"/>
                <w:color w:val="000000" w:themeColor="text1"/>
                <w:sz w:val="24"/>
                <w:szCs w:val="18"/>
                <w:highlight w:val="none"/>
                <w14:textFill>
                  <w14:solidFill>
                    <w14:schemeClr w14:val="tx1"/>
                  </w14:solidFill>
                </w14:textFill>
              </w:rPr>
              <w:t>b.疏放水及放气系统</w:t>
            </w:r>
          </w:p>
          <w:p w14:paraId="43CEDF3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color w:val="000000" w:themeColor="text1"/>
                <w:sz w:val="24"/>
                <w:szCs w:val="18"/>
                <w:highlight w:val="none"/>
                <w14:textFill>
                  <w14:solidFill>
                    <w14:schemeClr w14:val="tx1"/>
                  </w14:solidFill>
                </w14:textFill>
              </w:rPr>
            </w:pPr>
            <w:r>
              <w:rPr>
                <w:rFonts w:hint="default" w:ascii="Times New Roman" w:hAnsi="Times New Roman" w:eastAsia="宋体" w:cs="Times New Roman"/>
                <w:color w:val="000000" w:themeColor="text1"/>
                <w:sz w:val="24"/>
                <w:szCs w:val="18"/>
                <w:highlight w:val="none"/>
                <w14:textFill>
                  <w14:solidFill>
                    <w14:schemeClr w14:val="tx1"/>
                  </w14:solidFill>
                </w14:textFill>
              </w:rPr>
              <w:t>本工程锅炉部分疏放水量极少，放水直接引至排污扩容器排放。</w:t>
            </w:r>
          </w:p>
          <w:p w14:paraId="52ABFEA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color w:val="000000" w:themeColor="text1"/>
                <w:sz w:val="24"/>
                <w:szCs w:val="18"/>
                <w:highlight w:val="none"/>
                <w14:textFill>
                  <w14:solidFill>
                    <w14:schemeClr w14:val="tx1"/>
                  </w14:solidFill>
                </w14:textFill>
              </w:rPr>
            </w:pPr>
            <w:r>
              <w:rPr>
                <w:rFonts w:hint="default" w:ascii="Times New Roman" w:hAnsi="Times New Roman" w:eastAsia="宋体" w:cs="Times New Roman"/>
                <w:color w:val="000000" w:themeColor="text1"/>
                <w:sz w:val="24"/>
                <w:szCs w:val="18"/>
                <w:highlight w:val="none"/>
                <w14:textFill>
                  <w14:solidFill>
                    <w14:schemeClr w14:val="tx1"/>
                  </w14:solidFill>
                </w14:textFill>
              </w:rPr>
              <w:t>汽水管道的自然高点和自然低点均设放汽阀和放水阀，排污及疏放水由</w:t>
            </w:r>
            <w:r>
              <w:rPr>
                <w:rFonts w:hint="default" w:ascii="Times New Roman" w:hAnsi="Times New Roman" w:cs="Times New Roman"/>
                <w:color w:val="000000" w:themeColor="text1"/>
                <w:sz w:val="24"/>
                <w:szCs w:val="18"/>
                <w:highlight w:val="none"/>
                <w:lang w:eastAsia="zh-CN"/>
                <w14:textFill>
                  <w14:solidFill>
                    <w14:schemeClr w14:val="tx1"/>
                  </w14:solidFill>
                </w14:textFill>
              </w:rPr>
              <w:t>全厂</w:t>
            </w:r>
            <w:r>
              <w:rPr>
                <w:rFonts w:hint="default" w:ascii="Times New Roman" w:hAnsi="Times New Roman" w:eastAsia="宋体" w:cs="Times New Roman"/>
                <w:color w:val="000000" w:themeColor="text1"/>
                <w:sz w:val="24"/>
                <w:szCs w:val="18"/>
                <w:highlight w:val="none"/>
                <w14:textFill>
                  <w14:solidFill>
                    <w14:schemeClr w14:val="tx1"/>
                  </w14:solidFill>
                </w14:textFill>
              </w:rPr>
              <w:t>排污系统统一处理。</w:t>
            </w:r>
          </w:p>
          <w:p w14:paraId="74762B9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color w:val="000000" w:themeColor="text1"/>
                <w:sz w:val="24"/>
                <w:szCs w:val="18"/>
                <w:highlight w:val="none"/>
                <w14:textFill>
                  <w14:solidFill>
                    <w14:schemeClr w14:val="tx1"/>
                  </w14:solidFill>
                </w14:textFill>
              </w:rPr>
            </w:pPr>
            <w:r>
              <w:rPr>
                <w:rFonts w:hint="default" w:ascii="Times New Roman" w:hAnsi="Times New Roman" w:eastAsia="宋体" w:cs="Times New Roman"/>
                <w:color w:val="000000" w:themeColor="text1"/>
                <w:sz w:val="24"/>
                <w:szCs w:val="18"/>
                <w:highlight w:val="none"/>
                <w14:textFill>
                  <w14:solidFill>
                    <w14:schemeClr w14:val="tx1"/>
                  </w14:solidFill>
                </w14:textFill>
              </w:rPr>
              <w:t>c.给水系统</w:t>
            </w:r>
          </w:p>
          <w:p w14:paraId="42B7F62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color w:val="000000" w:themeColor="text1"/>
                <w:sz w:val="24"/>
                <w:szCs w:val="18"/>
                <w:highlight w:val="none"/>
                <w14:textFill>
                  <w14:solidFill>
                    <w14:schemeClr w14:val="tx1"/>
                  </w14:solidFill>
                </w14:textFill>
              </w:rPr>
            </w:pPr>
            <w:r>
              <w:rPr>
                <w:rFonts w:hint="default" w:ascii="Times New Roman" w:hAnsi="Times New Roman" w:eastAsia="宋体" w:cs="Times New Roman"/>
                <w:color w:val="000000" w:themeColor="text1"/>
                <w:sz w:val="24"/>
                <w:szCs w:val="18"/>
                <w:highlight w:val="none"/>
                <w14:textFill>
                  <w14:solidFill>
                    <w14:schemeClr w14:val="tx1"/>
                  </w14:solidFill>
                </w14:textFill>
              </w:rPr>
              <w:t>本工程锅炉给水为化学补充水，由</w:t>
            </w:r>
            <w:r>
              <w:rPr>
                <w:rFonts w:hint="eastAsia" w:cs="Times New Roman"/>
                <w:color w:val="000000" w:themeColor="text1"/>
                <w:sz w:val="24"/>
                <w:szCs w:val="18"/>
                <w:highlight w:val="none"/>
                <w:lang w:eastAsia="zh-CN"/>
                <w14:textFill>
                  <w14:solidFill>
                    <w14:schemeClr w14:val="tx1"/>
                  </w14:solidFill>
                </w14:textFill>
              </w:rPr>
              <w:t>软水</w:t>
            </w:r>
            <w:r>
              <w:rPr>
                <w:rFonts w:hint="default" w:ascii="Times New Roman" w:hAnsi="Times New Roman" w:eastAsia="宋体" w:cs="Times New Roman"/>
                <w:color w:val="000000" w:themeColor="text1"/>
                <w:sz w:val="24"/>
                <w:szCs w:val="18"/>
                <w:highlight w:val="none"/>
                <w14:textFill>
                  <w14:solidFill>
                    <w14:schemeClr w14:val="tx1"/>
                  </w14:solidFill>
                </w14:textFill>
              </w:rPr>
              <w:t>处理系统提供。</w:t>
            </w:r>
          </w:p>
          <w:p w14:paraId="5556D3C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color w:val="000000" w:themeColor="text1"/>
                <w:sz w:val="24"/>
                <w:szCs w:val="18"/>
                <w:highlight w:val="none"/>
                <w14:textFill>
                  <w14:solidFill>
                    <w14:schemeClr w14:val="tx1"/>
                  </w14:solidFill>
                </w14:textFill>
              </w:rPr>
            </w:pPr>
            <w:r>
              <w:rPr>
                <w:rFonts w:hint="default" w:ascii="Times New Roman" w:hAnsi="Times New Roman" w:eastAsia="宋体" w:cs="Times New Roman"/>
                <w:color w:val="000000" w:themeColor="text1"/>
                <w:sz w:val="24"/>
                <w:szCs w:val="18"/>
                <w:highlight w:val="none"/>
                <w14:textFill>
                  <w14:solidFill>
                    <w14:schemeClr w14:val="tx1"/>
                  </w14:solidFill>
                </w14:textFill>
              </w:rPr>
              <w:t>d.锅炉排污系统</w:t>
            </w:r>
          </w:p>
          <w:p w14:paraId="367AA25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color w:val="000000" w:themeColor="text1"/>
                <w:sz w:val="24"/>
                <w:szCs w:val="18"/>
                <w:highlight w:val="none"/>
                <w14:textFill>
                  <w14:solidFill>
                    <w14:schemeClr w14:val="tx1"/>
                  </w14:solidFill>
                </w14:textFill>
              </w:rPr>
            </w:pPr>
            <w:r>
              <w:rPr>
                <w:rFonts w:hint="default" w:ascii="Times New Roman" w:hAnsi="Times New Roman" w:eastAsia="宋体" w:cs="Times New Roman"/>
                <w:color w:val="000000" w:themeColor="text1"/>
                <w:sz w:val="24"/>
                <w:szCs w:val="18"/>
                <w:highlight w:val="none"/>
                <w14:textFill>
                  <w14:solidFill>
                    <w14:schemeClr w14:val="tx1"/>
                  </w14:solidFill>
                </w14:textFill>
              </w:rPr>
              <w:t>本工程锅炉设置排污扩容器，排污后的水均回收至污水处理系统统一处理。</w:t>
            </w:r>
          </w:p>
          <w:p w14:paraId="6F3F7BC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color w:val="000000" w:themeColor="text1"/>
                <w:sz w:val="24"/>
                <w:szCs w:val="18"/>
                <w:highlight w:val="none"/>
                <w14:textFill>
                  <w14:solidFill>
                    <w14:schemeClr w14:val="tx1"/>
                  </w14:solidFill>
                </w14:textFill>
              </w:rPr>
            </w:pPr>
            <w:r>
              <w:rPr>
                <w:rFonts w:hint="default" w:ascii="Times New Roman" w:hAnsi="Times New Roman" w:eastAsia="宋体" w:cs="Times New Roman"/>
                <w:color w:val="000000" w:themeColor="text1"/>
                <w:sz w:val="24"/>
                <w:szCs w:val="18"/>
                <w:highlight w:val="none"/>
                <w14:textFill>
                  <w14:solidFill>
                    <w14:schemeClr w14:val="tx1"/>
                  </w14:solidFill>
                </w14:textFill>
              </w:rPr>
              <w:t>e.给水回热系统</w:t>
            </w:r>
          </w:p>
          <w:p w14:paraId="3B841D0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color w:val="000000" w:themeColor="text1"/>
                <w:sz w:val="24"/>
                <w:szCs w:val="18"/>
                <w:highlight w:val="none"/>
                <w14:textFill>
                  <w14:solidFill>
                    <w14:schemeClr w14:val="tx1"/>
                  </w14:solidFill>
                </w14:textFill>
              </w:rPr>
            </w:pPr>
            <w:r>
              <w:rPr>
                <w:rFonts w:hint="default" w:ascii="Times New Roman" w:hAnsi="Times New Roman" w:eastAsia="宋体" w:cs="Times New Roman"/>
                <w:color w:val="000000" w:themeColor="text1"/>
                <w:sz w:val="24"/>
                <w:szCs w:val="18"/>
                <w:highlight w:val="none"/>
                <w14:textFill>
                  <w14:solidFill>
                    <w14:schemeClr w14:val="tx1"/>
                  </w14:solidFill>
                </w14:textFill>
              </w:rPr>
              <w:t>本项目设置了给水回热系统，将给水温度加热到一定温度后再送至除氧器。除氧器采用热力除氧，消耗少量的蒸汽，除去给水中的氧气同时加热给水。</w:t>
            </w:r>
          </w:p>
          <w:p w14:paraId="21C519D0">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baseline"/>
              <w:rPr>
                <w:rFonts w:hint="default" w:ascii="Times New Roman" w:hAnsi="Times New Roman" w:eastAsia="宋体" w:cs="Times New Roman"/>
                <w:color w:val="000000" w:themeColor="text1"/>
                <w:sz w:val="24"/>
                <w:szCs w:val="18"/>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18"/>
                <w:highlight w:val="none"/>
                <w:lang w:val="en-US" w:eastAsia="zh-CN"/>
                <w14:textFill>
                  <w14:solidFill>
                    <w14:schemeClr w14:val="tx1"/>
                  </w14:solidFill>
                </w14:textFill>
              </w:rPr>
              <w:t>废水</w:t>
            </w:r>
            <w:r>
              <w:rPr>
                <w:rFonts w:hint="default" w:ascii="Times New Roman" w:hAnsi="Times New Roman" w:eastAsia="宋体" w:cs="Times New Roman"/>
                <w:color w:val="000000" w:themeColor="text1"/>
                <w:sz w:val="24"/>
                <w:szCs w:val="18"/>
                <w:highlight w:val="none"/>
                <w:lang w:val="en-US" w:eastAsia="zh-CN"/>
                <w14:textFill>
                  <w14:solidFill>
                    <w14:schemeClr w14:val="tx1"/>
                  </w14:solidFill>
                </w14:textFill>
              </w:rPr>
              <w:t>：余热锅炉排污水（W3）。</w:t>
            </w:r>
          </w:p>
          <w:p w14:paraId="7F9C3DB6">
            <w:pPr>
              <w:spacing w:line="360" w:lineRule="auto"/>
              <w:jc w:val="both"/>
              <w:rPr>
                <w:rFonts w:hint="default" w:ascii="Times New Roman" w:hAnsi="Times New Roman" w:cs="Times New Roman"/>
                <w:color w:val="000000" w:themeColor="text1"/>
                <w:sz w:val="24"/>
                <w:szCs w:val="32"/>
                <w:highlight w:val="none"/>
                <w:lang w:eastAsia="zh-Hans"/>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659264" behindDoc="0" locked="0" layoutInCell="1" allowOverlap="1">
                      <wp:simplePos x="0" y="0"/>
                      <wp:positionH relativeFrom="column">
                        <wp:posOffset>657225</wp:posOffset>
                      </wp:positionH>
                      <wp:positionV relativeFrom="paragraph">
                        <wp:posOffset>-64598550</wp:posOffset>
                      </wp:positionV>
                      <wp:extent cx="2540" cy="365760"/>
                      <wp:effectExtent l="24765" t="0" r="29845" b="15240"/>
                      <wp:wrapNone/>
                      <wp:docPr id="1" name="直接箭头连接符 19"/>
                      <wp:cNvGraphicFramePr/>
                      <a:graphic xmlns:a="http://schemas.openxmlformats.org/drawingml/2006/main">
                        <a:graphicData uri="http://schemas.microsoft.com/office/word/2010/wordprocessingShape">
                          <wps:wsp>
                            <wps:cNvCnPr/>
                            <wps:spPr>
                              <a:xfrm flipH="1">
                                <a:off x="0" y="0"/>
                                <a:ext cx="2540" cy="365760"/>
                              </a:xfrm>
                              <a:prstGeom prst="straightConnector1">
                                <a:avLst/>
                              </a:prstGeom>
                              <a:ln w="9525" cap="flat" cmpd="sng">
                                <a:solidFill>
                                  <a:srgbClr val="000000"/>
                                </a:solidFill>
                                <a:prstDash val="solid"/>
                                <a:headEnd type="none" w="med" len="med"/>
                                <a:tailEnd type="triangle" w="sm" len="med"/>
                              </a:ln>
                            </wps:spPr>
                            <wps:bodyPr/>
                          </wps:wsp>
                        </a:graphicData>
                      </a:graphic>
                    </wp:anchor>
                  </w:drawing>
                </mc:Choice>
                <mc:Fallback>
                  <w:pict>
                    <v:shape id="直接箭头连接符 19" o:spid="_x0000_s1026" o:spt="32" type="#_x0000_t32" style="position:absolute;left:0pt;flip:x;margin-left:51.75pt;margin-top:-5086.5pt;height:28.8pt;width:0.2pt;z-index:251659264;mso-width-relative:page;mso-height-relative:page;" filled="f" stroked="t" coordsize="21600,21600" o:gfxdata="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HzC5XPdAAAAEQEAAA8A&#10;AAAAAAAAAQAgAAAAIgAAAGRycy9kb3ducmV2LnhtbFBLAQIUABQAAAAIAIdO4kD29i8UEgIAAPwD&#10;AAAOAAAAAAAAAAEAIAAAACwBAABkcnMvZTJvRG9jLnhtbFBLBQYAAAAABgAGAFkBAACwBQAAAAA=&#10;">
                      <v:fill on="f" focussize="0,0"/>
                      <v:stroke color="#000000" joinstyle="round" endarrow="block" endarrowwidth="narrow"/>
                      <v:imagedata o:title=""/>
                      <o:lock v:ext="edit" aspectratio="f"/>
                    </v:shape>
                  </w:pict>
                </mc:Fallback>
              </mc:AlternateContent>
            </w:r>
            <w:r>
              <w:rPr>
                <w:rFonts w:hint="default" w:ascii="Times New Roman" w:hAnsi="Times New Roman" w:cs="Times New Roman"/>
                <w:b/>
                <w:bCs/>
                <w:color w:val="000000" w:themeColor="text1"/>
                <w:sz w:val="24"/>
                <w:highlight w:val="none"/>
                <w:lang w:val="en-US" w:eastAsia="zh-CN"/>
                <w14:textFill>
                  <w14:solidFill>
                    <w14:schemeClr w14:val="tx1"/>
                  </w14:solidFill>
                </w14:textFill>
              </w:rPr>
              <w:t>三</w:t>
            </w:r>
            <w:r>
              <w:rPr>
                <w:rFonts w:hint="default" w:ascii="Times New Roman" w:hAnsi="Times New Roman" w:cs="Times New Roman"/>
                <w:b/>
                <w:bCs/>
                <w:color w:val="000000" w:themeColor="text1"/>
                <w:sz w:val="24"/>
                <w:highlight w:val="none"/>
                <w14:textFill>
                  <w14:solidFill>
                    <w14:schemeClr w14:val="tx1"/>
                  </w14:solidFill>
                </w14:textFill>
              </w:rPr>
              <w:t>、生产工艺产污环节</w:t>
            </w:r>
          </w:p>
          <w:p w14:paraId="5E25D8F6">
            <w:pPr>
              <w:adjustRightInd w:val="0"/>
              <w:snapToGrid w:val="0"/>
              <w:spacing w:line="360" w:lineRule="auto"/>
              <w:ind w:firstLine="480" w:firstLineChars="200"/>
              <w:rPr>
                <w:rFonts w:hint="default" w:ascii="Times New Roman" w:hAnsi="Times New Roman" w:cs="Times New Roman"/>
                <w:color w:val="000000" w:themeColor="text1"/>
                <w:sz w:val="24"/>
                <w:szCs w:val="32"/>
                <w:highlight w:val="none"/>
                <w:lang w:eastAsia="zh-Hans"/>
                <w14:textFill>
                  <w14:solidFill>
                    <w14:schemeClr w14:val="tx1"/>
                  </w14:solidFill>
                </w14:textFill>
              </w:rPr>
            </w:pP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项目</w:t>
            </w:r>
            <w:r>
              <w:rPr>
                <w:rFonts w:hint="default" w:ascii="Times New Roman" w:hAnsi="Times New Roman" w:cs="Times New Roman"/>
                <w:color w:val="000000" w:themeColor="text1"/>
                <w:sz w:val="24"/>
                <w:szCs w:val="32"/>
                <w:highlight w:val="none"/>
                <w:lang w:eastAsia="zh-Hans"/>
                <w14:textFill>
                  <w14:solidFill>
                    <w14:schemeClr w14:val="tx1"/>
                  </w14:solidFill>
                </w14:textFill>
              </w:rPr>
              <w:t>产污</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环节一览表如下。</w:t>
            </w:r>
          </w:p>
          <w:p w14:paraId="1785C556">
            <w:pPr>
              <w:pStyle w:val="6"/>
              <w:numPr>
                <w:ilvl w:val="0"/>
                <w:numId w:val="0"/>
              </w:numPr>
              <w:bidi w:val="0"/>
              <w:ind w:left="0" w:leftChars="0" w:firstLine="402" w:firstLineChars="0"/>
              <w:rPr>
                <w:rFonts w:hint="default" w:ascii="Times New Roman" w:hAnsi="Times New Roman" w:cs="Times New Roman"/>
                <w:color w:val="000000" w:themeColor="text1"/>
                <w:sz w:val="24"/>
                <w:szCs w:val="22"/>
                <w:highlight w:val="none"/>
                <w14:textFill>
                  <w14:solidFill>
                    <w14:schemeClr w14:val="tx1"/>
                  </w14:solidFill>
                </w14:textFill>
              </w:rPr>
            </w:pPr>
            <w:r>
              <w:rPr>
                <w:rFonts w:hint="default" w:ascii="Times New Roman" w:hAnsi="Times New Roman" w:cs="Times New Roman"/>
                <w:color w:val="000000" w:themeColor="text1"/>
                <w:sz w:val="24"/>
                <w:szCs w:val="22"/>
                <w:highlight w:val="none"/>
                <w:lang w:val="en-US" w:eastAsia="zh-CN"/>
                <w14:textFill>
                  <w14:solidFill>
                    <w14:schemeClr w14:val="tx1"/>
                  </w14:solidFill>
                </w14:textFill>
              </w:rPr>
              <w:t>表</w:t>
            </w:r>
            <w:r>
              <w:rPr>
                <w:rFonts w:hint="default" w:ascii="Times New Roman" w:hAnsi="Times New Roman" w:cs="Times New Roman"/>
                <w:color w:val="000000" w:themeColor="text1"/>
                <w:sz w:val="24"/>
                <w:szCs w:val="22"/>
                <w:highlight w:val="none"/>
                <w14:textFill>
                  <w14:solidFill>
                    <w14:schemeClr w14:val="tx1"/>
                  </w14:solidFill>
                </w14:textFill>
              </w:rPr>
              <w:t>2-</w:t>
            </w:r>
            <w:r>
              <w:rPr>
                <w:rFonts w:hint="default" w:ascii="Times New Roman" w:hAnsi="Times New Roman" w:cs="Times New Roman"/>
                <w:color w:val="000000" w:themeColor="text1"/>
                <w:sz w:val="24"/>
                <w:szCs w:val="22"/>
                <w:highlight w:val="none"/>
                <w:lang w:val="en-US" w:eastAsia="zh-CN"/>
                <w14:textFill>
                  <w14:solidFill>
                    <w14:schemeClr w14:val="tx1"/>
                  </w14:solidFill>
                </w14:textFill>
              </w:rPr>
              <w:t>26</w:t>
            </w:r>
            <w:r>
              <w:rPr>
                <w:rFonts w:hint="default" w:ascii="Times New Roman" w:hAnsi="Times New Roman" w:cs="Times New Roman"/>
                <w:color w:val="000000" w:themeColor="text1"/>
                <w:sz w:val="24"/>
                <w:szCs w:val="22"/>
                <w:highlight w:val="none"/>
                <w14:textFill>
                  <w14:solidFill>
                    <w14:schemeClr w14:val="tx1"/>
                  </w14:solidFill>
                </w14:textFill>
              </w:rPr>
              <w:t>项目产污环节</w:t>
            </w:r>
            <w:r>
              <w:rPr>
                <w:rFonts w:hint="default" w:ascii="Times New Roman" w:hAnsi="Times New Roman" w:cs="Times New Roman"/>
                <w:color w:val="000000" w:themeColor="text1"/>
                <w:sz w:val="24"/>
                <w:szCs w:val="22"/>
                <w:highlight w:val="none"/>
                <w:lang w:val="en-US" w:eastAsia="zh-CN"/>
                <w14:textFill>
                  <w14:solidFill>
                    <w14:schemeClr w14:val="tx1"/>
                  </w14:solidFill>
                </w14:textFill>
              </w:rPr>
              <w:t>一</w:t>
            </w:r>
            <w:r>
              <w:rPr>
                <w:rFonts w:hint="default" w:ascii="Times New Roman" w:hAnsi="Times New Roman" w:cs="Times New Roman"/>
                <w:color w:val="000000" w:themeColor="text1"/>
                <w:sz w:val="24"/>
                <w:szCs w:val="22"/>
                <w:highlight w:val="none"/>
                <w14:textFill>
                  <w14:solidFill>
                    <w14:schemeClr w14:val="tx1"/>
                  </w14:solidFill>
                </w14:textFill>
              </w:rPr>
              <w:t>览表</w:t>
            </w:r>
          </w:p>
          <w:tbl>
            <w:tblPr>
              <w:tblStyle w:val="24"/>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3"/>
              <w:gridCol w:w="1318"/>
              <w:gridCol w:w="963"/>
              <w:gridCol w:w="1579"/>
              <w:gridCol w:w="670"/>
              <w:gridCol w:w="3188"/>
            </w:tblGrid>
            <w:tr w14:paraId="02FCB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0" w:type="pct"/>
                  <w:tcBorders>
                    <w:tl2br w:val="nil"/>
                    <w:tr2bl w:val="nil"/>
                  </w:tcBorders>
                  <w:noWrap w:val="0"/>
                  <w:vAlign w:val="center"/>
                </w:tcPr>
                <w:p w14:paraId="77AE69A5">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类别</w:t>
                  </w:r>
                </w:p>
              </w:tc>
              <w:tc>
                <w:tcPr>
                  <w:tcW w:w="787" w:type="pct"/>
                  <w:tcBorders>
                    <w:tl2br w:val="nil"/>
                    <w:tr2bl w:val="nil"/>
                  </w:tcBorders>
                  <w:noWrap w:val="0"/>
                  <w:vAlign w:val="center"/>
                </w:tcPr>
                <w:p w14:paraId="2C92AA9B">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污染源</w:t>
                  </w:r>
                </w:p>
              </w:tc>
              <w:tc>
                <w:tcPr>
                  <w:tcW w:w="575" w:type="pct"/>
                  <w:tcBorders>
                    <w:tl2br w:val="nil"/>
                    <w:tr2bl w:val="nil"/>
                  </w:tcBorders>
                  <w:noWrap w:val="0"/>
                  <w:vAlign w:val="center"/>
                </w:tcPr>
                <w:p w14:paraId="62213122">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排污</w:t>
                  </w:r>
                </w:p>
                <w:p w14:paraId="7FA53A05">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序号</w:t>
                  </w:r>
                </w:p>
              </w:tc>
              <w:tc>
                <w:tcPr>
                  <w:tcW w:w="943" w:type="pct"/>
                  <w:tcBorders>
                    <w:tl2br w:val="nil"/>
                    <w:tr2bl w:val="nil"/>
                  </w:tcBorders>
                  <w:noWrap w:val="0"/>
                  <w:vAlign w:val="center"/>
                </w:tcPr>
                <w:p w14:paraId="78DFB300">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主要污染物</w:t>
                  </w:r>
                </w:p>
              </w:tc>
              <w:tc>
                <w:tcPr>
                  <w:tcW w:w="400" w:type="pct"/>
                  <w:tcBorders>
                    <w:tl2br w:val="nil"/>
                    <w:tr2bl w:val="nil"/>
                  </w:tcBorders>
                  <w:noWrap w:val="0"/>
                  <w:vAlign w:val="center"/>
                </w:tcPr>
                <w:p w14:paraId="1C524C76">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排放</w:t>
                  </w:r>
                </w:p>
                <w:p w14:paraId="568442E1">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规律</w:t>
                  </w:r>
                </w:p>
              </w:tc>
              <w:tc>
                <w:tcPr>
                  <w:tcW w:w="1904" w:type="pct"/>
                  <w:tcBorders>
                    <w:tl2br w:val="nil"/>
                    <w:tr2bl w:val="nil"/>
                  </w:tcBorders>
                  <w:noWrap w:val="0"/>
                  <w:vAlign w:val="center"/>
                </w:tcPr>
                <w:p w14:paraId="46B317B8">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措施及去向</w:t>
                  </w:r>
                </w:p>
              </w:tc>
            </w:tr>
            <w:tr w14:paraId="00AB0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390" w:type="pct"/>
                  <w:vMerge w:val="restart"/>
                  <w:tcBorders>
                    <w:tl2br w:val="nil"/>
                    <w:tr2bl w:val="nil"/>
                  </w:tcBorders>
                  <w:noWrap w:val="0"/>
                  <w:vAlign w:val="center"/>
                </w:tcPr>
                <w:p w14:paraId="5AE26A89">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废气</w:t>
                  </w:r>
                </w:p>
              </w:tc>
              <w:tc>
                <w:tcPr>
                  <w:tcW w:w="787" w:type="pct"/>
                  <w:tcBorders>
                    <w:tl2br w:val="nil"/>
                    <w:tr2bl w:val="nil"/>
                  </w:tcBorders>
                  <w:noWrap w:val="0"/>
                  <w:vAlign w:val="center"/>
                </w:tcPr>
                <w:p w14:paraId="0151CBAD">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原料粉</w:t>
                  </w:r>
                  <w:r>
                    <w:rPr>
                      <w:rFonts w:hint="default" w:ascii="Times New Roman" w:hAnsi="Times New Roman" w:cs="Times New Roman"/>
                      <w:color w:val="000000" w:themeColor="text1"/>
                      <w:sz w:val="21"/>
                      <w:szCs w:val="21"/>
                      <w:highlight w:val="none"/>
                      <w14:textFill>
                        <w14:solidFill>
                          <w14:schemeClr w14:val="tx1"/>
                        </w14:solidFill>
                      </w14:textFill>
                    </w:rPr>
                    <w:t>料储存装卸</w:t>
                  </w:r>
                </w:p>
              </w:tc>
              <w:tc>
                <w:tcPr>
                  <w:tcW w:w="575" w:type="pct"/>
                  <w:tcBorders>
                    <w:tl2br w:val="nil"/>
                    <w:tr2bl w:val="nil"/>
                  </w:tcBorders>
                  <w:noWrap w:val="0"/>
                  <w:vAlign w:val="center"/>
                </w:tcPr>
                <w:p w14:paraId="0DF75934">
                  <w:pPr>
                    <w:pStyle w:val="118"/>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G1</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w:t>
                  </w:r>
                  <w:r>
                    <w:rPr>
                      <w:rFonts w:hint="default" w:ascii="Times New Roman" w:hAnsi="Times New Roman" w:cs="Times New Roman"/>
                      <w:color w:val="000000" w:themeColor="text1"/>
                      <w:sz w:val="21"/>
                      <w:szCs w:val="21"/>
                      <w:highlight w:val="none"/>
                      <w14:textFill>
                        <w14:solidFill>
                          <w14:schemeClr w14:val="tx1"/>
                        </w14:solidFill>
                      </w14:textFill>
                    </w:rPr>
                    <w:t>G</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w:t>
                  </w:r>
                  <w:r>
                    <w:rPr>
                      <w:rFonts w:hint="default" w:ascii="Times New Roman" w:hAnsi="Times New Roman" w:cs="Times New Roman"/>
                      <w:color w:val="000000" w:themeColor="text1"/>
                      <w:sz w:val="21"/>
                      <w:szCs w:val="21"/>
                      <w:highlight w:val="none"/>
                      <w14:textFill>
                        <w14:solidFill>
                          <w14:schemeClr w14:val="tx1"/>
                        </w14:solidFill>
                      </w14:textFill>
                    </w:rPr>
                    <w:t>2</w:t>
                  </w:r>
                </w:p>
              </w:tc>
              <w:tc>
                <w:tcPr>
                  <w:tcW w:w="943" w:type="pct"/>
                  <w:tcBorders>
                    <w:tl2br w:val="nil"/>
                    <w:tr2bl w:val="nil"/>
                  </w:tcBorders>
                  <w:noWrap w:val="0"/>
                  <w:vAlign w:val="center"/>
                </w:tcPr>
                <w:p w14:paraId="03239B1D">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颗粒物</w:t>
                  </w:r>
                </w:p>
              </w:tc>
              <w:tc>
                <w:tcPr>
                  <w:tcW w:w="400" w:type="pct"/>
                  <w:tcBorders>
                    <w:tl2br w:val="nil"/>
                    <w:tr2bl w:val="nil"/>
                  </w:tcBorders>
                  <w:noWrap w:val="0"/>
                  <w:vAlign w:val="center"/>
                </w:tcPr>
                <w:p w14:paraId="51DD6756">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间隙</w:t>
                  </w:r>
                </w:p>
              </w:tc>
              <w:tc>
                <w:tcPr>
                  <w:tcW w:w="1904" w:type="pct"/>
                  <w:tcBorders>
                    <w:tl2br w:val="nil"/>
                    <w:tr2bl w:val="nil"/>
                  </w:tcBorders>
                  <w:noWrap w:val="0"/>
                  <w:vAlign w:val="center"/>
                </w:tcPr>
                <w:p w14:paraId="60C2721D">
                  <w:pPr>
                    <w:pStyle w:val="118"/>
                    <w:bidi w:val="0"/>
                    <w:jc w:val="both"/>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布袋除尘器（覆膜袋式）</w:t>
                  </w:r>
                  <w:r>
                    <w:rPr>
                      <w:rFonts w:hint="default" w:ascii="Times New Roman" w:hAnsi="Times New Roman" w:cs="Times New Roman"/>
                      <w:color w:val="000000" w:themeColor="text1"/>
                      <w:sz w:val="21"/>
                      <w:szCs w:val="21"/>
                      <w:highlight w:val="none"/>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套）+</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42</w:t>
                  </w:r>
                  <w:r>
                    <w:rPr>
                      <w:rFonts w:hint="default" w:ascii="Times New Roman" w:hAnsi="Times New Roman" w:cs="Times New Roman"/>
                      <w:color w:val="000000" w:themeColor="text1"/>
                      <w:sz w:val="21"/>
                      <w:szCs w:val="21"/>
                      <w:highlight w:val="none"/>
                      <w:lang w:eastAsia="zh-CN"/>
                      <w14:textFill>
                        <w14:solidFill>
                          <w14:schemeClr w14:val="tx1"/>
                        </w14:solidFill>
                      </w14:textFill>
                    </w:rPr>
                    <w:t>m</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高</w:t>
                  </w:r>
                  <w:r>
                    <w:rPr>
                      <w:rFonts w:hint="eastAsia" w:cs="Times New Roman"/>
                      <w:color w:val="000000" w:themeColor="text1"/>
                      <w:sz w:val="21"/>
                      <w:szCs w:val="21"/>
                      <w:highlight w:val="none"/>
                      <w:lang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cs="Times New Roman"/>
                      <w:color w:val="000000" w:themeColor="text1"/>
                      <w:sz w:val="21"/>
                      <w:szCs w:val="21"/>
                      <w:highlight w:val="none"/>
                      <w14:textFill>
                        <w14:solidFill>
                          <w14:schemeClr w14:val="tx1"/>
                        </w14:solidFill>
                      </w14:textFill>
                    </w:rPr>
                    <w:t>（DA001</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14:textFill>
                        <w14:solidFill>
                          <w14:schemeClr w14:val="tx1"/>
                        </w14:solidFill>
                      </w14:textFill>
                    </w:rPr>
                    <w:t>DA00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w:t>
                  </w:r>
                </w:p>
              </w:tc>
            </w:tr>
            <w:tr w14:paraId="50649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390" w:type="pct"/>
                  <w:vMerge w:val="continue"/>
                  <w:tcBorders>
                    <w:tl2br w:val="nil"/>
                    <w:tr2bl w:val="nil"/>
                  </w:tcBorders>
                  <w:noWrap w:val="0"/>
                  <w:vAlign w:val="center"/>
                </w:tcPr>
                <w:p w14:paraId="72982F7A">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p>
              </w:tc>
              <w:tc>
                <w:tcPr>
                  <w:tcW w:w="787" w:type="pct"/>
                  <w:tcBorders>
                    <w:tl2br w:val="nil"/>
                    <w:tr2bl w:val="nil"/>
                  </w:tcBorders>
                  <w:noWrap w:val="0"/>
                  <w:vAlign w:val="center"/>
                </w:tcPr>
                <w:p w14:paraId="455BEF8A">
                  <w:pPr>
                    <w:pStyle w:val="118"/>
                    <w:bidi w:val="0"/>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原料粉</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转运粉仓</w:t>
                  </w:r>
                </w:p>
              </w:tc>
              <w:tc>
                <w:tcPr>
                  <w:tcW w:w="575" w:type="pct"/>
                  <w:tcBorders>
                    <w:tl2br w:val="nil"/>
                    <w:tr2bl w:val="nil"/>
                  </w:tcBorders>
                  <w:noWrap w:val="0"/>
                  <w:vAlign w:val="center"/>
                </w:tcPr>
                <w:p w14:paraId="753C29FF">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G</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1-3</w:t>
                  </w:r>
                </w:p>
              </w:tc>
              <w:tc>
                <w:tcPr>
                  <w:tcW w:w="943" w:type="pct"/>
                  <w:tcBorders>
                    <w:tl2br w:val="nil"/>
                    <w:tr2bl w:val="nil"/>
                  </w:tcBorders>
                  <w:noWrap w:val="0"/>
                  <w:vAlign w:val="center"/>
                </w:tcPr>
                <w:p w14:paraId="7AB51C6F">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颗粒物</w:t>
                  </w:r>
                </w:p>
              </w:tc>
              <w:tc>
                <w:tcPr>
                  <w:tcW w:w="400" w:type="pct"/>
                  <w:tcBorders>
                    <w:tl2br w:val="nil"/>
                    <w:tr2bl w:val="nil"/>
                  </w:tcBorders>
                  <w:noWrap w:val="0"/>
                  <w:vAlign w:val="center"/>
                </w:tcPr>
                <w:p w14:paraId="7D7BA8EF">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连续</w:t>
                  </w:r>
                </w:p>
              </w:tc>
              <w:tc>
                <w:tcPr>
                  <w:tcW w:w="1904" w:type="pct"/>
                  <w:tcBorders>
                    <w:tl2br w:val="nil"/>
                    <w:tr2bl w:val="nil"/>
                  </w:tcBorders>
                  <w:noWrap w:val="0"/>
                  <w:vAlign w:val="center"/>
                </w:tcPr>
                <w:p w14:paraId="36ED221B">
                  <w:pPr>
                    <w:pStyle w:val="118"/>
                    <w:bidi w:val="0"/>
                    <w:jc w:val="both"/>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布袋除尘器（覆膜袋式）</w:t>
                  </w:r>
                  <w:r>
                    <w:rPr>
                      <w:rFonts w:hint="default" w:ascii="Times New Roman" w:hAnsi="Times New Roman" w:cs="Times New Roman"/>
                      <w:color w:val="000000" w:themeColor="text1"/>
                      <w:sz w:val="21"/>
                      <w:szCs w:val="21"/>
                      <w:highlight w:val="none"/>
                      <w14:textFill>
                        <w14:solidFill>
                          <w14:schemeClr w14:val="tx1"/>
                        </w14:solidFill>
                      </w14:textFill>
                    </w:rPr>
                    <w:t>（1套）+</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15</w:t>
                  </w:r>
                  <w:r>
                    <w:rPr>
                      <w:rFonts w:hint="default" w:ascii="Times New Roman" w:hAnsi="Times New Roman" w:cs="Times New Roman"/>
                      <w:color w:val="000000" w:themeColor="text1"/>
                      <w:sz w:val="21"/>
                      <w:szCs w:val="21"/>
                      <w:highlight w:val="none"/>
                      <w:lang w:eastAsia="zh-CN"/>
                      <w14:textFill>
                        <w14:solidFill>
                          <w14:schemeClr w14:val="tx1"/>
                        </w14:solidFill>
                      </w14:textFill>
                    </w:rPr>
                    <w:t>m</w:t>
                  </w:r>
                  <w:r>
                    <w:rPr>
                      <w:rFonts w:hint="default" w:ascii="Times New Roman" w:hAnsi="Times New Roman" w:cs="Times New Roman"/>
                      <w:color w:val="000000" w:themeColor="text1"/>
                      <w:sz w:val="24"/>
                      <w:highlight w:val="none"/>
                      <w:lang w:val="en-US" w:eastAsia="zh-CN"/>
                      <w14:textFill>
                        <w14:solidFill>
                          <w14:schemeClr w14:val="tx1"/>
                        </w14:solidFill>
                      </w14:textFill>
                    </w:rPr>
                    <w:t>高</w:t>
                  </w:r>
                  <w:r>
                    <w:rPr>
                      <w:rFonts w:hint="eastAsia" w:cs="Times New Roman"/>
                      <w:color w:val="000000" w:themeColor="text1"/>
                      <w:sz w:val="21"/>
                      <w:szCs w:val="21"/>
                      <w:highlight w:val="none"/>
                      <w:lang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cs="Times New Roman"/>
                      <w:color w:val="000000" w:themeColor="text1"/>
                      <w:sz w:val="21"/>
                      <w:szCs w:val="21"/>
                      <w:highlight w:val="none"/>
                      <w14:textFill>
                        <w14:solidFill>
                          <w14:schemeClr w14:val="tx1"/>
                        </w14:solidFill>
                      </w14:textFill>
                    </w:rPr>
                    <w:t>（DA00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w:t>
                  </w:r>
                </w:p>
              </w:tc>
            </w:tr>
            <w:tr w14:paraId="707B5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390" w:type="pct"/>
                  <w:vMerge w:val="continue"/>
                  <w:tcBorders>
                    <w:tl2br w:val="nil"/>
                    <w:tr2bl w:val="nil"/>
                  </w:tcBorders>
                  <w:noWrap w:val="0"/>
                  <w:vAlign w:val="center"/>
                </w:tcPr>
                <w:p w14:paraId="701A7BA5">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p>
              </w:tc>
              <w:tc>
                <w:tcPr>
                  <w:tcW w:w="787" w:type="pct"/>
                  <w:tcBorders>
                    <w:tl2br w:val="nil"/>
                    <w:tr2bl w:val="nil"/>
                  </w:tcBorders>
                  <w:noWrap w:val="0"/>
                  <w:vAlign w:val="center"/>
                </w:tcPr>
                <w:p w14:paraId="58A5370B">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窑尾喂料仓卸料粉尘</w:t>
                  </w:r>
                </w:p>
              </w:tc>
              <w:tc>
                <w:tcPr>
                  <w:tcW w:w="575" w:type="pct"/>
                  <w:tcBorders>
                    <w:tl2br w:val="nil"/>
                    <w:tr2bl w:val="nil"/>
                  </w:tcBorders>
                  <w:noWrap w:val="0"/>
                  <w:vAlign w:val="center"/>
                </w:tcPr>
                <w:p w14:paraId="3DCF9CA8">
                  <w:pPr>
                    <w:pStyle w:val="118"/>
                    <w:bidi w:val="0"/>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G</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1-4</w:t>
                  </w:r>
                </w:p>
              </w:tc>
              <w:tc>
                <w:tcPr>
                  <w:tcW w:w="943" w:type="pct"/>
                  <w:tcBorders>
                    <w:tl2br w:val="nil"/>
                    <w:tr2bl w:val="nil"/>
                  </w:tcBorders>
                  <w:noWrap w:val="0"/>
                  <w:vAlign w:val="center"/>
                </w:tcPr>
                <w:p w14:paraId="1DFCADE7">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颗粒物</w:t>
                  </w:r>
                </w:p>
              </w:tc>
              <w:tc>
                <w:tcPr>
                  <w:tcW w:w="400" w:type="pct"/>
                  <w:tcBorders>
                    <w:tl2br w:val="nil"/>
                    <w:tr2bl w:val="nil"/>
                  </w:tcBorders>
                  <w:noWrap w:val="0"/>
                  <w:vAlign w:val="center"/>
                </w:tcPr>
                <w:p w14:paraId="7EE429FB">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连续</w:t>
                  </w:r>
                </w:p>
              </w:tc>
              <w:tc>
                <w:tcPr>
                  <w:tcW w:w="1904" w:type="pct"/>
                  <w:tcBorders>
                    <w:tl2br w:val="nil"/>
                    <w:tr2bl w:val="nil"/>
                  </w:tcBorders>
                  <w:noWrap w:val="0"/>
                  <w:vAlign w:val="center"/>
                </w:tcPr>
                <w:p w14:paraId="24F7F334">
                  <w:pPr>
                    <w:pStyle w:val="118"/>
                    <w:bidi w:val="0"/>
                    <w:jc w:val="both"/>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布袋除尘器（覆膜袋式）</w:t>
                  </w:r>
                  <w:r>
                    <w:rPr>
                      <w:rFonts w:hint="default" w:ascii="Times New Roman" w:hAnsi="Times New Roman" w:cs="Times New Roman"/>
                      <w:color w:val="000000" w:themeColor="text1"/>
                      <w:sz w:val="21"/>
                      <w:szCs w:val="21"/>
                      <w:highlight w:val="none"/>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30</w:t>
                  </w:r>
                  <w:r>
                    <w:rPr>
                      <w:rFonts w:hint="default" w:ascii="Times New Roman" w:hAnsi="Times New Roman" w:cs="Times New Roman"/>
                      <w:color w:val="000000" w:themeColor="text1"/>
                      <w:sz w:val="21"/>
                      <w:szCs w:val="21"/>
                      <w:highlight w:val="none"/>
                      <w:lang w:eastAsia="zh-CN"/>
                      <w14:textFill>
                        <w14:solidFill>
                          <w14:schemeClr w14:val="tx1"/>
                        </w14:solidFill>
                      </w14:textFill>
                    </w:rPr>
                    <w:t>m</w:t>
                  </w:r>
                  <w:r>
                    <w:rPr>
                      <w:rFonts w:hint="eastAsia" w:cs="Times New Roman"/>
                      <w:color w:val="000000" w:themeColor="text1"/>
                      <w:sz w:val="21"/>
                      <w:szCs w:val="21"/>
                      <w:highlight w:val="none"/>
                      <w:lang w:val="en-US" w:eastAsia="zh-CN"/>
                      <w14:textFill>
                        <w14:solidFill>
                          <w14:schemeClr w14:val="tx1"/>
                        </w14:solidFill>
                      </w14:textFill>
                    </w:rPr>
                    <w:t>高</w:t>
                  </w:r>
                  <w:r>
                    <w:rPr>
                      <w:rFonts w:hint="eastAsia" w:cs="Times New Roman"/>
                      <w:color w:val="000000" w:themeColor="text1"/>
                      <w:sz w:val="21"/>
                      <w:szCs w:val="21"/>
                      <w:highlight w:val="none"/>
                      <w:lang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cs="Times New Roman"/>
                      <w:color w:val="000000" w:themeColor="text1"/>
                      <w:sz w:val="21"/>
                      <w:szCs w:val="21"/>
                      <w:highlight w:val="none"/>
                      <w14:textFill>
                        <w14:solidFill>
                          <w14:schemeClr w14:val="tx1"/>
                        </w14:solidFill>
                      </w14:textFill>
                    </w:rPr>
                    <w:t>（DA00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w:t>
                  </w:r>
                  <w:r>
                    <w:rPr>
                      <w:rFonts w:hint="default" w:ascii="Times New Roman" w:hAnsi="Times New Roman" w:cs="Times New Roman"/>
                      <w:color w:val="000000" w:themeColor="text1"/>
                      <w:sz w:val="21"/>
                      <w:szCs w:val="21"/>
                      <w:highlight w:val="none"/>
                      <w14:textFill>
                        <w14:solidFill>
                          <w14:schemeClr w14:val="tx1"/>
                        </w14:solidFill>
                      </w14:textFill>
                    </w:rPr>
                    <w:t>）</w:t>
                  </w:r>
                </w:p>
              </w:tc>
            </w:tr>
            <w:tr w14:paraId="546CA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390" w:type="pct"/>
                  <w:vMerge w:val="continue"/>
                  <w:tcBorders>
                    <w:tl2br w:val="nil"/>
                    <w:tr2bl w:val="nil"/>
                  </w:tcBorders>
                  <w:noWrap w:val="0"/>
                  <w:vAlign w:val="center"/>
                </w:tcPr>
                <w:p w14:paraId="7076E2EC">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p>
              </w:tc>
              <w:tc>
                <w:tcPr>
                  <w:tcW w:w="787" w:type="pct"/>
                  <w:tcBorders>
                    <w:tl2br w:val="nil"/>
                    <w:tr2bl w:val="nil"/>
                  </w:tcBorders>
                  <w:noWrap w:val="0"/>
                  <w:vAlign w:val="center"/>
                </w:tcPr>
                <w:p w14:paraId="5A9CF7C3">
                  <w:pPr>
                    <w:pStyle w:val="118"/>
                    <w:bidi w:val="0"/>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窑尾喂料提升机卸料粉尘</w:t>
                  </w:r>
                </w:p>
              </w:tc>
              <w:tc>
                <w:tcPr>
                  <w:tcW w:w="575" w:type="pct"/>
                  <w:tcBorders>
                    <w:tl2br w:val="nil"/>
                    <w:tr2bl w:val="nil"/>
                  </w:tcBorders>
                  <w:noWrap w:val="0"/>
                  <w:vAlign w:val="center"/>
                </w:tcPr>
                <w:p w14:paraId="4E15D44C">
                  <w:pPr>
                    <w:pStyle w:val="118"/>
                    <w:bidi w:val="0"/>
                    <w:ind w:firstLine="0" w:firstLineChars="0"/>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G</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1-5</w:t>
                  </w:r>
                </w:p>
              </w:tc>
              <w:tc>
                <w:tcPr>
                  <w:tcW w:w="943" w:type="pct"/>
                  <w:tcBorders>
                    <w:tl2br w:val="nil"/>
                    <w:tr2bl w:val="nil"/>
                  </w:tcBorders>
                  <w:noWrap w:val="0"/>
                  <w:vAlign w:val="center"/>
                </w:tcPr>
                <w:p w14:paraId="71E04E44">
                  <w:pPr>
                    <w:pStyle w:val="118"/>
                    <w:bidi w:val="0"/>
                    <w:ind w:firstLine="0" w:firstLineChars="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颗粒物</w:t>
                  </w:r>
                </w:p>
              </w:tc>
              <w:tc>
                <w:tcPr>
                  <w:tcW w:w="400" w:type="pct"/>
                  <w:tcBorders>
                    <w:tl2br w:val="nil"/>
                    <w:tr2bl w:val="nil"/>
                  </w:tcBorders>
                  <w:noWrap w:val="0"/>
                  <w:vAlign w:val="center"/>
                </w:tcPr>
                <w:p w14:paraId="745732CF">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连续</w:t>
                  </w:r>
                </w:p>
              </w:tc>
              <w:tc>
                <w:tcPr>
                  <w:tcW w:w="1904" w:type="pct"/>
                  <w:tcBorders>
                    <w:tl2br w:val="nil"/>
                    <w:tr2bl w:val="nil"/>
                  </w:tcBorders>
                  <w:noWrap w:val="0"/>
                  <w:vAlign w:val="center"/>
                </w:tcPr>
                <w:p w14:paraId="6BD7C675">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布袋除尘器（覆膜袋式）</w:t>
                  </w:r>
                  <w:r>
                    <w:rPr>
                      <w:rFonts w:hint="default" w:ascii="Times New Roman" w:hAnsi="Times New Roman" w:cs="Times New Roman"/>
                      <w:color w:val="000000" w:themeColor="text1"/>
                      <w:sz w:val="21"/>
                      <w:szCs w:val="21"/>
                      <w:highlight w:val="none"/>
                      <w14:textFill>
                        <w14:solidFill>
                          <w14:schemeClr w14:val="tx1"/>
                        </w14:solidFill>
                      </w14:textFill>
                    </w:rPr>
                    <w:t>（1套）+</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90</w:t>
                  </w:r>
                  <w:r>
                    <w:rPr>
                      <w:rFonts w:hint="default" w:ascii="Times New Roman" w:hAnsi="Times New Roman" w:cs="Times New Roman"/>
                      <w:color w:val="000000" w:themeColor="text1"/>
                      <w:sz w:val="21"/>
                      <w:szCs w:val="21"/>
                      <w:highlight w:val="none"/>
                      <w:lang w:eastAsia="zh-CN"/>
                      <w14:textFill>
                        <w14:solidFill>
                          <w14:schemeClr w14:val="tx1"/>
                        </w14:solidFill>
                      </w14:textFill>
                    </w:rPr>
                    <w:t>m</w:t>
                  </w:r>
                  <w:r>
                    <w:rPr>
                      <w:rFonts w:hint="default" w:ascii="Times New Roman" w:hAnsi="Times New Roman" w:cs="Times New Roman"/>
                      <w:color w:val="000000" w:themeColor="text1"/>
                      <w:sz w:val="24"/>
                      <w:highlight w:val="none"/>
                      <w:lang w:val="en-US" w:eastAsia="zh-CN"/>
                      <w14:textFill>
                        <w14:solidFill>
                          <w14:schemeClr w14:val="tx1"/>
                        </w14:solidFill>
                      </w14:textFill>
                    </w:rPr>
                    <w:t>高</w:t>
                  </w:r>
                  <w:r>
                    <w:rPr>
                      <w:rFonts w:hint="eastAsia" w:cs="Times New Roman"/>
                      <w:color w:val="000000" w:themeColor="text1"/>
                      <w:sz w:val="21"/>
                      <w:szCs w:val="21"/>
                      <w:highlight w:val="none"/>
                      <w:lang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cs="Times New Roman"/>
                      <w:color w:val="000000" w:themeColor="text1"/>
                      <w:sz w:val="21"/>
                      <w:szCs w:val="21"/>
                      <w:highlight w:val="none"/>
                      <w14:textFill>
                        <w14:solidFill>
                          <w14:schemeClr w14:val="tx1"/>
                        </w14:solidFill>
                      </w14:textFill>
                    </w:rPr>
                    <w:t>（DA00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5</w:t>
                  </w:r>
                  <w:r>
                    <w:rPr>
                      <w:rFonts w:hint="default" w:ascii="Times New Roman" w:hAnsi="Times New Roman" w:cs="Times New Roman"/>
                      <w:color w:val="000000" w:themeColor="text1"/>
                      <w:sz w:val="21"/>
                      <w:szCs w:val="21"/>
                      <w:highlight w:val="none"/>
                      <w14:textFill>
                        <w14:solidFill>
                          <w14:schemeClr w14:val="tx1"/>
                        </w14:solidFill>
                      </w14:textFill>
                    </w:rPr>
                    <w:t>）</w:t>
                  </w:r>
                </w:p>
              </w:tc>
            </w:tr>
            <w:tr w14:paraId="5E827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390" w:type="pct"/>
                  <w:vMerge w:val="continue"/>
                  <w:tcBorders>
                    <w:tl2br w:val="nil"/>
                    <w:tr2bl w:val="nil"/>
                  </w:tcBorders>
                  <w:noWrap w:val="0"/>
                  <w:vAlign w:val="center"/>
                </w:tcPr>
                <w:p w14:paraId="7FB26464">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p>
              </w:tc>
              <w:tc>
                <w:tcPr>
                  <w:tcW w:w="787" w:type="pct"/>
                  <w:tcBorders>
                    <w:tl2br w:val="nil"/>
                    <w:tr2bl w:val="nil"/>
                  </w:tcBorders>
                  <w:noWrap w:val="0"/>
                  <w:vAlign w:val="center"/>
                </w:tcPr>
                <w:p w14:paraId="46A0BB77">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回转窑和窑尾焙烧废气</w:t>
                  </w:r>
                </w:p>
              </w:tc>
              <w:tc>
                <w:tcPr>
                  <w:tcW w:w="575" w:type="pct"/>
                  <w:tcBorders>
                    <w:tl2br w:val="nil"/>
                    <w:tr2bl w:val="nil"/>
                  </w:tcBorders>
                  <w:noWrap w:val="0"/>
                  <w:vAlign w:val="center"/>
                </w:tcPr>
                <w:p w14:paraId="7C913294">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G</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1-6</w:t>
                  </w:r>
                </w:p>
              </w:tc>
              <w:tc>
                <w:tcPr>
                  <w:tcW w:w="943" w:type="pct"/>
                  <w:tcBorders>
                    <w:tl2br w:val="nil"/>
                    <w:tr2bl w:val="nil"/>
                  </w:tcBorders>
                  <w:noWrap w:val="0"/>
                  <w:vAlign w:val="center"/>
                </w:tcPr>
                <w:p w14:paraId="593CEA82">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颗粒物</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二氧化硫、氮氧化物</w:t>
                  </w:r>
                </w:p>
              </w:tc>
              <w:tc>
                <w:tcPr>
                  <w:tcW w:w="400" w:type="pct"/>
                  <w:tcBorders>
                    <w:tl2br w:val="nil"/>
                    <w:tr2bl w:val="nil"/>
                  </w:tcBorders>
                  <w:noWrap w:val="0"/>
                  <w:vAlign w:val="center"/>
                </w:tcPr>
                <w:p w14:paraId="5EF7A39E">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连续</w:t>
                  </w:r>
                </w:p>
              </w:tc>
              <w:tc>
                <w:tcPr>
                  <w:tcW w:w="1904" w:type="pct"/>
                  <w:tcBorders>
                    <w:tl2br w:val="nil"/>
                    <w:tr2bl w:val="nil"/>
                  </w:tcBorders>
                  <w:noWrap w:val="0"/>
                  <w:vAlign w:val="center"/>
                </w:tcPr>
                <w:p w14:paraId="33AF618E">
                  <w:pPr>
                    <w:pStyle w:val="118"/>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低氮燃烧（</w:t>
                  </w:r>
                  <w:r>
                    <w:rPr>
                      <w:rFonts w:hint="default" w:ascii="Times New Roman" w:hAnsi="Times New Roman" w:cs="Times New Roman"/>
                      <w:color w:val="000000" w:themeColor="text1"/>
                      <w:sz w:val="24"/>
                      <w:highlight w:val="none"/>
                      <w:lang w:val="en-US" w:eastAsia="zh-CN"/>
                      <w14:textFill>
                        <w14:solidFill>
                          <w14:schemeClr w14:val="tx1"/>
                        </w14:solidFill>
                      </w14:textFill>
                    </w:rPr>
                    <w:t>“分</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级燃烧+缺氧燃烧+烟气再循环（FGR”</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）+余热回收+脱硝装置</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（SNCR）+</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布袋除尘器（覆膜袋式）</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石灰石/石膏</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湿法脱硫</w:t>
                  </w:r>
                  <w:r>
                    <w:rPr>
                      <w:rFonts w:hint="default" w:ascii="Times New Roman" w:hAnsi="Times New Roman" w:cs="Times New Roman"/>
                      <w:color w:val="000000" w:themeColor="text1"/>
                      <w:sz w:val="21"/>
                      <w:szCs w:val="21"/>
                      <w:highlight w:val="none"/>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42m</w:t>
                  </w:r>
                  <w:r>
                    <w:rPr>
                      <w:rFonts w:hint="default" w:ascii="Times New Roman" w:hAnsi="Times New Roman" w:cs="Times New Roman"/>
                      <w:color w:val="000000" w:themeColor="text1"/>
                      <w:sz w:val="24"/>
                      <w:highlight w:val="none"/>
                      <w:lang w:val="en-US" w:eastAsia="zh-CN"/>
                      <w14:textFill>
                        <w14:solidFill>
                          <w14:schemeClr w14:val="tx1"/>
                        </w14:solidFill>
                      </w14:textFill>
                    </w:rPr>
                    <w:t>高的</w:t>
                  </w:r>
                  <w:r>
                    <w:rPr>
                      <w:rFonts w:hint="eastAsia" w:cs="Times New Roman"/>
                      <w:color w:val="000000" w:themeColor="text1"/>
                      <w:sz w:val="21"/>
                      <w:szCs w:val="21"/>
                      <w:highlight w:val="none"/>
                      <w:lang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cs="Times New Roman"/>
                      <w:color w:val="000000" w:themeColor="text1"/>
                      <w:sz w:val="21"/>
                      <w:szCs w:val="21"/>
                      <w:highlight w:val="none"/>
                      <w14:textFill>
                        <w14:solidFill>
                          <w14:schemeClr w14:val="tx1"/>
                        </w14:solidFill>
                      </w14:textFill>
                    </w:rPr>
                    <w:t>（DA00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6</w:t>
                  </w:r>
                  <w:r>
                    <w:rPr>
                      <w:rFonts w:hint="default" w:ascii="Times New Roman" w:hAnsi="Times New Roman" w:cs="Times New Roman"/>
                      <w:color w:val="000000" w:themeColor="text1"/>
                      <w:sz w:val="21"/>
                      <w:szCs w:val="21"/>
                      <w:highlight w:val="none"/>
                      <w14:textFill>
                        <w14:solidFill>
                          <w14:schemeClr w14:val="tx1"/>
                        </w14:solidFill>
                      </w14:textFill>
                    </w:rPr>
                    <w:t>）</w:t>
                  </w:r>
                </w:p>
              </w:tc>
            </w:tr>
            <w:tr w14:paraId="2387D7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0" w:type="pct"/>
                  <w:vMerge w:val="continue"/>
                  <w:tcBorders>
                    <w:tl2br w:val="nil"/>
                    <w:tr2bl w:val="nil"/>
                  </w:tcBorders>
                  <w:noWrap w:val="0"/>
                  <w:vAlign w:val="center"/>
                </w:tcPr>
                <w:p w14:paraId="01E502C6">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p>
              </w:tc>
              <w:tc>
                <w:tcPr>
                  <w:tcW w:w="787" w:type="pct"/>
                  <w:tcBorders>
                    <w:tl2br w:val="nil"/>
                    <w:tr2bl w:val="nil"/>
                  </w:tcBorders>
                  <w:noWrap w:val="0"/>
                  <w:vAlign w:val="center"/>
                </w:tcPr>
                <w:p w14:paraId="288B8516">
                  <w:pPr>
                    <w:pStyle w:val="118"/>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产品</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分选</w:t>
                  </w:r>
                </w:p>
                <w:p w14:paraId="1E4C8B1E">
                  <w:pPr>
                    <w:pStyle w:val="118"/>
                    <w:bidi w:val="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（打散、粉磨）</w:t>
                  </w:r>
                </w:p>
              </w:tc>
              <w:tc>
                <w:tcPr>
                  <w:tcW w:w="575" w:type="pct"/>
                  <w:tcBorders>
                    <w:tl2br w:val="nil"/>
                    <w:tr2bl w:val="nil"/>
                  </w:tcBorders>
                  <w:noWrap w:val="0"/>
                  <w:vAlign w:val="center"/>
                </w:tcPr>
                <w:p w14:paraId="6A55A8C9">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G</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1-7、</w:t>
                  </w:r>
                  <w:r>
                    <w:rPr>
                      <w:rFonts w:hint="default" w:ascii="Times New Roman" w:hAnsi="Times New Roman" w:cs="Times New Roman"/>
                      <w:color w:val="000000" w:themeColor="text1"/>
                      <w:sz w:val="21"/>
                      <w:szCs w:val="21"/>
                      <w:highlight w:val="none"/>
                      <w14:textFill>
                        <w14:solidFill>
                          <w14:schemeClr w14:val="tx1"/>
                        </w14:solidFill>
                      </w14:textFill>
                    </w:rPr>
                    <w:t>G</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1-8</w:t>
                  </w:r>
                </w:p>
              </w:tc>
              <w:tc>
                <w:tcPr>
                  <w:tcW w:w="943" w:type="pct"/>
                  <w:tcBorders>
                    <w:tl2br w:val="nil"/>
                    <w:tr2bl w:val="nil"/>
                  </w:tcBorders>
                  <w:noWrap w:val="0"/>
                  <w:vAlign w:val="center"/>
                </w:tcPr>
                <w:p w14:paraId="5208040F">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颗粒物</w:t>
                  </w:r>
                </w:p>
              </w:tc>
              <w:tc>
                <w:tcPr>
                  <w:tcW w:w="400" w:type="pct"/>
                  <w:tcBorders>
                    <w:tl2br w:val="nil"/>
                    <w:tr2bl w:val="nil"/>
                  </w:tcBorders>
                  <w:noWrap w:val="0"/>
                  <w:vAlign w:val="center"/>
                </w:tcPr>
                <w:p w14:paraId="7169DFA7">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连续</w:t>
                  </w:r>
                </w:p>
              </w:tc>
              <w:tc>
                <w:tcPr>
                  <w:tcW w:w="1904" w:type="pct"/>
                  <w:tcBorders>
                    <w:tl2br w:val="nil"/>
                    <w:tr2bl w:val="nil"/>
                  </w:tcBorders>
                  <w:noWrap w:val="0"/>
                  <w:vAlign w:val="center"/>
                </w:tcPr>
                <w:p w14:paraId="737F46EB">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布袋除尘器（覆膜袋式）</w:t>
                  </w:r>
                  <w:r>
                    <w:rPr>
                      <w:rFonts w:hint="default" w:ascii="Times New Roman" w:hAnsi="Times New Roman" w:cs="Times New Roman"/>
                      <w:color w:val="000000" w:themeColor="text1"/>
                      <w:sz w:val="21"/>
                      <w:szCs w:val="21"/>
                      <w:highlight w:val="none"/>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套）+</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30</w:t>
                  </w:r>
                  <w:r>
                    <w:rPr>
                      <w:rFonts w:hint="default" w:ascii="Times New Roman" w:hAnsi="Times New Roman" w:cs="Times New Roman"/>
                      <w:color w:val="000000" w:themeColor="text1"/>
                      <w:sz w:val="21"/>
                      <w:szCs w:val="21"/>
                      <w:highlight w:val="none"/>
                      <w:lang w:eastAsia="zh-CN"/>
                      <w14:textFill>
                        <w14:solidFill>
                          <w14:schemeClr w14:val="tx1"/>
                        </w14:solidFill>
                      </w14:textFill>
                    </w:rPr>
                    <w:t>m</w:t>
                  </w:r>
                  <w:r>
                    <w:rPr>
                      <w:rFonts w:hint="default" w:ascii="Times New Roman" w:hAnsi="Times New Roman" w:cs="Times New Roman"/>
                      <w:color w:val="000000" w:themeColor="text1"/>
                      <w:sz w:val="24"/>
                      <w:highlight w:val="none"/>
                      <w:lang w:val="en-US" w:eastAsia="zh-CN"/>
                      <w14:textFill>
                        <w14:solidFill>
                          <w14:schemeClr w14:val="tx1"/>
                        </w14:solidFill>
                      </w14:textFill>
                    </w:rPr>
                    <w:t>高的</w:t>
                  </w:r>
                  <w:r>
                    <w:rPr>
                      <w:rFonts w:hint="eastAsia" w:cs="Times New Roman"/>
                      <w:color w:val="000000" w:themeColor="text1"/>
                      <w:sz w:val="21"/>
                      <w:szCs w:val="21"/>
                      <w:highlight w:val="none"/>
                      <w:lang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cs="Times New Roman"/>
                      <w:color w:val="000000" w:themeColor="text1"/>
                      <w:sz w:val="21"/>
                      <w:szCs w:val="21"/>
                      <w:highlight w:val="none"/>
                      <w14:textFill>
                        <w14:solidFill>
                          <w14:schemeClr w14:val="tx1"/>
                        </w14:solidFill>
                      </w14:textFill>
                    </w:rPr>
                    <w:t>（DA00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7、</w:t>
                  </w:r>
                  <w:r>
                    <w:rPr>
                      <w:rFonts w:hint="default" w:ascii="Times New Roman" w:hAnsi="Times New Roman" w:cs="Times New Roman"/>
                      <w:color w:val="000000" w:themeColor="text1"/>
                      <w:sz w:val="21"/>
                      <w:szCs w:val="21"/>
                      <w:highlight w:val="none"/>
                      <w14:textFill>
                        <w14:solidFill>
                          <w14:schemeClr w14:val="tx1"/>
                        </w14:solidFill>
                      </w14:textFill>
                    </w:rPr>
                    <w:t>DA00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8</w:t>
                  </w:r>
                  <w:r>
                    <w:rPr>
                      <w:rFonts w:hint="default" w:ascii="Times New Roman" w:hAnsi="Times New Roman" w:cs="Times New Roman"/>
                      <w:color w:val="000000" w:themeColor="text1"/>
                      <w:sz w:val="21"/>
                      <w:szCs w:val="21"/>
                      <w:highlight w:val="none"/>
                      <w14:textFill>
                        <w14:solidFill>
                          <w14:schemeClr w14:val="tx1"/>
                        </w14:solidFill>
                      </w14:textFill>
                    </w:rPr>
                    <w:t>）</w:t>
                  </w:r>
                </w:p>
              </w:tc>
            </w:tr>
            <w:tr w14:paraId="1A612E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390" w:type="pct"/>
                  <w:vMerge w:val="continue"/>
                  <w:tcBorders>
                    <w:tl2br w:val="nil"/>
                    <w:tr2bl w:val="nil"/>
                  </w:tcBorders>
                  <w:noWrap w:val="0"/>
                  <w:vAlign w:val="center"/>
                </w:tcPr>
                <w:p w14:paraId="7EB9B408">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p>
              </w:tc>
              <w:tc>
                <w:tcPr>
                  <w:tcW w:w="787" w:type="pct"/>
                  <w:tcBorders>
                    <w:tl2br w:val="nil"/>
                    <w:tr2bl w:val="nil"/>
                  </w:tcBorders>
                  <w:shd w:val="clear" w:color="auto" w:fill="auto"/>
                  <w:noWrap w:val="0"/>
                  <w:vAlign w:val="center"/>
                </w:tcPr>
                <w:p w14:paraId="2A61E225">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黄料筒仓装卸呼吸废气</w:t>
                  </w:r>
                </w:p>
              </w:tc>
              <w:tc>
                <w:tcPr>
                  <w:tcW w:w="575" w:type="pct"/>
                  <w:tcBorders>
                    <w:tl2br w:val="nil"/>
                    <w:tr2bl w:val="nil"/>
                  </w:tcBorders>
                  <w:shd w:val="clear" w:color="auto" w:fill="auto"/>
                  <w:noWrap w:val="0"/>
                  <w:vAlign w:val="center"/>
                </w:tcPr>
                <w:p w14:paraId="6FBDA714">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G</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1-9</w:t>
                  </w:r>
                </w:p>
              </w:tc>
              <w:tc>
                <w:tcPr>
                  <w:tcW w:w="943" w:type="pct"/>
                  <w:tcBorders>
                    <w:tl2br w:val="nil"/>
                    <w:tr2bl w:val="nil"/>
                  </w:tcBorders>
                  <w:shd w:val="clear" w:color="auto" w:fill="auto"/>
                  <w:noWrap w:val="0"/>
                  <w:vAlign w:val="center"/>
                </w:tcPr>
                <w:p w14:paraId="4F7C697D">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颗粒物</w:t>
                  </w:r>
                </w:p>
              </w:tc>
              <w:tc>
                <w:tcPr>
                  <w:tcW w:w="400" w:type="pct"/>
                  <w:tcBorders>
                    <w:tl2br w:val="nil"/>
                    <w:tr2bl w:val="nil"/>
                  </w:tcBorders>
                  <w:shd w:val="clear" w:color="auto" w:fill="auto"/>
                  <w:noWrap w:val="0"/>
                  <w:vAlign w:val="center"/>
                </w:tcPr>
                <w:p w14:paraId="7A530BC9">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连续</w:t>
                  </w:r>
                </w:p>
              </w:tc>
              <w:tc>
                <w:tcPr>
                  <w:tcW w:w="1904" w:type="pct"/>
                  <w:tcBorders>
                    <w:tl2br w:val="nil"/>
                    <w:tr2bl w:val="nil"/>
                  </w:tcBorders>
                  <w:shd w:val="clear" w:color="auto" w:fill="auto"/>
                  <w:noWrap w:val="0"/>
                  <w:vAlign w:val="center"/>
                </w:tcPr>
                <w:p w14:paraId="2AF4B025">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布袋除尘器（覆膜袋式）</w:t>
                  </w:r>
                  <w:r>
                    <w:rPr>
                      <w:rFonts w:hint="default" w:ascii="Times New Roman" w:hAnsi="Times New Roman" w:cs="Times New Roman"/>
                      <w:color w:val="000000" w:themeColor="text1"/>
                      <w:sz w:val="21"/>
                      <w:szCs w:val="21"/>
                      <w:highlight w:val="none"/>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套）+</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15</w:t>
                  </w:r>
                  <w:r>
                    <w:rPr>
                      <w:rFonts w:hint="default" w:ascii="Times New Roman" w:hAnsi="Times New Roman" w:cs="Times New Roman"/>
                      <w:color w:val="000000" w:themeColor="text1"/>
                      <w:sz w:val="21"/>
                      <w:szCs w:val="21"/>
                      <w:highlight w:val="none"/>
                      <w:lang w:eastAsia="zh-CN"/>
                      <w14:textFill>
                        <w14:solidFill>
                          <w14:schemeClr w14:val="tx1"/>
                        </w14:solidFill>
                      </w14:textFill>
                    </w:rPr>
                    <w:t>m</w:t>
                  </w:r>
                  <w:r>
                    <w:rPr>
                      <w:rFonts w:hint="default" w:ascii="Times New Roman" w:hAnsi="Times New Roman" w:cs="Times New Roman"/>
                      <w:color w:val="000000" w:themeColor="text1"/>
                      <w:sz w:val="24"/>
                      <w:highlight w:val="none"/>
                      <w:lang w:val="en-US" w:eastAsia="zh-CN"/>
                      <w14:textFill>
                        <w14:solidFill>
                          <w14:schemeClr w14:val="tx1"/>
                        </w14:solidFill>
                      </w14:textFill>
                    </w:rPr>
                    <w:t>高的</w:t>
                  </w:r>
                  <w:r>
                    <w:rPr>
                      <w:rFonts w:hint="eastAsia" w:cs="Times New Roman"/>
                      <w:color w:val="000000" w:themeColor="text1"/>
                      <w:sz w:val="21"/>
                      <w:szCs w:val="21"/>
                      <w:highlight w:val="none"/>
                      <w:lang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cs="Times New Roman"/>
                      <w:color w:val="000000" w:themeColor="text1"/>
                      <w:sz w:val="21"/>
                      <w:szCs w:val="21"/>
                      <w:highlight w:val="none"/>
                      <w14:textFill>
                        <w14:solidFill>
                          <w14:schemeClr w14:val="tx1"/>
                        </w14:solidFill>
                      </w14:textFill>
                    </w:rPr>
                    <w:t>（DA01</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w:t>
                  </w:r>
                  <w:r>
                    <w:rPr>
                      <w:rFonts w:hint="default" w:ascii="Times New Roman" w:hAnsi="Times New Roman" w:cs="Times New Roman"/>
                      <w:color w:val="000000" w:themeColor="text1"/>
                      <w:sz w:val="21"/>
                      <w:szCs w:val="21"/>
                      <w:highlight w:val="none"/>
                      <w14:textFill>
                        <w14:solidFill>
                          <w14:schemeClr w14:val="tx1"/>
                        </w14:solidFill>
                      </w14:textFill>
                    </w:rPr>
                    <w:t>）</w:t>
                  </w:r>
                </w:p>
              </w:tc>
            </w:tr>
            <w:tr w14:paraId="6E4F8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390" w:type="pct"/>
                  <w:vMerge w:val="continue"/>
                  <w:tcBorders>
                    <w:tl2br w:val="nil"/>
                    <w:tr2bl w:val="nil"/>
                  </w:tcBorders>
                  <w:noWrap w:val="0"/>
                  <w:vAlign w:val="center"/>
                </w:tcPr>
                <w:p w14:paraId="18022AFA">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p>
              </w:tc>
              <w:tc>
                <w:tcPr>
                  <w:tcW w:w="787" w:type="pct"/>
                  <w:tcBorders>
                    <w:tl2br w:val="nil"/>
                    <w:tr2bl w:val="nil"/>
                  </w:tcBorders>
                  <w:noWrap w:val="0"/>
                  <w:vAlign w:val="center"/>
                </w:tcPr>
                <w:p w14:paraId="75F3DF5E">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大包</w:t>
                  </w:r>
                  <w:r>
                    <w:rPr>
                      <w:rFonts w:hint="default" w:ascii="Times New Roman" w:hAnsi="Times New Roman" w:cs="Times New Roman"/>
                      <w:color w:val="000000" w:themeColor="text1"/>
                      <w:sz w:val="21"/>
                      <w:szCs w:val="21"/>
                      <w:highlight w:val="none"/>
                      <w14:textFill>
                        <w14:solidFill>
                          <w14:schemeClr w14:val="tx1"/>
                        </w14:solidFill>
                      </w14:textFill>
                    </w:rPr>
                    <w:t>高岭土产品装卸、贮存</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产生废气</w:t>
                  </w:r>
                </w:p>
              </w:tc>
              <w:tc>
                <w:tcPr>
                  <w:tcW w:w="575" w:type="pct"/>
                  <w:tcBorders>
                    <w:tl2br w:val="nil"/>
                    <w:tr2bl w:val="nil"/>
                  </w:tcBorders>
                  <w:noWrap w:val="0"/>
                  <w:vAlign w:val="center"/>
                </w:tcPr>
                <w:p w14:paraId="663E0638">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G</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1-10、</w:t>
                  </w:r>
                  <w:r>
                    <w:rPr>
                      <w:rFonts w:hint="default" w:ascii="Times New Roman" w:hAnsi="Times New Roman" w:cs="Times New Roman"/>
                      <w:color w:val="000000" w:themeColor="text1"/>
                      <w:sz w:val="21"/>
                      <w:szCs w:val="21"/>
                      <w:highlight w:val="none"/>
                      <w14:textFill>
                        <w14:solidFill>
                          <w14:schemeClr w14:val="tx1"/>
                        </w14:solidFill>
                      </w14:textFill>
                    </w:rPr>
                    <w:t>G</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1-11</w:t>
                  </w:r>
                </w:p>
              </w:tc>
              <w:tc>
                <w:tcPr>
                  <w:tcW w:w="943" w:type="pct"/>
                  <w:tcBorders>
                    <w:tl2br w:val="nil"/>
                    <w:tr2bl w:val="nil"/>
                  </w:tcBorders>
                  <w:noWrap w:val="0"/>
                  <w:vAlign w:val="center"/>
                </w:tcPr>
                <w:p w14:paraId="3803DC8E">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颗粒物</w:t>
                  </w:r>
                </w:p>
              </w:tc>
              <w:tc>
                <w:tcPr>
                  <w:tcW w:w="400" w:type="pct"/>
                  <w:tcBorders>
                    <w:tl2br w:val="nil"/>
                    <w:tr2bl w:val="nil"/>
                  </w:tcBorders>
                  <w:noWrap w:val="0"/>
                  <w:vAlign w:val="center"/>
                </w:tcPr>
                <w:p w14:paraId="4A31E935">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连续</w:t>
                  </w:r>
                </w:p>
              </w:tc>
              <w:tc>
                <w:tcPr>
                  <w:tcW w:w="1904" w:type="pct"/>
                  <w:tcBorders>
                    <w:tl2br w:val="nil"/>
                    <w:tr2bl w:val="nil"/>
                  </w:tcBorders>
                  <w:noWrap w:val="0"/>
                  <w:vAlign w:val="center"/>
                </w:tcPr>
                <w:p w14:paraId="61ED5647">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布袋除尘器（覆膜袋式）</w:t>
                  </w:r>
                  <w:r>
                    <w:rPr>
                      <w:rFonts w:hint="default" w:ascii="Times New Roman" w:hAnsi="Times New Roman" w:cs="Times New Roman"/>
                      <w:color w:val="000000" w:themeColor="text1"/>
                      <w:sz w:val="21"/>
                      <w:szCs w:val="21"/>
                      <w:highlight w:val="none"/>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14:textFill>
                        <w14:solidFill>
                          <w14:schemeClr w14:val="tx1"/>
                        </w14:solidFill>
                      </w14:textFill>
                    </w:rPr>
                    <w:t>套）+</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50</w:t>
                  </w:r>
                  <w:r>
                    <w:rPr>
                      <w:rFonts w:hint="default" w:ascii="Times New Roman" w:hAnsi="Times New Roman" w:cs="Times New Roman"/>
                      <w:color w:val="000000" w:themeColor="text1"/>
                      <w:sz w:val="21"/>
                      <w:szCs w:val="21"/>
                      <w:highlight w:val="none"/>
                      <w:lang w:eastAsia="zh-CN"/>
                      <w14:textFill>
                        <w14:solidFill>
                          <w14:schemeClr w14:val="tx1"/>
                        </w14:solidFill>
                      </w14:textFill>
                    </w:rPr>
                    <w:t>m</w:t>
                  </w:r>
                  <w:r>
                    <w:rPr>
                      <w:rFonts w:hint="default" w:ascii="Times New Roman" w:hAnsi="Times New Roman" w:cs="Times New Roman"/>
                      <w:color w:val="000000" w:themeColor="text1"/>
                      <w:sz w:val="24"/>
                      <w:highlight w:val="none"/>
                      <w:lang w:val="en-US" w:eastAsia="zh-CN"/>
                      <w14:textFill>
                        <w14:solidFill>
                          <w14:schemeClr w14:val="tx1"/>
                        </w14:solidFill>
                      </w14:textFill>
                    </w:rPr>
                    <w:t>高的</w:t>
                  </w:r>
                  <w:r>
                    <w:rPr>
                      <w:rFonts w:hint="eastAsia" w:cs="Times New Roman"/>
                      <w:color w:val="000000" w:themeColor="text1"/>
                      <w:sz w:val="21"/>
                      <w:szCs w:val="21"/>
                      <w:highlight w:val="none"/>
                      <w:lang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cs="Times New Roman"/>
                      <w:color w:val="000000" w:themeColor="text1"/>
                      <w:sz w:val="21"/>
                      <w:szCs w:val="21"/>
                      <w:highlight w:val="none"/>
                      <w14:textFill>
                        <w14:solidFill>
                          <w14:schemeClr w14:val="tx1"/>
                        </w14:solidFill>
                      </w14:textFill>
                    </w:rPr>
                    <w:t>（DA0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09、</w:t>
                  </w:r>
                  <w:r>
                    <w:rPr>
                      <w:rFonts w:hint="default" w:ascii="Times New Roman" w:hAnsi="Times New Roman" w:cs="Times New Roman"/>
                      <w:color w:val="000000" w:themeColor="text1"/>
                      <w:sz w:val="21"/>
                      <w:szCs w:val="21"/>
                      <w:highlight w:val="none"/>
                      <w14:textFill>
                        <w14:solidFill>
                          <w14:schemeClr w14:val="tx1"/>
                        </w14:solidFill>
                      </w14:textFill>
                    </w:rPr>
                    <w:t>DA0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10</w:t>
                  </w:r>
                  <w:r>
                    <w:rPr>
                      <w:rFonts w:hint="default" w:ascii="Times New Roman" w:hAnsi="Times New Roman" w:cs="Times New Roman"/>
                      <w:color w:val="000000" w:themeColor="text1"/>
                      <w:sz w:val="21"/>
                      <w:szCs w:val="21"/>
                      <w:highlight w:val="none"/>
                      <w14:textFill>
                        <w14:solidFill>
                          <w14:schemeClr w14:val="tx1"/>
                        </w14:solidFill>
                      </w14:textFill>
                    </w:rPr>
                    <w:t>）</w:t>
                  </w:r>
                </w:p>
              </w:tc>
            </w:tr>
            <w:tr w14:paraId="6B974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390" w:type="pct"/>
                  <w:vMerge w:val="continue"/>
                  <w:tcBorders>
                    <w:tl2br w:val="nil"/>
                    <w:tr2bl w:val="nil"/>
                  </w:tcBorders>
                  <w:noWrap w:val="0"/>
                  <w:vAlign w:val="center"/>
                </w:tcPr>
                <w:p w14:paraId="0A9DDB37">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p>
              </w:tc>
              <w:tc>
                <w:tcPr>
                  <w:tcW w:w="787" w:type="pct"/>
                  <w:tcBorders>
                    <w:tl2br w:val="nil"/>
                    <w:tr2bl w:val="nil"/>
                  </w:tcBorders>
                  <w:noWrap w:val="0"/>
                  <w:vAlign w:val="center"/>
                </w:tcPr>
                <w:p w14:paraId="31E32907">
                  <w:pPr>
                    <w:pStyle w:val="118"/>
                    <w:bidi w:val="0"/>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大包</w:t>
                  </w:r>
                  <w:r>
                    <w:rPr>
                      <w:rFonts w:hint="default" w:ascii="Times New Roman" w:hAnsi="Times New Roman" w:cs="Times New Roman"/>
                      <w:color w:val="000000" w:themeColor="text1"/>
                      <w:sz w:val="21"/>
                      <w:szCs w:val="21"/>
                      <w:highlight w:val="none"/>
                      <w14:textFill>
                        <w14:solidFill>
                          <w14:schemeClr w14:val="tx1"/>
                        </w14:solidFill>
                      </w14:textFill>
                    </w:rPr>
                    <w:t>高岭土产品</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包装</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产生废气</w:t>
                  </w:r>
                </w:p>
              </w:tc>
              <w:tc>
                <w:tcPr>
                  <w:tcW w:w="575" w:type="pct"/>
                  <w:tcBorders>
                    <w:tl2br w:val="nil"/>
                    <w:tr2bl w:val="nil"/>
                  </w:tcBorders>
                  <w:noWrap w:val="0"/>
                  <w:vAlign w:val="center"/>
                </w:tcPr>
                <w:p w14:paraId="67412883">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G</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1-12</w:t>
                  </w:r>
                </w:p>
              </w:tc>
              <w:tc>
                <w:tcPr>
                  <w:tcW w:w="943" w:type="pct"/>
                  <w:tcBorders>
                    <w:tl2br w:val="nil"/>
                    <w:tr2bl w:val="nil"/>
                  </w:tcBorders>
                  <w:noWrap w:val="0"/>
                  <w:vAlign w:val="center"/>
                </w:tcPr>
                <w:p w14:paraId="5D1E991B">
                  <w:pPr>
                    <w:pStyle w:val="118"/>
                    <w:bidi w:val="0"/>
                    <w:ind w:firstLine="0" w:firstLineChars="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颗粒物</w:t>
                  </w:r>
                </w:p>
              </w:tc>
              <w:tc>
                <w:tcPr>
                  <w:tcW w:w="400" w:type="pct"/>
                  <w:tcBorders>
                    <w:tl2br w:val="nil"/>
                    <w:tr2bl w:val="nil"/>
                  </w:tcBorders>
                  <w:noWrap w:val="0"/>
                  <w:vAlign w:val="center"/>
                </w:tcPr>
                <w:p w14:paraId="187702EC">
                  <w:pPr>
                    <w:pStyle w:val="118"/>
                    <w:bidi w:val="0"/>
                    <w:ind w:firstLine="0" w:firstLineChars="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连续</w:t>
                  </w:r>
                </w:p>
              </w:tc>
              <w:tc>
                <w:tcPr>
                  <w:tcW w:w="1904" w:type="pct"/>
                  <w:tcBorders>
                    <w:tl2br w:val="nil"/>
                    <w:tr2bl w:val="nil"/>
                  </w:tcBorders>
                  <w:noWrap w:val="0"/>
                  <w:vAlign w:val="center"/>
                </w:tcPr>
                <w:p w14:paraId="731CC697">
                  <w:pPr>
                    <w:pStyle w:val="118"/>
                    <w:bidi w:val="0"/>
                    <w:ind w:firstLine="0" w:firstLineChars="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集气罩（</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8</w:t>
                  </w:r>
                  <w:r>
                    <w:rPr>
                      <w:rFonts w:hint="default" w:ascii="Times New Roman" w:hAnsi="Times New Roman" w:cs="Times New Roman"/>
                      <w:color w:val="000000" w:themeColor="text1"/>
                      <w:sz w:val="21"/>
                      <w:szCs w:val="21"/>
                      <w:highlight w:val="none"/>
                      <w14:textFill>
                        <w14:solidFill>
                          <w14:schemeClr w14:val="tx1"/>
                        </w14:solidFill>
                      </w14:textFill>
                    </w:rPr>
                    <w:t>套）+</w:t>
                  </w:r>
                  <w:r>
                    <w:rPr>
                      <w:rFonts w:hint="default" w:ascii="Times New Roman" w:hAnsi="Times New Roman" w:cs="Times New Roman"/>
                      <w:color w:val="000000" w:themeColor="text1"/>
                      <w:sz w:val="21"/>
                      <w:szCs w:val="21"/>
                      <w:highlight w:val="none"/>
                      <w:lang w:eastAsia="zh-CN"/>
                      <w14:textFill>
                        <w14:solidFill>
                          <w14:schemeClr w14:val="tx1"/>
                        </w14:solidFill>
                      </w14:textFill>
                    </w:rPr>
                    <w:t>布袋除尘器（覆膜袋式）</w:t>
                  </w:r>
                  <w:r>
                    <w:rPr>
                      <w:rFonts w:hint="default" w:ascii="Times New Roman" w:hAnsi="Times New Roman" w:cs="Times New Roman"/>
                      <w:color w:val="000000" w:themeColor="text1"/>
                      <w:sz w:val="21"/>
                      <w:szCs w:val="21"/>
                      <w:highlight w:val="none"/>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8</w:t>
                  </w:r>
                  <w:r>
                    <w:rPr>
                      <w:rFonts w:hint="default" w:ascii="Times New Roman" w:hAnsi="Times New Roman" w:cs="Times New Roman"/>
                      <w:color w:val="000000" w:themeColor="text1"/>
                      <w:sz w:val="21"/>
                      <w:szCs w:val="21"/>
                      <w:highlight w:val="none"/>
                      <w14:textFill>
                        <w14:solidFill>
                          <w14:schemeClr w14:val="tx1"/>
                        </w14:solidFill>
                      </w14:textFill>
                    </w:rPr>
                    <w:t>套）+</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30</w:t>
                  </w:r>
                  <w:r>
                    <w:rPr>
                      <w:rFonts w:hint="default" w:ascii="Times New Roman" w:hAnsi="Times New Roman" w:cs="Times New Roman"/>
                      <w:color w:val="000000" w:themeColor="text1"/>
                      <w:sz w:val="21"/>
                      <w:szCs w:val="21"/>
                      <w:highlight w:val="none"/>
                      <w:lang w:eastAsia="zh-CN"/>
                      <w14:textFill>
                        <w14:solidFill>
                          <w14:schemeClr w14:val="tx1"/>
                        </w14:solidFill>
                      </w14:textFill>
                    </w:rPr>
                    <w:t>m</w:t>
                  </w:r>
                  <w:r>
                    <w:rPr>
                      <w:rFonts w:hint="default" w:ascii="Times New Roman" w:hAnsi="Times New Roman" w:cs="Times New Roman"/>
                      <w:color w:val="000000" w:themeColor="text1"/>
                      <w:sz w:val="24"/>
                      <w:highlight w:val="none"/>
                      <w:lang w:val="en-US" w:eastAsia="zh-CN"/>
                      <w14:textFill>
                        <w14:solidFill>
                          <w14:schemeClr w14:val="tx1"/>
                        </w14:solidFill>
                      </w14:textFill>
                    </w:rPr>
                    <w:t>高的</w:t>
                  </w:r>
                  <w:r>
                    <w:rPr>
                      <w:rFonts w:hint="eastAsia" w:cs="Times New Roman"/>
                      <w:color w:val="000000" w:themeColor="text1"/>
                      <w:sz w:val="21"/>
                      <w:szCs w:val="21"/>
                      <w:highlight w:val="none"/>
                      <w:lang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cs="Times New Roman"/>
                      <w:color w:val="000000" w:themeColor="text1"/>
                      <w:sz w:val="21"/>
                      <w:szCs w:val="21"/>
                      <w:highlight w:val="none"/>
                      <w14:textFill>
                        <w14:solidFill>
                          <w14:schemeClr w14:val="tx1"/>
                        </w14:solidFill>
                      </w14:textFill>
                    </w:rPr>
                    <w:t>（DA01</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w:t>
                  </w:r>
                  <w:r>
                    <w:rPr>
                      <w:rFonts w:hint="default" w:ascii="Times New Roman" w:hAnsi="Times New Roman" w:cs="Times New Roman"/>
                      <w:color w:val="000000" w:themeColor="text1"/>
                      <w:sz w:val="21"/>
                      <w:szCs w:val="21"/>
                      <w:highlight w:val="none"/>
                      <w14:textFill>
                        <w14:solidFill>
                          <w14:schemeClr w14:val="tx1"/>
                        </w14:solidFill>
                      </w14:textFill>
                    </w:rPr>
                    <w:t>）</w:t>
                  </w:r>
                </w:p>
              </w:tc>
            </w:tr>
            <w:tr w14:paraId="545F7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390" w:type="pct"/>
                  <w:vMerge w:val="continue"/>
                  <w:tcBorders>
                    <w:tl2br w:val="nil"/>
                    <w:tr2bl w:val="nil"/>
                  </w:tcBorders>
                  <w:noWrap w:val="0"/>
                  <w:vAlign w:val="center"/>
                </w:tcPr>
                <w:p w14:paraId="3C27809E">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p>
              </w:tc>
              <w:tc>
                <w:tcPr>
                  <w:tcW w:w="787" w:type="pct"/>
                  <w:tcBorders>
                    <w:tl2br w:val="nil"/>
                    <w:tr2bl w:val="nil"/>
                  </w:tcBorders>
                  <w:noWrap w:val="0"/>
                  <w:vAlign w:val="center"/>
                </w:tcPr>
                <w:p w14:paraId="4898D466">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小包</w:t>
                  </w:r>
                  <w:r>
                    <w:rPr>
                      <w:rFonts w:hint="default" w:ascii="Times New Roman" w:hAnsi="Times New Roman" w:cs="Times New Roman"/>
                      <w:color w:val="000000" w:themeColor="text1"/>
                      <w:sz w:val="21"/>
                      <w:szCs w:val="21"/>
                      <w:highlight w:val="none"/>
                      <w14:textFill>
                        <w14:solidFill>
                          <w14:schemeClr w14:val="tx1"/>
                        </w14:solidFill>
                      </w14:textFill>
                    </w:rPr>
                    <w:t>高岭土产品装卸、贮存</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产生废气</w:t>
                  </w:r>
                </w:p>
              </w:tc>
              <w:tc>
                <w:tcPr>
                  <w:tcW w:w="575" w:type="pct"/>
                  <w:tcBorders>
                    <w:tl2br w:val="nil"/>
                    <w:tr2bl w:val="nil"/>
                  </w:tcBorders>
                  <w:noWrap w:val="0"/>
                  <w:vAlign w:val="center"/>
                </w:tcPr>
                <w:p w14:paraId="506BF5B8">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G</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1-13</w:t>
                  </w:r>
                </w:p>
              </w:tc>
              <w:tc>
                <w:tcPr>
                  <w:tcW w:w="943" w:type="pct"/>
                  <w:tcBorders>
                    <w:tl2br w:val="nil"/>
                    <w:tr2bl w:val="nil"/>
                  </w:tcBorders>
                  <w:noWrap w:val="0"/>
                  <w:vAlign w:val="center"/>
                </w:tcPr>
                <w:p w14:paraId="52E7CE1C">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颗粒物</w:t>
                  </w:r>
                </w:p>
              </w:tc>
              <w:tc>
                <w:tcPr>
                  <w:tcW w:w="400" w:type="pct"/>
                  <w:tcBorders>
                    <w:tl2br w:val="nil"/>
                    <w:tr2bl w:val="nil"/>
                  </w:tcBorders>
                  <w:noWrap w:val="0"/>
                  <w:vAlign w:val="center"/>
                </w:tcPr>
                <w:p w14:paraId="4548FEA2">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连续</w:t>
                  </w:r>
                </w:p>
              </w:tc>
              <w:tc>
                <w:tcPr>
                  <w:tcW w:w="1904" w:type="pct"/>
                  <w:tcBorders>
                    <w:tl2br w:val="nil"/>
                    <w:tr2bl w:val="nil"/>
                  </w:tcBorders>
                  <w:noWrap w:val="0"/>
                  <w:vAlign w:val="center"/>
                </w:tcPr>
                <w:p w14:paraId="0C25928F">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布袋除尘器（覆膜袋式）</w:t>
                  </w:r>
                  <w:r>
                    <w:rPr>
                      <w:rFonts w:hint="default" w:ascii="Times New Roman" w:hAnsi="Times New Roman" w:cs="Times New Roman"/>
                      <w:color w:val="000000" w:themeColor="text1"/>
                      <w:sz w:val="21"/>
                      <w:szCs w:val="21"/>
                      <w:highlight w:val="none"/>
                      <w14:textFill>
                        <w14:solidFill>
                          <w14:schemeClr w14:val="tx1"/>
                        </w14:solidFill>
                      </w14:textFill>
                    </w:rPr>
                    <w:t>（</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w:t>
                  </w:r>
                  <w:r>
                    <w:rPr>
                      <w:rFonts w:hint="default" w:ascii="Times New Roman" w:hAnsi="Times New Roman" w:cs="Times New Roman"/>
                      <w:color w:val="000000" w:themeColor="text1"/>
                      <w:sz w:val="21"/>
                      <w:szCs w:val="21"/>
                      <w:highlight w:val="none"/>
                      <w14:textFill>
                        <w14:solidFill>
                          <w14:schemeClr w14:val="tx1"/>
                        </w14:solidFill>
                      </w14:textFill>
                    </w:rPr>
                    <w:t>套）+</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30</w:t>
                  </w:r>
                  <w:r>
                    <w:rPr>
                      <w:rFonts w:hint="default" w:ascii="Times New Roman" w:hAnsi="Times New Roman" w:cs="Times New Roman"/>
                      <w:color w:val="000000" w:themeColor="text1"/>
                      <w:sz w:val="21"/>
                      <w:szCs w:val="21"/>
                      <w:highlight w:val="none"/>
                      <w:lang w:eastAsia="zh-CN"/>
                      <w14:textFill>
                        <w14:solidFill>
                          <w14:schemeClr w14:val="tx1"/>
                        </w14:solidFill>
                      </w14:textFill>
                    </w:rPr>
                    <w:t>m</w:t>
                  </w:r>
                  <w:r>
                    <w:rPr>
                      <w:rFonts w:hint="default" w:ascii="Times New Roman" w:hAnsi="Times New Roman" w:cs="Times New Roman"/>
                      <w:color w:val="000000" w:themeColor="text1"/>
                      <w:sz w:val="24"/>
                      <w:highlight w:val="none"/>
                      <w:lang w:val="en-US" w:eastAsia="zh-CN"/>
                      <w14:textFill>
                        <w14:solidFill>
                          <w14:schemeClr w14:val="tx1"/>
                        </w14:solidFill>
                      </w14:textFill>
                    </w:rPr>
                    <w:t>高的</w:t>
                  </w:r>
                  <w:r>
                    <w:rPr>
                      <w:rFonts w:hint="eastAsia" w:cs="Times New Roman"/>
                      <w:color w:val="000000" w:themeColor="text1"/>
                      <w:sz w:val="21"/>
                      <w:szCs w:val="21"/>
                      <w:highlight w:val="none"/>
                      <w:lang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cs="Times New Roman"/>
                      <w:color w:val="000000" w:themeColor="text1"/>
                      <w:sz w:val="21"/>
                      <w:szCs w:val="21"/>
                      <w:highlight w:val="none"/>
                      <w14:textFill>
                        <w14:solidFill>
                          <w14:schemeClr w14:val="tx1"/>
                        </w14:solidFill>
                      </w14:textFill>
                    </w:rPr>
                    <w:t>（DA0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12</w:t>
                  </w:r>
                  <w:r>
                    <w:rPr>
                      <w:rFonts w:hint="default" w:ascii="Times New Roman" w:hAnsi="Times New Roman" w:cs="Times New Roman"/>
                      <w:color w:val="000000" w:themeColor="text1"/>
                      <w:sz w:val="21"/>
                      <w:szCs w:val="21"/>
                      <w:highlight w:val="none"/>
                      <w14:textFill>
                        <w14:solidFill>
                          <w14:schemeClr w14:val="tx1"/>
                        </w14:solidFill>
                      </w14:textFill>
                    </w:rPr>
                    <w:t>）</w:t>
                  </w:r>
                </w:p>
              </w:tc>
            </w:tr>
            <w:tr w14:paraId="6F1AA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3" w:hRule="atLeast"/>
                <w:jc w:val="center"/>
              </w:trPr>
              <w:tc>
                <w:tcPr>
                  <w:tcW w:w="390" w:type="pct"/>
                  <w:vMerge w:val="continue"/>
                  <w:tcBorders>
                    <w:tl2br w:val="nil"/>
                    <w:tr2bl w:val="nil"/>
                  </w:tcBorders>
                  <w:noWrap w:val="0"/>
                  <w:vAlign w:val="center"/>
                </w:tcPr>
                <w:p w14:paraId="08D315FF">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p>
              </w:tc>
              <w:tc>
                <w:tcPr>
                  <w:tcW w:w="787" w:type="pct"/>
                  <w:tcBorders>
                    <w:tl2br w:val="nil"/>
                    <w:tr2bl w:val="nil"/>
                  </w:tcBorders>
                  <w:shd w:val="clear" w:color="auto" w:fill="auto"/>
                  <w:noWrap w:val="0"/>
                  <w:vAlign w:val="center"/>
                </w:tcPr>
                <w:p w14:paraId="7B85AAA5">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小包</w:t>
                  </w:r>
                  <w:r>
                    <w:rPr>
                      <w:rFonts w:hint="default" w:ascii="Times New Roman" w:hAnsi="Times New Roman" w:cs="Times New Roman"/>
                      <w:color w:val="000000" w:themeColor="text1"/>
                      <w:sz w:val="21"/>
                      <w:szCs w:val="21"/>
                      <w:highlight w:val="none"/>
                      <w14:textFill>
                        <w14:solidFill>
                          <w14:schemeClr w14:val="tx1"/>
                        </w14:solidFill>
                      </w14:textFill>
                    </w:rPr>
                    <w:t>高岭土产品</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包装</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产生废气</w:t>
                  </w:r>
                </w:p>
              </w:tc>
              <w:tc>
                <w:tcPr>
                  <w:tcW w:w="575" w:type="pct"/>
                  <w:tcBorders>
                    <w:tl2br w:val="nil"/>
                    <w:tr2bl w:val="nil"/>
                  </w:tcBorders>
                  <w:shd w:val="clear" w:color="auto" w:fill="auto"/>
                  <w:noWrap w:val="0"/>
                  <w:vAlign w:val="center"/>
                </w:tcPr>
                <w:p w14:paraId="7FFA2782">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G</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1-14</w:t>
                  </w:r>
                </w:p>
              </w:tc>
              <w:tc>
                <w:tcPr>
                  <w:tcW w:w="943" w:type="pct"/>
                  <w:tcBorders>
                    <w:tl2br w:val="nil"/>
                    <w:tr2bl w:val="nil"/>
                  </w:tcBorders>
                  <w:shd w:val="clear" w:color="auto" w:fill="auto"/>
                  <w:noWrap w:val="0"/>
                  <w:vAlign w:val="center"/>
                </w:tcPr>
                <w:p w14:paraId="63917E77">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颗粒物</w:t>
                  </w:r>
                </w:p>
              </w:tc>
              <w:tc>
                <w:tcPr>
                  <w:tcW w:w="400" w:type="pct"/>
                  <w:tcBorders>
                    <w:tl2br w:val="nil"/>
                    <w:tr2bl w:val="nil"/>
                  </w:tcBorders>
                  <w:shd w:val="clear" w:color="auto" w:fill="auto"/>
                  <w:noWrap w:val="0"/>
                  <w:vAlign w:val="center"/>
                </w:tcPr>
                <w:p w14:paraId="0AF775B4">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连续</w:t>
                  </w:r>
                </w:p>
              </w:tc>
              <w:tc>
                <w:tcPr>
                  <w:tcW w:w="1904" w:type="pct"/>
                  <w:tcBorders>
                    <w:tl2br w:val="nil"/>
                    <w:tr2bl w:val="nil"/>
                  </w:tcBorders>
                  <w:shd w:val="clear" w:color="auto" w:fill="auto"/>
                  <w:noWrap w:val="0"/>
                  <w:vAlign w:val="center"/>
                </w:tcPr>
                <w:p w14:paraId="16401FB9">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集气罩（</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w:t>
                  </w:r>
                  <w:r>
                    <w:rPr>
                      <w:rFonts w:hint="default" w:ascii="Times New Roman" w:hAnsi="Times New Roman" w:cs="Times New Roman"/>
                      <w:color w:val="000000" w:themeColor="text1"/>
                      <w:sz w:val="21"/>
                      <w:szCs w:val="21"/>
                      <w:highlight w:val="none"/>
                      <w14:textFill>
                        <w14:solidFill>
                          <w14:schemeClr w14:val="tx1"/>
                        </w14:solidFill>
                      </w14:textFill>
                    </w:rPr>
                    <w:t>套）+</w:t>
                  </w:r>
                  <w:r>
                    <w:rPr>
                      <w:rFonts w:hint="default" w:ascii="Times New Roman" w:hAnsi="Times New Roman" w:cs="Times New Roman"/>
                      <w:color w:val="000000" w:themeColor="text1"/>
                      <w:sz w:val="21"/>
                      <w:szCs w:val="21"/>
                      <w:highlight w:val="none"/>
                      <w:lang w:eastAsia="zh-CN"/>
                      <w14:textFill>
                        <w14:solidFill>
                          <w14:schemeClr w14:val="tx1"/>
                        </w14:solidFill>
                      </w14:textFill>
                    </w:rPr>
                    <w:t>布袋除尘器（覆膜袋式）</w:t>
                  </w:r>
                  <w:r>
                    <w:rPr>
                      <w:rFonts w:hint="default" w:ascii="Times New Roman" w:hAnsi="Times New Roman" w:cs="Times New Roman"/>
                      <w:color w:val="000000" w:themeColor="text1"/>
                      <w:sz w:val="21"/>
                      <w:szCs w:val="21"/>
                      <w:highlight w:val="none"/>
                      <w14:textFill>
                        <w14:solidFill>
                          <w14:schemeClr w14:val="tx1"/>
                        </w14:solidFill>
                      </w14:textFill>
                    </w:rPr>
                    <w:t>（1套）+</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20</w:t>
                  </w:r>
                  <w:r>
                    <w:rPr>
                      <w:rFonts w:hint="default" w:ascii="Times New Roman" w:hAnsi="Times New Roman" w:cs="Times New Roman"/>
                      <w:color w:val="000000" w:themeColor="text1"/>
                      <w:sz w:val="21"/>
                      <w:szCs w:val="21"/>
                      <w:highlight w:val="none"/>
                      <w:lang w:eastAsia="zh-CN"/>
                      <w14:textFill>
                        <w14:solidFill>
                          <w14:schemeClr w14:val="tx1"/>
                        </w14:solidFill>
                      </w14:textFill>
                    </w:rPr>
                    <w:t>m</w:t>
                  </w:r>
                  <w:r>
                    <w:rPr>
                      <w:rFonts w:hint="default" w:ascii="Times New Roman" w:hAnsi="Times New Roman" w:cs="Times New Roman"/>
                      <w:color w:val="000000" w:themeColor="text1"/>
                      <w:sz w:val="24"/>
                      <w:highlight w:val="none"/>
                      <w:lang w:val="en-US" w:eastAsia="zh-CN"/>
                      <w14:textFill>
                        <w14:solidFill>
                          <w14:schemeClr w14:val="tx1"/>
                        </w14:solidFill>
                      </w14:textFill>
                    </w:rPr>
                    <w:t>高</w:t>
                  </w:r>
                  <w:r>
                    <w:rPr>
                      <w:rFonts w:hint="eastAsia" w:cs="Times New Roman"/>
                      <w:color w:val="000000" w:themeColor="text1"/>
                      <w:sz w:val="21"/>
                      <w:szCs w:val="21"/>
                      <w:highlight w:val="none"/>
                      <w:lang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cs="Times New Roman"/>
                      <w:color w:val="000000" w:themeColor="text1"/>
                      <w:sz w:val="21"/>
                      <w:szCs w:val="21"/>
                      <w:highlight w:val="none"/>
                      <w14:textFill>
                        <w14:solidFill>
                          <w14:schemeClr w14:val="tx1"/>
                        </w14:solidFill>
                      </w14:textFill>
                    </w:rPr>
                    <w:t>（DA01</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w:t>
                  </w:r>
                </w:p>
              </w:tc>
            </w:tr>
            <w:tr w14:paraId="44A58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0" w:type="pct"/>
                  <w:vMerge w:val="restart"/>
                  <w:tcBorders>
                    <w:tl2br w:val="nil"/>
                    <w:tr2bl w:val="nil"/>
                  </w:tcBorders>
                  <w:noWrap w:val="0"/>
                  <w:vAlign w:val="center"/>
                </w:tcPr>
                <w:p w14:paraId="22FC2439">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废水</w:t>
                  </w:r>
                </w:p>
              </w:tc>
              <w:tc>
                <w:tcPr>
                  <w:tcW w:w="787" w:type="pct"/>
                  <w:tcBorders>
                    <w:tl2br w:val="nil"/>
                    <w:tr2bl w:val="nil"/>
                  </w:tcBorders>
                  <w:noWrap w:val="0"/>
                  <w:vAlign w:val="center"/>
                </w:tcPr>
                <w:p w14:paraId="18AB92FA">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软水</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制备废水</w:t>
                  </w:r>
                </w:p>
              </w:tc>
              <w:tc>
                <w:tcPr>
                  <w:tcW w:w="575" w:type="pct"/>
                  <w:tcBorders>
                    <w:tl2br w:val="nil"/>
                    <w:tr2bl w:val="nil"/>
                  </w:tcBorders>
                  <w:noWrap w:val="0"/>
                  <w:vAlign w:val="center"/>
                </w:tcPr>
                <w:p w14:paraId="5460C8FE">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w:t>
                  </w:r>
                </w:p>
              </w:tc>
              <w:tc>
                <w:tcPr>
                  <w:tcW w:w="943" w:type="pct"/>
                  <w:tcBorders>
                    <w:tl2br w:val="nil"/>
                    <w:tr2bl w:val="nil"/>
                  </w:tcBorders>
                  <w:noWrap w:val="0"/>
                  <w:vAlign w:val="center"/>
                </w:tcPr>
                <w:p w14:paraId="3F169EC7">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TDS、SS</w:t>
                  </w:r>
                </w:p>
              </w:tc>
              <w:tc>
                <w:tcPr>
                  <w:tcW w:w="400" w:type="pct"/>
                  <w:tcBorders>
                    <w:tl2br w:val="nil"/>
                    <w:tr2bl w:val="nil"/>
                  </w:tcBorders>
                  <w:noWrap w:val="0"/>
                  <w:vAlign w:val="center"/>
                </w:tcPr>
                <w:p w14:paraId="64C38397">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间歇</w:t>
                  </w:r>
                </w:p>
              </w:tc>
              <w:tc>
                <w:tcPr>
                  <w:tcW w:w="1904" w:type="pct"/>
                  <w:tcBorders>
                    <w:tl2br w:val="nil"/>
                    <w:tr2bl w:val="nil"/>
                  </w:tcBorders>
                  <w:noWrap w:val="0"/>
                  <w:vAlign w:val="center"/>
                </w:tcPr>
                <w:p w14:paraId="5F825238">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通过</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罐车拉运至园区生产废水处理厂处理；</w:t>
                  </w:r>
                </w:p>
              </w:tc>
            </w:tr>
            <w:tr w14:paraId="7D24E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90" w:type="pct"/>
                  <w:vMerge w:val="continue"/>
                  <w:tcBorders>
                    <w:tl2br w:val="nil"/>
                    <w:tr2bl w:val="nil"/>
                  </w:tcBorders>
                  <w:noWrap w:val="0"/>
                  <w:vAlign w:val="center"/>
                </w:tcPr>
                <w:p w14:paraId="35EA725E">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p>
              </w:tc>
              <w:tc>
                <w:tcPr>
                  <w:tcW w:w="787" w:type="pct"/>
                  <w:tcBorders>
                    <w:tl2br w:val="nil"/>
                    <w:tr2bl w:val="nil"/>
                  </w:tcBorders>
                  <w:noWrap w:val="0"/>
                  <w:vAlign w:val="center"/>
                </w:tcPr>
                <w:p w14:paraId="1289F323">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脱硫废水</w:t>
                  </w:r>
                </w:p>
              </w:tc>
              <w:tc>
                <w:tcPr>
                  <w:tcW w:w="575" w:type="pct"/>
                  <w:tcBorders>
                    <w:tl2br w:val="nil"/>
                    <w:tr2bl w:val="nil"/>
                  </w:tcBorders>
                  <w:noWrap w:val="0"/>
                  <w:vAlign w:val="center"/>
                </w:tcPr>
                <w:p w14:paraId="40ECAE66">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p>
              </w:tc>
              <w:tc>
                <w:tcPr>
                  <w:tcW w:w="943" w:type="pct"/>
                  <w:tcBorders>
                    <w:tl2br w:val="nil"/>
                    <w:tr2bl w:val="nil"/>
                  </w:tcBorders>
                  <w:noWrap w:val="0"/>
                  <w:vAlign w:val="center"/>
                </w:tcPr>
                <w:p w14:paraId="514F2CDE">
                  <w:pPr>
                    <w:pStyle w:val="118"/>
                    <w:bidi w:val="0"/>
                    <w:ind w:firstLine="0" w:firstLineChars="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COD</w:t>
                  </w:r>
                  <w:r>
                    <w:rPr>
                      <w:rFonts w:hint="default" w:ascii="Times New Roman" w:hAnsi="Times New Roman" w:cs="Times New Roman"/>
                      <w:color w:val="000000" w:themeColor="text1"/>
                      <w:sz w:val="21"/>
                      <w:szCs w:val="21"/>
                      <w:highlight w:val="none"/>
                      <w14:textFill>
                        <w14:solidFill>
                          <w14:schemeClr w14:val="tx1"/>
                        </w14:solidFill>
                      </w14:textFill>
                    </w:rPr>
                    <w:t>、BOD</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5</w:t>
                  </w:r>
                  <w:r>
                    <w:rPr>
                      <w:rFonts w:hint="default" w:ascii="Times New Roman" w:hAnsi="Times New Roman" w:cs="Times New Roman"/>
                      <w:color w:val="000000" w:themeColor="text1"/>
                      <w:sz w:val="21"/>
                      <w:szCs w:val="21"/>
                      <w:highlight w:val="none"/>
                      <w14:textFill>
                        <w14:solidFill>
                          <w14:schemeClr w14:val="tx1"/>
                        </w14:solidFill>
                      </w14:textFill>
                    </w:rPr>
                    <w:t>、NH</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-N、</w:t>
                  </w:r>
                </w:p>
                <w:p w14:paraId="2891B6A5">
                  <w:pPr>
                    <w:pStyle w:val="118"/>
                    <w:bidi w:val="0"/>
                    <w:ind w:firstLine="0" w:firstLineChars="0"/>
                    <w:rPr>
                      <w:rFonts w:hint="default" w:ascii="Times New Roman" w:hAnsi="Times New Roman"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SS</w:t>
                  </w:r>
                  <w:r>
                    <w:rPr>
                      <w:rFonts w:hint="default" w:ascii="Times New Roman" w:hAnsi="Times New Roman" w:cs="Times New Roman"/>
                      <w:color w:val="000000" w:themeColor="text1"/>
                      <w:sz w:val="21"/>
                      <w:szCs w:val="21"/>
                      <w:highlight w:val="none"/>
                      <w:lang w:eastAsia="zh-CN"/>
                      <w14:textFill>
                        <w14:solidFill>
                          <w14:schemeClr w14:val="tx1"/>
                        </w14:solidFill>
                      </w14:textFill>
                    </w:rPr>
                    <w:t>、</w:t>
                  </w:r>
                </w:p>
                <w:p w14:paraId="0E136DD9">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总铅</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总汞</w:t>
                  </w:r>
                  <w:r>
                    <w:rPr>
                      <w:rFonts w:hint="default" w:ascii="Times New Roman" w:hAnsi="Times New Roman" w:cs="Times New Roman"/>
                      <w:color w:val="000000" w:themeColor="text1"/>
                      <w:sz w:val="21"/>
                      <w:szCs w:val="21"/>
                      <w:highlight w:val="none"/>
                      <w14:textFill>
                        <w14:solidFill>
                          <w14:schemeClr w14:val="tx1"/>
                        </w14:solidFill>
                      </w14:textFill>
                    </w:rPr>
                    <w:t>等</w:t>
                  </w:r>
                </w:p>
              </w:tc>
              <w:tc>
                <w:tcPr>
                  <w:tcW w:w="400" w:type="pct"/>
                  <w:tcBorders>
                    <w:tl2br w:val="nil"/>
                    <w:tr2bl w:val="nil"/>
                  </w:tcBorders>
                  <w:noWrap w:val="0"/>
                  <w:vAlign w:val="center"/>
                </w:tcPr>
                <w:p w14:paraId="79ADE204">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间歇</w:t>
                  </w:r>
                </w:p>
              </w:tc>
              <w:tc>
                <w:tcPr>
                  <w:tcW w:w="1904" w:type="pct"/>
                  <w:tcBorders>
                    <w:tl2br w:val="nil"/>
                    <w:tr2bl w:val="nil"/>
                  </w:tcBorders>
                  <w:noWrap w:val="0"/>
                  <w:vAlign w:val="center"/>
                </w:tcPr>
                <w:p w14:paraId="4DACC38F">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经三联箱装置处理后</w:t>
                  </w: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回用</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w:t>
                  </w:r>
                </w:p>
              </w:tc>
            </w:tr>
            <w:tr w14:paraId="7D426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1" w:hRule="atLeast"/>
                <w:jc w:val="center"/>
              </w:trPr>
              <w:tc>
                <w:tcPr>
                  <w:tcW w:w="390" w:type="pct"/>
                  <w:vMerge w:val="continue"/>
                  <w:tcBorders>
                    <w:tl2br w:val="nil"/>
                    <w:tr2bl w:val="nil"/>
                  </w:tcBorders>
                  <w:noWrap w:val="0"/>
                  <w:vAlign w:val="center"/>
                </w:tcPr>
                <w:p w14:paraId="16AAB248">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p>
              </w:tc>
              <w:tc>
                <w:tcPr>
                  <w:tcW w:w="787" w:type="pct"/>
                  <w:tcBorders>
                    <w:tl2br w:val="nil"/>
                    <w:tr2bl w:val="nil"/>
                  </w:tcBorders>
                  <w:noWrap w:val="0"/>
                  <w:vAlign w:val="center"/>
                </w:tcPr>
                <w:p w14:paraId="00F7950C">
                  <w:pPr>
                    <w:pStyle w:val="118"/>
                    <w:bidi w:val="0"/>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余热锅炉</w:t>
                  </w:r>
                </w:p>
                <w:p w14:paraId="2C0B96A6">
                  <w:pPr>
                    <w:pStyle w:val="118"/>
                    <w:bidi w:val="0"/>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排水</w:t>
                  </w:r>
                </w:p>
              </w:tc>
              <w:tc>
                <w:tcPr>
                  <w:tcW w:w="575" w:type="pct"/>
                  <w:tcBorders>
                    <w:tl2br w:val="nil"/>
                    <w:tr2bl w:val="nil"/>
                  </w:tcBorders>
                  <w:noWrap w:val="0"/>
                  <w:vAlign w:val="center"/>
                </w:tcPr>
                <w:p w14:paraId="4A45DAB2">
                  <w:pPr>
                    <w:pStyle w:val="118"/>
                    <w:bidi w:val="0"/>
                    <w:ind w:firstLine="0" w:firstLineChars="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w:t>
                  </w:r>
                </w:p>
              </w:tc>
              <w:tc>
                <w:tcPr>
                  <w:tcW w:w="943" w:type="pct"/>
                  <w:tcBorders>
                    <w:tl2br w:val="nil"/>
                    <w:tr2bl w:val="nil"/>
                  </w:tcBorders>
                  <w:noWrap w:val="0"/>
                  <w:vAlign w:val="center"/>
                </w:tcPr>
                <w:p w14:paraId="0606ABC7">
                  <w:pPr>
                    <w:pStyle w:val="118"/>
                    <w:bidi w:val="0"/>
                    <w:ind w:firstLine="0" w:firstLineChars="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COD</w:t>
                  </w:r>
                  <w:r>
                    <w:rPr>
                      <w:rFonts w:hint="default" w:ascii="Times New Roman" w:hAnsi="Times New Roman" w:cs="Times New Roman"/>
                      <w:color w:val="000000" w:themeColor="text1"/>
                      <w:sz w:val="21"/>
                      <w:szCs w:val="21"/>
                      <w:highlight w:val="none"/>
                      <w14:textFill>
                        <w14:solidFill>
                          <w14:schemeClr w14:val="tx1"/>
                        </w14:solidFill>
                      </w14:textFill>
                    </w:rPr>
                    <w:t>、BOD</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5</w:t>
                  </w:r>
                  <w:r>
                    <w:rPr>
                      <w:rFonts w:hint="default" w:ascii="Times New Roman" w:hAnsi="Times New Roman" w:cs="Times New Roman"/>
                      <w:color w:val="000000" w:themeColor="text1"/>
                      <w:sz w:val="21"/>
                      <w:szCs w:val="21"/>
                      <w:highlight w:val="none"/>
                      <w14:textFill>
                        <w14:solidFill>
                          <w14:schemeClr w14:val="tx1"/>
                        </w14:solidFill>
                      </w14:textFill>
                    </w:rPr>
                    <w:t>、NH</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-N、</w:t>
                  </w:r>
                </w:p>
                <w:p w14:paraId="7D2756D0">
                  <w:pPr>
                    <w:pStyle w:val="118"/>
                    <w:bidi w:val="0"/>
                    <w:ind w:firstLine="0" w:firstLineChars="0"/>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SS等</w:t>
                  </w:r>
                </w:p>
              </w:tc>
              <w:tc>
                <w:tcPr>
                  <w:tcW w:w="400" w:type="pct"/>
                  <w:tcBorders>
                    <w:tl2br w:val="nil"/>
                    <w:tr2bl w:val="nil"/>
                  </w:tcBorders>
                  <w:noWrap w:val="0"/>
                  <w:vAlign w:val="center"/>
                </w:tcPr>
                <w:p w14:paraId="0D135C28">
                  <w:pPr>
                    <w:pStyle w:val="118"/>
                    <w:bidi w:val="0"/>
                    <w:ind w:firstLine="0" w:firstLineChars="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间歇</w:t>
                  </w:r>
                </w:p>
              </w:tc>
              <w:tc>
                <w:tcPr>
                  <w:tcW w:w="1904" w:type="pct"/>
                  <w:tcBorders>
                    <w:tl2br w:val="nil"/>
                    <w:tr2bl w:val="nil"/>
                  </w:tcBorders>
                  <w:noWrap w:val="0"/>
                  <w:vAlign w:val="center"/>
                </w:tcPr>
                <w:p w14:paraId="1F6107E2">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0"/>
                      <w:sz w:val="21"/>
                      <w:szCs w:val="21"/>
                      <w:highlight w:val="none"/>
                      <w:lang w:val="en-US" w:eastAsia="zh-CN" w:bidi="ar"/>
                      <w14:textFill>
                        <w14:solidFill>
                          <w14:schemeClr w14:val="tx1"/>
                        </w14:solidFill>
                      </w14:textFill>
                    </w:rPr>
                    <w:t>通过</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罐车拉运至园区生产废水处理厂处理；</w:t>
                  </w:r>
                </w:p>
              </w:tc>
            </w:tr>
            <w:tr w14:paraId="7937B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90" w:type="pct"/>
                  <w:vMerge w:val="continue"/>
                  <w:tcBorders>
                    <w:tl2br w:val="nil"/>
                    <w:tr2bl w:val="nil"/>
                  </w:tcBorders>
                  <w:noWrap w:val="0"/>
                  <w:vAlign w:val="center"/>
                </w:tcPr>
                <w:p w14:paraId="22C5A03E">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p>
              </w:tc>
              <w:tc>
                <w:tcPr>
                  <w:tcW w:w="787" w:type="pct"/>
                  <w:tcBorders>
                    <w:tl2br w:val="nil"/>
                    <w:tr2bl w:val="nil"/>
                  </w:tcBorders>
                  <w:noWrap w:val="0"/>
                  <w:vAlign w:val="center"/>
                </w:tcPr>
                <w:p w14:paraId="1AA8A302">
                  <w:pPr>
                    <w:pStyle w:val="118"/>
                    <w:bidi w:val="0"/>
                    <w:ind w:firstLine="0" w:firstLineChars="0"/>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循环冷却水</w:t>
                  </w:r>
                </w:p>
                <w:p w14:paraId="45598D81">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系统</w:t>
                  </w:r>
                </w:p>
              </w:tc>
              <w:tc>
                <w:tcPr>
                  <w:tcW w:w="575" w:type="pct"/>
                  <w:tcBorders>
                    <w:tl2br w:val="nil"/>
                    <w:tr2bl w:val="nil"/>
                  </w:tcBorders>
                  <w:noWrap w:val="0"/>
                  <w:vAlign w:val="center"/>
                </w:tcPr>
                <w:p w14:paraId="7B5D39C7">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w:t>
                  </w:r>
                </w:p>
              </w:tc>
              <w:tc>
                <w:tcPr>
                  <w:tcW w:w="943" w:type="pct"/>
                  <w:tcBorders>
                    <w:tl2br w:val="nil"/>
                    <w:tr2bl w:val="nil"/>
                  </w:tcBorders>
                  <w:noWrap w:val="0"/>
                  <w:vAlign w:val="center"/>
                </w:tcPr>
                <w:p w14:paraId="5FC1AF53">
                  <w:pPr>
                    <w:pStyle w:val="118"/>
                    <w:bidi w:val="0"/>
                    <w:ind w:firstLine="0" w:firstLineChars="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COD</w:t>
                  </w:r>
                  <w:r>
                    <w:rPr>
                      <w:rFonts w:hint="default" w:ascii="Times New Roman" w:hAnsi="Times New Roman" w:cs="Times New Roman"/>
                      <w:color w:val="000000" w:themeColor="text1"/>
                      <w:sz w:val="21"/>
                      <w:szCs w:val="21"/>
                      <w:highlight w:val="none"/>
                      <w14:textFill>
                        <w14:solidFill>
                          <w14:schemeClr w14:val="tx1"/>
                        </w14:solidFill>
                      </w14:textFill>
                    </w:rPr>
                    <w:t>、BOD</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5</w:t>
                  </w:r>
                  <w:r>
                    <w:rPr>
                      <w:rFonts w:hint="default" w:ascii="Times New Roman" w:hAnsi="Times New Roman" w:cs="Times New Roman"/>
                      <w:color w:val="000000" w:themeColor="text1"/>
                      <w:sz w:val="21"/>
                      <w:szCs w:val="21"/>
                      <w:highlight w:val="none"/>
                      <w14:textFill>
                        <w14:solidFill>
                          <w14:schemeClr w14:val="tx1"/>
                        </w14:solidFill>
                      </w14:textFill>
                    </w:rPr>
                    <w:t>、NH</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-N、</w:t>
                  </w:r>
                </w:p>
                <w:p w14:paraId="12D634C5">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SS等</w:t>
                  </w:r>
                </w:p>
              </w:tc>
              <w:tc>
                <w:tcPr>
                  <w:tcW w:w="400" w:type="pct"/>
                  <w:tcBorders>
                    <w:tl2br w:val="nil"/>
                    <w:tr2bl w:val="nil"/>
                  </w:tcBorders>
                  <w:noWrap w:val="0"/>
                  <w:vAlign w:val="center"/>
                </w:tcPr>
                <w:p w14:paraId="0CE54FC8">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间歇</w:t>
                  </w:r>
                </w:p>
              </w:tc>
              <w:tc>
                <w:tcPr>
                  <w:tcW w:w="1904" w:type="pct"/>
                  <w:tcBorders>
                    <w:tl2br w:val="nil"/>
                    <w:tr2bl w:val="nil"/>
                  </w:tcBorders>
                  <w:noWrap w:val="0"/>
                  <w:vAlign w:val="center"/>
                </w:tcPr>
                <w:p w14:paraId="26EE2FA9">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通过罐车拉运至园区污水处理厂处理</w:t>
                  </w:r>
                </w:p>
              </w:tc>
            </w:tr>
            <w:tr w14:paraId="56F0B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390" w:type="pct"/>
                  <w:vMerge w:val="continue"/>
                  <w:tcBorders>
                    <w:tl2br w:val="nil"/>
                    <w:tr2bl w:val="nil"/>
                  </w:tcBorders>
                  <w:noWrap w:val="0"/>
                  <w:vAlign w:val="center"/>
                </w:tcPr>
                <w:p w14:paraId="11F46E6A">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p>
              </w:tc>
              <w:tc>
                <w:tcPr>
                  <w:tcW w:w="787" w:type="pct"/>
                  <w:tcBorders>
                    <w:tl2br w:val="nil"/>
                    <w:tr2bl w:val="nil"/>
                  </w:tcBorders>
                  <w:noWrap w:val="0"/>
                  <w:vAlign w:val="center"/>
                </w:tcPr>
                <w:p w14:paraId="66B30098">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职工生活</w:t>
                  </w:r>
                </w:p>
              </w:tc>
              <w:tc>
                <w:tcPr>
                  <w:tcW w:w="575" w:type="pct"/>
                  <w:tcBorders>
                    <w:tl2br w:val="nil"/>
                    <w:tr2bl w:val="nil"/>
                  </w:tcBorders>
                  <w:noWrap w:val="0"/>
                  <w:vAlign w:val="center"/>
                </w:tcPr>
                <w:p w14:paraId="2F6AEE93">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5</w:t>
                  </w:r>
                </w:p>
              </w:tc>
              <w:tc>
                <w:tcPr>
                  <w:tcW w:w="943" w:type="pct"/>
                  <w:tcBorders>
                    <w:tl2br w:val="nil"/>
                    <w:tr2bl w:val="nil"/>
                  </w:tcBorders>
                  <w:noWrap w:val="0"/>
                  <w:vAlign w:val="center"/>
                </w:tcPr>
                <w:p w14:paraId="153F12B2">
                  <w:pPr>
                    <w:pStyle w:val="118"/>
                    <w:bidi w:val="0"/>
                    <w:ind w:firstLine="0" w:firstLineChars="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COD</w:t>
                  </w:r>
                  <w:r>
                    <w:rPr>
                      <w:rFonts w:hint="default" w:ascii="Times New Roman" w:hAnsi="Times New Roman" w:cs="Times New Roman"/>
                      <w:color w:val="000000" w:themeColor="text1"/>
                      <w:sz w:val="21"/>
                      <w:szCs w:val="21"/>
                      <w:highlight w:val="none"/>
                      <w14:textFill>
                        <w14:solidFill>
                          <w14:schemeClr w14:val="tx1"/>
                        </w14:solidFill>
                      </w14:textFill>
                    </w:rPr>
                    <w:t>、BOD</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5</w:t>
                  </w:r>
                  <w:r>
                    <w:rPr>
                      <w:rFonts w:hint="default" w:ascii="Times New Roman" w:hAnsi="Times New Roman" w:cs="Times New Roman"/>
                      <w:color w:val="000000" w:themeColor="text1"/>
                      <w:sz w:val="21"/>
                      <w:szCs w:val="21"/>
                      <w:highlight w:val="none"/>
                      <w14:textFill>
                        <w14:solidFill>
                          <w14:schemeClr w14:val="tx1"/>
                        </w14:solidFill>
                      </w14:textFill>
                    </w:rPr>
                    <w:t>、NH</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-N、</w:t>
                  </w:r>
                </w:p>
                <w:p w14:paraId="4FC7AB5E">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SS等</w:t>
                  </w:r>
                </w:p>
              </w:tc>
              <w:tc>
                <w:tcPr>
                  <w:tcW w:w="400" w:type="pct"/>
                  <w:tcBorders>
                    <w:tl2br w:val="nil"/>
                    <w:tr2bl w:val="nil"/>
                  </w:tcBorders>
                  <w:noWrap w:val="0"/>
                  <w:vAlign w:val="center"/>
                </w:tcPr>
                <w:p w14:paraId="4A8E948D">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连续</w:t>
                  </w:r>
                </w:p>
              </w:tc>
              <w:tc>
                <w:tcPr>
                  <w:tcW w:w="1904" w:type="pct"/>
                  <w:tcBorders>
                    <w:tl2br w:val="nil"/>
                    <w:tr2bl w:val="nil"/>
                  </w:tcBorders>
                  <w:noWrap w:val="0"/>
                  <w:vAlign w:val="center"/>
                </w:tcPr>
                <w:p w14:paraId="7F957228">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生活污水经</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防渗</w:t>
                  </w:r>
                  <w:r>
                    <w:rPr>
                      <w:rFonts w:hint="default" w:ascii="Times New Roman" w:hAnsi="Times New Roman" w:cs="Times New Roman"/>
                      <w:color w:val="000000" w:themeColor="text1"/>
                      <w:sz w:val="21"/>
                      <w:szCs w:val="21"/>
                      <w:highlight w:val="none"/>
                      <w14:textFill>
                        <w14:solidFill>
                          <w14:schemeClr w14:val="tx1"/>
                        </w14:solidFill>
                      </w14:textFill>
                    </w:rPr>
                    <w:t>化粪池处理后由</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罐车拉运至园区</w:t>
                  </w:r>
                  <w:r>
                    <w:rPr>
                      <w:rFonts w:hint="default" w:ascii="Times New Roman" w:hAnsi="Times New Roman" w:cs="Times New Roman"/>
                      <w:color w:val="000000" w:themeColor="text1"/>
                      <w:sz w:val="21"/>
                      <w:szCs w:val="21"/>
                      <w:highlight w:val="none"/>
                      <w:lang w:eastAsia="zh-CN"/>
                      <w14:textFill>
                        <w14:solidFill>
                          <w14:schemeClr w14:val="tx1"/>
                        </w14:solidFill>
                      </w14:textFill>
                    </w:rPr>
                    <w:t>污水处理厂</w:t>
                  </w:r>
                </w:p>
              </w:tc>
            </w:tr>
            <w:tr w14:paraId="38EFE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0" w:type="pct"/>
                  <w:tcBorders>
                    <w:tl2br w:val="nil"/>
                    <w:tr2bl w:val="nil"/>
                  </w:tcBorders>
                  <w:noWrap w:val="0"/>
                  <w:vAlign w:val="center"/>
                </w:tcPr>
                <w:p w14:paraId="57266ED5">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噪声</w:t>
                  </w:r>
                </w:p>
              </w:tc>
              <w:tc>
                <w:tcPr>
                  <w:tcW w:w="787" w:type="pct"/>
                  <w:tcBorders>
                    <w:tl2br w:val="nil"/>
                    <w:tr2bl w:val="nil"/>
                  </w:tcBorders>
                  <w:noWrap w:val="0"/>
                  <w:vAlign w:val="center"/>
                </w:tcPr>
                <w:p w14:paraId="587E34CF">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机械噪声</w:t>
                  </w:r>
                </w:p>
              </w:tc>
              <w:tc>
                <w:tcPr>
                  <w:tcW w:w="575" w:type="pct"/>
                  <w:tcBorders>
                    <w:tl2br w:val="nil"/>
                    <w:tr2bl w:val="nil"/>
                  </w:tcBorders>
                  <w:noWrap w:val="0"/>
                  <w:vAlign w:val="center"/>
                </w:tcPr>
                <w:p w14:paraId="1135625E">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N</w:t>
                  </w:r>
                </w:p>
              </w:tc>
              <w:tc>
                <w:tcPr>
                  <w:tcW w:w="943" w:type="pct"/>
                  <w:tcBorders>
                    <w:tl2br w:val="nil"/>
                    <w:tr2bl w:val="nil"/>
                  </w:tcBorders>
                  <w:noWrap w:val="0"/>
                  <w:vAlign w:val="center"/>
                </w:tcPr>
                <w:p w14:paraId="0C251657">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LeqA</w:t>
                  </w:r>
                </w:p>
              </w:tc>
              <w:tc>
                <w:tcPr>
                  <w:tcW w:w="400" w:type="pct"/>
                  <w:tcBorders>
                    <w:tl2br w:val="nil"/>
                    <w:tr2bl w:val="nil"/>
                  </w:tcBorders>
                  <w:noWrap w:val="0"/>
                  <w:vAlign w:val="center"/>
                </w:tcPr>
                <w:p w14:paraId="10D3A808">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间歇</w:t>
                  </w:r>
                </w:p>
              </w:tc>
              <w:tc>
                <w:tcPr>
                  <w:tcW w:w="1904" w:type="pct"/>
                  <w:tcBorders>
                    <w:tl2br w:val="nil"/>
                    <w:tr2bl w:val="nil"/>
                  </w:tcBorders>
                  <w:noWrap w:val="0"/>
                  <w:vAlign w:val="center"/>
                </w:tcPr>
                <w:p w14:paraId="4D576687">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隔声、减振</w:t>
                  </w:r>
                </w:p>
              </w:tc>
            </w:tr>
            <w:tr w14:paraId="75E11F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390" w:type="pct"/>
                  <w:vMerge w:val="restart"/>
                  <w:tcBorders>
                    <w:tl2br w:val="nil"/>
                    <w:tr2bl w:val="nil"/>
                  </w:tcBorders>
                  <w:noWrap w:val="0"/>
                  <w:vAlign w:val="center"/>
                </w:tcPr>
                <w:p w14:paraId="4A8D07B1">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固体</w:t>
                  </w:r>
                </w:p>
                <w:p w14:paraId="4A8445C6">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废物</w:t>
                  </w:r>
                </w:p>
              </w:tc>
              <w:tc>
                <w:tcPr>
                  <w:tcW w:w="787" w:type="pct"/>
                  <w:vMerge w:val="restart"/>
                  <w:tcBorders>
                    <w:tl2br w:val="nil"/>
                    <w:tr2bl w:val="nil"/>
                  </w:tcBorders>
                  <w:noWrap w:val="0"/>
                  <w:vAlign w:val="center"/>
                </w:tcPr>
                <w:p w14:paraId="3F07A9E1">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一般固废</w:t>
                  </w:r>
                </w:p>
              </w:tc>
              <w:tc>
                <w:tcPr>
                  <w:tcW w:w="575" w:type="pct"/>
                  <w:tcBorders>
                    <w:tl2br w:val="nil"/>
                    <w:tr2bl w:val="nil"/>
                  </w:tcBorders>
                  <w:noWrap w:val="0"/>
                  <w:vAlign w:val="center"/>
                </w:tcPr>
                <w:p w14:paraId="4BF9B438">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S</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w:t>
                  </w:r>
                </w:p>
              </w:tc>
              <w:tc>
                <w:tcPr>
                  <w:tcW w:w="943" w:type="pct"/>
                  <w:tcBorders>
                    <w:tl2br w:val="nil"/>
                    <w:tr2bl w:val="nil"/>
                  </w:tcBorders>
                  <w:noWrap w:val="0"/>
                  <w:vAlign w:val="center"/>
                </w:tcPr>
                <w:p w14:paraId="4987A2E4">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除尘灰</w:t>
                  </w:r>
                </w:p>
              </w:tc>
              <w:tc>
                <w:tcPr>
                  <w:tcW w:w="400" w:type="pct"/>
                  <w:tcBorders>
                    <w:tl2br w:val="nil"/>
                    <w:tr2bl w:val="nil"/>
                  </w:tcBorders>
                  <w:noWrap w:val="0"/>
                  <w:vAlign w:val="center"/>
                </w:tcPr>
                <w:p w14:paraId="061C2E32">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连续</w:t>
                  </w:r>
                </w:p>
              </w:tc>
              <w:tc>
                <w:tcPr>
                  <w:tcW w:w="1904" w:type="pct"/>
                  <w:tcBorders>
                    <w:tl2br w:val="nil"/>
                    <w:tr2bl w:val="nil"/>
                  </w:tcBorders>
                  <w:noWrap w:val="0"/>
                  <w:vAlign w:val="center"/>
                </w:tcPr>
                <w:p w14:paraId="03F2B301">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集中收集于全封闭原料库内的废弃料存放区域后</w:t>
                  </w:r>
                </w:p>
              </w:tc>
            </w:tr>
            <w:tr w14:paraId="465E6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390" w:type="pct"/>
                  <w:vMerge w:val="continue"/>
                  <w:tcBorders>
                    <w:tl2br w:val="nil"/>
                    <w:tr2bl w:val="nil"/>
                  </w:tcBorders>
                  <w:noWrap w:val="0"/>
                  <w:vAlign w:val="center"/>
                </w:tcPr>
                <w:p w14:paraId="70EA0688">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p>
              </w:tc>
              <w:tc>
                <w:tcPr>
                  <w:tcW w:w="787" w:type="pct"/>
                  <w:vMerge w:val="continue"/>
                  <w:tcBorders>
                    <w:tl2br w:val="nil"/>
                    <w:tr2bl w:val="nil"/>
                  </w:tcBorders>
                  <w:noWrap w:val="0"/>
                  <w:vAlign w:val="center"/>
                </w:tcPr>
                <w:p w14:paraId="5FA2F84C">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p>
              </w:tc>
              <w:tc>
                <w:tcPr>
                  <w:tcW w:w="575" w:type="pct"/>
                  <w:tcBorders>
                    <w:tl2br w:val="nil"/>
                    <w:tr2bl w:val="nil"/>
                  </w:tcBorders>
                  <w:noWrap w:val="0"/>
                  <w:vAlign w:val="center"/>
                </w:tcPr>
                <w:p w14:paraId="7CBA8E1E">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S</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p>
              </w:tc>
              <w:tc>
                <w:tcPr>
                  <w:tcW w:w="943" w:type="pct"/>
                  <w:tcBorders>
                    <w:tl2br w:val="nil"/>
                    <w:tr2bl w:val="nil"/>
                  </w:tcBorders>
                  <w:noWrap w:val="0"/>
                  <w:vAlign w:val="center"/>
                </w:tcPr>
                <w:p w14:paraId="6F0541BC">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脱硫石膏</w:t>
                  </w:r>
                </w:p>
              </w:tc>
              <w:tc>
                <w:tcPr>
                  <w:tcW w:w="400" w:type="pct"/>
                  <w:tcBorders>
                    <w:tl2br w:val="nil"/>
                    <w:tr2bl w:val="nil"/>
                  </w:tcBorders>
                  <w:noWrap w:val="0"/>
                  <w:vAlign w:val="center"/>
                </w:tcPr>
                <w:p w14:paraId="6E6A9110">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间歇</w:t>
                  </w:r>
                </w:p>
              </w:tc>
              <w:tc>
                <w:tcPr>
                  <w:tcW w:w="1904" w:type="pct"/>
                  <w:tcBorders>
                    <w:tl2br w:val="nil"/>
                    <w:tr2bl w:val="nil"/>
                  </w:tcBorders>
                  <w:noWrap w:val="0"/>
                  <w:vAlign w:val="center"/>
                </w:tcPr>
                <w:p w14:paraId="5AA2DAAE">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暂存，外售综合利用</w:t>
                  </w:r>
                </w:p>
              </w:tc>
            </w:tr>
            <w:tr w14:paraId="7E03E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390" w:type="pct"/>
                  <w:vMerge w:val="continue"/>
                  <w:tcBorders>
                    <w:tl2br w:val="nil"/>
                    <w:tr2bl w:val="nil"/>
                  </w:tcBorders>
                  <w:noWrap w:val="0"/>
                  <w:vAlign w:val="center"/>
                </w:tcPr>
                <w:p w14:paraId="4B567566">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p>
              </w:tc>
              <w:tc>
                <w:tcPr>
                  <w:tcW w:w="787" w:type="pct"/>
                  <w:vMerge w:val="continue"/>
                  <w:tcBorders>
                    <w:tl2br w:val="nil"/>
                    <w:tr2bl w:val="nil"/>
                  </w:tcBorders>
                  <w:noWrap w:val="0"/>
                  <w:vAlign w:val="center"/>
                </w:tcPr>
                <w:p w14:paraId="27E512B6">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p>
              </w:tc>
              <w:tc>
                <w:tcPr>
                  <w:tcW w:w="575" w:type="pct"/>
                  <w:tcBorders>
                    <w:tl2br w:val="nil"/>
                    <w:tr2bl w:val="nil"/>
                  </w:tcBorders>
                  <w:noWrap w:val="0"/>
                  <w:vAlign w:val="center"/>
                </w:tcPr>
                <w:p w14:paraId="2DDCDA4D">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S</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w:t>
                  </w:r>
                </w:p>
              </w:tc>
              <w:tc>
                <w:tcPr>
                  <w:tcW w:w="943" w:type="pct"/>
                  <w:tcBorders>
                    <w:tl2br w:val="nil"/>
                    <w:tr2bl w:val="nil"/>
                  </w:tcBorders>
                  <w:noWrap w:val="0"/>
                  <w:vAlign w:val="center"/>
                </w:tcPr>
                <w:p w14:paraId="51D4042B">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t>不合格品</w:t>
                  </w:r>
                </w:p>
                <w:p w14:paraId="52FCA693">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t>（黄料）</w:t>
                  </w:r>
                </w:p>
              </w:tc>
              <w:tc>
                <w:tcPr>
                  <w:tcW w:w="400" w:type="pct"/>
                  <w:tcBorders>
                    <w:tl2br w:val="nil"/>
                    <w:tr2bl w:val="nil"/>
                  </w:tcBorders>
                  <w:noWrap w:val="0"/>
                  <w:vAlign w:val="center"/>
                </w:tcPr>
                <w:p w14:paraId="7EF30ABB">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t>间断</w:t>
                  </w:r>
                </w:p>
              </w:tc>
              <w:tc>
                <w:tcPr>
                  <w:tcW w:w="1904" w:type="pct"/>
                  <w:tcBorders>
                    <w:tl2br w:val="nil"/>
                    <w:tr2bl w:val="nil"/>
                  </w:tcBorders>
                  <w:noWrap w:val="0"/>
                  <w:vAlign w:val="center"/>
                </w:tcPr>
                <w:p w14:paraId="34027A1C">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t>气力输送至黄料仓暂存，定期外售综合利用</w:t>
                  </w:r>
                </w:p>
              </w:tc>
            </w:tr>
            <w:tr w14:paraId="119BB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390" w:type="pct"/>
                  <w:vMerge w:val="continue"/>
                  <w:tcBorders>
                    <w:tl2br w:val="nil"/>
                    <w:tr2bl w:val="nil"/>
                  </w:tcBorders>
                  <w:noWrap w:val="0"/>
                  <w:vAlign w:val="center"/>
                </w:tcPr>
                <w:p w14:paraId="1BA5A62C">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p>
              </w:tc>
              <w:tc>
                <w:tcPr>
                  <w:tcW w:w="787" w:type="pct"/>
                  <w:vMerge w:val="continue"/>
                  <w:tcBorders>
                    <w:tl2br w:val="nil"/>
                    <w:tr2bl w:val="nil"/>
                  </w:tcBorders>
                  <w:noWrap w:val="0"/>
                  <w:vAlign w:val="center"/>
                </w:tcPr>
                <w:p w14:paraId="61923576">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p>
              </w:tc>
              <w:tc>
                <w:tcPr>
                  <w:tcW w:w="575" w:type="pct"/>
                  <w:tcBorders>
                    <w:tl2br w:val="nil"/>
                    <w:tr2bl w:val="nil"/>
                  </w:tcBorders>
                  <w:noWrap w:val="0"/>
                  <w:vAlign w:val="center"/>
                </w:tcPr>
                <w:p w14:paraId="0DDCD0AB">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S</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5</w:t>
                  </w:r>
                </w:p>
              </w:tc>
              <w:tc>
                <w:tcPr>
                  <w:tcW w:w="943" w:type="pct"/>
                  <w:tcBorders>
                    <w:tl2br w:val="nil"/>
                    <w:tr2bl w:val="nil"/>
                  </w:tcBorders>
                  <w:noWrap w:val="0"/>
                  <w:vAlign w:val="center"/>
                </w:tcPr>
                <w:p w14:paraId="3288A018">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t>软水制备废滤芯</w:t>
                  </w:r>
                </w:p>
              </w:tc>
              <w:tc>
                <w:tcPr>
                  <w:tcW w:w="400" w:type="pct"/>
                  <w:tcBorders>
                    <w:tl2br w:val="nil"/>
                    <w:tr2bl w:val="nil"/>
                  </w:tcBorders>
                  <w:noWrap w:val="0"/>
                  <w:vAlign w:val="center"/>
                </w:tcPr>
                <w:p w14:paraId="479769E6">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t>间断</w:t>
                  </w:r>
                </w:p>
              </w:tc>
              <w:tc>
                <w:tcPr>
                  <w:tcW w:w="1904" w:type="pct"/>
                  <w:tcBorders>
                    <w:tl2br w:val="nil"/>
                    <w:tr2bl w:val="nil"/>
                  </w:tcBorders>
                  <w:noWrap w:val="0"/>
                  <w:vAlign w:val="center"/>
                </w:tcPr>
                <w:p w14:paraId="60C485BF">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0"/>
                      <w:szCs w:val="21"/>
                      <w:highlight w:val="none"/>
                      <w:lang w:val="en-US" w:eastAsia="zh-CN"/>
                      <w14:textFill>
                        <w14:solidFill>
                          <w14:schemeClr w14:val="tx1"/>
                        </w14:solidFill>
                      </w14:textFill>
                    </w:rPr>
                    <w:t>一般固废库暂存，定期送综合利用</w:t>
                  </w:r>
                </w:p>
              </w:tc>
            </w:tr>
            <w:tr w14:paraId="03637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390" w:type="pct"/>
                  <w:vMerge w:val="continue"/>
                  <w:tcBorders>
                    <w:tl2br w:val="nil"/>
                    <w:tr2bl w:val="nil"/>
                  </w:tcBorders>
                  <w:noWrap w:val="0"/>
                  <w:vAlign w:val="center"/>
                </w:tcPr>
                <w:p w14:paraId="26AC61E8">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p>
              </w:tc>
              <w:tc>
                <w:tcPr>
                  <w:tcW w:w="787" w:type="pct"/>
                  <w:vMerge w:val="continue"/>
                  <w:tcBorders>
                    <w:tl2br w:val="nil"/>
                    <w:tr2bl w:val="nil"/>
                  </w:tcBorders>
                  <w:noWrap w:val="0"/>
                  <w:vAlign w:val="center"/>
                </w:tcPr>
                <w:p w14:paraId="1CA18133">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p>
              </w:tc>
              <w:tc>
                <w:tcPr>
                  <w:tcW w:w="575" w:type="pct"/>
                  <w:tcBorders>
                    <w:tl2br w:val="nil"/>
                    <w:tr2bl w:val="nil"/>
                  </w:tcBorders>
                  <w:noWrap w:val="0"/>
                  <w:vAlign w:val="center"/>
                </w:tcPr>
                <w:p w14:paraId="1CA3B2D8">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S</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6</w:t>
                  </w:r>
                </w:p>
              </w:tc>
              <w:tc>
                <w:tcPr>
                  <w:tcW w:w="943" w:type="pct"/>
                  <w:tcBorders>
                    <w:tl2br w:val="nil"/>
                    <w:tr2bl w:val="nil"/>
                  </w:tcBorders>
                  <w:noWrap w:val="0"/>
                  <w:vAlign w:val="center"/>
                </w:tcPr>
                <w:p w14:paraId="4551C0F3">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空压站废过滤器</w:t>
                  </w:r>
                </w:p>
              </w:tc>
              <w:tc>
                <w:tcPr>
                  <w:tcW w:w="400" w:type="pct"/>
                  <w:tcBorders>
                    <w:tl2br w:val="nil"/>
                    <w:tr2bl w:val="nil"/>
                  </w:tcBorders>
                  <w:noWrap w:val="0"/>
                  <w:vAlign w:val="center"/>
                </w:tcPr>
                <w:p w14:paraId="380D6726">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间歇</w:t>
                  </w:r>
                </w:p>
              </w:tc>
              <w:tc>
                <w:tcPr>
                  <w:tcW w:w="1904" w:type="pct"/>
                  <w:tcBorders>
                    <w:tl2br w:val="nil"/>
                    <w:tr2bl w:val="nil"/>
                  </w:tcBorders>
                  <w:noWrap w:val="0"/>
                  <w:vAlign w:val="center"/>
                </w:tcPr>
                <w:p w14:paraId="01E487F2">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kern w:val="0"/>
                      <w:szCs w:val="21"/>
                      <w:highlight w:val="none"/>
                      <w:lang w:val="en-US" w:eastAsia="zh-CN"/>
                      <w14:textFill>
                        <w14:solidFill>
                          <w14:schemeClr w14:val="tx1"/>
                        </w14:solidFill>
                      </w14:textFill>
                    </w:rPr>
                    <w:t>一般固废库暂存，定期送综合利用</w:t>
                  </w:r>
                </w:p>
              </w:tc>
            </w:tr>
            <w:tr w14:paraId="1E902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390" w:type="pct"/>
                  <w:vMerge w:val="continue"/>
                  <w:tcBorders>
                    <w:tl2br w:val="nil"/>
                    <w:tr2bl w:val="nil"/>
                  </w:tcBorders>
                  <w:noWrap w:val="0"/>
                  <w:vAlign w:val="center"/>
                </w:tcPr>
                <w:p w14:paraId="7ED4AED4">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p>
              </w:tc>
              <w:tc>
                <w:tcPr>
                  <w:tcW w:w="787" w:type="pct"/>
                  <w:vMerge w:val="restart"/>
                  <w:tcBorders>
                    <w:tl2br w:val="nil"/>
                    <w:tr2bl w:val="nil"/>
                  </w:tcBorders>
                  <w:noWrap w:val="0"/>
                  <w:vAlign w:val="center"/>
                </w:tcPr>
                <w:p w14:paraId="1F7B6E12">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危废废物</w:t>
                  </w:r>
                </w:p>
              </w:tc>
              <w:tc>
                <w:tcPr>
                  <w:tcW w:w="575" w:type="pct"/>
                  <w:tcBorders>
                    <w:tl2br w:val="nil"/>
                    <w:tr2bl w:val="nil"/>
                  </w:tcBorders>
                  <w:noWrap w:val="0"/>
                  <w:vAlign w:val="center"/>
                </w:tcPr>
                <w:p w14:paraId="008AA7EE">
                  <w:pPr>
                    <w:pStyle w:val="118"/>
                    <w:bidi w:val="0"/>
                    <w:ind w:firstLine="0" w:firstLineChars="0"/>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S</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7</w:t>
                  </w:r>
                </w:p>
              </w:tc>
              <w:tc>
                <w:tcPr>
                  <w:tcW w:w="943" w:type="pct"/>
                  <w:tcBorders>
                    <w:tl2br w:val="nil"/>
                    <w:tr2bl w:val="nil"/>
                  </w:tcBorders>
                  <w:noWrap w:val="0"/>
                  <w:vAlign w:val="center"/>
                </w:tcPr>
                <w:p w14:paraId="64460E64">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废油、废油桶</w:t>
                  </w:r>
                </w:p>
              </w:tc>
              <w:tc>
                <w:tcPr>
                  <w:tcW w:w="400" w:type="pct"/>
                  <w:tcBorders>
                    <w:tl2br w:val="nil"/>
                    <w:tr2bl w:val="nil"/>
                  </w:tcBorders>
                  <w:noWrap w:val="0"/>
                  <w:vAlign w:val="center"/>
                </w:tcPr>
                <w:p w14:paraId="3CCA9381">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间歇</w:t>
                  </w:r>
                </w:p>
              </w:tc>
              <w:tc>
                <w:tcPr>
                  <w:tcW w:w="1904" w:type="pct"/>
                  <w:tcBorders>
                    <w:tl2br w:val="nil"/>
                    <w:tr2bl w:val="nil"/>
                  </w:tcBorders>
                  <w:noWrap w:val="0"/>
                  <w:vAlign w:val="center"/>
                </w:tcPr>
                <w:p w14:paraId="406750AF">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暂存危废暂存间后定期委托有资质单位处理</w:t>
                  </w:r>
                </w:p>
              </w:tc>
            </w:tr>
            <w:tr w14:paraId="2E958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390" w:type="pct"/>
                  <w:vMerge w:val="continue"/>
                  <w:tcBorders>
                    <w:tl2br w:val="nil"/>
                    <w:tr2bl w:val="nil"/>
                  </w:tcBorders>
                  <w:noWrap w:val="0"/>
                  <w:vAlign w:val="center"/>
                </w:tcPr>
                <w:p w14:paraId="75080E56">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p>
              </w:tc>
              <w:tc>
                <w:tcPr>
                  <w:tcW w:w="787" w:type="pct"/>
                  <w:vMerge w:val="continue"/>
                  <w:tcBorders>
                    <w:tl2br w:val="nil"/>
                    <w:tr2bl w:val="nil"/>
                  </w:tcBorders>
                  <w:noWrap w:val="0"/>
                  <w:vAlign w:val="center"/>
                </w:tcPr>
                <w:p w14:paraId="7780C68A">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p>
              </w:tc>
              <w:tc>
                <w:tcPr>
                  <w:tcW w:w="575" w:type="pct"/>
                  <w:tcBorders>
                    <w:tl2br w:val="nil"/>
                    <w:tr2bl w:val="nil"/>
                  </w:tcBorders>
                  <w:noWrap w:val="0"/>
                  <w:vAlign w:val="center"/>
                </w:tcPr>
                <w:p w14:paraId="5ECEB022">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S</w:t>
                  </w:r>
                  <w:r>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t>3</w:t>
                  </w:r>
                </w:p>
              </w:tc>
              <w:tc>
                <w:tcPr>
                  <w:tcW w:w="943" w:type="pct"/>
                  <w:tcBorders>
                    <w:tl2br w:val="nil"/>
                    <w:tr2bl w:val="nil"/>
                  </w:tcBorders>
                  <w:noWrap w:val="0"/>
                  <w:vAlign w:val="center"/>
                </w:tcPr>
                <w:p w14:paraId="5C4FE2E5">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脱硫废水处理产生的污泥</w:t>
                  </w:r>
                </w:p>
              </w:tc>
              <w:tc>
                <w:tcPr>
                  <w:tcW w:w="400" w:type="pct"/>
                  <w:tcBorders>
                    <w:tl2br w:val="nil"/>
                    <w:tr2bl w:val="nil"/>
                  </w:tcBorders>
                  <w:noWrap w:val="0"/>
                  <w:vAlign w:val="center"/>
                </w:tcPr>
                <w:p w14:paraId="03DC83E2">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间歇</w:t>
                  </w:r>
                </w:p>
              </w:tc>
              <w:tc>
                <w:tcPr>
                  <w:tcW w:w="1904" w:type="pct"/>
                  <w:tcBorders>
                    <w:tl2br w:val="nil"/>
                    <w:tr2bl w:val="nil"/>
                  </w:tcBorders>
                  <w:noWrap w:val="0"/>
                  <w:vAlign w:val="center"/>
                </w:tcPr>
                <w:p w14:paraId="4AFCECC6">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暂存危废暂存间</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暂时按照危废进行管理，鉴别为一般固废的，按照一般固废管理并处理</w:t>
                  </w:r>
                </w:p>
              </w:tc>
            </w:tr>
            <w:tr w14:paraId="77DCE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390" w:type="pct"/>
                  <w:tcBorders>
                    <w:tl2br w:val="nil"/>
                    <w:tr2bl w:val="nil"/>
                  </w:tcBorders>
                  <w:noWrap w:val="0"/>
                  <w:vAlign w:val="center"/>
                </w:tcPr>
                <w:p w14:paraId="25595371">
                  <w:pPr>
                    <w:pStyle w:val="118"/>
                    <w:bidi w:val="0"/>
                    <w:rPr>
                      <w:rFonts w:hint="default" w:ascii="Times New Roman" w:hAnsi="Times New Roman" w:cs="Times New Roman"/>
                      <w:color w:val="000000" w:themeColor="text1"/>
                      <w:sz w:val="21"/>
                      <w:szCs w:val="21"/>
                      <w:highlight w:val="none"/>
                      <w14:textFill>
                        <w14:solidFill>
                          <w14:schemeClr w14:val="tx1"/>
                        </w14:solidFill>
                      </w14:textFill>
                    </w:rPr>
                  </w:pPr>
                </w:p>
              </w:tc>
              <w:tc>
                <w:tcPr>
                  <w:tcW w:w="787" w:type="pct"/>
                  <w:tcBorders>
                    <w:tl2br w:val="nil"/>
                    <w:tr2bl w:val="nil"/>
                  </w:tcBorders>
                  <w:noWrap w:val="0"/>
                  <w:vAlign w:val="center"/>
                </w:tcPr>
                <w:p w14:paraId="7371BB93">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职工生活</w:t>
                  </w:r>
                </w:p>
              </w:tc>
              <w:tc>
                <w:tcPr>
                  <w:tcW w:w="575" w:type="pct"/>
                  <w:tcBorders>
                    <w:tl2br w:val="nil"/>
                    <w:tr2bl w:val="nil"/>
                  </w:tcBorders>
                  <w:noWrap w:val="0"/>
                  <w:vAlign w:val="center"/>
                </w:tcPr>
                <w:p w14:paraId="0635E0D8">
                  <w:pPr>
                    <w:pStyle w:val="118"/>
                    <w:bidi w:val="0"/>
                    <w:ind w:firstLine="0" w:firstLineChars="0"/>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S</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8</w:t>
                  </w:r>
                </w:p>
              </w:tc>
              <w:tc>
                <w:tcPr>
                  <w:tcW w:w="943" w:type="pct"/>
                  <w:tcBorders>
                    <w:tl2br w:val="nil"/>
                    <w:tr2bl w:val="nil"/>
                  </w:tcBorders>
                  <w:noWrap w:val="0"/>
                  <w:vAlign w:val="center"/>
                </w:tcPr>
                <w:p w14:paraId="12D918E7">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生活垃圾</w:t>
                  </w:r>
                </w:p>
              </w:tc>
              <w:tc>
                <w:tcPr>
                  <w:tcW w:w="400" w:type="pct"/>
                  <w:tcBorders>
                    <w:tl2br w:val="nil"/>
                    <w:tr2bl w:val="nil"/>
                  </w:tcBorders>
                  <w:noWrap w:val="0"/>
                  <w:vAlign w:val="center"/>
                </w:tcPr>
                <w:p w14:paraId="33D385B2">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间歇</w:t>
                  </w:r>
                </w:p>
              </w:tc>
              <w:tc>
                <w:tcPr>
                  <w:tcW w:w="1904" w:type="pct"/>
                  <w:tcBorders>
                    <w:tl2br w:val="nil"/>
                    <w:tr2bl w:val="nil"/>
                  </w:tcBorders>
                  <w:noWrap w:val="0"/>
                  <w:vAlign w:val="center"/>
                </w:tcPr>
                <w:p w14:paraId="558E2E36">
                  <w:pPr>
                    <w:pStyle w:val="118"/>
                    <w:bidi w:val="0"/>
                    <w:ind w:firstLine="0" w:firstLineChars="0"/>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生活垃圾分类收集，定期交由环卫部门统一处置。</w:t>
                  </w:r>
                </w:p>
              </w:tc>
            </w:tr>
          </w:tbl>
          <w:p w14:paraId="673760AA">
            <w:pPr>
              <w:pStyle w:val="9"/>
              <w:rPr>
                <w:rFonts w:hint="default" w:ascii="Times New Roman" w:hAnsi="Times New Roman" w:cs="Times New Roman"/>
                <w:color w:val="000000" w:themeColor="text1"/>
                <w:highlight w:val="none"/>
                <w14:textFill>
                  <w14:solidFill>
                    <w14:schemeClr w14:val="tx1"/>
                  </w14:solidFill>
                </w14:textFill>
              </w:rPr>
            </w:pPr>
          </w:p>
        </w:tc>
      </w:tr>
      <w:tr w14:paraId="4E5098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8" w:hRule="atLeast"/>
          <w:jc w:val="center"/>
        </w:trPr>
        <w:tc>
          <w:tcPr>
            <w:tcW w:w="251" w:type="pct"/>
            <w:noWrap w:val="0"/>
            <w:vAlign w:val="center"/>
          </w:tcPr>
          <w:p w14:paraId="2889ED56">
            <w:pPr>
              <w:pStyle w:val="20"/>
              <w:adjustRightInd w:val="0"/>
              <w:snapToGrid w:val="0"/>
              <w:spacing w:before="0" w:beforeAutospacing="0" w:after="0" w:afterAutospacing="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b/>
                <w:color w:val="000000" w:themeColor="text1"/>
                <w:kern w:val="2"/>
                <w:szCs w:val="24"/>
                <w:highlight w:val="none"/>
                <w14:textFill>
                  <w14:solidFill>
                    <w14:schemeClr w14:val="tx1"/>
                  </w14:solidFill>
                </w14:textFill>
              </w:rPr>
              <w:t>与项目有关的原有环境污染问题</w:t>
            </w:r>
          </w:p>
        </w:tc>
        <w:tc>
          <w:tcPr>
            <w:tcW w:w="4748" w:type="pct"/>
            <w:noWrap w:val="0"/>
            <w:vAlign w:val="center"/>
          </w:tcPr>
          <w:p w14:paraId="308CA36B">
            <w:pPr>
              <w:pStyle w:val="14"/>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eastAsia="zh-CN"/>
                <w14:textFill>
                  <w14:solidFill>
                    <w14:schemeClr w14:val="tx1"/>
                  </w14:solidFill>
                </w14:textFill>
              </w:rPr>
              <w:t>内蒙古伊东东晟新材料有限公司</w:t>
            </w:r>
            <w:r>
              <w:rPr>
                <w:rFonts w:hint="default" w:ascii="Times New Roman" w:hAnsi="Times New Roman" w:eastAsia="宋体" w:cs="Times New Roman"/>
                <w:color w:val="000000" w:themeColor="text1"/>
                <w:sz w:val="24"/>
                <w:highlight w:val="none"/>
                <w14:textFill>
                  <w14:solidFill>
                    <w14:schemeClr w14:val="tx1"/>
                  </w14:solidFill>
                </w14:textFill>
              </w:rPr>
              <w:t>建设地点位于</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内蒙古鄂尔多斯</w:t>
            </w:r>
            <w:r>
              <w:rPr>
                <w:rFonts w:hint="eastAsia" w:cs="Times New Roman"/>
                <w:color w:val="000000" w:themeColor="text1"/>
                <w:sz w:val="24"/>
                <w:highlight w:val="none"/>
                <w:lang w:val="en-US" w:eastAsia="zh-CN"/>
                <w14:textFill>
                  <w14:solidFill>
                    <w14:schemeClr w14:val="tx1"/>
                  </w14:solidFill>
                </w14:textFill>
              </w:rPr>
              <w:t>市</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准格尔经济开发区准格尔产业园</w:t>
            </w:r>
            <w:r>
              <w:rPr>
                <w:rFonts w:hint="default" w:ascii="Times New Roman" w:hAnsi="Times New Roman" w:eastAsia="宋体" w:cs="Times New Roman"/>
                <w:color w:val="000000" w:themeColor="text1"/>
                <w:sz w:val="24"/>
                <w:highlight w:val="none"/>
                <w14:textFill>
                  <w14:solidFill>
                    <w14:schemeClr w14:val="tx1"/>
                  </w14:solidFill>
                </w14:textFill>
              </w:rPr>
              <w:t>，项目占地</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为空地</w:t>
            </w: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cs="Times New Roman"/>
                <w:color w:val="000000" w:themeColor="text1"/>
                <w:sz w:val="24"/>
                <w:highlight w:val="none"/>
                <w:lang w:val="en-US" w:eastAsia="zh-CN"/>
                <w14:textFill>
                  <w14:solidFill>
                    <w14:schemeClr w14:val="tx1"/>
                  </w14:solidFill>
                </w14:textFill>
              </w:rPr>
              <w:t>取得用地手续，</w:t>
            </w:r>
            <w:r>
              <w:rPr>
                <w:rFonts w:hint="default" w:ascii="Times New Roman" w:hAnsi="Times New Roman" w:eastAsia="宋体" w:cs="Times New Roman"/>
                <w:color w:val="000000" w:themeColor="text1"/>
                <w:sz w:val="24"/>
                <w:highlight w:val="none"/>
                <w14:textFill>
                  <w14:solidFill>
                    <w14:schemeClr w14:val="tx1"/>
                  </w14:solidFill>
                </w14:textFill>
              </w:rPr>
              <w:t>占地类型为</w:t>
            </w:r>
            <w:r>
              <w:rPr>
                <w:rFonts w:hint="default" w:ascii="Times New Roman" w:hAnsi="Times New Roman" w:cs="Times New Roman"/>
                <w:color w:val="000000" w:themeColor="text1"/>
                <w:sz w:val="24"/>
                <w:highlight w:val="none"/>
                <w:lang w:val="en-US" w:eastAsia="zh-CN"/>
                <w14:textFill>
                  <w14:solidFill>
                    <w14:schemeClr w14:val="tx1"/>
                  </w14:solidFill>
                </w14:textFill>
              </w:rPr>
              <w:t>工业</w:t>
            </w:r>
            <w:r>
              <w:rPr>
                <w:rFonts w:hint="default" w:ascii="Times New Roman" w:hAnsi="Times New Roman" w:eastAsia="宋体" w:cs="Times New Roman"/>
                <w:color w:val="000000" w:themeColor="text1"/>
                <w:sz w:val="24"/>
                <w:highlight w:val="none"/>
                <w14:textFill>
                  <w14:solidFill>
                    <w14:schemeClr w14:val="tx1"/>
                  </w14:solidFill>
                </w14:textFill>
              </w:rPr>
              <w:t>用地，</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土壤环境未受到污染影响，</w:t>
            </w:r>
            <w:r>
              <w:rPr>
                <w:rFonts w:hint="default" w:ascii="Times New Roman" w:hAnsi="Times New Roman" w:cs="Times New Roman"/>
                <w:color w:val="000000" w:themeColor="text1"/>
                <w:sz w:val="24"/>
                <w:highlight w:val="none"/>
                <w14:textFill>
                  <w14:solidFill>
                    <w14:schemeClr w14:val="tx1"/>
                  </w14:solidFill>
                </w14:textFill>
              </w:rPr>
              <w:t>在此基础上新建其他构筑物。项目厂区无与本项目有关的原有污染情况。</w:t>
            </w:r>
          </w:p>
          <w:p w14:paraId="4E253B2C">
            <w:pPr>
              <w:pStyle w:val="14"/>
              <w:spacing w:line="360" w:lineRule="auto"/>
              <w:ind w:firstLine="480" w:firstLineChars="200"/>
              <w:jc w:val="center"/>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highlight w:val="none"/>
                <w:lang w:eastAsia="zh-CN"/>
                <w14:textFill>
                  <w14:solidFill>
                    <w14:schemeClr w14:val="tx1"/>
                  </w14:solidFill>
                </w14:textFill>
              </w:rPr>
              <w:drawing>
                <wp:inline distT="0" distB="0" distL="114300" distR="114300">
                  <wp:extent cx="3837940" cy="2123440"/>
                  <wp:effectExtent l="0" t="0" r="0" b="0"/>
                  <wp:docPr id="48" name="图片 10" descr="841833b54b5a5951543110c66c3624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0" descr="841833b54b5a5951543110c66c3624bd"/>
                          <pic:cNvPicPr>
                            <a:picLocks noChangeAspect="1"/>
                          </pic:cNvPicPr>
                        </pic:nvPicPr>
                        <pic:blipFill>
                          <a:blip r:embed="rId21"/>
                          <a:srcRect r="83" b="26262"/>
                          <a:stretch>
                            <a:fillRect/>
                          </a:stretch>
                        </pic:blipFill>
                        <pic:spPr>
                          <a:xfrm>
                            <a:off x="0" y="0"/>
                            <a:ext cx="3837940" cy="2123440"/>
                          </a:xfrm>
                          <a:prstGeom prst="rect">
                            <a:avLst/>
                          </a:prstGeom>
                          <a:noFill/>
                          <a:ln>
                            <a:noFill/>
                          </a:ln>
                        </pic:spPr>
                      </pic:pic>
                    </a:graphicData>
                  </a:graphic>
                </wp:inline>
              </w:drawing>
            </w:r>
          </w:p>
          <w:p w14:paraId="5A061CEA">
            <w:pPr>
              <w:pStyle w:val="14"/>
              <w:spacing w:line="360" w:lineRule="auto"/>
              <w:ind w:firstLine="482" w:firstLineChars="200"/>
              <w:jc w:val="cente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项目现场情况图</w:t>
            </w:r>
          </w:p>
        </w:tc>
      </w:tr>
    </w:tbl>
    <w:p w14:paraId="1D813903">
      <w:pPr>
        <w:pStyle w:val="20"/>
        <w:rPr>
          <w:rFonts w:ascii="Times New Roman" w:hAnsi="Times New Roman" w:eastAsia="黑体"/>
          <w:snapToGrid w:val="0"/>
          <w:color w:val="000000" w:themeColor="text1"/>
          <w:sz w:val="36"/>
          <w:szCs w:val="36"/>
          <w:highlight w:val="none"/>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2B085737">
      <w:pPr>
        <w:pStyle w:val="20"/>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firstLine="0" w:firstLineChars="0"/>
        <w:jc w:val="center"/>
        <w:textAlignment w:val="auto"/>
        <w:outlineLvl w:val="0"/>
        <w:rPr>
          <w:rFonts w:ascii="Times New Roman" w:hAnsi="Times New Roman" w:eastAsia="黑体" w:cs="Times New Roman"/>
          <w:snapToGrid w:val="0"/>
          <w:color w:val="000000" w:themeColor="text1"/>
          <w:sz w:val="30"/>
          <w:szCs w:val="30"/>
          <w:highlight w:val="none"/>
          <w14:textFill>
            <w14:solidFill>
              <w14:schemeClr w14:val="tx1"/>
            </w14:solidFill>
          </w14:textFill>
        </w:rPr>
      </w:pPr>
      <w:r>
        <w:rPr>
          <w:rFonts w:ascii="Times New Roman" w:hAnsi="Times New Roman" w:eastAsia="黑体" w:cs="Times New Roman"/>
          <w:snapToGrid w:val="0"/>
          <w:color w:val="000000" w:themeColor="text1"/>
          <w:sz w:val="30"/>
          <w:szCs w:val="30"/>
          <w:highlight w:val="none"/>
          <w14:textFill>
            <w14:solidFill>
              <w14:schemeClr w14:val="tx1"/>
            </w14:solidFill>
          </w14:textFill>
        </w:rPr>
        <w:t>三、区域环境质量现状、环境保护目标及评价标准</w:t>
      </w:r>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14:paraId="30D2FF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noWrap w:val="0"/>
            <w:vAlign w:val="center"/>
          </w:tcPr>
          <w:p w14:paraId="54B03AC3">
            <w:pPr>
              <w:adjustRightInd w:val="0"/>
              <w:snapToGrid w:val="0"/>
              <w:jc w:val="center"/>
              <w:rPr>
                <w:rFonts w:hint="default" w:ascii="Times New Roman" w:hAnsi="Times New Roman" w:eastAsia="宋体" w:cs="Times New Roman"/>
                <w:b/>
                <w:bCs/>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区</w:t>
            </w:r>
          </w:p>
          <w:p w14:paraId="0849BD91">
            <w:pPr>
              <w:adjustRightInd w:val="0"/>
              <w:snapToGrid w:val="0"/>
              <w:jc w:val="center"/>
              <w:rPr>
                <w:rFonts w:hint="default" w:ascii="Times New Roman" w:hAnsi="Times New Roman" w:eastAsia="宋体" w:cs="Times New Roman"/>
                <w:b/>
                <w:bCs/>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域</w:t>
            </w:r>
          </w:p>
          <w:p w14:paraId="5B365F83">
            <w:pPr>
              <w:adjustRightInd w:val="0"/>
              <w:snapToGrid w:val="0"/>
              <w:jc w:val="center"/>
              <w:rPr>
                <w:rFonts w:hint="default" w:ascii="Times New Roman" w:hAnsi="Times New Roman" w:eastAsia="宋体" w:cs="Times New Roman"/>
                <w:b/>
                <w:bCs/>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环</w:t>
            </w:r>
          </w:p>
          <w:p w14:paraId="7FC235C8">
            <w:pPr>
              <w:adjustRightInd w:val="0"/>
              <w:snapToGrid w:val="0"/>
              <w:jc w:val="center"/>
              <w:rPr>
                <w:rFonts w:hint="default" w:ascii="Times New Roman" w:hAnsi="Times New Roman" w:eastAsia="宋体" w:cs="Times New Roman"/>
                <w:b/>
                <w:bCs/>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境</w:t>
            </w:r>
          </w:p>
          <w:p w14:paraId="1B8D8E6C">
            <w:pPr>
              <w:adjustRightInd w:val="0"/>
              <w:snapToGrid w:val="0"/>
              <w:jc w:val="center"/>
              <w:rPr>
                <w:rFonts w:hint="default" w:ascii="Times New Roman" w:hAnsi="Times New Roman" w:eastAsia="宋体" w:cs="Times New Roman"/>
                <w:b/>
                <w:bCs/>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质</w:t>
            </w:r>
          </w:p>
          <w:p w14:paraId="78D06BB3">
            <w:pPr>
              <w:adjustRightInd w:val="0"/>
              <w:snapToGrid w:val="0"/>
              <w:jc w:val="center"/>
              <w:rPr>
                <w:rFonts w:hint="default" w:ascii="Times New Roman" w:hAnsi="Times New Roman" w:eastAsia="宋体" w:cs="Times New Roman"/>
                <w:b/>
                <w:bCs/>
                <w:color w:val="000000" w:themeColor="text1"/>
                <w:kern w:val="0"/>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量</w:t>
            </w:r>
          </w:p>
          <w:p w14:paraId="28276DBB">
            <w:pPr>
              <w:adjustRightInd w:val="0"/>
              <w:snapToGrid w:val="0"/>
              <w:jc w:val="center"/>
              <w:rPr>
                <w:rFonts w:hint="default" w:ascii="Times New Roman" w:hAnsi="Times New Roman" w:eastAsia="宋体" w:cs="Times New Roman"/>
                <w:b/>
                <w:bCs/>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现</w:t>
            </w:r>
          </w:p>
          <w:p w14:paraId="099B2EA5">
            <w:pPr>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状</w:t>
            </w:r>
          </w:p>
        </w:tc>
        <w:tc>
          <w:tcPr>
            <w:tcW w:w="8190" w:type="dxa"/>
            <w:noWrap w:val="0"/>
            <w:vAlign w:val="center"/>
          </w:tcPr>
          <w:p w14:paraId="1529386A">
            <w:pPr>
              <w:keepNext w:val="0"/>
              <w:keepLines w:val="0"/>
              <w:pageBreakBefore w:val="0"/>
              <w:widowControl w:val="0"/>
              <w:tabs>
                <w:tab w:val="left" w:pos="434"/>
              </w:tabs>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1.</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环境空气质量</w:t>
            </w:r>
          </w:p>
          <w:p w14:paraId="741823C7">
            <w:pPr>
              <w:pStyle w:val="9"/>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82" w:firstLineChars="200"/>
              <w:jc w:val="both"/>
              <w:textAlignment w:val="auto"/>
              <w:outlineLvl w:val="2"/>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1.1达标区判定</w:t>
            </w:r>
          </w:p>
          <w:p w14:paraId="09DA3084">
            <w:pPr>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eastAsia" w:ascii="Times New Roman" w:hAnsi="Times New Roman" w:eastAsia="宋体" w:cs="Times New Roman"/>
                <w:color w:val="000000" w:themeColor="text1"/>
                <w:kern w:val="0"/>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根据《环境影响评价技术导则大气环境》</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HJ2.2-2018</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，基本污染物环境质量现状数据采用评价范围内国家或地方环境质量监测网中评价基准年连续1年的监测数据</w:t>
            </w:r>
            <w:r>
              <w:rPr>
                <w:rFonts w:hint="default" w:ascii="Times New Roman" w:hAnsi="Times New Roman" w:eastAsia="宋体" w:cs="Times New Roman"/>
                <w:color w:val="000000" w:themeColor="text1"/>
                <w:kern w:val="0"/>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评价范围内没有环境空气质量监测网或公开发布的环境空气质量数据的，可选择符合HJ664规定，并且与评价范围地理位置</w:t>
            </w:r>
            <w:r>
              <w:rPr>
                <w:rFonts w:hint="eastAsia" w:cs="Times New Roman"/>
                <w:color w:val="000000" w:themeColor="text1"/>
                <w:kern w:val="0"/>
                <w:sz w:val="24"/>
                <w:szCs w:val="24"/>
                <w:highlight w:val="none"/>
                <w:lang w:eastAsia="zh-CN"/>
                <w14:textFill>
                  <w14:solidFill>
                    <w14:schemeClr w14:val="tx1"/>
                  </w14:solidFill>
                </w14:textFill>
              </w:rPr>
              <w:t>邻近</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，地形、气候条件相近的环境空气质量城市点或区域点监测数据</w:t>
            </w:r>
            <w:r>
              <w:rPr>
                <w:rFonts w:hint="eastAsia" w:cs="Times New Roman"/>
                <w:color w:val="000000" w:themeColor="text1"/>
                <w:kern w:val="0"/>
                <w:sz w:val="24"/>
                <w:szCs w:val="24"/>
                <w:highlight w:val="none"/>
                <w:lang w:eastAsia="zh-CN"/>
                <w14:textFill>
                  <w14:solidFill>
                    <w14:schemeClr w14:val="tx1"/>
                  </w14:solidFill>
                </w14:textFill>
              </w:rPr>
              <w:t>。</w:t>
            </w:r>
          </w:p>
          <w:p w14:paraId="0104EA68">
            <w:pPr>
              <w:keepNext w:val="0"/>
              <w:keepLines w:val="0"/>
              <w:pageBreakBefore w:val="0"/>
              <w:widowControl w:val="0"/>
              <w:kinsoku/>
              <w:wordWrap/>
              <w:overflowPunct/>
              <w:topLinePunct w:val="0"/>
              <w:autoSpaceDE/>
              <w:autoSpaceDN/>
              <w:bidi w:val="0"/>
              <w:adjustRightIn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本项目位于鄂尔多斯市准格尔旗，本次采用202</w:t>
            </w:r>
            <w:r>
              <w:rPr>
                <w:rFonts w:hint="eastAsia" w:cs="Times New Roman"/>
                <w:color w:val="000000" w:themeColor="text1"/>
                <w:kern w:val="0"/>
                <w:sz w:val="24"/>
                <w:szCs w:val="24"/>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年6月</w:t>
            </w:r>
            <w:r>
              <w:rPr>
                <w:rFonts w:hint="eastAsia" w:cs="Times New Roman"/>
                <w:color w:val="000000" w:themeColor="text1"/>
                <w:kern w:val="0"/>
                <w:sz w:val="24"/>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日发布的《202</w:t>
            </w:r>
            <w:r>
              <w:rPr>
                <w:rFonts w:hint="eastAsia" w:cs="Times New Roman"/>
                <w:color w:val="000000" w:themeColor="text1"/>
                <w:kern w:val="0"/>
                <w:sz w:val="24"/>
                <w:szCs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内蒙古自治区生态环境状况公报》中数据。202</w:t>
            </w:r>
            <w:r>
              <w:rPr>
                <w:rFonts w:hint="eastAsia" w:cs="Times New Roman"/>
                <w:color w:val="000000" w:themeColor="text1"/>
                <w:kern w:val="0"/>
                <w:sz w:val="24"/>
                <w:szCs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年，全区环境空气六项污染物年均浓度均达标。</w:t>
            </w:r>
            <w:r>
              <w:rPr>
                <w:rFonts w:hint="eastAsia" w:cs="Times New Roman"/>
                <w:color w:val="000000" w:themeColor="text1"/>
                <w:kern w:val="0"/>
                <w:sz w:val="24"/>
                <w:szCs w:val="24"/>
                <w:highlight w:val="no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鄂尔多斯市六项基本污染物年平均浓度</w:t>
            </w:r>
            <w:r>
              <w:rPr>
                <w:rFonts w:hint="eastAsia" w:cs="Times New Roman"/>
                <w:color w:val="000000" w:themeColor="text1"/>
                <w:kern w:val="0"/>
                <w:sz w:val="24"/>
                <w:szCs w:val="24"/>
                <w:highlight w:val="none"/>
                <w:lang w:val="en-US" w:eastAsia="zh-CN"/>
                <w14:textFill>
                  <w14:solidFill>
                    <w14:schemeClr w14:val="tx1"/>
                  </w14:solidFill>
                </w14:textFill>
              </w:rPr>
              <w:t>满足《环境空气质量标准》（GB3095-2026）过渡阶段二类浓度限值</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。因此，本项目区域为环境空气质量达标区。</w:t>
            </w:r>
          </w:p>
          <w:p w14:paraId="0326314D">
            <w:pPr>
              <w:keepNext w:val="0"/>
              <w:keepLines w:val="0"/>
              <w:pageBreakBefore w:val="0"/>
              <w:widowControl w:val="0"/>
              <w:kinsoku/>
              <w:wordWrap/>
              <w:overflowPunct/>
              <w:topLinePunct w:val="0"/>
              <w:autoSpaceDE/>
              <w:autoSpaceDN/>
              <w:bidi w:val="0"/>
              <w:adjustRightInd/>
              <w:spacing w:line="360" w:lineRule="auto"/>
              <w:ind w:firstLine="482"/>
              <w:jc w:val="both"/>
              <w:textAlignment w:val="auto"/>
              <w:outlineLvl w:val="2"/>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14:textFill>
                  <w14:solidFill>
                    <w14:schemeClr w14:val="tx1"/>
                  </w14:solidFill>
                </w14:textFill>
              </w:rPr>
              <w:t>1.2特征污染物</w:t>
            </w:r>
          </w:p>
          <w:p w14:paraId="16BE645F">
            <w:pPr>
              <w:keepNext w:val="0"/>
              <w:keepLines w:val="0"/>
              <w:pageBreakBefore w:val="0"/>
              <w:widowControl w:val="0"/>
              <w:kinsoku/>
              <w:wordWrap/>
              <w:overflowPunct/>
              <w:topLinePunct w:val="0"/>
              <w:autoSpaceDE/>
              <w:autoSpaceDN/>
              <w:bidi w:val="0"/>
              <w:adjustRightIn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pPr>
            <w:r>
              <w:rPr>
                <w:rFonts w:ascii="宋体" w:hAnsi="宋体" w:eastAsia="宋体" w:cs="宋体"/>
                <w:color w:val="000000" w:themeColor="text1"/>
                <w:sz w:val="24"/>
                <w:szCs w:val="24"/>
                <w:highlight w:val="none"/>
                <w14:textFill>
                  <w14:solidFill>
                    <w14:schemeClr w14:val="tx1"/>
                  </w14:solidFill>
                </w14:textFill>
              </w:rPr>
              <w:t>根据《建设项目环境影响报告表编制技术指南（污染影响类）（试行）》，排放有标准限值要求的</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特征污染物时，应引用周边</w:t>
            </w:r>
            <w:r>
              <w:rPr>
                <w:rFonts w:hint="eastAsia" w:cs="Times New Roman"/>
                <w:color w:val="000000" w:themeColor="text1"/>
                <w:kern w:val="0"/>
                <w:sz w:val="24"/>
                <w:szCs w:val="24"/>
                <w:highlight w:val="none"/>
                <w:lang w:eastAsia="zh-CN"/>
                <w14:textFill>
                  <w14:solidFill>
                    <w14:schemeClr w14:val="tx1"/>
                  </w14:solidFill>
                </w14:textFill>
              </w:rPr>
              <w:t>5000m</w:t>
            </w:r>
            <w:r>
              <w:rPr>
                <w:rFonts w:hint="default" w:ascii="Times New Roman" w:hAnsi="Times New Roman" w:eastAsia="宋体" w:cs="Times New Roman"/>
                <w:color w:val="000000" w:themeColor="text1"/>
                <w:kern w:val="0"/>
                <w:sz w:val="24"/>
                <w:szCs w:val="24"/>
                <w:highlight w:val="none"/>
                <w14:textFill>
                  <w14:solidFill>
                    <w14:schemeClr w14:val="tx1"/>
                  </w14:solidFill>
                </w14:textFill>
              </w:rPr>
              <w:t>范围内近3年的监测数据。</w:t>
            </w:r>
          </w:p>
          <w:p w14:paraId="78914A84">
            <w:pPr>
              <w:keepNext w:val="0"/>
              <w:keepLines w:val="0"/>
              <w:pageBreakBefore w:val="0"/>
              <w:widowControl w:val="0"/>
              <w:kinsoku/>
              <w:wordWrap/>
              <w:overflowPunct/>
              <w:topLinePunct w:val="0"/>
              <w:autoSpaceDE/>
              <w:autoSpaceDN/>
              <w:bidi w:val="0"/>
              <w:adjustRightIn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14:textFill>
                  <w14:solidFill>
                    <w14:schemeClr w14:val="tx1"/>
                  </w14:solidFill>
                </w14:textFill>
              </w:rPr>
              <w:t>本项目其他污染物</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为TSP，本次大气现状监测引用由鄂尔多斯市清蓝环保有限公司于2024</w:t>
            </w:r>
            <w:r>
              <w:rPr>
                <w:rFonts w:hint="eastAsia" w:cs="Times New Roman"/>
                <w:color w:val="000000" w:themeColor="text1"/>
                <w:sz w:val="24"/>
                <w:szCs w:val="24"/>
                <w:highlight w:val="none"/>
                <w:lang w:val="en-US" w:eastAsia="zh-CN"/>
                <w14:textFill>
                  <w14:solidFill>
                    <w14:schemeClr w14:val="tx1"/>
                  </w14:solidFill>
                </w14:textFill>
              </w:rPr>
              <w:t>年8月1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4</w:t>
            </w:r>
            <w:r>
              <w:rPr>
                <w:rFonts w:hint="eastAsia" w:cs="Times New Roman"/>
                <w:color w:val="000000" w:themeColor="text1"/>
                <w:sz w:val="24"/>
                <w:szCs w:val="24"/>
                <w:highlight w:val="none"/>
                <w:lang w:val="en-US" w:eastAsia="zh-CN"/>
                <w14:textFill>
                  <w14:solidFill>
                    <w14:schemeClr w14:val="tx1"/>
                  </w14:solidFill>
                </w14:textFill>
              </w:rPr>
              <w:t>日—</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2024</w:t>
            </w:r>
            <w:r>
              <w:rPr>
                <w:rFonts w:hint="eastAsia" w:cs="Times New Roman"/>
                <w:color w:val="000000" w:themeColor="text1"/>
                <w:sz w:val="24"/>
                <w:szCs w:val="24"/>
                <w:highlight w:val="none"/>
                <w:lang w:val="en-US" w:eastAsia="zh-CN"/>
                <w14:textFill>
                  <w14:solidFill>
                    <w14:schemeClr w14:val="tx1"/>
                  </w14:solidFill>
                </w14:textFill>
              </w:rPr>
              <w:t>年8月19日</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为《内蒙古励泰生物能源有限责任公司年产60万吨兰炭型焦配套储棚建设项目环境影响报告表》对特征因子进行现状监测的大气监测数据，该监测数据位于厂址北侧200m以内，监测数据符合《建设项目环境影响报告表编制技术指南（污染影响类）（试行）》近3年有效期，且距离在五公里的有效数据。</w:t>
            </w:r>
          </w:p>
          <w:p w14:paraId="0574824E">
            <w:pPr>
              <w:widowControl/>
              <w:snapToGrid w:val="0"/>
              <w:spacing w:line="360" w:lineRule="auto"/>
              <w:ind w:firstLine="480"/>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本项目氨气现状引用《内蒙古玉晶科技有限公司2×1200t/d光伏压延玻璃生产线及配套深加工项目检测报告》中由北京华成星科检测服务有限公司于2023年12月18日</w:t>
            </w:r>
            <w:r>
              <w:rPr>
                <w:rFonts w:hint="eastAsia" w:cs="Times New Roman"/>
                <w:color w:val="000000" w:themeColor="text1"/>
                <w:sz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12月24日对位于本项目地东侧距离</w:t>
            </w:r>
            <w:r>
              <w:rPr>
                <w:rFonts w:hint="eastAsia" w:cs="Times New Roman"/>
                <w:color w:val="000000" w:themeColor="text1"/>
                <w:sz w:val="24"/>
                <w:highlight w:val="none"/>
                <w:lang w:val="en-US" w:eastAsia="zh-CN"/>
                <w14:textFill>
                  <w14:solidFill>
                    <w14:schemeClr w14:val="tx1"/>
                  </w14:solidFill>
                </w14:textFill>
              </w:rPr>
              <w:t>2.888</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km的内蒙古玉晶科技有限公司进行空气质量监测结果可知，监测数据满足《环境影响评价技术导则大气环境》（HJ2.2—2018）附录D</w:t>
            </w:r>
            <w:r>
              <w:rPr>
                <w:rFonts w:hint="eastAsia" w:cs="Times New Roman"/>
                <w:color w:val="000000" w:themeColor="text1"/>
                <w:sz w:val="24"/>
                <w:highlight w:val="none"/>
                <w:lang w:val="en-US" w:eastAsia="zh-CN"/>
                <w14:textFill>
                  <w14:solidFill>
                    <w14:schemeClr w14:val="tx1"/>
                  </w14:solidFill>
                </w14:textFill>
              </w:rPr>
              <w:t>其他</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污染物空气质量浓度参考限值要求。</w:t>
            </w:r>
          </w:p>
          <w:p w14:paraId="141204C1">
            <w:pPr>
              <w:wordWrap w:val="0"/>
              <w:spacing w:line="360" w:lineRule="auto"/>
              <w:ind w:firstLine="482"/>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①监测项目及监测点位</w:t>
            </w:r>
          </w:p>
          <w:p w14:paraId="12FCF552">
            <w:pPr>
              <w:wordWrap w:val="0"/>
              <w:spacing w:line="360" w:lineRule="auto"/>
              <w:ind w:firstLine="482"/>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本项目引用监测布点信息见</w:t>
            </w:r>
            <w:r>
              <w:rPr>
                <w:rFonts w:hint="eastAsia" w:cs="Times New Roman"/>
                <w:color w:val="000000" w:themeColor="text1"/>
                <w:sz w:val="24"/>
                <w:highlight w:val="none"/>
                <w:lang w:val="en-US" w:eastAsia="zh-CN"/>
                <w14:textFill>
                  <w14:solidFill>
                    <w14:schemeClr w14:val="tx1"/>
                  </w14:solidFill>
                </w14:textFill>
              </w:rPr>
              <w:t>下</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表，其位置见图3-1</w:t>
            </w:r>
            <w:r>
              <w:rPr>
                <w:rFonts w:hint="eastAsia" w:cs="Times New Roman"/>
                <w:color w:val="000000" w:themeColor="text1"/>
                <w:sz w:val="24"/>
                <w:highlight w:val="none"/>
                <w:lang w:val="en-US" w:eastAsia="zh-CN"/>
                <w14:textFill>
                  <w14:solidFill>
                    <w14:schemeClr w14:val="tx1"/>
                  </w14:solidFill>
                </w14:textFill>
              </w:rPr>
              <w:t>、图</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3-</w:t>
            </w:r>
            <w:r>
              <w:rPr>
                <w:rFonts w:hint="eastAsia" w:cs="Times New Roman"/>
                <w:color w:val="000000" w:themeColor="text1"/>
                <w:sz w:val="24"/>
                <w:highlight w:val="none"/>
                <w:lang w:val="en-US" w:eastAsia="zh-CN"/>
                <w14:textFill>
                  <w14:solidFill>
                    <w14:schemeClr w14:val="tx1"/>
                  </w14:solidFill>
                </w14:textFill>
              </w:rPr>
              <w:t>2</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w:t>
            </w:r>
          </w:p>
          <w:p w14:paraId="4ABCECEB">
            <w:pPr>
              <w:jc w:val="center"/>
              <w:rPr>
                <w:rFonts w:hint="default" w:ascii="Times New Roman" w:hAnsi="Times New Roman" w:eastAsia="宋体" w:cs="Times New Roman"/>
                <w:b/>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sz w:val="24"/>
                <w:highlight w:val="none"/>
                <w:lang w:val="en-US" w:eastAsia="zh-CN"/>
                <w14:textFill>
                  <w14:solidFill>
                    <w14:schemeClr w14:val="tx1"/>
                  </w14:solidFill>
                </w14:textFill>
              </w:rPr>
              <w:t>表</w:t>
            </w:r>
            <w:r>
              <w:rPr>
                <w:rFonts w:hint="eastAsia" w:ascii="Times New Roman" w:hAnsi="Times New Roman" w:eastAsia="宋体" w:cs="Times New Roman"/>
                <w:b/>
                <w:color w:val="000000" w:themeColor="text1"/>
                <w:sz w:val="24"/>
                <w:highlight w:val="none"/>
                <w:lang w:val="en-US" w:eastAsia="zh-CN"/>
                <w14:textFill>
                  <w14:solidFill>
                    <w14:schemeClr w14:val="tx1"/>
                  </w14:solidFill>
                </w14:textFill>
              </w:rPr>
              <w:t>3-</w:t>
            </w:r>
            <w:r>
              <w:rPr>
                <w:rFonts w:hint="eastAsia" w:cs="Times New Roman"/>
                <w:b/>
                <w:color w:val="000000" w:themeColor="text1"/>
                <w:sz w:val="24"/>
                <w:highlight w:val="none"/>
                <w:lang w:val="en-US" w:eastAsia="zh-CN"/>
                <w14:textFill>
                  <w14:solidFill>
                    <w14:schemeClr w14:val="tx1"/>
                  </w14:solidFill>
                </w14:textFill>
              </w:rPr>
              <w:t>1引用环境空气质量</w:t>
            </w:r>
            <w:r>
              <w:rPr>
                <w:rFonts w:hint="default" w:ascii="Times New Roman" w:hAnsi="Times New Roman" w:eastAsia="宋体" w:cs="Times New Roman"/>
                <w:b/>
                <w:color w:val="000000" w:themeColor="text1"/>
                <w:sz w:val="24"/>
                <w:highlight w:val="none"/>
                <w:lang w:val="en-US" w:eastAsia="zh-CN"/>
                <w14:textFill>
                  <w14:solidFill>
                    <w14:schemeClr w14:val="tx1"/>
                  </w14:solidFill>
                </w14:textFill>
              </w:rPr>
              <w:t>监测</w:t>
            </w:r>
            <w:r>
              <w:rPr>
                <w:rFonts w:hint="eastAsia" w:cs="Times New Roman"/>
                <w:b/>
                <w:color w:val="000000" w:themeColor="text1"/>
                <w:sz w:val="24"/>
                <w:highlight w:val="none"/>
                <w:lang w:val="en-US" w:eastAsia="zh-CN"/>
                <w14:textFill>
                  <w14:solidFill>
                    <w14:schemeClr w14:val="tx1"/>
                  </w14:solidFill>
                </w14:textFill>
              </w:rPr>
              <w:t>点位</w:t>
            </w:r>
            <w:r>
              <w:rPr>
                <w:rFonts w:hint="default" w:ascii="Times New Roman" w:hAnsi="Times New Roman" w:eastAsia="宋体" w:cs="Times New Roman"/>
                <w:b/>
                <w:color w:val="000000" w:themeColor="text1"/>
                <w:sz w:val="24"/>
                <w:highlight w:val="none"/>
                <w:lang w:val="en-US" w:eastAsia="zh-CN"/>
                <w14:textFill>
                  <w14:solidFill>
                    <w14:schemeClr w14:val="tx1"/>
                  </w14:solidFill>
                </w14:textFill>
              </w:rPr>
              <w:t>及监测因子情况</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0"/>
              <w:gridCol w:w="2462"/>
              <w:gridCol w:w="1391"/>
              <w:gridCol w:w="3281"/>
            </w:tblGrid>
            <w:tr w14:paraId="176B5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trPr>
              <w:tc>
                <w:tcPr>
                  <w:tcW w:w="521" w:type="pct"/>
                  <w:tcBorders>
                    <w:tl2br w:val="nil"/>
                    <w:tr2bl w:val="nil"/>
                  </w:tcBorders>
                  <w:noWrap w:val="0"/>
                  <w:vAlign w:val="center"/>
                </w:tcPr>
                <w:p w14:paraId="0D603F69">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序号</w:t>
                  </w:r>
                </w:p>
              </w:tc>
              <w:tc>
                <w:tcPr>
                  <w:tcW w:w="1545" w:type="pct"/>
                  <w:tcBorders>
                    <w:tl2br w:val="nil"/>
                    <w:tr2bl w:val="nil"/>
                  </w:tcBorders>
                  <w:noWrap w:val="0"/>
                  <w:vAlign w:val="center"/>
                </w:tcPr>
                <w:p w14:paraId="771C4853">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监测点名称</w:t>
                  </w:r>
                </w:p>
              </w:tc>
              <w:tc>
                <w:tcPr>
                  <w:tcW w:w="873" w:type="pct"/>
                  <w:tcBorders>
                    <w:tl2br w:val="nil"/>
                    <w:tr2bl w:val="nil"/>
                  </w:tcBorders>
                  <w:noWrap w:val="0"/>
                  <w:vAlign w:val="center"/>
                </w:tcPr>
                <w:p w14:paraId="2495E79D">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监测项目</w:t>
                  </w:r>
                </w:p>
              </w:tc>
              <w:tc>
                <w:tcPr>
                  <w:tcW w:w="2059" w:type="pct"/>
                  <w:tcBorders>
                    <w:tl2br w:val="nil"/>
                    <w:tr2bl w:val="nil"/>
                  </w:tcBorders>
                  <w:noWrap w:val="0"/>
                  <w:vAlign w:val="center"/>
                </w:tcPr>
                <w:p w14:paraId="049D6B00">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坐标</w:t>
                  </w:r>
                </w:p>
              </w:tc>
            </w:tr>
            <w:tr w14:paraId="75E16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521" w:type="pct"/>
                  <w:tcBorders>
                    <w:tl2br w:val="nil"/>
                    <w:tr2bl w:val="nil"/>
                  </w:tcBorders>
                  <w:noWrap w:val="0"/>
                  <w:vAlign w:val="center"/>
                </w:tcPr>
                <w:p w14:paraId="04CFD3A1">
                  <w:pPr>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G1</w:t>
                  </w:r>
                </w:p>
              </w:tc>
              <w:tc>
                <w:tcPr>
                  <w:tcW w:w="1545" w:type="pct"/>
                  <w:tcBorders>
                    <w:tl2br w:val="nil"/>
                    <w:tr2bl w:val="nil"/>
                  </w:tcBorders>
                  <w:noWrap w:val="0"/>
                  <w:vAlign w:val="center"/>
                </w:tcPr>
                <w:p w14:paraId="173F5D8E">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玉晶科技厂区</w:t>
                  </w:r>
                </w:p>
              </w:tc>
              <w:tc>
                <w:tcPr>
                  <w:tcW w:w="873" w:type="pct"/>
                  <w:tcBorders>
                    <w:tl2br w:val="nil"/>
                    <w:tr2bl w:val="nil"/>
                  </w:tcBorders>
                  <w:noWrap w:val="0"/>
                  <w:vAlign w:val="center"/>
                </w:tcPr>
                <w:p w14:paraId="21B96786">
                  <w:pPr>
                    <w:jc w:val="center"/>
                    <w:rPr>
                      <w:rFonts w:hint="default" w:ascii="Times New Roman" w:hAnsi="Times New Roman" w:eastAsia="宋体" w:cs="Times New Roman"/>
                      <w:color w:val="000000" w:themeColor="text1"/>
                      <w:sz w:val="21"/>
                      <w:szCs w:val="21"/>
                      <w:highlight w:val="none"/>
                      <w:vertAlign w:val="subscript"/>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氨气</w:t>
                  </w:r>
                </w:p>
              </w:tc>
              <w:tc>
                <w:tcPr>
                  <w:tcW w:w="2059" w:type="pct"/>
                  <w:tcBorders>
                    <w:tl2br w:val="nil"/>
                    <w:tr2bl w:val="nil"/>
                  </w:tcBorders>
                  <w:noWrap w:val="0"/>
                  <w:vAlign w:val="center"/>
                </w:tcPr>
                <w:p w14:paraId="02A858F9">
                  <w:pPr>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E110°53′58.44″</w:t>
                  </w:r>
                  <w:r>
                    <w:rPr>
                      <w:rFonts w:hint="eastAsia" w:cs="Times New Roman"/>
                      <w:color w:val="000000" w:themeColor="text1"/>
                      <w:sz w:val="21"/>
                      <w:szCs w:val="21"/>
                      <w:highlight w:val="none"/>
                      <w:lang w:val="en-US" w:eastAsia="zh-CN"/>
                      <w14:textFill>
                        <w14:solidFill>
                          <w14:schemeClr w14:val="tx1"/>
                        </w14:solidFill>
                      </w14:textFill>
                    </w:rPr>
                    <w:t xml:space="preserve">, </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N39°42′59.26″</w:t>
                  </w:r>
                </w:p>
              </w:tc>
            </w:tr>
          </w:tbl>
          <w:p w14:paraId="29353CA3">
            <w:pPr>
              <w:snapToGrid w:val="0"/>
              <w:ind w:firstLine="482" w:firstLineChars="200"/>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表</w:t>
            </w:r>
            <w:r>
              <w:rPr>
                <w:rFonts w:hint="default" w:ascii="Times New Roman" w:hAnsi="Times New Roman" w:eastAsia="宋体" w:cs="Times New Roman"/>
                <w:b/>
                <w:bCs/>
                <w:color w:val="000000" w:themeColor="text1"/>
                <w:kern w:val="0"/>
                <w:sz w:val="24"/>
                <w:highlight w:val="none"/>
                <w:lang w:val="en-US" w:eastAsia="zh-CN"/>
                <w14:textFill>
                  <w14:solidFill>
                    <w14:schemeClr w14:val="tx1"/>
                  </w14:solidFill>
                </w14:textFill>
              </w:rPr>
              <w:t>3-</w:t>
            </w:r>
            <w:r>
              <w:rPr>
                <w:rFonts w:hint="eastAsia" w:cs="Times New Roman"/>
                <w:b/>
                <w:bCs/>
                <w:color w:val="000000" w:themeColor="text1"/>
                <w:kern w:val="0"/>
                <w:sz w:val="24"/>
                <w:highlight w:val="none"/>
                <w:lang w:val="en-US" w:eastAsia="zh-CN"/>
                <w14:textFill>
                  <w14:solidFill>
                    <w14:schemeClr w14:val="tx1"/>
                  </w14:solidFill>
                </w14:textFill>
              </w:rPr>
              <w:t>2</w:t>
            </w:r>
            <w:r>
              <w:rPr>
                <w:rFonts w:hint="eastAsia" w:cs="Times New Roman"/>
                <w:b/>
                <w:color w:val="000000" w:themeColor="text1"/>
                <w:sz w:val="24"/>
                <w:highlight w:val="none"/>
                <w:lang w:val="en-US" w:eastAsia="zh-CN"/>
                <w14:textFill>
                  <w14:solidFill>
                    <w14:schemeClr w14:val="tx1"/>
                  </w14:solidFill>
                </w14:textFill>
              </w:rPr>
              <w:t>引用环境空气质量</w:t>
            </w:r>
            <w:r>
              <w:rPr>
                <w:rFonts w:hint="default" w:ascii="Times New Roman" w:hAnsi="Times New Roman" w:eastAsia="宋体" w:cs="Times New Roman"/>
                <w:b/>
                <w:color w:val="000000" w:themeColor="text1"/>
                <w:sz w:val="24"/>
                <w:highlight w:val="none"/>
                <w:lang w:val="en-US" w:eastAsia="zh-CN"/>
                <w14:textFill>
                  <w14:solidFill>
                    <w14:schemeClr w14:val="tx1"/>
                  </w14:solidFill>
                </w14:textFill>
              </w:rPr>
              <w:t>监测</w:t>
            </w:r>
            <w:r>
              <w:rPr>
                <w:rFonts w:hint="eastAsia" w:cs="Times New Roman"/>
                <w:b/>
                <w:color w:val="000000" w:themeColor="text1"/>
                <w:sz w:val="24"/>
                <w:highlight w:val="none"/>
                <w:lang w:val="en-US" w:eastAsia="zh-CN"/>
                <w14:textFill>
                  <w14:solidFill>
                    <w14:schemeClr w14:val="tx1"/>
                  </w14:solidFill>
                </w14:textFill>
              </w:rPr>
              <w:t>点位</w:t>
            </w:r>
            <w:r>
              <w:rPr>
                <w:rFonts w:hint="default" w:ascii="Times New Roman" w:hAnsi="Times New Roman" w:eastAsia="宋体" w:cs="Times New Roman"/>
                <w:b/>
                <w:color w:val="000000" w:themeColor="text1"/>
                <w:sz w:val="24"/>
                <w:highlight w:val="none"/>
                <w:lang w:val="en-US" w:eastAsia="zh-CN"/>
                <w14:textFill>
                  <w14:solidFill>
                    <w14:schemeClr w14:val="tx1"/>
                  </w14:solidFill>
                </w14:textFill>
              </w:rPr>
              <w:t>及监测因子</w:t>
            </w:r>
            <w: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一览表</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7"/>
              <w:gridCol w:w="941"/>
              <w:gridCol w:w="2541"/>
              <w:gridCol w:w="2009"/>
              <w:gridCol w:w="1593"/>
            </w:tblGrid>
            <w:tr w14:paraId="642FC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1" w:type="pct"/>
                  <w:noWrap w:val="0"/>
                  <w:vAlign w:val="top"/>
                </w:tcPr>
                <w:p w14:paraId="51E0AD45">
                  <w:pPr>
                    <w:snapToGrid w:val="0"/>
                    <w:jc w:val="cente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编号</w:t>
                  </w:r>
                </w:p>
              </w:tc>
              <w:tc>
                <w:tcPr>
                  <w:tcW w:w="591" w:type="pct"/>
                  <w:noWrap w:val="0"/>
                  <w:vAlign w:val="top"/>
                </w:tcPr>
                <w:p w14:paraId="45CBE129">
                  <w:pPr>
                    <w:snapToGrid w:val="0"/>
                    <w:jc w:val="cente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点位</w:t>
                  </w:r>
                </w:p>
              </w:tc>
              <w:tc>
                <w:tcPr>
                  <w:tcW w:w="1595" w:type="pct"/>
                  <w:noWrap w:val="0"/>
                  <w:vAlign w:val="top"/>
                </w:tcPr>
                <w:p w14:paraId="2A03FE66">
                  <w:pPr>
                    <w:keepNext w:val="0"/>
                    <w:keepLines w:val="0"/>
                    <w:widowControl/>
                    <w:suppressLineNumbers w:val="0"/>
                    <w:jc w:val="left"/>
                    <w:rPr>
                      <w:rFonts w:hint="default" w:ascii="Times New Roman" w:hAnsi="Times New Roman" w:eastAsia="宋体" w:cs="Times New Roman"/>
                      <w:b w:val="0"/>
                      <w:bCs w:val="0"/>
                      <w:color w:val="000000" w:themeColor="text1"/>
                      <w:kern w:val="0"/>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kern w:val="0"/>
                      <w:sz w:val="20"/>
                      <w:szCs w:val="20"/>
                      <w:highlight w:val="none"/>
                      <w:lang w:val="en-US" w:eastAsia="zh-CN" w:bidi="ar"/>
                      <w14:textFill>
                        <w14:solidFill>
                          <w14:schemeClr w14:val="tx1"/>
                        </w14:solidFill>
                      </w14:textFill>
                    </w:rPr>
                    <w:t>引用项目相对本项目方位</w:t>
                  </w:r>
                </w:p>
              </w:tc>
              <w:tc>
                <w:tcPr>
                  <w:tcW w:w="1261" w:type="pct"/>
                  <w:noWrap w:val="0"/>
                  <w:vAlign w:val="top"/>
                </w:tcPr>
                <w:p w14:paraId="76F8ADEC">
                  <w:pPr>
                    <w:keepNext w:val="0"/>
                    <w:keepLines w:val="0"/>
                    <w:widowControl/>
                    <w:suppressLineNumbers w:val="0"/>
                    <w:jc w:val="left"/>
                    <w:rPr>
                      <w:rFonts w:hint="default" w:ascii="Times New Roman" w:hAnsi="Times New Roman" w:eastAsia="宋体" w:cs="Times New Roman"/>
                      <w:b w:val="0"/>
                      <w:bCs w:val="0"/>
                      <w:color w:val="000000" w:themeColor="text1"/>
                      <w:kern w:val="0"/>
                      <w:sz w:val="21"/>
                      <w:szCs w:val="21"/>
                      <w:highlight w:val="none"/>
                      <w:vertAlign w:val="baseline"/>
                      <w14:textFill>
                        <w14:solidFill>
                          <w14:schemeClr w14:val="tx1"/>
                        </w14:solidFill>
                      </w14:textFill>
                    </w:rPr>
                  </w:pPr>
                  <w:r>
                    <w:rPr>
                      <w:rFonts w:hint="default" w:ascii="Times New Roman" w:hAnsi="Times New Roman" w:eastAsia="宋体" w:cs="Times New Roman"/>
                      <w:color w:val="000000" w:themeColor="text1"/>
                      <w:kern w:val="0"/>
                      <w:sz w:val="20"/>
                      <w:szCs w:val="20"/>
                      <w:highlight w:val="none"/>
                      <w:lang w:val="en-US" w:eastAsia="zh-CN" w:bidi="ar"/>
                      <w14:textFill>
                        <w14:solidFill>
                          <w14:schemeClr w14:val="tx1"/>
                        </w14:solidFill>
                      </w14:textFill>
                    </w:rPr>
                    <w:t>相对本项目距离（m）</w:t>
                  </w:r>
                </w:p>
              </w:tc>
              <w:tc>
                <w:tcPr>
                  <w:tcW w:w="1000" w:type="pct"/>
                  <w:noWrap w:val="0"/>
                  <w:vAlign w:val="top"/>
                </w:tcPr>
                <w:p w14:paraId="7B27A1F8">
                  <w:pPr>
                    <w:snapToGrid w:val="0"/>
                    <w:jc w:val="cente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监测项目</w:t>
                  </w:r>
                </w:p>
              </w:tc>
            </w:tr>
            <w:tr w14:paraId="4806F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1" w:type="pct"/>
                  <w:noWrap w:val="0"/>
                  <w:vAlign w:val="top"/>
                </w:tcPr>
                <w:p w14:paraId="2866B59F">
                  <w:pPr>
                    <w:snapToGrid w:val="0"/>
                    <w:jc w:val="cente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1</w:t>
                  </w:r>
                </w:p>
              </w:tc>
              <w:tc>
                <w:tcPr>
                  <w:tcW w:w="591" w:type="pct"/>
                  <w:noWrap w:val="0"/>
                  <w:vAlign w:val="top"/>
                </w:tcPr>
                <w:p w14:paraId="32E6DECC">
                  <w:pPr>
                    <w:snapToGrid w:val="0"/>
                    <w:jc w:val="cente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厂区</w:t>
                  </w:r>
                </w:p>
              </w:tc>
              <w:tc>
                <w:tcPr>
                  <w:tcW w:w="1595" w:type="pct"/>
                  <w:noWrap w:val="0"/>
                  <w:vAlign w:val="top"/>
                </w:tcPr>
                <w:p w14:paraId="1A7F29DE">
                  <w:pPr>
                    <w:snapToGrid w:val="0"/>
                    <w:jc w:val="cente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北侧上风向</w:t>
                  </w:r>
                </w:p>
              </w:tc>
              <w:tc>
                <w:tcPr>
                  <w:tcW w:w="1261" w:type="pct"/>
                  <w:noWrap w:val="0"/>
                  <w:vAlign w:val="top"/>
                </w:tcPr>
                <w:p w14:paraId="77B969FE">
                  <w:pPr>
                    <w:snapToGrid w:val="0"/>
                    <w:jc w:val="cente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200</w:t>
                  </w:r>
                </w:p>
              </w:tc>
              <w:tc>
                <w:tcPr>
                  <w:tcW w:w="1000" w:type="pct"/>
                  <w:noWrap w:val="0"/>
                  <w:vAlign w:val="top"/>
                </w:tcPr>
                <w:p w14:paraId="2D1FBA72">
                  <w:pPr>
                    <w:snapToGrid w:val="0"/>
                    <w:jc w:val="cente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vertAlign w:val="baseline"/>
                      <w:lang w:val="en-US" w:eastAsia="zh-CN"/>
                      <w14:textFill>
                        <w14:solidFill>
                          <w14:schemeClr w14:val="tx1"/>
                        </w14:solidFill>
                      </w14:textFill>
                    </w:rPr>
                    <w:t>TSP</w:t>
                  </w:r>
                </w:p>
              </w:tc>
            </w:tr>
          </w:tbl>
          <w:p w14:paraId="5BA3FAE0">
            <w:pPr>
              <w:snapToGrid w:val="0"/>
              <w:jc w:val="cente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978535</wp:posOffset>
                      </wp:positionH>
                      <wp:positionV relativeFrom="paragraph">
                        <wp:posOffset>1784350</wp:posOffset>
                      </wp:positionV>
                      <wp:extent cx="307340" cy="168910"/>
                      <wp:effectExtent l="9525" t="9525" r="26035" b="12065"/>
                      <wp:wrapNone/>
                      <wp:docPr id="8" name="矩形 150"/>
                      <wp:cNvGraphicFramePr/>
                      <a:graphic xmlns:a="http://schemas.openxmlformats.org/drawingml/2006/main">
                        <a:graphicData uri="http://schemas.microsoft.com/office/word/2010/wordprocessingShape">
                          <wps:wsp>
                            <wps:cNvSpPr/>
                            <wps:spPr>
                              <a:xfrm>
                                <a:off x="0" y="0"/>
                                <a:ext cx="307340" cy="168910"/>
                              </a:xfrm>
                              <a:prstGeom prst="rect">
                                <a:avLst/>
                              </a:prstGeom>
                              <a:noFill/>
                              <a:ln w="19050" cap="flat" cmpd="sng">
                                <a:solidFill>
                                  <a:srgbClr val="C00000"/>
                                </a:solidFill>
                                <a:prstDash val="solid"/>
                                <a:miter/>
                                <a:headEnd type="none" w="med" len="med"/>
                                <a:tailEnd type="none" w="med" len="med"/>
                              </a:ln>
                            </wps:spPr>
                            <wps:bodyPr upright="1"/>
                          </wps:wsp>
                        </a:graphicData>
                      </a:graphic>
                    </wp:anchor>
                  </w:drawing>
                </mc:Choice>
                <mc:Fallback>
                  <w:pict>
                    <v:rect id="矩形 150" o:spid="_x0000_s1026" o:spt="1" style="position:absolute;left:0pt;margin-left:77.05pt;margin-top:140.5pt;height:13.3pt;width:24.2pt;z-index:251666432;mso-width-relative:page;mso-height-relative:page;" filled="f" stroked="t" coordsize="21600,21600" o:gfxdata="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4zudf2QAAAAsBAAAPAAAAAAAAAAEAIAAAACIAAABkcnMvZG93bnJldi54&#10;bWxQSwECFAAUAAAACACHTuJACBLCaPkBAAD3AwAADgAAAAAAAAABACAAAAAoAQAAZHJzL2Uyb0Rv&#10;Yy54bWxQSwUGAAAAAAYABgBZAQAAkwUAAAAA&#10;">
                      <v:fill on="f" focussize="0,0"/>
                      <v:stroke weight="1.5pt" color="#C00000" joinstyle="miter"/>
                      <v:imagedata o:title=""/>
                      <o:lock v:ext="edit" aspectratio="f"/>
                    </v:rect>
                  </w:pict>
                </mc:Fallback>
              </mc:AlternateContent>
            </w:r>
            <w:r>
              <w:rPr>
                <w:rFonts w:hint="default" w:ascii="Times New Roman" w:hAnsi="Times New Roman"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186690</wp:posOffset>
                      </wp:positionH>
                      <wp:positionV relativeFrom="paragraph">
                        <wp:posOffset>1464310</wp:posOffset>
                      </wp:positionV>
                      <wp:extent cx="1113155" cy="1104265"/>
                      <wp:effectExtent l="4445" t="4445" r="6350" b="15240"/>
                      <wp:wrapNone/>
                      <wp:docPr id="7" name="文本框 149"/>
                      <wp:cNvGraphicFramePr/>
                      <a:graphic xmlns:a="http://schemas.openxmlformats.org/drawingml/2006/main">
                        <a:graphicData uri="http://schemas.microsoft.com/office/word/2010/wordprocessingShape">
                          <wps:wsp>
                            <wps:cNvSpPr txBox="1"/>
                            <wps:spPr>
                              <a:xfrm>
                                <a:off x="0" y="0"/>
                                <a:ext cx="1113155" cy="1104265"/>
                              </a:xfrm>
                              <a:prstGeom prst="rect">
                                <a:avLst/>
                              </a:prstGeom>
                              <a:noFill/>
                              <a:ln w="9525" cap="flat" cmpd="sng">
                                <a:solidFill>
                                  <a:srgbClr val="000000"/>
                                </a:solidFill>
                                <a:prstDash val="solid"/>
                                <a:miter/>
                                <a:headEnd type="none" w="med" len="med"/>
                                <a:tailEnd type="none" w="med" len="med"/>
                              </a:ln>
                            </wps:spPr>
                            <wps:txbx>
                              <w:txbxContent>
                                <w:p w14:paraId="364BBE41">
                                  <w:pPr>
                                    <w:spacing w:line="360" w:lineRule="auto"/>
                                    <w:ind w:firstLine="211" w:firstLineChars="100"/>
                                    <w:rPr>
                                      <w:rFonts w:hint="eastAsia"/>
                                      <w:b/>
                                      <w:bCs/>
                                      <w:color w:val="FFFFFF"/>
                                      <w:lang w:val="en-US" w:eastAsia="zh-CN"/>
                                    </w:rPr>
                                  </w:pPr>
                                  <w:r>
                                    <w:rPr>
                                      <w:rFonts w:hint="eastAsia"/>
                                      <w:b/>
                                      <w:bCs/>
                                      <w:color w:val="FFFFFF"/>
                                      <w:lang w:val="en-US" w:eastAsia="zh-CN"/>
                                    </w:rPr>
                                    <w:t>图例</w:t>
                                  </w:r>
                                </w:p>
                                <w:p w14:paraId="48A3EE12">
                                  <w:pPr>
                                    <w:spacing w:line="360" w:lineRule="auto"/>
                                    <w:rPr>
                                      <w:rFonts w:hint="eastAsia"/>
                                      <w:b/>
                                      <w:bCs/>
                                      <w:color w:val="FFFFFF"/>
                                      <w:lang w:val="en-US" w:eastAsia="zh-CN"/>
                                    </w:rPr>
                                  </w:pPr>
                                  <w:r>
                                    <w:rPr>
                                      <w:rFonts w:hint="eastAsia"/>
                                      <w:b/>
                                      <w:bCs/>
                                      <w:color w:val="FFFFFF"/>
                                      <w:lang w:val="en-US" w:eastAsia="zh-CN"/>
                                    </w:rPr>
                                    <w:t>本项目位置</w:t>
                                  </w:r>
                                </w:p>
                                <w:p w14:paraId="556B9BCE">
                                  <w:pPr>
                                    <w:spacing w:line="360" w:lineRule="auto"/>
                                    <w:rPr>
                                      <w:rFonts w:hint="eastAsia"/>
                                      <w:b/>
                                      <w:bCs/>
                                      <w:color w:val="FFFFFF"/>
                                      <w:lang w:val="en-US" w:eastAsia="zh-CN"/>
                                    </w:rPr>
                                  </w:pPr>
                                  <w:r>
                                    <w:rPr>
                                      <w:rFonts w:hint="eastAsia"/>
                                      <w:b/>
                                      <w:bCs/>
                                      <w:color w:val="FFFFFF"/>
                                      <w:lang w:val="en-US" w:eastAsia="zh-CN"/>
                                    </w:rPr>
                                    <w:t>引用点位置</w:t>
                                  </w:r>
                                </w:p>
                                <w:p w14:paraId="31741A2C">
                                  <w:pPr>
                                    <w:spacing w:line="360" w:lineRule="auto"/>
                                    <w:rPr>
                                      <w:rFonts w:hint="default"/>
                                      <w:b/>
                                      <w:bCs/>
                                      <w:color w:val="FFFFFF"/>
                                      <w:lang w:val="en-US" w:eastAsia="zh-CN"/>
                                    </w:rPr>
                                  </w:pPr>
                                  <w:r>
                                    <w:rPr>
                                      <w:rFonts w:hint="eastAsia"/>
                                      <w:b/>
                                      <w:bCs/>
                                      <w:color w:val="FFFFFF"/>
                                      <w:lang w:val="en-US" w:eastAsia="zh-CN"/>
                                    </w:rPr>
                                    <w:t>比例尺</w:t>
                                  </w:r>
                                </w:p>
                              </w:txbxContent>
                            </wps:txbx>
                            <wps:bodyPr upright="1"/>
                          </wps:wsp>
                        </a:graphicData>
                      </a:graphic>
                    </wp:anchor>
                  </w:drawing>
                </mc:Choice>
                <mc:Fallback>
                  <w:pict>
                    <v:shape id="文本框 149" o:spid="_x0000_s1026" o:spt="202" type="#_x0000_t202" style="position:absolute;left:0pt;margin-left:14.7pt;margin-top:115.3pt;height:86.95pt;width:87.65pt;z-index:251665408;mso-width-relative:page;mso-height-relative:page;" filled="f" stroked="t" coordsize="21600,21600" o:gfxdata="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Vx1MN1wAAAAoBAAAPAAAAAAAAAAEAIAAAACIAAABk&#10;cnMvZG93bnJldi54bWxQSwECFAAUAAAACACHTuJA6RgKiAcCAAAQBAAADgAAAAAAAAABACAAAAAm&#10;AQAAZHJzL2Uyb0RvYy54bWxQSwUGAAAAAAYABgBZAQAAnwUAAAAA&#10;">
                      <v:fill on="f" focussize="0,0"/>
                      <v:stroke color="#000000" joinstyle="miter"/>
                      <v:imagedata o:title=""/>
                      <o:lock v:ext="edit" aspectratio="f"/>
                      <v:textbox>
                        <w:txbxContent>
                          <w:p w14:paraId="364BBE41">
                            <w:pPr>
                              <w:spacing w:line="360" w:lineRule="auto"/>
                              <w:ind w:firstLine="211" w:firstLineChars="100"/>
                              <w:rPr>
                                <w:rFonts w:hint="eastAsia"/>
                                <w:b/>
                                <w:bCs/>
                                <w:color w:val="FFFFFF"/>
                                <w:lang w:val="en-US" w:eastAsia="zh-CN"/>
                              </w:rPr>
                            </w:pPr>
                            <w:r>
                              <w:rPr>
                                <w:rFonts w:hint="eastAsia"/>
                                <w:b/>
                                <w:bCs/>
                                <w:color w:val="FFFFFF"/>
                                <w:lang w:val="en-US" w:eastAsia="zh-CN"/>
                              </w:rPr>
                              <w:t>图例</w:t>
                            </w:r>
                          </w:p>
                          <w:p w14:paraId="48A3EE12">
                            <w:pPr>
                              <w:spacing w:line="360" w:lineRule="auto"/>
                              <w:rPr>
                                <w:rFonts w:hint="eastAsia"/>
                                <w:b/>
                                <w:bCs/>
                                <w:color w:val="FFFFFF"/>
                                <w:lang w:val="en-US" w:eastAsia="zh-CN"/>
                              </w:rPr>
                            </w:pPr>
                            <w:r>
                              <w:rPr>
                                <w:rFonts w:hint="eastAsia"/>
                                <w:b/>
                                <w:bCs/>
                                <w:color w:val="FFFFFF"/>
                                <w:lang w:val="en-US" w:eastAsia="zh-CN"/>
                              </w:rPr>
                              <w:t>本项目位置</w:t>
                            </w:r>
                          </w:p>
                          <w:p w14:paraId="556B9BCE">
                            <w:pPr>
                              <w:spacing w:line="360" w:lineRule="auto"/>
                              <w:rPr>
                                <w:rFonts w:hint="eastAsia"/>
                                <w:b/>
                                <w:bCs/>
                                <w:color w:val="FFFFFF"/>
                                <w:lang w:val="en-US" w:eastAsia="zh-CN"/>
                              </w:rPr>
                            </w:pPr>
                            <w:r>
                              <w:rPr>
                                <w:rFonts w:hint="eastAsia"/>
                                <w:b/>
                                <w:bCs/>
                                <w:color w:val="FFFFFF"/>
                                <w:lang w:val="en-US" w:eastAsia="zh-CN"/>
                              </w:rPr>
                              <w:t>引用点位置</w:t>
                            </w:r>
                          </w:p>
                          <w:p w14:paraId="31741A2C">
                            <w:pPr>
                              <w:spacing w:line="360" w:lineRule="auto"/>
                              <w:rPr>
                                <w:rFonts w:hint="default"/>
                                <w:b/>
                                <w:bCs/>
                                <w:color w:val="FFFFFF"/>
                                <w:lang w:val="en-US" w:eastAsia="zh-CN"/>
                              </w:rPr>
                            </w:pPr>
                            <w:r>
                              <w:rPr>
                                <w:rFonts w:hint="eastAsia"/>
                                <w:b/>
                                <w:bCs/>
                                <w:color w:val="FFFFFF"/>
                                <w:lang w:val="en-US" w:eastAsia="zh-CN"/>
                              </w:rPr>
                              <w:t>比例尺</w:t>
                            </w:r>
                          </w:p>
                        </w:txbxContent>
                      </v:textbox>
                    </v:shape>
                  </w:pict>
                </mc:Fallback>
              </mc:AlternateContent>
            </w:r>
            <w:r>
              <w:rPr>
                <w:rFonts w:hint="default" w:ascii="Times New Roman" w:hAnsi="Times New Roman" w:eastAsia="宋体" w:cs="Times New Roman"/>
                <w:color w:val="000000" w:themeColor="text1"/>
                <w:sz w:val="24"/>
                <w:szCs w:val="24"/>
                <w:highlight w:val="none"/>
                <w14:textFill>
                  <w14:solidFill>
                    <w14:schemeClr w14:val="tx1"/>
                  </w14:solidFill>
                </w14:textFill>
              </w:rPr>
              <w:drawing>
                <wp:anchor distT="0" distB="0" distL="114300" distR="114300" simplePos="0" relativeHeight="251664384" behindDoc="0" locked="0" layoutInCell="1" allowOverlap="1">
                  <wp:simplePos x="0" y="0"/>
                  <wp:positionH relativeFrom="column">
                    <wp:posOffset>222250</wp:posOffset>
                  </wp:positionH>
                  <wp:positionV relativeFrom="paragraph">
                    <wp:posOffset>41275</wp:posOffset>
                  </wp:positionV>
                  <wp:extent cx="930910" cy="925830"/>
                  <wp:effectExtent l="0" t="0" r="2540" b="7620"/>
                  <wp:wrapNone/>
                  <wp:docPr id="6" name="图片 14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48" descr="IMG_256"/>
                          <pic:cNvPicPr>
                            <a:picLocks noChangeAspect="1"/>
                          </pic:cNvPicPr>
                        </pic:nvPicPr>
                        <pic:blipFill>
                          <a:blip r:embed="rId22"/>
                          <a:stretch>
                            <a:fillRect/>
                          </a:stretch>
                        </pic:blipFill>
                        <pic:spPr>
                          <a:xfrm>
                            <a:off x="0" y="0"/>
                            <a:ext cx="930910" cy="925830"/>
                          </a:xfrm>
                          <a:prstGeom prst="rect">
                            <a:avLst/>
                          </a:prstGeom>
                          <a:noFill/>
                          <a:ln>
                            <a:noFill/>
                          </a:ln>
                        </pic:spPr>
                      </pic:pic>
                    </a:graphicData>
                  </a:graphic>
                </wp:anchor>
              </w:drawing>
            </w:r>
            <w:r>
              <w:rPr>
                <w:rFonts w:hint="default" w:ascii="Times New Roman" w:hAnsi="Times New Roman" w:eastAsia="宋体" w:cs="Times New Roman"/>
                <w:color w:val="000000" w:themeColor="text1"/>
                <w:sz w:val="24"/>
                <w:szCs w:val="24"/>
                <w:highlight w:val="none"/>
                <w14:textFill>
                  <w14:solidFill>
                    <w14:schemeClr w14:val="tx1"/>
                  </w14:solidFill>
                </w14:textFill>
              </w:rPr>
              <w:drawing>
                <wp:anchor distT="0" distB="0" distL="114300" distR="114300" simplePos="0" relativeHeight="251668480" behindDoc="0" locked="0" layoutInCell="1" allowOverlap="1">
                  <wp:simplePos x="0" y="0"/>
                  <wp:positionH relativeFrom="column">
                    <wp:posOffset>972820</wp:posOffset>
                  </wp:positionH>
                  <wp:positionV relativeFrom="paragraph">
                    <wp:posOffset>2308225</wp:posOffset>
                  </wp:positionV>
                  <wp:extent cx="223520" cy="196850"/>
                  <wp:effectExtent l="0" t="0" r="5080" b="12700"/>
                  <wp:wrapNone/>
                  <wp:docPr id="10" name="图片 15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52" descr="IMG_256"/>
                          <pic:cNvPicPr>
                            <a:picLocks noChangeAspect="1"/>
                          </pic:cNvPicPr>
                        </pic:nvPicPr>
                        <pic:blipFill>
                          <a:blip r:embed="rId23"/>
                          <a:stretch>
                            <a:fillRect/>
                          </a:stretch>
                        </pic:blipFill>
                        <pic:spPr>
                          <a:xfrm>
                            <a:off x="0" y="0"/>
                            <a:ext cx="223520" cy="196850"/>
                          </a:xfrm>
                          <a:prstGeom prst="rect">
                            <a:avLst/>
                          </a:prstGeom>
                          <a:noFill/>
                          <a:ln>
                            <a:noFill/>
                          </a:ln>
                        </pic:spPr>
                      </pic:pic>
                    </a:graphicData>
                  </a:graphic>
                </wp:anchor>
              </w:drawing>
            </w:r>
            <w:r>
              <w:rPr>
                <w:rFonts w:hint="default" w:ascii="Times New Roman" w:hAnsi="Times New Roman" w:eastAsia="宋体" w:cs="Times New Roman"/>
                <w:color w:val="000000" w:themeColor="text1"/>
                <w:sz w:val="24"/>
                <w:szCs w:val="24"/>
                <w:highlight w:val="none"/>
                <w14:textFill>
                  <w14:solidFill>
                    <w14:schemeClr w14:val="tx1"/>
                  </w14:solidFill>
                </w14:textFill>
              </w:rPr>
              <w:drawing>
                <wp:anchor distT="0" distB="0" distL="114300" distR="114300" simplePos="0" relativeHeight="251667456" behindDoc="0" locked="0" layoutInCell="1" allowOverlap="1">
                  <wp:simplePos x="0" y="0"/>
                  <wp:positionH relativeFrom="column">
                    <wp:posOffset>1005840</wp:posOffset>
                  </wp:positionH>
                  <wp:positionV relativeFrom="paragraph">
                    <wp:posOffset>2019300</wp:posOffset>
                  </wp:positionV>
                  <wp:extent cx="161925" cy="200025"/>
                  <wp:effectExtent l="0" t="0" r="9525" b="9525"/>
                  <wp:wrapNone/>
                  <wp:docPr id="9" name="图片 15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51" descr="IMG_256"/>
                          <pic:cNvPicPr>
                            <a:picLocks noChangeAspect="1"/>
                          </pic:cNvPicPr>
                        </pic:nvPicPr>
                        <pic:blipFill>
                          <a:blip r:embed="rId24"/>
                          <a:stretch>
                            <a:fillRect/>
                          </a:stretch>
                        </pic:blipFill>
                        <pic:spPr>
                          <a:xfrm>
                            <a:off x="0" y="0"/>
                            <a:ext cx="161925" cy="200025"/>
                          </a:xfrm>
                          <a:prstGeom prst="rect">
                            <a:avLst/>
                          </a:prstGeom>
                          <a:noFill/>
                          <a:ln>
                            <a:noFill/>
                          </a:ln>
                        </pic:spPr>
                      </pic:pic>
                    </a:graphicData>
                  </a:graphic>
                </wp:anchor>
              </w:drawing>
            </w:r>
            <w:r>
              <w:rPr>
                <w:rFonts w:hint="default" w:ascii="Times New Roman" w:hAnsi="Times New Roman" w:eastAsia="宋体" w:cs="Times New Roman"/>
                <w:color w:val="000000" w:themeColor="text1"/>
                <w:sz w:val="24"/>
                <w:szCs w:val="24"/>
                <w:highlight w:val="none"/>
                <w14:textFill>
                  <w14:solidFill>
                    <w14:schemeClr w14:val="tx1"/>
                  </w14:solidFill>
                </w14:textFill>
              </w:rPr>
              <w:drawing>
                <wp:inline distT="0" distB="0" distL="114300" distR="114300">
                  <wp:extent cx="4923790" cy="2581910"/>
                  <wp:effectExtent l="0" t="0" r="10160" b="8890"/>
                  <wp:docPr id="49"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1" descr="IMG_256"/>
                          <pic:cNvPicPr>
                            <a:picLocks noChangeAspect="1"/>
                          </pic:cNvPicPr>
                        </pic:nvPicPr>
                        <pic:blipFill>
                          <a:blip r:embed="rId25"/>
                          <a:stretch>
                            <a:fillRect/>
                          </a:stretch>
                        </pic:blipFill>
                        <pic:spPr>
                          <a:xfrm>
                            <a:off x="0" y="0"/>
                            <a:ext cx="4923790" cy="2581910"/>
                          </a:xfrm>
                          <a:prstGeom prst="rect">
                            <a:avLst/>
                          </a:prstGeom>
                          <a:noFill/>
                          <a:ln>
                            <a:noFill/>
                          </a:ln>
                        </pic:spPr>
                      </pic:pic>
                    </a:graphicData>
                  </a:graphic>
                </wp:inline>
              </w:drawing>
            </w:r>
          </w:p>
          <w:p w14:paraId="62251649">
            <w:pPr>
              <w:keepNext w:val="0"/>
              <w:keepLines w:val="0"/>
              <w:widowControl/>
              <w:suppressLineNumbers w:val="0"/>
              <w:spacing w:line="360" w:lineRule="auto"/>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图3-1引用《内蒙古励泰生物能源有限责任公司年产60万吨兰炭型焦配套储棚建设项目》监测点位与本项目相对位置图</w:t>
            </w:r>
          </w:p>
          <w:p w14:paraId="39955263">
            <w:pPr>
              <w:keepNext w:val="0"/>
              <w:keepLines w:val="0"/>
              <w:pageBreakBefore w:val="0"/>
              <w:widowControl w:val="0"/>
              <w:kinsoku/>
              <w:wordWrap/>
              <w:overflowPunct/>
              <w:topLinePunct w:val="0"/>
              <w:autoSpaceDE/>
              <w:autoSpaceDN/>
              <w:bidi w:val="0"/>
              <w:adjustRightInd/>
              <w:snapToGrid w:val="0"/>
              <w:spacing w:line="360" w:lineRule="auto"/>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drawing>
                <wp:anchor distT="0" distB="0" distL="114300" distR="114300" simplePos="0" relativeHeight="251681792" behindDoc="0" locked="0" layoutInCell="1" allowOverlap="1">
                  <wp:simplePos x="0" y="0"/>
                  <wp:positionH relativeFrom="column">
                    <wp:posOffset>16510</wp:posOffset>
                  </wp:positionH>
                  <wp:positionV relativeFrom="paragraph">
                    <wp:posOffset>24130</wp:posOffset>
                  </wp:positionV>
                  <wp:extent cx="930910" cy="925830"/>
                  <wp:effectExtent l="0" t="0" r="2540" b="7620"/>
                  <wp:wrapNone/>
                  <wp:docPr id="24" name="图片 18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84" descr="IMG_256"/>
                          <pic:cNvPicPr>
                            <a:picLocks noChangeAspect="1"/>
                          </pic:cNvPicPr>
                        </pic:nvPicPr>
                        <pic:blipFill>
                          <a:blip r:embed="rId22"/>
                          <a:stretch>
                            <a:fillRect/>
                          </a:stretch>
                        </pic:blipFill>
                        <pic:spPr>
                          <a:xfrm>
                            <a:off x="0" y="0"/>
                            <a:ext cx="930910" cy="925830"/>
                          </a:xfrm>
                          <a:prstGeom prst="rect">
                            <a:avLst/>
                          </a:prstGeom>
                          <a:noFill/>
                          <a:ln>
                            <a:noFill/>
                          </a:ln>
                        </pic:spPr>
                      </pic:pic>
                    </a:graphicData>
                  </a:graphic>
                </wp:anchor>
              </w:drawing>
            </w:r>
            <w:r>
              <w:rPr>
                <w:rFonts w:ascii="宋体" w:hAnsi="宋体" w:eastAsia="宋体" w:cs="宋体"/>
                <w:color w:val="000000" w:themeColor="text1"/>
                <w:sz w:val="24"/>
                <w:szCs w:val="24"/>
                <w:highlight w:val="none"/>
                <w14:textFill>
                  <w14:solidFill>
                    <w14:schemeClr w14:val="tx1"/>
                  </w14:solidFill>
                </w14:textFill>
              </w:rPr>
              <w:drawing>
                <wp:anchor distT="0" distB="0" distL="114300" distR="114300" simplePos="0" relativeHeight="251685888" behindDoc="0" locked="0" layoutInCell="1" allowOverlap="1">
                  <wp:simplePos x="0" y="0"/>
                  <wp:positionH relativeFrom="column">
                    <wp:posOffset>3905885</wp:posOffset>
                  </wp:positionH>
                  <wp:positionV relativeFrom="paragraph">
                    <wp:posOffset>2651760</wp:posOffset>
                  </wp:positionV>
                  <wp:extent cx="332740" cy="80645"/>
                  <wp:effectExtent l="0" t="0" r="10160" b="14605"/>
                  <wp:wrapNone/>
                  <wp:docPr id="28" name="图片 18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88" descr="IMG_256"/>
                          <pic:cNvPicPr>
                            <a:picLocks noChangeAspect="1"/>
                          </pic:cNvPicPr>
                        </pic:nvPicPr>
                        <pic:blipFill>
                          <a:blip r:embed="rId26"/>
                          <a:stretch>
                            <a:fillRect/>
                          </a:stretch>
                        </pic:blipFill>
                        <pic:spPr>
                          <a:xfrm>
                            <a:off x="0" y="0"/>
                            <a:ext cx="332740" cy="80645"/>
                          </a:xfrm>
                          <a:prstGeom prst="rect">
                            <a:avLst/>
                          </a:prstGeom>
                          <a:noFill/>
                          <a:ln>
                            <a:noFill/>
                          </a:ln>
                        </pic:spPr>
                      </pic:pic>
                    </a:graphicData>
                  </a:graphic>
                </wp:anchor>
              </w:drawing>
            </w:r>
            <w:r>
              <w:rPr>
                <w:rFonts w:ascii="宋体" w:hAnsi="宋体" w:eastAsia="宋体" w:cs="宋体"/>
                <w:color w:val="000000" w:themeColor="text1"/>
                <w:sz w:val="24"/>
                <w:szCs w:val="24"/>
                <w:highlight w:val="none"/>
                <w14:textFill>
                  <w14:solidFill>
                    <w14:schemeClr w14:val="tx1"/>
                  </w14:solidFill>
                </w14:textFill>
              </w:rPr>
              <w:drawing>
                <wp:anchor distT="0" distB="0" distL="114300" distR="114300" simplePos="0" relativeHeight="251684864" behindDoc="0" locked="0" layoutInCell="1" allowOverlap="1">
                  <wp:simplePos x="0" y="0"/>
                  <wp:positionH relativeFrom="column">
                    <wp:posOffset>3834130</wp:posOffset>
                  </wp:positionH>
                  <wp:positionV relativeFrom="paragraph">
                    <wp:posOffset>2250440</wp:posOffset>
                  </wp:positionV>
                  <wp:extent cx="264795" cy="264795"/>
                  <wp:effectExtent l="0" t="0" r="1905" b="1905"/>
                  <wp:wrapNone/>
                  <wp:docPr id="27" name="图片 18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87" descr="IMG_256"/>
                          <pic:cNvPicPr>
                            <a:picLocks noChangeAspect="1"/>
                          </pic:cNvPicPr>
                        </pic:nvPicPr>
                        <pic:blipFill>
                          <a:blip r:embed="rId27"/>
                          <a:srcRect r="1042" b="26512"/>
                          <a:stretch>
                            <a:fillRect/>
                          </a:stretch>
                        </pic:blipFill>
                        <pic:spPr>
                          <a:xfrm>
                            <a:off x="0" y="0"/>
                            <a:ext cx="264795" cy="264795"/>
                          </a:xfrm>
                          <a:prstGeom prst="rect">
                            <a:avLst/>
                          </a:prstGeom>
                          <a:noFill/>
                          <a:ln>
                            <a:noFill/>
                          </a:ln>
                        </pic:spPr>
                      </pic:pic>
                    </a:graphicData>
                  </a:graphic>
                </wp:anchor>
              </w:drawing>
            </w:r>
            <w:r>
              <w:rPr>
                <w:rFonts w:hint="default" w:ascii="Times New Roman" w:hAnsi="Times New Roman"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683840" behindDoc="0" locked="0" layoutInCell="1" allowOverlap="1">
                      <wp:simplePos x="0" y="0"/>
                      <wp:positionH relativeFrom="column">
                        <wp:posOffset>3810000</wp:posOffset>
                      </wp:positionH>
                      <wp:positionV relativeFrom="paragraph">
                        <wp:posOffset>2044065</wp:posOffset>
                      </wp:positionV>
                      <wp:extent cx="307340" cy="168910"/>
                      <wp:effectExtent l="9525" t="9525" r="26035" b="12065"/>
                      <wp:wrapNone/>
                      <wp:docPr id="26" name="矩形 186"/>
                      <wp:cNvGraphicFramePr/>
                      <a:graphic xmlns:a="http://schemas.openxmlformats.org/drawingml/2006/main">
                        <a:graphicData uri="http://schemas.microsoft.com/office/word/2010/wordprocessingShape">
                          <wps:wsp>
                            <wps:cNvSpPr/>
                            <wps:spPr>
                              <a:xfrm>
                                <a:off x="0" y="0"/>
                                <a:ext cx="307340" cy="168910"/>
                              </a:xfrm>
                              <a:prstGeom prst="rect">
                                <a:avLst/>
                              </a:prstGeom>
                              <a:noFill/>
                              <a:ln w="19050" cap="flat" cmpd="sng">
                                <a:solidFill>
                                  <a:srgbClr val="C00000"/>
                                </a:solidFill>
                                <a:prstDash val="solid"/>
                                <a:miter/>
                                <a:headEnd type="none" w="med" len="med"/>
                                <a:tailEnd type="none" w="med" len="med"/>
                              </a:ln>
                            </wps:spPr>
                            <wps:bodyPr upright="1"/>
                          </wps:wsp>
                        </a:graphicData>
                      </a:graphic>
                    </wp:anchor>
                  </w:drawing>
                </mc:Choice>
                <mc:Fallback>
                  <w:pict>
                    <v:rect id="矩形 186" o:spid="_x0000_s1026" o:spt="1" style="position:absolute;left:0pt;margin-left:300pt;margin-top:160.95pt;height:13.3pt;width:24.2pt;z-index:251683840;mso-width-relative:page;mso-height-relative:page;" filled="f" stroked="t" coordsize="21600,21600" o:gfxdata="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9t82ltkAAAALAQAADwAAAAAAAAABACAAAAAiAAAAZHJzL2Rvd25yZXYu&#10;eG1sUEsBAhQAFAAAAAgAh07iQHGC0p36AQAA+AMAAA4AAAAAAAAAAQAgAAAAKAEAAGRycy9lMm9E&#10;b2MueG1sUEsFBgAAAAAGAAYAWQEAAJQFAAAAAA==&#10;">
                      <v:fill on="f" focussize="0,0"/>
                      <v:stroke weight="1.5pt" color="#C00000" joinstyle="miter"/>
                      <v:imagedata o:title=""/>
                      <o:lock v:ext="edit" aspectratio="f"/>
                    </v:rect>
                  </w:pict>
                </mc:Fallback>
              </mc:AlternateContent>
            </w:r>
            <w:r>
              <w:rPr>
                <w:rFonts w:hint="default" w:ascii="Times New Roman" w:hAnsi="Times New Roman" w:cs="Times New Roman"/>
                <w:color w:val="000000" w:themeColor="text1"/>
                <w:sz w:val="24"/>
                <w:highlight w:val="none"/>
                <w14:textFill>
                  <w14:solidFill>
                    <w14:schemeClr w14:val="tx1"/>
                  </w14:solidFill>
                </w14:textFill>
              </w:rPr>
              <mc:AlternateContent>
                <mc:Choice Requires="wps">
                  <w:drawing>
                    <wp:anchor distT="0" distB="0" distL="114300" distR="114300" simplePos="0" relativeHeight="251682816" behindDoc="0" locked="0" layoutInCell="1" allowOverlap="1">
                      <wp:simplePos x="0" y="0"/>
                      <wp:positionH relativeFrom="column">
                        <wp:posOffset>3796665</wp:posOffset>
                      </wp:positionH>
                      <wp:positionV relativeFrom="paragraph">
                        <wp:posOffset>1749425</wp:posOffset>
                      </wp:positionV>
                      <wp:extent cx="1113155" cy="1104265"/>
                      <wp:effectExtent l="4445" t="4445" r="6350" b="15240"/>
                      <wp:wrapNone/>
                      <wp:docPr id="25" name="文本框 185"/>
                      <wp:cNvGraphicFramePr/>
                      <a:graphic xmlns:a="http://schemas.openxmlformats.org/drawingml/2006/main">
                        <a:graphicData uri="http://schemas.microsoft.com/office/word/2010/wordprocessingShape">
                          <wps:wsp>
                            <wps:cNvSpPr txBox="1"/>
                            <wps:spPr>
                              <a:xfrm>
                                <a:off x="0" y="0"/>
                                <a:ext cx="1113155" cy="1104265"/>
                              </a:xfrm>
                              <a:prstGeom prst="rect">
                                <a:avLst/>
                              </a:prstGeom>
                              <a:noFill/>
                              <a:ln w="9525" cap="flat" cmpd="sng">
                                <a:solidFill>
                                  <a:srgbClr val="000000"/>
                                </a:solidFill>
                                <a:prstDash val="solid"/>
                                <a:miter/>
                                <a:headEnd type="none" w="med" len="med"/>
                                <a:tailEnd type="none" w="med" len="med"/>
                              </a:ln>
                            </wps:spPr>
                            <wps:txbx>
                              <w:txbxContent>
                                <w:p w14:paraId="363DFE15">
                                  <w:pPr>
                                    <w:spacing w:line="360" w:lineRule="auto"/>
                                    <w:ind w:firstLine="211" w:firstLineChars="100"/>
                                    <w:rPr>
                                      <w:rFonts w:hint="eastAsia"/>
                                      <w:b/>
                                      <w:bCs/>
                                      <w:color w:val="FFFFFF"/>
                                      <w:lang w:val="en-US" w:eastAsia="zh-CN"/>
                                    </w:rPr>
                                  </w:pPr>
                                  <w:r>
                                    <w:rPr>
                                      <w:rFonts w:hint="eastAsia"/>
                                      <w:b/>
                                      <w:bCs/>
                                      <w:color w:val="FFFFFF"/>
                                      <w:lang w:val="en-US" w:eastAsia="zh-CN"/>
                                    </w:rPr>
                                    <w:t>图例</w:t>
                                  </w:r>
                                </w:p>
                                <w:p w14:paraId="48DCD89B">
                                  <w:pPr>
                                    <w:spacing w:line="360" w:lineRule="auto"/>
                                    <w:jc w:val="right"/>
                                    <w:rPr>
                                      <w:rFonts w:hint="eastAsia"/>
                                      <w:b/>
                                      <w:bCs/>
                                      <w:color w:val="FFFFFF"/>
                                      <w:lang w:val="en-US" w:eastAsia="zh-CN"/>
                                    </w:rPr>
                                  </w:pPr>
                                  <w:r>
                                    <w:rPr>
                                      <w:rFonts w:hint="eastAsia"/>
                                      <w:b/>
                                      <w:bCs/>
                                      <w:color w:val="FFFFFF"/>
                                      <w:lang w:val="en-US" w:eastAsia="zh-CN"/>
                                    </w:rPr>
                                    <w:t>本项目位置</w:t>
                                  </w:r>
                                </w:p>
                                <w:p w14:paraId="607F8DAD">
                                  <w:pPr>
                                    <w:spacing w:line="360" w:lineRule="auto"/>
                                    <w:jc w:val="right"/>
                                    <w:rPr>
                                      <w:rFonts w:hint="eastAsia"/>
                                      <w:b/>
                                      <w:bCs/>
                                      <w:color w:val="FFFFFF"/>
                                      <w:lang w:val="en-US" w:eastAsia="zh-CN"/>
                                    </w:rPr>
                                  </w:pPr>
                                  <w:r>
                                    <w:rPr>
                                      <w:rFonts w:hint="eastAsia"/>
                                      <w:b/>
                                      <w:bCs/>
                                      <w:color w:val="FFFFFF"/>
                                      <w:lang w:val="en-US" w:eastAsia="zh-CN"/>
                                    </w:rPr>
                                    <w:t>引用点位置</w:t>
                                  </w:r>
                                </w:p>
                                <w:p w14:paraId="713F29DA">
                                  <w:pPr>
                                    <w:spacing w:line="360" w:lineRule="auto"/>
                                    <w:jc w:val="right"/>
                                    <w:rPr>
                                      <w:rFonts w:hint="default"/>
                                      <w:b/>
                                      <w:bCs/>
                                      <w:color w:val="FFFFFF"/>
                                      <w:lang w:val="en-US" w:eastAsia="zh-CN"/>
                                    </w:rPr>
                                  </w:pPr>
                                  <w:r>
                                    <w:rPr>
                                      <w:rFonts w:hint="eastAsia"/>
                                      <w:b/>
                                      <w:bCs/>
                                      <w:color w:val="FFFFFF"/>
                                      <w:lang w:val="en-US" w:eastAsia="zh-CN"/>
                                    </w:rPr>
                                    <w:t>比例尺</w:t>
                                  </w:r>
                                </w:p>
                              </w:txbxContent>
                            </wps:txbx>
                            <wps:bodyPr upright="1"/>
                          </wps:wsp>
                        </a:graphicData>
                      </a:graphic>
                    </wp:anchor>
                  </w:drawing>
                </mc:Choice>
                <mc:Fallback>
                  <w:pict>
                    <v:shape id="文本框 185" o:spid="_x0000_s1026" o:spt="202" type="#_x0000_t202" style="position:absolute;left:0pt;margin-left:298.95pt;margin-top:137.75pt;height:86.95pt;width:87.65pt;z-index:251682816;mso-width-relative:page;mso-height-relative:page;" filled="f" stroked="t" coordsize="21600,21600" o:gfxdata="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Jg9rzzYAAAACwEAAA8AAAAAAAAAAQAgAAAAIgAA&#10;AGRycy9kb3ducmV2LnhtbFBLAQIUABQAAAAIAIdO4kB6Vca9CAIAABEEAAAOAAAAAAAAAAEAIAAA&#10;ACcBAABkcnMvZTJvRG9jLnhtbFBLBQYAAAAABgAGAFkBAAChBQAAAAA=&#10;">
                      <v:fill on="f" focussize="0,0"/>
                      <v:stroke color="#000000" joinstyle="miter"/>
                      <v:imagedata o:title=""/>
                      <o:lock v:ext="edit" aspectratio="f"/>
                      <v:textbox>
                        <w:txbxContent>
                          <w:p w14:paraId="363DFE15">
                            <w:pPr>
                              <w:spacing w:line="360" w:lineRule="auto"/>
                              <w:ind w:firstLine="211" w:firstLineChars="100"/>
                              <w:rPr>
                                <w:rFonts w:hint="eastAsia"/>
                                <w:b/>
                                <w:bCs/>
                                <w:color w:val="FFFFFF"/>
                                <w:lang w:val="en-US" w:eastAsia="zh-CN"/>
                              </w:rPr>
                            </w:pPr>
                            <w:r>
                              <w:rPr>
                                <w:rFonts w:hint="eastAsia"/>
                                <w:b/>
                                <w:bCs/>
                                <w:color w:val="FFFFFF"/>
                                <w:lang w:val="en-US" w:eastAsia="zh-CN"/>
                              </w:rPr>
                              <w:t>图例</w:t>
                            </w:r>
                          </w:p>
                          <w:p w14:paraId="48DCD89B">
                            <w:pPr>
                              <w:spacing w:line="360" w:lineRule="auto"/>
                              <w:jc w:val="right"/>
                              <w:rPr>
                                <w:rFonts w:hint="eastAsia"/>
                                <w:b/>
                                <w:bCs/>
                                <w:color w:val="FFFFFF"/>
                                <w:lang w:val="en-US" w:eastAsia="zh-CN"/>
                              </w:rPr>
                            </w:pPr>
                            <w:r>
                              <w:rPr>
                                <w:rFonts w:hint="eastAsia"/>
                                <w:b/>
                                <w:bCs/>
                                <w:color w:val="FFFFFF"/>
                                <w:lang w:val="en-US" w:eastAsia="zh-CN"/>
                              </w:rPr>
                              <w:t>本项目位置</w:t>
                            </w:r>
                          </w:p>
                          <w:p w14:paraId="607F8DAD">
                            <w:pPr>
                              <w:spacing w:line="360" w:lineRule="auto"/>
                              <w:jc w:val="right"/>
                              <w:rPr>
                                <w:rFonts w:hint="eastAsia"/>
                                <w:b/>
                                <w:bCs/>
                                <w:color w:val="FFFFFF"/>
                                <w:lang w:val="en-US" w:eastAsia="zh-CN"/>
                              </w:rPr>
                            </w:pPr>
                            <w:r>
                              <w:rPr>
                                <w:rFonts w:hint="eastAsia"/>
                                <w:b/>
                                <w:bCs/>
                                <w:color w:val="FFFFFF"/>
                                <w:lang w:val="en-US" w:eastAsia="zh-CN"/>
                              </w:rPr>
                              <w:t>引用点位置</w:t>
                            </w:r>
                          </w:p>
                          <w:p w14:paraId="713F29DA">
                            <w:pPr>
                              <w:spacing w:line="360" w:lineRule="auto"/>
                              <w:jc w:val="right"/>
                              <w:rPr>
                                <w:rFonts w:hint="default"/>
                                <w:b/>
                                <w:bCs/>
                                <w:color w:val="FFFFFF"/>
                                <w:lang w:val="en-US" w:eastAsia="zh-CN"/>
                              </w:rPr>
                            </w:pPr>
                            <w:r>
                              <w:rPr>
                                <w:rFonts w:hint="eastAsia"/>
                                <w:b/>
                                <w:bCs/>
                                <w:color w:val="FFFFFF"/>
                                <w:lang w:val="en-US" w:eastAsia="zh-CN"/>
                              </w:rPr>
                              <w:t>比例尺</w:t>
                            </w:r>
                          </w:p>
                        </w:txbxContent>
                      </v:textbox>
                    </v:shape>
                  </w:pict>
                </mc:Fallback>
              </mc:AlternateContent>
            </w:r>
            <w:r>
              <w:rPr>
                <w:rFonts w:ascii="宋体" w:hAnsi="宋体" w:eastAsia="宋体" w:cs="宋体"/>
                <w:color w:val="000000" w:themeColor="text1"/>
                <w:sz w:val="24"/>
                <w:szCs w:val="24"/>
                <w:highlight w:val="none"/>
                <w14:textFill>
                  <w14:solidFill>
                    <w14:schemeClr w14:val="tx1"/>
                  </w14:solidFill>
                </w14:textFill>
              </w:rPr>
              <w:drawing>
                <wp:inline distT="0" distB="0" distL="114300" distR="114300">
                  <wp:extent cx="4935220" cy="2880995"/>
                  <wp:effectExtent l="0" t="0" r="17780" b="14605"/>
                  <wp:docPr id="50"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2" descr="IMG_256"/>
                          <pic:cNvPicPr>
                            <a:picLocks noChangeAspect="1"/>
                          </pic:cNvPicPr>
                        </pic:nvPicPr>
                        <pic:blipFill>
                          <a:blip r:embed="rId28"/>
                          <a:stretch>
                            <a:fillRect/>
                          </a:stretch>
                        </pic:blipFill>
                        <pic:spPr>
                          <a:xfrm>
                            <a:off x="0" y="0"/>
                            <a:ext cx="4935220" cy="2880995"/>
                          </a:xfrm>
                          <a:prstGeom prst="rect">
                            <a:avLst/>
                          </a:prstGeom>
                          <a:noFill/>
                          <a:ln>
                            <a:noFill/>
                          </a:ln>
                        </pic:spPr>
                      </pic:pic>
                    </a:graphicData>
                  </a:graphic>
                </wp:inline>
              </w:drawing>
            </w:r>
          </w:p>
          <w:p w14:paraId="01D9419F">
            <w:pPr>
              <w:keepNext w:val="0"/>
              <w:keepLines w:val="0"/>
              <w:widowControl/>
              <w:suppressLineNumbers w:val="0"/>
              <w:spacing w:line="360" w:lineRule="auto"/>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图3-</w:t>
            </w:r>
            <w:r>
              <w:rPr>
                <w:rFonts w:hint="eastAsia" w:cs="Times New Roman"/>
                <w:b/>
                <w:bCs/>
                <w:color w:val="000000" w:themeColor="text1"/>
                <w:kern w:val="0"/>
                <w:sz w:val="24"/>
                <w:szCs w:val="24"/>
                <w:highlight w:val="none"/>
                <w:lang w:val="en-US" w:eastAsia="zh-CN" w:bidi="ar"/>
                <w14:textFill>
                  <w14:solidFill>
                    <w14:schemeClr w14:val="tx1"/>
                  </w14:solidFill>
                </w14:textFill>
              </w:rPr>
              <w:t>2</w:t>
            </w:r>
            <w: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引用</w:t>
            </w:r>
            <w:r>
              <w:rPr>
                <w:rFonts w:hint="eastAsia" w:cs="Times New Roman"/>
                <w:b/>
                <w:bCs/>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内蒙古玉晶科技有限公司2×1200t/d光伏压延玻璃生产线及配套深加工项目</w:t>
            </w:r>
            <w:r>
              <w:rPr>
                <w:rFonts w:hint="eastAsia" w:cs="Times New Roman"/>
                <w:b/>
                <w:bCs/>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监测点位与本项目相对位置图</w:t>
            </w:r>
          </w:p>
          <w:p w14:paraId="3B2745AD">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②</w:t>
            </w:r>
            <w:r>
              <w:rPr>
                <w:rFonts w:hint="eastAsia" w:cs="Times New Roman"/>
                <w:color w:val="000000" w:themeColor="text1"/>
                <w:sz w:val="24"/>
                <w:szCs w:val="24"/>
                <w:highlight w:val="none"/>
                <w:lang w:val="en-US" w:eastAsia="zh-CN"/>
                <w14:textFill>
                  <w14:solidFill>
                    <w14:schemeClr w14:val="tx1"/>
                  </w14:solidFill>
                </w14:textFill>
              </w:rPr>
              <w:t>检测方法</w:t>
            </w:r>
          </w:p>
          <w:p w14:paraId="5913ADA8">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环境空气监测方法按《环境空气质量标准》（GB3095-20</w:t>
            </w:r>
            <w:r>
              <w:rPr>
                <w:rFonts w:hint="eastAsia" w:cs="Times New Roman"/>
                <w:color w:val="000000" w:themeColor="text1"/>
                <w:sz w:val="24"/>
                <w:szCs w:val="24"/>
                <w:highlight w:val="none"/>
                <w:lang w:val="en-US" w:eastAsia="zh-CN"/>
                <w14:textFill>
                  <w14:solidFill>
                    <w14:schemeClr w14:val="tx1"/>
                  </w14:solidFill>
                </w14:textFill>
              </w:rPr>
              <w:t>26</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）和《环境监测技术规范》（大气部分）和国家环保局《空气和废气监测分析方法》的规定执行。</w:t>
            </w:r>
          </w:p>
          <w:p w14:paraId="699667A5">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氨气的</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环境空气质量现状监测采取的分析方法见</w:t>
            </w:r>
            <w:r>
              <w:rPr>
                <w:rFonts w:hint="eastAsia" w:cs="Times New Roman"/>
                <w:color w:val="000000" w:themeColor="text1"/>
                <w:sz w:val="24"/>
                <w:szCs w:val="24"/>
                <w:highlight w:val="none"/>
                <w:lang w:val="en-US" w:eastAsia="zh-CN"/>
                <w14:textFill>
                  <w14:solidFill>
                    <w14:schemeClr w14:val="tx1"/>
                  </w14:solidFill>
                </w14:textFill>
              </w:rPr>
              <w:t>下表</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46CFF377">
            <w:pPr>
              <w:spacing w:line="240" w:lineRule="atLeast"/>
              <w:jc w:val="cente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表</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3-</w:t>
            </w:r>
            <w:r>
              <w:rPr>
                <w:rFonts w:hint="eastAsia" w:cs="Times New Roman"/>
                <w:b/>
                <w:bCs/>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大气污染物分析方法一览表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
            <w:tblGrid>
              <w:gridCol w:w="669"/>
              <w:gridCol w:w="1038"/>
              <w:gridCol w:w="3040"/>
              <w:gridCol w:w="1358"/>
              <w:gridCol w:w="1856"/>
            </w:tblGrid>
            <w:tr w14:paraId="427B5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63" w:hRule="atLeast"/>
                <w:jc w:val="center"/>
              </w:trPr>
              <w:tc>
                <w:tcPr>
                  <w:tcW w:w="420" w:type="pct"/>
                  <w:tcBorders>
                    <w:tl2br w:val="nil"/>
                    <w:tr2bl w:val="nil"/>
                  </w:tcBorders>
                  <w:noWrap w:val="0"/>
                  <w:vAlign w:val="center"/>
                </w:tcPr>
                <w:p w14:paraId="53565F73">
                  <w:pPr>
                    <w:snapToGrid w:val="0"/>
                    <w:jc w:val="center"/>
                    <w:rPr>
                      <w:rFonts w:hint="eastAsia" w:ascii="Times New Roman" w:hAnsi="Times New Roman" w:eastAsia="宋体"/>
                      <w:color w:val="000000" w:themeColor="text1"/>
                      <w:sz w:val="21"/>
                      <w:szCs w:val="21"/>
                      <w:highlight w:val="none"/>
                      <w:lang w:val="en-US" w:eastAsia="zh-CN"/>
                      <w14:textFill>
                        <w14:solidFill>
                          <w14:schemeClr w14:val="tx1"/>
                        </w14:solidFill>
                      </w14:textFill>
                    </w:rPr>
                  </w:pPr>
                  <w:r>
                    <w:rPr>
                      <w:rFonts w:hint="eastAsia" w:ascii="Times New Roman" w:hAnsi="Times New Roman"/>
                      <w:color w:val="000000" w:themeColor="text1"/>
                      <w:sz w:val="21"/>
                      <w:szCs w:val="21"/>
                      <w:highlight w:val="none"/>
                      <w:lang w:val="en-US" w:eastAsia="zh-CN"/>
                      <w14:textFill>
                        <w14:solidFill>
                          <w14:schemeClr w14:val="tx1"/>
                        </w14:solidFill>
                      </w14:textFill>
                    </w:rPr>
                    <w:t>序号</w:t>
                  </w:r>
                </w:p>
              </w:tc>
              <w:tc>
                <w:tcPr>
                  <w:tcW w:w="652" w:type="pct"/>
                  <w:tcBorders>
                    <w:tl2br w:val="nil"/>
                    <w:tr2bl w:val="nil"/>
                  </w:tcBorders>
                  <w:noWrap w:val="0"/>
                  <w:vAlign w:val="center"/>
                </w:tcPr>
                <w:p w14:paraId="4754C8B5">
                  <w:pPr>
                    <w:snapToGrid w:val="0"/>
                    <w:jc w:val="center"/>
                    <w:rPr>
                      <w:rFonts w:ascii="Times New Roman" w:hAnsi="Times New Roman"/>
                      <w:color w:val="000000" w:themeColor="text1"/>
                      <w:sz w:val="21"/>
                      <w:szCs w:val="21"/>
                      <w:highlight w:val="none"/>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检测项目</w:t>
                  </w:r>
                </w:p>
              </w:tc>
              <w:tc>
                <w:tcPr>
                  <w:tcW w:w="1909" w:type="pct"/>
                  <w:tcBorders>
                    <w:tl2br w:val="nil"/>
                    <w:tr2bl w:val="nil"/>
                  </w:tcBorders>
                  <w:noWrap w:val="0"/>
                  <w:vAlign w:val="center"/>
                </w:tcPr>
                <w:p w14:paraId="1141EF35">
                  <w:pPr>
                    <w:snapToGrid w:val="0"/>
                    <w:jc w:val="center"/>
                    <w:rPr>
                      <w:rFonts w:hint="default" w:ascii="Times New Roman" w:hAnsi="Times New Roman" w:eastAsia="宋体"/>
                      <w:color w:val="000000" w:themeColor="text1"/>
                      <w:sz w:val="21"/>
                      <w:szCs w:val="21"/>
                      <w:highlight w:val="none"/>
                      <w:lang w:val="en-US" w:eastAsia="zh-CN"/>
                      <w14:textFill>
                        <w14:solidFill>
                          <w14:schemeClr w14:val="tx1"/>
                        </w14:solidFill>
                      </w14:textFill>
                    </w:rPr>
                  </w:pPr>
                  <w:r>
                    <w:rPr>
                      <w:rFonts w:hint="eastAsia" w:ascii="Times New Roman" w:hAnsi="Times New Roman"/>
                      <w:color w:val="000000" w:themeColor="text1"/>
                      <w:sz w:val="21"/>
                      <w:szCs w:val="21"/>
                      <w:highlight w:val="none"/>
                      <w:lang w:val="en-US" w:eastAsia="zh-CN"/>
                      <w14:textFill>
                        <w14:solidFill>
                          <w14:schemeClr w14:val="tx1"/>
                        </w14:solidFill>
                      </w14:textFill>
                    </w:rPr>
                    <w:t>检测方法及来源</w:t>
                  </w:r>
                </w:p>
              </w:tc>
              <w:tc>
                <w:tcPr>
                  <w:tcW w:w="853" w:type="pct"/>
                  <w:tcBorders>
                    <w:tl2br w:val="nil"/>
                    <w:tr2bl w:val="nil"/>
                  </w:tcBorders>
                  <w:noWrap w:val="0"/>
                  <w:vAlign w:val="center"/>
                </w:tcPr>
                <w:p w14:paraId="7A41D52C">
                  <w:pPr>
                    <w:snapToGrid w:val="0"/>
                    <w:jc w:val="center"/>
                    <w:rPr>
                      <w:rFonts w:hint="eastAsia" w:ascii="Times New Roman" w:hAnsi="Times New Roman"/>
                      <w:color w:val="000000" w:themeColor="text1"/>
                      <w:sz w:val="21"/>
                      <w:szCs w:val="21"/>
                      <w:highlight w:val="none"/>
                      <w:lang w:val="en-US" w:eastAsia="zh-CN"/>
                      <w14:textFill>
                        <w14:solidFill>
                          <w14:schemeClr w14:val="tx1"/>
                        </w14:solidFill>
                      </w14:textFill>
                    </w:rPr>
                  </w:pPr>
                  <w:r>
                    <w:rPr>
                      <w:rFonts w:ascii="Times New Roman" w:hAnsi="Times New Roman"/>
                      <w:color w:val="000000" w:themeColor="text1"/>
                      <w:sz w:val="21"/>
                      <w:szCs w:val="21"/>
                      <w:highlight w:val="none"/>
                      <w14:textFill>
                        <w14:solidFill>
                          <w14:schemeClr w14:val="tx1"/>
                        </w14:solidFill>
                      </w14:textFill>
                    </w:rPr>
                    <w:t>检出限</w:t>
                  </w:r>
                </w:p>
              </w:tc>
              <w:tc>
                <w:tcPr>
                  <w:tcW w:w="1165" w:type="pct"/>
                  <w:tcBorders>
                    <w:tl2br w:val="nil"/>
                    <w:tr2bl w:val="nil"/>
                  </w:tcBorders>
                  <w:noWrap w:val="0"/>
                  <w:vAlign w:val="center"/>
                </w:tcPr>
                <w:p w14:paraId="2603F402">
                  <w:pPr>
                    <w:snapToGrid w:val="0"/>
                    <w:jc w:val="center"/>
                    <w:rPr>
                      <w:rFonts w:hint="eastAsia" w:ascii="Times New Roman" w:hAnsi="Times New Roman" w:eastAsia="宋体"/>
                      <w:color w:val="000000" w:themeColor="text1"/>
                      <w:sz w:val="21"/>
                      <w:szCs w:val="21"/>
                      <w:highlight w:val="none"/>
                      <w:lang w:eastAsia="zh-CN"/>
                      <w14:textFill>
                        <w14:solidFill>
                          <w14:schemeClr w14:val="tx1"/>
                        </w14:solidFill>
                      </w14:textFill>
                    </w:rPr>
                  </w:pPr>
                  <w:r>
                    <w:rPr>
                      <w:rFonts w:hint="eastAsia" w:ascii="Times New Roman" w:hAnsi="Times New Roman"/>
                      <w:color w:val="000000" w:themeColor="text1"/>
                      <w:sz w:val="21"/>
                      <w:szCs w:val="21"/>
                      <w:highlight w:val="none"/>
                      <w:lang w:val="en-US" w:eastAsia="zh-CN"/>
                      <w14:textFill>
                        <w14:solidFill>
                          <w14:schemeClr w14:val="tx1"/>
                        </w14:solidFill>
                      </w14:textFill>
                    </w:rPr>
                    <w:t>主要仪器</w:t>
                  </w:r>
                </w:p>
              </w:tc>
            </w:tr>
            <w:tr w14:paraId="24810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85" w:type="dxa"/>
                  <w:bottom w:w="0" w:type="dxa"/>
                  <w:right w:w="85" w:type="dxa"/>
                </w:tblCellMar>
              </w:tblPrEx>
              <w:trPr>
                <w:trHeight w:val="363" w:hRule="atLeast"/>
                <w:jc w:val="center"/>
              </w:trPr>
              <w:tc>
                <w:tcPr>
                  <w:tcW w:w="420" w:type="pct"/>
                  <w:tcBorders>
                    <w:tl2br w:val="nil"/>
                    <w:tr2bl w:val="nil"/>
                  </w:tcBorders>
                  <w:noWrap w:val="0"/>
                  <w:vAlign w:val="center"/>
                </w:tcPr>
                <w:p w14:paraId="30DA7E38">
                  <w:pPr>
                    <w:spacing w:line="240" w:lineRule="atLeast"/>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w:t>
                  </w:r>
                </w:p>
              </w:tc>
              <w:tc>
                <w:tcPr>
                  <w:tcW w:w="652" w:type="pct"/>
                  <w:tcBorders>
                    <w:tl2br w:val="nil"/>
                    <w:tr2bl w:val="nil"/>
                  </w:tcBorders>
                  <w:noWrap w:val="0"/>
                  <w:vAlign w:val="center"/>
                </w:tcPr>
                <w:p w14:paraId="198C1318">
                  <w:pPr>
                    <w:spacing w:line="240" w:lineRule="atLeast"/>
                    <w:jc w:val="center"/>
                    <w:rPr>
                      <w:rFonts w:hint="default" w:ascii="Times New Roman" w:hAnsi="Times New Roman" w:eastAsia="宋体"/>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氨气</w:t>
                  </w:r>
                </w:p>
              </w:tc>
              <w:tc>
                <w:tcPr>
                  <w:tcW w:w="1909" w:type="pct"/>
                  <w:tcBorders>
                    <w:tl2br w:val="nil"/>
                    <w:tr2bl w:val="nil"/>
                  </w:tcBorders>
                  <w:noWrap w:val="0"/>
                  <w:vAlign w:val="center"/>
                </w:tcPr>
                <w:p w14:paraId="178C9465">
                  <w:pPr>
                    <w:jc w:val="center"/>
                    <w:rPr>
                      <w:rFonts w:hint="eastAsia" w:ascii="Times New Roman" w:hAnsi="Times New Roman" w:eastAsia="宋体"/>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olor w:val="000000" w:themeColor="text1"/>
                      <w:kern w:val="2"/>
                      <w:sz w:val="21"/>
                      <w:szCs w:val="21"/>
                      <w:highlight w:val="none"/>
                      <w:lang w:val="en-US" w:eastAsia="zh-CN" w:bidi="ar-SA"/>
                      <w14:textFill>
                        <w14:solidFill>
                          <w14:schemeClr w14:val="tx1"/>
                        </w14:solidFill>
                      </w14:textFill>
                    </w:rPr>
                    <w:t>《环境空气和废气氨的测定纳氏试剂分光光度法》HJ533-2009</w:t>
                  </w:r>
                </w:p>
              </w:tc>
              <w:tc>
                <w:tcPr>
                  <w:tcW w:w="853" w:type="pct"/>
                  <w:tcBorders>
                    <w:tl2br w:val="nil"/>
                    <w:tr2bl w:val="nil"/>
                  </w:tcBorders>
                  <w:noWrap w:val="0"/>
                  <w:vAlign w:val="center"/>
                </w:tcPr>
                <w:p w14:paraId="6AD42E45">
                  <w:pPr>
                    <w:jc w:val="center"/>
                    <w:rPr>
                      <w:rFonts w:hint="eastAsia" w:ascii="Times New Roman" w:hAnsi="Times New Roman" w:eastAsia="宋体"/>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0.01mg/m</w:t>
                  </w:r>
                  <w:r>
                    <w:rPr>
                      <w:rFonts w:hint="eastAsia" w:ascii="Times New Roman" w:hAnsi="Times New Roman" w:cs="Times New Roman"/>
                      <w:color w:val="000000" w:themeColor="text1"/>
                      <w:kern w:val="2"/>
                      <w:sz w:val="21"/>
                      <w:szCs w:val="21"/>
                      <w:highlight w:val="none"/>
                      <w:vertAlign w:val="superscript"/>
                      <w:lang w:val="en-US" w:eastAsia="zh-CN" w:bidi="ar-SA"/>
                      <w14:textFill>
                        <w14:solidFill>
                          <w14:schemeClr w14:val="tx1"/>
                        </w14:solidFill>
                      </w14:textFill>
                    </w:rPr>
                    <w:t>3</w:t>
                  </w:r>
                </w:p>
              </w:tc>
              <w:tc>
                <w:tcPr>
                  <w:tcW w:w="1165" w:type="pct"/>
                  <w:tcBorders>
                    <w:tl2br w:val="nil"/>
                    <w:tr2bl w:val="nil"/>
                  </w:tcBorders>
                  <w:noWrap w:val="0"/>
                  <w:vAlign w:val="center"/>
                </w:tcPr>
                <w:p w14:paraId="6727236D">
                  <w:pPr>
                    <w:jc w:val="cente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2"/>
                      <w:sz w:val="21"/>
                      <w:szCs w:val="21"/>
                      <w:highlight w:val="none"/>
                      <w:lang w:val="en-US" w:eastAsia="zh-CN" w:bidi="ar-SA"/>
                      <w14:textFill>
                        <w14:solidFill>
                          <w14:schemeClr w14:val="tx1"/>
                        </w14:solidFill>
                      </w14:textFill>
                    </w:rPr>
                    <w:t>可见分光光度计、721、YQ-016</w:t>
                  </w:r>
                </w:p>
              </w:tc>
            </w:tr>
          </w:tbl>
          <w:p w14:paraId="4ED91E2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③</w:t>
            </w:r>
            <w:r>
              <w:rPr>
                <w:rFonts w:hint="default" w:ascii="Times New Roman" w:hAnsi="Times New Roman" w:eastAsia="宋体" w:cs="Times New Roman"/>
                <w:color w:val="000000" w:themeColor="text1"/>
                <w:sz w:val="24"/>
                <w:szCs w:val="24"/>
                <w:highlight w:val="none"/>
                <w14:textFill>
                  <w14:solidFill>
                    <w14:schemeClr w14:val="tx1"/>
                  </w14:solidFill>
                </w14:textFill>
              </w:rPr>
              <w:t>监测时间及频次</w:t>
            </w:r>
          </w:p>
          <w:p w14:paraId="0BA96CE5">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监测时间：监测时间为2023年12月18日</w:t>
            </w:r>
            <w:r>
              <w:rPr>
                <w:rFonts w:hint="eastAsia"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12月24日，连续监测7天。监测氨的1小时平均值。在采样的同时，同步观测记录地面气象资料：风向、风速、气温、气压等气象参数。</w:t>
            </w:r>
          </w:p>
          <w:p w14:paraId="71F62549">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④</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执行标准</w:t>
            </w:r>
          </w:p>
          <w:p w14:paraId="5E9B2426">
            <w:pPr>
              <w:keepNext w:val="0"/>
              <w:keepLines w:val="0"/>
              <w:pageBreakBefore w:val="0"/>
              <w:widowControl w:val="0"/>
              <w:kinsoku/>
              <w:wordWrap/>
              <w:overflowPunct/>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本次评价</w:t>
            </w:r>
            <w:r>
              <w:rPr>
                <w:rFonts w:hint="eastAsia" w:cs="Times New Roman"/>
                <w:color w:val="000000" w:themeColor="text1"/>
                <w:sz w:val="24"/>
                <w:szCs w:val="24"/>
                <w:highlight w:val="none"/>
                <w:lang w:val="en-US" w:eastAsia="zh-CN"/>
                <w14:textFill>
                  <w14:solidFill>
                    <w14:schemeClr w14:val="tx1"/>
                  </w14:solidFill>
                </w14:textFill>
              </w:rPr>
              <w:t>TSP</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采用《环境空气质量标准》（GB3095-20</w:t>
            </w:r>
            <w:r>
              <w:rPr>
                <w:rFonts w:hint="eastAsia" w:cs="Times New Roman"/>
                <w:color w:val="000000" w:themeColor="text1"/>
                <w:sz w:val="24"/>
                <w:szCs w:val="24"/>
                <w:highlight w:val="none"/>
                <w:lang w:val="en-US" w:eastAsia="zh-CN"/>
                <w14:textFill>
                  <w14:solidFill>
                    <w14:schemeClr w14:val="tx1"/>
                  </w14:solidFill>
                </w14:textFill>
              </w:rPr>
              <w:t>26</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表2的</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二级标准</w:t>
            </w:r>
            <w:r>
              <w:rPr>
                <w:rFonts w:hint="eastAsia" w:cs="Times New Roman"/>
                <w:color w:val="000000" w:themeColor="text1"/>
                <w:sz w:val="24"/>
                <w:szCs w:val="24"/>
                <w:highlight w:val="none"/>
                <w:lang w:val="en-US" w:eastAsia="zh-CN"/>
                <w14:textFill>
                  <w14:solidFill>
                    <w14:schemeClr w14:val="tx1"/>
                  </w14:solidFill>
                </w14:textFill>
              </w:rPr>
              <w:t>，氨气执行</w:t>
            </w: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《环境影响评价技术导则大气环境》（HJ2.2—2018）附录D</w:t>
            </w:r>
            <w:r>
              <w:rPr>
                <w:rFonts w:hint="eastAsia" w:cs="Times New Roman"/>
                <w:bCs/>
                <w:color w:val="000000" w:themeColor="text1"/>
                <w:sz w:val="24"/>
                <w:highlight w:val="none"/>
                <w:lang w:val="en-US" w:eastAsia="zh-CN"/>
                <w14:textFill>
                  <w14:solidFill>
                    <w14:schemeClr w14:val="tx1"/>
                  </w14:solidFill>
                </w14:textFill>
              </w:rPr>
              <w:t>要求</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29871513">
            <w:pPr>
              <w:snapToGrid w:val="0"/>
              <w:spacing w:line="240" w:lineRule="auto"/>
              <w:ind w:firstLine="482" w:firstLineChars="200"/>
              <w:jc w:val="cente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表</w:t>
            </w:r>
            <w:r>
              <w:rPr>
                <w:rFonts w:hint="default" w:ascii="Times New Roman" w:hAnsi="Times New Roman" w:eastAsia="宋体" w:cs="Times New Roman"/>
                <w:b/>
                <w:bCs/>
                <w:color w:val="000000" w:themeColor="text1"/>
                <w:kern w:val="0"/>
                <w:sz w:val="24"/>
                <w:highlight w:val="none"/>
                <w:lang w:val="en-US" w:eastAsia="zh-CN"/>
                <w14:textFill>
                  <w14:solidFill>
                    <w14:schemeClr w14:val="tx1"/>
                  </w14:solidFill>
                </w14:textFill>
              </w:rPr>
              <w:t>3-</w:t>
            </w:r>
            <w:r>
              <w:rPr>
                <w:rFonts w:hint="eastAsia" w:cs="Times New Roman"/>
                <w:b/>
                <w:bCs/>
                <w:color w:val="000000" w:themeColor="text1"/>
                <w:kern w:val="0"/>
                <w:sz w:val="24"/>
                <w:highlight w:val="none"/>
                <w:lang w:val="en-US" w:eastAsia="zh-CN"/>
                <w14:textFill>
                  <w14:solidFill>
                    <w14:schemeClr w14:val="tx1"/>
                  </w14:solidFill>
                </w14:textFill>
              </w:rPr>
              <w:t>4</w:t>
            </w:r>
            <w: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环境空气质量标准</w:t>
            </w:r>
            <w:r>
              <w:rPr>
                <w:rFonts w:hint="eastAsia" w:cs="Times New Roman"/>
                <w:b/>
                <w:bCs/>
                <w:color w:val="000000" w:themeColor="text1"/>
                <w:kern w:val="0"/>
                <w:sz w:val="24"/>
                <w:szCs w:val="24"/>
                <w:highlight w:val="none"/>
                <w:lang w:val="en-US" w:eastAsia="zh-CN" w:bidi="ar"/>
                <w14:textFill>
                  <w14:solidFill>
                    <w14:schemeClr w14:val="tx1"/>
                  </w14:solidFill>
                </w14:textFill>
              </w:rPr>
              <w:t>和导则要求</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73"/>
              <w:gridCol w:w="2094"/>
              <w:gridCol w:w="2094"/>
            </w:tblGrid>
            <w:tr w14:paraId="78304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369" w:type="pct"/>
                  <w:noWrap w:val="0"/>
                  <w:vAlign w:val="top"/>
                </w:tcPr>
                <w:p w14:paraId="72E37ECB">
                  <w:pPr>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污染因子</w:t>
                  </w:r>
                </w:p>
              </w:tc>
              <w:tc>
                <w:tcPr>
                  <w:tcW w:w="1315" w:type="pct"/>
                  <w:noWrap w:val="0"/>
                  <w:vAlign w:val="top"/>
                </w:tcPr>
                <w:p w14:paraId="3C8DA621">
                  <w:pPr>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TSP</w:t>
                  </w:r>
                </w:p>
              </w:tc>
              <w:tc>
                <w:tcPr>
                  <w:tcW w:w="1315" w:type="pct"/>
                  <w:noWrap w:val="0"/>
                  <w:vAlign w:val="top"/>
                </w:tcPr>
                <w:p w14:paraId="07DDC7A3">
                  <w:pPr>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氨气</w:t>
                  </w:r>
                </w:p>
              </w:tc>
            </w:tr>
            <w:tr w14:paraId="72B51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9" w:type="pct"/>
                  <w:noWrap w:val="0"/>
                  <w:vAlign w:val="top"/>
                </w:tcPr>
                <w:p w14:paraId="5DAF7C93">
                  <w:pPr>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日均浓度限值</w:t>
                  </w:r>
                </w:p>
              </w:tc>
              <w:tc>
                <w:tcPr>
                  <w:tcW w:w="1315" w:type="pct"/>
                  <w:noWrap w:val="0"/>
                  <w:vAlign w:val="top"/>
                </w:tcPr>
                <w:p w14:paraId="201DA5CA">
                  <w:pPr>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0.30</w:t>
                  </w:r>
                  <w:r>
                    <w:rPr>
                      <w:rFonts w:hint="default" w:ascii="Times New Roman" w:hAnsi="Times New Roman" w:eastAsia="宋体" w:cs="Times New Roman"/>
                      <w:color w:val="000000" w:themeColor="text1"/>
                      <w:sz w:val="21"/>
                      <w:szCs w:val="21"/>
                      <w:highlight w:val="none"/>
                      <w14:textFill>
                        <w14:solidFill>
                          <w14:schemeClr w14:val="tx1"/>
                        </w14:solidFill>
                      </w14:textFill>
                    </w:rPr>
                    <w:t>mg/m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tc>
              <w:tc>
                <w:tcPr>
                  <w:tcW w:w="1315" w:type="pct"/>
                  <w:noWrap w:val="0"/>
                  <w:vAlign w:val="top"/>
                </w:tcPr>
                <w:p w14:paraId="610DA5BD">
                  <w:pPr>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w:t>
                  </w:r>
                </w:p>
              </w:tc>
            </w:tr>
            <w:tr w14:paraId="19624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9" w:type="pct"/>
                  <w:noWrap w:val="0"/>
                  <w:vAlign w:val="top"/>
                </w:tcPr>
                <w:p w14:paraId="76460EDD">
                  <w:pPr>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小时均值</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浓度限值</w:t>
                  </w:r>
                </w:p>
              </w:tc>
              <w:tc>
                <w:tcPr>
                  <w:tcW w:w="1315" w:type="pct"/>
                  <w:noWrap w:val="0"/>
                  <w:vAlign w:val="top"/>
                </w:tcPr>
                <w:p w14:paraId="20ED4837">
                  <w:pPr>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w:t>
                  </w:r>
                </w:p>
              </w:tc>
              <w:tc>
                <w:tcPr>
                  <w:tcW w:w="1315" w:type="pct"/>
                  <w:noWrap w:val="0"/>
                  <w:vAlign w:val="top"/>
                </w:tcPr>
                <w:p w14:paraId="5E5F34C1">
                  <w:pPr>
                    <w:snapToGrid w:val="0"/>
                    <w:spacing w:line="240" w:lineRule="auto"/>
                    <w:jc w:val="center"/>
                    <w:rPr>
                      <w:rFonts w:hint="eastAsia"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0.2</w:t>
                  </w:r>
                  <w:r>
                    <w:rPr>
                      <w:rFonts w:hint="default" w:ascii="Times New Roman" w:hAnsi="Times New Roman" w:eastAsia="宋体" w:cs="Times New Roman"/>
                      <w:color w:val="000000" w:themeColor="text1"/>
                      <w:sz w:val="21"/>
                      <w:szCs w:val="21"/>
                      <w:highlight w:val="none"/>
                      <w14:textFill>
                        <w14:solidFill>
                          <w14:schemeClr w14:val="tx1"/>
                        </w14:solidFill>
                      </w14:textFill>
                    </w:rPr>
                    <w:t>mg/m</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3</w:t>
                  </w:r>
                </w:p>
              </w:tc>
            </w:tr>
          </w:tbl>
          <w:p w14:paraId="185F9116">
            <w:pPr>
              <w:spacing w:line="360" w:lineRule="auto"/>
              <w:ind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⑤</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监测结果</w:t>
            </w:r>
            <w:r>
              <w:rPr>
                <w:rFonts w:hint="eastAsia" w:cs="Times New Roman"/>
                <w:color w:val="000000" w:themeColor="text1"/>
                <w:sz w:val="24"/>
                <w:szCs w:val="24"/>
                <w:highlight w:val="none"/>
                <w:lang w:val="en-US" w:eastAsia="zh-CN"/>
                <w14:textFill>
                  <w14:solidFill>
                    <w14:schemeClr w14:val="tx1"/>
                  </w14:solidFill>
                </w14:textFill>
              </w:rPr>
              <w:t>及评价</w:t>
            </w:r>
          </w:p>
          <w:p w14:paraId="399D6955">
            <w:pPr>
              <w:snapToGrid w:val="0"/>
              <w:ind w:firstLine="482" w:firstLineChars="200"/>
              <w:jc w:val="center"/>
              <w:rPr>
                <w:rFonts w:hint="default" w:ascii="Times New Roman" w:hAnsi="Times New Roman" w:eastAsia="宋体" w:cs="Times New Roman"/>
                <w:b/>
                <w:bCs/>
                <w:color w:val="000000" w:themeColor="text1"/>
                <w:kern w:val="0"/>
                <w:sz w:val="24"/>
                <w:highlight w:val="none"/>
                <w:lang w:val="en-US"/>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表</w:t>
            </w:r>
            <w:r>
              <w:rPr>
                <w:rFonts w:hint="default" w:ascii="Times New Roman" w:hAnsi="Times New Roman" w:eastAsia="宋体" w:cs="Times New Roman"/>
                <w:b/>
                <w:bCs/>
                <w:color w:val="000000" w:themeColor="text1"/>
                <w:kern w:val="0"/>
                <w:sz w:val="24"/>
                <w:highlight w:val="none"/>
                <w:lang w:val="en-US" w:eastAsia="zh-CN"/>
                <w14:textFill>
                  <w14:solidFill>
                    <w14:schemeClr w14:val="tx1"/>
                  </w14:solidFill>
                </w14:textFill>
              </w:rPr>
              <w:t>3-</w:t>
            </w:r>
            <w:r>
              <w:rPr>
                <w:rFonts w:hint="eastAsia" w:cs="Times New Roman"/>
                <w:b/>
                <w:bCs/>
                <w:color w:val="000000" w:themeColor="text1"/>
                <w:kern w:val="0"/>
                <w:sz w:val="24"/>
                <w:highlight w:val="none"/>
                <w:lang w:val="en-US" w:eastAsia="zh-CN"/>
                <w14:textFill>
                  <w14:solidFill>
                    <w14:schemeClr w14:val="tx1"/>
                  </w14:solidFill>
                </w14:textFill>
              </w:rPr>
              <w:t>5</w:t>
            </w:r>
            <w:r>
              <w:rPr>
                <w:rFonts w:hint="default" w:ascii="Times New Roman" w:hAnsi="Times New Roman" w:eastAsia="宋体" w:cs="Times New Roman"/>
                <w:b/>
                <w:bCs/>
                <w:color w:val="000000" w:themeColor="text1"/>
                <w:kern w:val="0"/>
                <w:sz w:val="24"/>
                <w:highlight w:val="none"/>
                <w14:textFill>
                  <w14:solidFill>
                    <w14:schemeClr w14:val="tx1"/>
                  </w14:solidFill>
                </w14:textFill>
              </w:rPr>
              <w:t>其他污染物（引用）监测值</w:t>
            </w:r>
          </w:p>
          <w:tbl>
            <w:tblPr>
              <w:tblStyle w:val="24"/>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673"/>
              <w:gridCol w:w="3154"/>
              <w:gridCol w:w="1113"/>
              <w:gridCol w:w="1021"/>
            </w:tblGrid>
            <w:tr w14:paraId="176A4F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45" w:hRule="atLeast"/>
                <w:jc w:val="center"/>
              </w:trPr>
              <w:tc>
                <w:tcPr>
                  <w:tcW w:w="1678" w:type="pct"/>
                  <w:tcBorders>
                    <w:tl2br w:val="nil"/>
                    <w:tr2bl w:val="nil"/>
                  </w:tcBorders>
                  <w:noWrap w:val="0"/>
                  <w:vAlign w:val="center"/>
                </w:tcPr>
                <w:p w14:paraId="030847E9">
                  <w:pPr>
                    <w:pStyle w:val="31"/>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jc w:val="center"/>
                    <w:textAlignment w:val="auto"/>
                    <w:rPr>
                      <w:rFonts w:hint="eastAsia"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eastAsia="zh-CN"/>
                      <w14:textFill>
                        <w14:solidFill>
                          <w14:schemeClr w14:val="tx1"/>
                        </w14:solidFill>
                      </w14:textFill>
                    </w:rPr>
                    <w:t>监测项目</w:t>
                  </w:r>
                </w:p>
              </w:tc>
              <w:tc>
                <w:tcPr>
                  <w:tcW w:w="1980" w:type="pct"/>
                  <w:tcBorders>
                    <w:tl2br w:val="nil"/>
                    <w:tr2bl w:val="nil"/>
                  </w:tcBorders>
                  <w:noWrap w:val="0"/>
                  <w:vAlign w:val="center"/>
                </w:tcPr>
                <w:p w14:paraId="106E6D7F">
                  <w:pPr>
                    <w:pStyle w:val="31"/>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监测结果</w:t>
                  </w:r>
                </w:p>
              </w:tc>
              <w:tc>
                <w:tcPr>
                  <w:tcW w:w="699" w:type="pct"/>
                  <w:vMerge w:val="restart"/>
                  <w:tcBorders>
                    <w:tl2br w:val="nil"/>
                    <w:tr2bl w:val="nil"/>
                  </w:tcBorders>
                  <w:noWrap w:val="0"/>
                  <w:vAlign w:val="center"/>
                </w:tcPr>
                <w:p w14:paraId="53B00A75">
                  <w:pPr>
                    <w:pStyle w:val="31"/>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jc w:val="center"/>
                    <w:textAlignment w:val="auto"/>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占标率</w:t>
                  </w:r>
                </w:p>
                <w:p w14:paraId="1C817777">
                  <w:pPr>
                    <w:pStyle w:val="31"/>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w:t>
                  </w:r>
                </w:p>
              </w:tc>
              <w:tc>
                <w:tcPr>
                  <w:tcW w:w="641" w:type="pct"/>
                  <w:vMerge w:val="restart"/>
                  <w:tcBorders>
                    <w:tl2br w:val="nil"/>
                    <w:tr2bl w:val="nil"/>
                  </w:tcBorders>
                  <w:noWrap w:val="0"/>
                  <w:vAlign w:val="center"/>
                </w:tcPr>
                <w:p w14:paraId="72DAED2D">
                  <w:pPr>
                    <w:pStyle w:val="31"/>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限值</w:t>
                  </w:r>
                </w:p>
                <w:p w14:paraId="27A1F067">
                  <w:pPr>
                    <w:pStyle w:val="31"/>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mg/m</w:t>
                  </w:r>
                  <w:r>
                    <w:rPr>
                      <w:rFonts w:hint="default" w:ascii="Times New Roman" w:hAnsi="Times New Roman" w:eastAsia="宋体" w:cs="Times New Roman"/>
                      <w:b w:val="0"/>
                      <w:bCs w:val="0"/>
                      <w:color w:val="000000" w:themeColor="text1"/>
                      <w:sz w:val="21"/>
                      <w:szCs w:val="21"/>
                      <w:highlight w:val="none"/>
                      <w:vertAlign w:val="superscript"/>
                      <w14:textFill>
                        <w14:solidFill>
                          <w14:schemeClr w14:val="tx1"/>
                        </w14:solidFill>
                      </w14:textFill>
                    </w:rPr>
                    <w:t>3</w:t>
                  </w:r>
                </w:p>
              </w:tc>
            </w:tr>
            <w:tr w14:paraId="6ABB28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65" w:hRule="atLeast"/>
                <w:jc w:val="center"/>
              </w:trPr>
              <w:tc>
                <w:tcPr>
                  <w:tcW w:w="1678" w:type="pct"/>
                  <w:tcBorders>
                    <w:tl2br w:val="nil"/>
                    <w:tr2bl w:val="nil"/>
                  </w:tcBorders>
                  <w:noWrap w:val="0"/>
                  <w:vAlign w:val="center"/>
                </w:tcPr>
                <w:p w14:paraId="210EA65A">
                  <w:pPr>
                    <w:pStyle w:val="31"/>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监测点位</w:t>
                  </w:r>
                </w:p>
                <w:p w14:paraId="408D4A23">
                  <w:pPr>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采样日期</w:t>
                  </w:r>
                </w:p>
              </w:tc>
              <w:tc>
                <w:tcPr>
                  <w:tcW w:w="1980" w:type="pct"/>
                  <w:tcBorders>
                    <w:tl2br w:val="nil"/>
                    <w:tr2bl w:val="nil"/>
                  </w:tcBorders>
                  <w:noWrap w:val="0"/>
                  <w:vAlign w:val="center"/>
                </w:tcPr>
                <w:p w14:paraId="44C88CD3">
                  <w:pPr>
                    <w:pStyle w:val="31"/>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textAlignment w:val="auto"/>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厂区下风向</w:t>
                  </w:r>
                </w:p>
                <w:p w14:paraId="38145250">
                  <w:pPr>
                    <w:pStyle w:val="31"/>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（监测点位于本项目上风向）</w:t>
                  </w:r>
                </w:p>
              </w:tc>
              <w:tc>
                <w:tcPr>
                  <w:tcW w:w="699" w:type="pct"/>
                  <w:vMerge w:val="continue"/>
                  <w:tcBorders>
                    <w:tl2br w:val="nil"/>
                    <w:tr2bl w:val="nil"/>
                  </w:tcBorders>
                  <w:noWrap w:val="0"/>
                  <w:vAlign w:val="center"/>
                </w:tcPr>
                <w:p w14:paraId="7E7D15AB">
                  <w:pPr>
                    <w:pStyle w:val="31"/>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641" w:type="pct"/>
                  <w:vMerge w:val="continue"/>
                  <w:tcBorders>
                    <w:tl2br w:val="nil"/>
                    <w:tr2bl w:val="nil"/>
                  </w:tcBorders>
                  <w:noWrap w:val="0"/>
                  <w:vAlign w:val="center"/>
                </w:tcPr>
                <w:p w14:paraId="7F0AA7BA">
                  <w:pPr>
                    <w:pStyle w:val="31"/>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2DF1D9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4" w:hRule="atLeast"/>
                <w:jc w:val="center"/>
              </w:trPr>
              <w:tc>
                <w:tcPr>
                  <w:tcW w:w="1678" w:type="pct"/>
                  <w:tcBorders>
                    <w:tl2br w:val="nil"/>
                    <w:tr2bl w:val="nil"/>
                  </w:tcBorders>
                  <w:noWrap w:val="0"/>
                  <w:vAlign w:val="center"/>
                </w:tcPr>
                <w:p w14:paraId="66490EA8">
                  <w:pPr>
                    <w:pStyle w:val="31"/>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2024.6.24</w:t>
                  </w:r>
                </w:p>
              </w:tc>
              <w:tc>
                <w:tcPr>
                  <w:tcW w:w="1980" w:type="pct"/>
                  <w:tcBorders>
                    <w:tl2br w:val="nil"/>
                    <w:tr2bl w:val="nil"/>
                  </w:tcBorders>
                  <w:noWrap w:val="0"/>
                  <w:vAlign w:val="center"/>
                </w:tcPr>
                <w:p w14:paraId="16720BB9">
                  <w:pPr>
                    <w:pStyle w:val="31"/>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197</w:t>
                  </w:r>
                </w:p>
              </w:tc>
              <w:tc>
                <w:tcPr>
                  <w:tcW w:w="699" w:type="pct"/>
                  <w:tcBorders>
                    <w:tl2br w:val="nil"/>
                    <w:tr2bl w:val="nil"/>
                  </w:tcBorders>
                  <w:noWrap w:val="0"/>
                  <w:vAlign w:val="center"/>
                </w:tcPr>
                <w:p w14:paraId="724332A6">
                  <w:pPr>
                    <w:pStyle w:val="31"/>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65.67</w:t>
                  </w:r>
                </w:p>
              </w:tc>
              <w:tc>
                <w:tcPr>
                  <w:tcW w:w="641" w:type="pct"/>
                  <w:tcBorders>
                    <w:tl2br w:val="nil"/>
                    <w:tr2bl w:val="nil"/>
                  </w:tcBorders>
                  <w:noWrap w:val="0"/>
                  <w:vAlign w:val="center"/>
                </w:tcPr>
                <w:p w14:paraId="3EE37B6C">
                  <w:pPr>
                    <w:pStyle w:val="31"/>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0.3</w:t>
                  </w:r>
                </w:p>
              </w:tc>
            </w:tr>
            <w:tr w14:paraId="4248C9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4" w:hRule="atLeast"/>
                <w:jc w:val="center"/>
              </w:trPr>
              <w:tc>
                <w:tcPr>
                  <w:tcW w:w="1678" w:type="pct"/>
                  <w:tcBorders>
                    <w:tl2br w:val="nil"/>
                    <w:tr2bl w:val="nil"/>
                  </w:tcBorders>
                  <w:noWrap w:val="0"/>
                  <w:vAlign w:val="center"/>
                </w:tcPr>
                <w:p w14:paraId="3A3D9DE2">
                  <w:pPr>
                    <w:pStyle w:val="31"/>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2024.6.25</w:t>
                  </w:r>
                </w:p>
              </w:tc>
              <w:tc>
                <w:tcPr>
                  <w:tcW w:w="1980" w:type="pct"/>
                  <w:tcBorders>
                    <w:tl2br w:val="nil"/>
                    <w:tr2bl w:val="nil"/>
                  </w:tcBorders>
                  <w:noWrap w:val="0"/>
                  <w:vAlign w:val="center"/>
                </w:tcPr>
                <w:p w14:paraId="0E7E6AFC">
                  <w:pPr>
                    <w:pStyle w:val="31"/>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206</w:t>
                  </w:r>
                </w:p>
              </w:tc>
              <w:tc>
                <w:tcPr>
                  <w:tcW w:w="699" w:type="pct"/>
                  <w:tcBorders>
                    <w:tl2br w:val="nil"/>
                    <w:tr2bl w:val="nil"/>
                  </w:tcBorders>
                  <w:noWrap w:val="0"/>
                  <w:vAlign w:val="center"/>
                </w:tcPr>
                <w:p w14:paraId="5B7461C9">
                  <w:pPr>
                    <w:pStyle w:val="31"/>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68.67</w:t>
                  </w:r>
                </w:p>
              </w:tc>
              <w:tc>
                <w:tcPr>
                  <w:tcW w:w="641" w:type="pct"/>
                  <w:tcBorders>
                    <w:tl2br w:val="nil"/>
                    <w:tr2bl w:val="nil"/>
                  </w:tcBorders>
                  <w:noWrap w:val="0"/>
                  <w:vAlign w:val="center"/>
                </w:tcPr>
                <w:p w14:paraId="330A2B6D">
                  <w:pPr>
                    <w:pStyle w:val="31"/>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0.3</w:t>
                  </w:r>
                </w:p>
              </w:tc>
            </w:tr>
            <w:tr w14:paraId="4F3E91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4" w:hRule="atLeast"/>
                <w:jc w:val="center"/>
              </w:trPr>
              <w:tc>
                <w:tcPr>
                  <w:tcW w:w="1678" w:type="pct"/>
                  <w:tcBorders>
                    <w:tl2br w:val="nil"/>
                    <w:tr2bl w:val="nil"/>
                  </w:tcBorders>
                  <w:noWrap w:val="0"/>
                  <w:vAlign w:val="center"/>
                </w:tcPr>
                <w:p w14:paraId="2A0CD43E">
                  <w:pPr>
                    <w:pStyle w:val="31"/>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2024.6.26</w:t>
                  </w:r>
                </w:p>
              </w:tc>
              <w:tc>
                <w:tcPr>
                  <w:tcW w:w="1980" w:type="pct"/>
                  <w:tcBorders>
                    <w:tl2br w:val="nil"/>
                    <w:tr2bl w:val="nil"/>
                  </w:tcBorders>
                  <w:noWrap w:val="0"/>
                  <w:vAlign w:val="center"/>
                </w:tcPr>
                <w:p w14:paraId="73BD9157">
                  <w:pPr>
                    <w:pStyle w:val="31"/>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0.</w:t>
                  </w:r>
                  <w: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t>210</w:t>
                  </w:r>
                </w:p>
              </w:tc>
              <w:tc>
                <w:tcPr>
                  <w:tcW w:w="699" w:type="pct"/>
                  <w:tcBorders>
                    <w:tl2br w:val="nil"/>
                    <w:tr2bl w:val="nil"/>
                  </w:tcBorders>
                  <w:noWrap w:val="0"/>
                  <w:vAlign w:val="center"/>
                </w:tcPr>
                <w:p w14:paraId="7820E4AD">
                  <w:pPr>
                    <w:pStyle w:val="31"/>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70</w:t>
                  </w:r>
                </w:p>
              </w:tc>
              <w:tc>
                <w:tcPr>
                  <w:tcW w:w="641" w:type="pct"/>
                  <w:tcBorders>
                    <w:tl2br w:val="nil"/>
                    <w:tr2bl w:val="nil"/>
                  </w:tcBorders>
                  <w:noWrap w:val="0"/>
                  <w:vAlign w:val="center"/>
                </w:tcPr>
                <w:p w14:paraId="42AFB26D">
                  <w:pPr>
                    <w:pStyle w:val="31"/>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textAlignment w:val="auto"/>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0.3</w:t>
                  </w:r>
                </w:p>
              </w:tc>
            </w:tr>
          </w:tbl>
          <w:p w14:paraId="6BA8414C">
            <w:pPr>
              <w:spacing w:line="240" w:lineRule="atLeast"/>
              <w:jc w:val="cente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表</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3-</w:t>
            </w:r>
            <w:r>
              <w:rPr>
                <w:rFonts w:hint="eastAsia" w:cs="Times New Roman"/>
                <w:b/>
                <w:bCs/>
                <w:color w:val="000000" w:themeColor="text1"/>
                <w:sz w:val="24"/>
                <w:szCs w:val="24"/>
                <w:highlight w:val="none"/>
                <w:lang w:val="en-US" w:eastAsia="zh-CN"/>
                <w14:textFill>
                  <w14:solidFill>
                    <w14:schemeClr w14:val="tx1"/>
                  </w14:solidFill>
                </w14:textFill>
              </w:rPr>
              <w:t>6</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环境空气质量现状引用监测数据结果</w:t>
            </w:r>
          </w:p>
          <w:tbl>
            <w:tblPr>
              <w:tblStyle w:val="25"/>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03"/>
              <w:gridCol w:w="1349"/>
              <w:gridCol w:w="1365"/>
              <w:gridCol w:w="1184"/>
              <w:gridCol w:w="1184"/>
              <w:gridCol w:w="1184"/>
            </w:tblGrid>
            <w:tr w14:paraId="1825F1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68" w:type="pct"/>
                  <w:tcBorders>
                    <w:left w:val="single" w:color="auto" w:sz="0" w:space="0"/>
                    <w:tl2br w:val="nil"/>
                    <w:tr2bl w:val="nil"/>
                  </w:tcBorders>
                  <w:noWrap w:val="0"/>
                  <w:vAlign w:val="center"/>
                </w:tcPr>
                <w:p w14:paraId="61A16158">
                  <w:pPr>
                    <w:spacing w:line="240" w:lineRule="atLeast"/>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监测点位</w:t>
                  </w:r>
                </w:p>
              </w:tc>
              <w:tc>
                <w:tcPr>
                  <w:tcW w:w="846" w:type="pct"/>
                  <w:tcBorders>
                    <w:tl2br w:val="nil"/>
                    <w:tr2bl w:val="nil"/>
                  </w:tcBorders>
                  <w:noWrap w:val="0"/>
                  <w:vAlign w:val="center"/>
                </w:tcPr>
                <w:p w14:paraId="1F1CA8CF">
                  <w:pPr>
                    <w:spacing w:line="240" w:lineRule="atLeast"/>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监测项目</w:t>
                  </w:r>
                </w:p>
              </w:tc>
              <w:tc>
                <w:tcPr>
                  <w:tcW w:w="856" w:type="pct"/>
                  <w:tcBorders>
                    <w:tl2br w:val="nil"/>
                    <w:tr2bl w:val="nil"/>
                  </w:tcBorders>
                  <w:noWrap w:val="0"/>
                  <w:vAlign w:val="center"/>
                </w:tcPr>
                <w:p w14:paraId="5B7EF3CB">
                  <w:pPr>
                    <w:spacing w:line="240" w:lineRule="atLeast"/>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日均值浓度范围</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g/m</w:t>
                  </w:r>
                  <w:r>
                    <w:rPr>
                      <w:rFonts w:hint="default"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3</w:t>
                  </w:r>
                </w:p>
              </w:tc>
              <w:tc>
                <w:tcPr>
                  <w:tcW w:w="742" w:type="pct"/>
                  <w:tcBorders>
                    <w:right w:val="single" w:color="auto" w:sz="4" w:space="0"/>
                    <w:tl2br w:val="nil"/>
                    <w:tr2bl w:val="nil"/>
                  </w:tcBorders>
                  <w:noWrap w:val="0"/>
                  <w:vAlign w:val="center"/>
                </w:tcPr>
                <w:p w14:paraId="7CB0DA7E">
                  <w:pPr>
                    <w:spacing w:line="240" w:lineRule="atLeast"/>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占标率</w:t>
                  </w:r>
                </w:p>
                <w:p w14:paraId="45EA7DC5">
                  <w:pPr>
                    <w:spacing w:line="240" w:lineRule="atLeast"/>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742" w:type="pct"/>
                  <w:tcBorders>
                    <w:right w:val="single" w:color="auto" w:sz="4" w:space="0"/>
                    <w:tl2br w:val="nil"/>
                    <w:tr2bl w:val="nil"/>
                  </w:tcBorders>
                  <w:noWrap w:val="0"/>
                  <w:vAlign w:val="center"/>
                </w:tcPr>
                <w:p w14:paraId="56E48EFA">
                  <w:pPr>
                    <w:spacing w:line="240" w:lineRule="atLeast"/>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日均值浓度超标率%</w:t>
                  </w:r>
                </w:p>
              </w:tc>
              <w:tc>
                <w:tcPr>
                  <w:tcW w:w="742" w:type="pct"/>
                  <w:tcBorders>
                    <w:right w:val="single" w:color="auto" w:sz="4" w:space="0"/>
                    <w:tl2br w:val="nil"/>
                    <w:tr2bl w:val="nil"/>
                  </w:tcBorders>
                  <w:noWrap w:val="0"/>
                  <w:vAlign w:val="center"/>
                </w:tcPr>
                <w:p w14:paraId="57F2C27B">
                  <w:pPr>
                    <w:spacing w:line="240" w:lineRule="atLeast"/>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限值mg/m</w:t>
                  </w:r>
                  <w:r>
                    <w:rPr>
                      <w:rFonts w:hint="default" w:ascii="Times New Roman" w:hAnsi="Times New Roman" w:eastAsia="宋体" w:cs="Times New Roman"/>
                      <w:b w:val="0"/>
                      <w:bCs w:val="0"/>
                      <w:color w:val="000000" w:themeColor="text1"/>
                      <w:sz w:val="21"/>
                      <w:szCs w:val="21"/>
                      <w:highlight w:val="none"/>
                      <w:vertAlign w:val="superscript"/>
                      <w14:textFill>
                        <w14:solidFill>
                          <w14:schemeClr w14:val="tx1"/>
                        </w14:solidFill>
                      </w14:textFill>
                    </w:rPr>
                    <w:t>3</w:t>
                  </w:r>
                </w:p>
              </w:tc>
            </w:tr>
            <w:tr w14:paraId="1A2475F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68" w:type="pct"/>
                  <w:tcBorders>
                    <w:left w:val="single" w:color="auto" w:sz="4" w:space="0"/>
                    <w:tl2br w:val="nil"/>
                    <w:tr2bl w:val="nil"/>
                  </w:tcBorders>
                  <w:noWrap w:val="0"/>
                  <w:vAlign w:val="center"/>
                </w:tcPr>
                <w:p w14:paraId="37E20F14">
                  <w:pPr>
                    <w:spacing w:line="240" w:lineRule="atLeast"/>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玉晶科技厂区</w:t>
                  </w:r>
                </w:p>
              </w:tc>
              <w:tc>
                <w:tcPr>
                  <w:tcW w:w="846" w:type="pct"/>
                  <w:tcBorders>
                    <w:tl2br w:val="nil"/>
                    <w:tr2bl w:val="nil"/>
                  </w:tcBorders>
                  <w:noWrap w:val="0"/>
                  <w:vAlign w:val="center"/>
                </w:tcPr>
                <w:p w14:paraId="52241923">
                  <w:pPr>
                    <w:spacing w:line="240" w:lineRule="atLeast"/>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氨气</w:t>
                  </w:r>
                </w:p>
              </w:tc>
              <w:tc>
                <w:tcPr>
                  <w:tcW w:w="856" w:type="pct"/>
                  <w:tcBorders>
                    <w:tl2br w:val="nil"/>
                    <w:tr2bl w:val="nil"/>
                  </w:tcBorders>
                  <w:noWrap w:val="0"/>
                  <w:vAlign w:val="center"/>
                </w:tcPr>
                <w:p w14:paraId="2D48F104">
                  <w:pPr>
                    <w:spacing w:line="240" w:lineRule="atLeast"/>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&lt;0.01~0.08</w:t>
                  </w:r>
                </w:p>
              </w:tc>
              <w:tc>
                <w:tcPr>
                  <w:tcW w:w="742" w:type="pct"/>
                  <w:tcBorders>
                    <w:right w:val="single" w:color="auto" w:sz="4" w:space="0"/>
                    <w:tl2br w:val="nil"/>
                    <w:tr2bl w:val="nil"/>
                  </w:tcBorders>
                  <w:noWrap w:val="0"/>
                  <w:vAlign w:val="center"/>
                </w:tcPr>
                <w:p w14:paraId="642BC2D3">
                  <w:pPr>
                    <w:spacing w:line="240" w:lineRule="atLeast"/>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0~40</w:t>
                  </w:r>
                </w:p>
              </w:tc>
              <w:tc>
                <w:tcPr>
                  <w:tcW w:w="742" w:type="pct"/>
                  <w:tcBorders>
                    <w:right w:val="single" w:color="auto" w:sz="4" w:space="0"/>
                    <w:tl2br w:val="nil"/>
                    <w:tr2bl w:val="nil"/>
                  </w:tcBorders>
                  <w:noWrap w:val="0"/>
                  <w:vAlign w:val="center"/>
                </w:tcPr>
                <w:p w14:paraId="6CEA4477">
                  <w:pPr>
                    <w:spacing w:line="240" w:lineRule="atLeast"/>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w:t>
                  </w:r>
                </w:p>
              </w:tc>
              <w:tc>
                <w:tcPr>
                  <w:tcW w:w="742" w:type="pct"/>
                  <w:tcBorders>
                    <w:right w:val="single" w:color="auto" w:sz="4" w:space="0"/>
                    <w:tl2br w:val="nil"/>
                    <w:tr2bl w:val="nil"/>
                  </w:tcBorders>
                  <w:noWrap w:val="0"/>
                  <w:vAlign w:val="center"/>
                </w:tcPr>
                <w:p w14:paraId="6F2F81EF">
                  <w:pPr>
                    <w:spacing w:line="240" w:lineRule="atLeast"/>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0.2</w:t>
                  </w:r>
                </w:p>
              </w:tc>
            </w:tr>
          </w:tbl>
          <w:p w14:paraId="0C60EE38">
            <w:pPr>
              <w:keepNext w:val="0"/>
              <w:keepLines w:val="0"/>
              <w:pageBreakBefore w:val="0"/>
              <w:widowControl w:val="0"/>
              <w:tabs>
                <w:tab w:val="left" w:pos="434"/>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由上表可知，引用的</w:t>
            </w:r>
            <w:r>
              <w:rPr>
                <w:rFonts w:hint="eastAsia" w:ascii="Times New Roman" w:hAnsi="Times New Roman" w:eastAsia="宋体" w:cs="Times New Roman"/>
                <w:bCs/>
                <w:color w:val="000000" w:themeColor="text1"/>
                <w:sz w:val="24"/>
                <w:highlight w:val="none"/>
                <w:lang w:val="en-US" w:eastAsia="zh-CN"/>
                <w14:textFill>
                  <w14:solidFill>
                    <w14:schemeClr w14:val="tx1"/>
                  </w14:solidFill>
                </w14:textFill>
              </w:rPr>
              <w:t>氨气</w:t>
            </w: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监测结果满足《环境影响评价技术导则大气环境》（HJ2.2—2018）附录D</w:t>
            </w:r>
            <w:r>
              <w:rPr>
                <w:rFonts w:hint="eastAsia" w:cs="Times New Roman"/>
                <w:bCs/>
                <w:color w:val="000000" w:themeColor="text1"/>
                <w:sz w:val="24"/>
                <w:highlight w:val="none"/>
                <w:lang w:val="en-US" w:eastAsia="zh-CN"/>
                <w14:textFill>
                  <w14:solidFill>
                    <w14:schemeClr w14:val="tx1"/>
                  </w14:solidFill>
                </w14:textFill>
              </w:rPr>
              <w:t>其他</w:t>
            </w:r>
            <w:r>
              <w:rPr>
                <w:rFonts w:hint="default" w:ascii="Times New Roman" w:hAnsi="Times New Roman" w:eastAsia="宋体" w:cs="Times New Roman"/>
                <w:bCs/>
                <w:color w:val="000000" w:themeColor="text1"/>
                <w:sz w:val="24"/>
                <w:highlight w:val="none"/>
                <w:lang w:val="en-US" w:eastAsia="zh-CN"/>
                <w14:textFill>
                  <w14:solidFill>
                    <w14:schemeClr w14:val="tx1"/>
                  </w14:solidFill>
                </w14:textFill>
              </w:rPr>
              <w:t>污染物空气质量浓度参考限值要求</w:t>
            </w:r>
            <w:r>
              <w:rPr>
                <w:rFonts w:hint="eastAsia" w:cs="Times New Roman"/>
                <w:bCs/>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区域环境空气中TSP</w:t>
            </w:r>
            <w:r>
              <w:rPr>
                <w:rFonts w:hint="eastAsia" w:cs="Times New Roman"/>
                <w:color w:val="000000" w:themeColor="text1"/>
                <w:sz w:val="24"/>
                <w:szCs w:val="24"/>
                <w:highlight w:val="none"/>
                <w:lang w:val="en-US" w:eastAsia="zh-CN"/>
                <w14:textFill>
                  <w14:solidFill>
                    <w14:schemeClr w14:val="tx1"/>
                  </w14:solidFill>
                </w14:textFill>
              </w:rPr>
              <w:t>的</w:t>
            </w:r>
            <w:r>
              <w:rPr>
                <w:rFonts w:hint="default" w:ascii="Times New Roman" w:hAnsi="Times New Roman" w:eastAsia="宋体" w:cs="Times New Roman"/>
                <w:color w:val="000000" w:themeColor="text1"/>
                <w:sz w:val="24"/>
                <w:szCs w:val="24"/>
                <w:highlight w:val="none"/>
                <w14:textFill>
                  <w14:solidFill>
                    <w14:schemeClr w14:val="tx1"/>
                  </w14:solidFill>
                </w14:textFill>
              </w:rPr>
              <w:t>监测浓度可满足《环境空气质量标准》（GB3095-20</w:t>
            </w:r>
            <w:r>
              <w:rPr>
                <w:rFonts w:hint="eastAsia" w:cs="Times New Roman"/>
                <w:color w:val="000000" w:themeColor="text1"/>
                <w:sz w:val="24"/>
                <w:szCs w:val="24"/>
                <w:highlight w:val="none"/>
                <w:lang w:val="en-US" w:eastAsia="zh-CN"/>
                <w14:textFill>
                  <w14:solidFill>
                    <w14:schemeClr w14:val="tx1"/>
                  </w14:solidFill>
                </w14:textFill>
              </w:rPr>
              <w:t>26</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的表2的</w:t>
            </w:r>
            <w:r>
              <w:rPr>
                <w:rFonts w:hint="default" w:ascii="Times New Roman" w:hAnsi="Times New Roman" w:eastAsia="宋体" w:cs="Times New Roman"/>
                <w:color w:val="000000" w:themeColor="text1"/>
                <w:sz w:val="24"/>
                <w:szCs w:val="24"/>
                <w:highlight w:val="none"/>
                <w14:textFill>
                  <w14:solidFill>
                    <w14:schemeClr w14:val="tx1"/>
                  </w14:solidFill>
                </w14:textFill>
              </w:rPr>
              <w:t>二级标准要求。</w:t>
            </w:r>
          </w:p>
          <w:p w14:paraId="5B558173">
            <w:pPr>
              <w:keepNext w:val="0"/>
              <w:keepLines w:val="0"/>
              <w:pageBreakBefore w:val="0"/>
              <w:widowControl w:val="0"/>
              <w:tabs>
                <w:tab w:val="left" w:pos="434"/>
              </w:tabs>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2.</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地表水环境质量现状</w:t>
            </w:r>
          </w:p>
          <w:p w14:paraId="586254E9">
            <w:pPr>
              <w:keepNext w:val="0"/>
              <w:keepLines w:val="0"/>
              <w:pageBreakBefore w:val="0"/>
              <w:widowControl w:val="0"/>
              <w:tabs>
                <w:tab w:val="left" w:pos="434"/>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评价范围内</w:t>
            </w:r>
            <w:r>
              <w:rPr>
                <w:rFonts w:hint="default" w:ascii="Times New Roman" w:hAnsi="Times New Roman" w:eastAsia="宋体" w:cs="Times New Roman"/>
                <w:color w:val="000000" w:themeColor="text1"/>
                <w:sz w:val="24"/>
                <w:szCs w:val="24"/>
                <w:highlight w:val="none"/>
                <w14:textFill>
                  <w14:solidFill>
                    <w14:schemeClr w14:val="tx1"/>
                  </w14:solidFill>
                </w14:textFill>
              </w:rPr>
              <w:t>无地表水，不进行地表水现状评价。</w:t>
            </w:r>
          </w:p>
          <w:p w14:paraId="396C13C8">
            <w:pPr>
              <w:keepNext w:val="0"/>
              <w:keepLines w:val="0"/>
              <w:pageBreakBefore w:val="0"/>
              <w:widowControl w:val="0"/>
              <w:tabs>
                <w:tab w:val="left" w:pos="434"/>
              </w:tabs>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3.</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声环境质量现状</w:t>
            </w:r>
          </w:p>
          <w:p w14:paraId="43C52F83">
            <w:pPr>
              <w:keepNext w:val="0"/>
              <w:keepLines w:val="0"/>
              <w:pageBreakBefore w:val="0"/>
              <w:widowControl w:val="0"/>
              <w:tabs>
                <w:tab w:val="left" w:pos="434"/>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根据《建设项目环境影响报告表编制技术指南（污染影响类）</w:t>
            </w:r>
            <w:r>
              <w:rPr>
                <w:rFonts w:hint="default" w:ascii="Times New Roman" w:hAnsi="Times New Roman" w:eastAsia="宋体" w:cs="Times New Roman"/>
                <w:bCs/>
                <w:color w:val="000000" w:themeColor="text1"/>
                <w:sz w:val="24"/>
                <w:szCs w:val="24"/>
                <w:highlight w:val="none"/>
                <w14:textFill>
                  <w14:solidFill>
                    <w14:schemeClr w14:val="tx1"/>
                  </w14:solidFill>
                </w14:textFill>
              </w:rPr>
              <w:t>（试行）》，</w:t>
            </w:r>
            <w:r>
              <w:rPr>
                <w:rFonts w:hint="default" w:ascii="Times New Roman" w:hAnsi="Times New Roman" w:eastAsia="宋体" w:cs="Times New Roman"/>
                <w:bCs/>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厂界外周边50m范围内存在声环境保护目标的建设项目，应监测保护目标声环境质量现状并评价达标情况</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。本项目位于</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内蒙古鄂尔多斯</w:t>
            </w:r>
            <w:r>
              <w:rPr>
                <w:rFonts w:hint="eastAsia" w:cs="Times New Roman"/>
                <w:color w:val="000000" w:themeColor="text1"/>
                <w:sz w:val="24"/>
                <w:highlight w:val="none"/>
                <w:lang w:val="en-US" w:eastAsia="zh-CN"/>
                <w14:textFill>
                  <w14:solidFill>
                    <w14:schemeClr w14:val="tx1"/>
                  </w14:solidFill>
                </w14:textFill>
              </w:rPr>
              <w:t>市</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准格尔经济开发区准格尔产业园</w:t>
            </w:r>
            <w:r>
              <w:rPr>
                <w:rFonts w:hint="default" w:ascii="Times New Roman" w:hAnsi="Times New Roman" w:eastAsia="宋体" w:cs="Times New Roman"/>
                <w:bCs/>
                <w:color w:val="000000" w:themeColor="text1"/>
                <w:sz w:val="24"/>
                <w:szCs w:val="24"/>
                <w:highlight w:val="none"/>
                <w14:textFill>
                  <w14:solidFill>
                    <w14:schemeClr w14:val="tx1"/>
                  </w14:solidFill>
                </w14:textFill>
              </w:rPr>
              <w:t>，厂界外周边50m范围内无声环境保护目标，因此，本项目无需对声环境质量现状进行调查。</w:t>
            </w:r>
          </w:p>
          <w:p w14:paraId="0A8B96BF">
            <w:pPr>
              <w:keepNext w:val="0"/>
              <w:keepLines w:val="0"/>
              <w:pageBreakBefore w:val="0"/>
              <w:widowControl w:val="0"/>
              <w:tabs>
                <w:tab w:val="left" w:pos="434"/>
              </w:tabs>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val="0"/>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val="0"/>
                <w:color w:val="000000" w:themeColor="text1"/>
                <w:sz w:val="24"/>
                <w:szCs w:val="24"/>
                <w:highlight w:val="none"/>
                <w:lang w:eastAsia="zh-CN"/>
                <w14:textFill>
                  <w14:solidFill>
                    <w14:schemeClr w14:val="tx1"/>
                  </w14:solidFill>
                </w14:textFill>
              </w:rPr>
              <w:t>4.</w:t>
            </w:r>
            <w:r>
              <w:rPr>
                <w:rFonts w:hint="default" w:ascii="Times New Roman" w:hAnsi="Times New Roman" w:eastAsia="宋体" w:cs="Times New Roman"/>
                <w:b/>
                <w:bCs w:val="0"/>
                <w:color w:val="000000" w:themeColor="text1"/>
                <w:sz w:val="24"/>
                <w:szCs w:val="24"/>
                <w:highlight w:val="none"/>
                <w14:textFill>
                  <w14:solidFill>
                    <w14:schemeClr w14:val="tx1"/>
                  </w14:solidFill>
                </w14:textFill>
              </w:rPr>
              <w:t>生态环境</w:t>
            </w:r>
          </w:p>
          <w:p w14:paraId="022A945B">
            <w:pPr>
              <w:keepNext w:val="0"/>
              <w:keepLines w:val="0"/>
              <w:pageBreakBefore w:val="0"/>
              <w:widowControl w:val="0"/>
              <w:tabs>
                <w:tab w:val="left" w:pos="434"/>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000000" w:themeColor="text1"/>
                <w:sz w:val="24"/>
                <w:szCs w:val="24"/>
                <w:highlight w:val="none"/>
                <w14:textFill>
                  <w14:solidFill>
                    <w14:schemeClr w14:val="tx1"/>
                  </w14:solidFill>
                </w14:textFill>
              </w:rPr>
            </w:pPr>
            <w:r>
              <w:rPr>
                <w:rFonts w:hint="default" w:ascii="Times New Roman" w:hAnsi="Times New Roman" w:eastAsia="宋体" w:cs="Times New Roman"/>
                <w:bCs/>
                <w:color w:val="000000" w:themeColor="text1"/>
                <w:sz w:val="24"/>
                <w:szCs w:val="24"/>
                <w:highlight w:val="none"/>
                <w14:textFill>
                  <w14:solidFill>
                    <w14:schemeClr w14:val="tx1"/>
                  </w14:solidFill>
                </w14:textFill>
              </w:rPr>
              <w:t>根据《建设项目环境</w:t>
            </w:r>
            <w:r>
              <w:rPr>
                <w:rFonts w:hint="default" w:ascii="Times New Roman" w:hAnsi="Times New Roman" w:eastAsia="宋体" w:cs="Times New Roman"/>
                <w:color w:val="000000" w:themeColor="text1"/>
                <w:sz w:val="24"/>
                <w:szCs w:val="24"/>
                <w:highlight w:val="none"/>
                <w14:textFill>
                  <w14:solidFill>
                    <w14:schemeClr w14:val="tx1"/>
                  </w14:solidFill>
                </w14:textFill>
              </w:rPr>
              <w:t>影响报告表编制技术指南（污染影响类）</w:t>
            </w:r>
            <w:r>
              <w:rPr>
                <w:rFonts w:hint="default" w:ascii="Times New Roman" w:hAnsi="Times New Roman" w:eastAsia="宋体" w:cs="Times New Roman"/>
                <w:bCs/>
                <w:color w:val="000000" w:themeColor="text1"/>
                <w:sz w:val="24"/>
                <w:szCs w:val="24"/>
                <w:highlight w:val="none"/>
                <w14:textFill>
                  <w14:solidFill>
                    <w14:schemeClr w14:val="tx1"/>
                  </w14:solidFill>
                </w14:textFill>
              </w:rPr>
              <w:t>（试行）》，产业园区外建设项目新增用地且用地范围内含有生态环境保护目标时，应进行生态现状调查。本项目位于</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内蒙古鄂尔多斯</w:t>
            </w:r>
            <w:r>
              <w:rPr>
                <w:rFonts w:hint="eastAsia" w:cs="Times New Roman"/>
                <w:color w:val="000000" w:themeColor="text1"/>
                <w:sz w:val="24"/>
                <w:highlight w:val="none"/>
                <w:lang w:val="en-US" w:eastAsia="zh-CN"/>
                <w14:textFill>
                  <w14:solidFill>
                    <w14:schemeClr w14:val="tx1"/>
                  </w14:solidFill>
                </w14:textFill>
              </w:rPr>
              <w:t>市</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准格尔经济开发区准格尔产业园</w:t>
            </w:r>
            <w:r>
              <w:rPr>
                <w:rFonts w:hint="default" w:ascii="Times New Roman" w:hAnsi="Times New Roman" w:eastAsia="宋体" w:cs="Times New Roman"/>
                <w:color w:val="000000" w:themeColor="text1"/>
                <w:sz w:val="24"/>
                <w:szCs w:val="24"/>
                <w:highlight w:val="none"/>
                <w14:textFill>
                  <w14:solidFill>
                    <w14:schemeClr w14:val="tx1"/>
                  </w14:solidFill>
                </w14:textFill>
              </w:rPr>
              <w:t>内</w:t>
            </w:r>
            <w:r>
              <w:rPr>
                <w:rFonts w:hint="default" w:ascii="Times New Roman" w:hAnsi="Times New Roman" w:eastAsia="宋体" w:cs="Times New Roman"/>
                <w:bCs/>
                <w:color w:val="000000" w:themeColor="text1"/>
                <w:sz w:val="24"/>
                <w:szCs w:val="24"/>
                <w:highlight w:val="none"/>
                <w14:textFill>
                  <w14:solidFill>
                    <w14:schemeClr w14:val="tx1"/>
                  </w14:solidFill>
                </w14:textFill>
              </w:rPr>
              <w:t>为工业用地，因此本项目无需对生态环境质量现状进行调查。</w:t>
            </w:r>
          </w:p>
          <w:p w14:paraId="49CE5DF6">
            <w:pPr>
              <w:keepNext w:val="0"/>
              <w:keepLines w:val="0"/>
              <w:pageBreakBefore w:val="0"/>
              <w:widowControl w:val="0"/>
              <w:tabs>
                <w:tab w:val="left" w:pos="434"/>
              </w:tabs>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5.</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地下水、土壤环境质量现状</w:t>
            </w:r>
          </w:p>
          <w:p w14:paraId="63708013">
            <w:pPr>
              <w:keepNext w:val="0"/>
              <w:keepLines w:val="0"/>
              <w:pageBreakBefore w:val="0"/>
              <w:widowControl w:val="0"/>
              <w:tabs>
                <w:tab w:val="left" w:pos="434"/>
              </w:tabs>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依</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照《建设项目环境影响报告表编制技术指南（污染影响类）（试行）》，地下水、土壤环境原则上不开展环境质量现状调查。建设项目存在土壤、地下水污染途径的，应结合污染源、保护目标分布情况开展现状调查以留作背景值。针对环境保护目标，指南中针对地下水给出的内容为：地下水环境需明确厂界外500m范围内的地下水集中式饮用水水源和热水、矿泉水、温泉等特殊地下水资源。</w:t>
            </w:r>
          </w:p>
          <w:p w14:paraId="005F588A">
            <w:pPr>
              <w:pStyle w:val="12"/>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经调查，本项目周围500m范围内不存在上述要求中的地下水环境保护目标，周围不存在敏感或较敏感的土壤环境保护目标，属于不敏感。项目</w:t>
            </w:r>
            <w:r>
              <w:rPr>
                <w:rFonts w:hint="eastAsia" w:cs="Times New Roman"/>
                <w:color w:val="000000" w:themeColor="text1"/>
                <w:sz w:val="24"/>
                <w:szCs w:val="24"/>
                <w:highlight w:val="none"/>
                <w:lang w:val="en-US" w:eastAsia="zh-CN"/>
                <w14:textFill>
                  <w14:solidFill>
                    <w14:schemeClr w14:val="tx1"/>
                  </w14:solidFill>
                </w14:textFill>
              </w:rPr>
              <w:t>原料粉</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筒仓、机修车间、分选车间、悬浮炉和回转窑区、冷却系统区、成品堆棚、黄料筒仓等</w:t>
            </w:r>
            <w:r>
              <w:rPr>
                <w:rFonts w:hint="eastAsia" w:cs="Times New Roman"/>
                <w:color w:val="000000" w:themeColor="text1"/>
                <w:sz w:val="24"/>
                <w:szCs w:val="24"/>
                <w:highlight w:val="none"/>
                <w:lang w:val="en-US" w:eastAsia="zh-CN"/>
                <w14:textFill>
                  <w14:solidFill>
                    <w14:schemeClr w14:val="tx1"/>
                  </w14:solidFill>
                </w14:textFill>
              </w:rPr>
              <w:t>区域</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需一般防渗，防渗层不低于1.5m厚，渗透系数为1.0×10</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—7</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cm/s的粘土层</w:t>
            </w:r>
            <w:r>
              <w:rPr>
                <w:rFonts w:hint="eastAsia"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危废贮存间按照《危险废物贮存污染控制标准》（GB18597-2023），采用2mm厚的高密度聚乙烯防渗材料或其他具有相同防渗能力的材料，渗透系数不大于10</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—10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cm/s，危废贮存间</w:t>
            </w:r>
            <w:r>
              <w:rPr>
                <w:rFonts w:hint="eastAsia" w:cs="Times New Roman"/>
                <w:color w:val="000000" w:themeColor="text1"/>
                <w:sz w:val="24"/>
                <w:szCs w:val="24"/>
                <w:highlight w:val="none"/>
                <w:lang w:val="en-US" w:eastAsia="zh-CN"/>
                <w14:textFill>
                  <w14:solidFill>
                    <w14:schemeClr w14:val="tx1"/>
                  </w14:solidFill>
                </w14:textFill>
              </w:rPr>
              <w:t>存储物料容器</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设置防渗漏托盘，并且周围设置导流渠和收集池，对泄漏的危险废物进行收集</w:t>
            </w:r>
            <w:r>
              <w:rPr>
                <w:rFonts w:hint="eastAsia" w:cs="Times New Roman"/>
                <w:color w:val="000000" w:themeColor="text1"/>
                <w:sz w:val="24"/>
                <w:szCs w:val="24"/>
                <w:highlight w:val="none"/>
                <w:lang w:val="en-US" w:eastAsia="zh-CN"/>
                <w14:textFill>
                  <w14:solidFill>
                    <w14:schemeClr w14:val="tx1"/>
                  </w14:solidFill>
                </w14:textFill>
              </w:rPr>
              <w:t>；其他重点防渗分区</w:t>
            </w:r>
            <w:r>
              <w:rPr>
                <w:rFonts w:eastAsia="宋体"/>
                <w:color w:val="000000" w:themeColor="text1"/>
                <w:highlight w:val="none"/>
                <w14:textFill>
                  <w14:solidFill>
                    <w14:schemeClr w14:val="tx1"/>
                  </w14:solidFill>
                </w14:textFill>
              </w:rPr>
              <w:t>等效黏土防渗层Mb≥6.0m，K≤1×10</w:t>
            </w:r>
            <w:r>
              <w:rPr>
                <w:rFonts w:eastAsia="宋体"/>
                <w:color w:val="000000" w:themeColor="text1"/>
                <w:highlight w:val="none"/>
                <w:vertAlign w:val="superscript"/>
                <w14:textFill>
                  <w14:solidFill>
                    <w14:schemeClr w14:val="tx1"/>
                  </w14:solidFill>
                </w14:textFill>
              </w:rPr>
              <w:t>-7</w:t>
            </w:r>
            <w:r>
              <w:rPr>
                <w:rFonts w:eastAsia="宋体"/>
                <w:color w:val="000000" w:themeColor="text1"/>
                <w:highlight w:val="none"/>
                <w14:textFill>
                  <w14:solidFill>
                    <w14:schemeClr w14:val="tx1"/>
                  </w14:solidFill>
                </w14:textFill>
              </w:rPr>
              <w:t>cm/s；或参照GB18598执行</w:t>
            </w:r>
            <w:r>
              <w:rPr>
                <w:rFonts w:hint="eastAsia" w:eastAsia="宋体"/>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生产车间、办公生活区、道路需进行一般地面硬化的简单防渗。</w:t>
            </w:r>
          </w:p>
          <w:p w14:paraId="5AE9A727">
            <w:pPr>
              <w:pStyle w:val="12"/>
              <w:keepNext w:val="0"/>
              <w:keepLines w:val="0"/>
              <w:pageBreakBefore w:val="0"/>
              <w:widowControl w:val="0"/>
              <w:kinsoku/>
              <w:wordWrap/>
              <w:overflowPunct/>
              <w:topLinePunct w:val="0"/>
              <w:autoSpaceDE/>
              <w:autoSpaceDN/>
              <w:bidi w:val="0"/>
              <w:spacing w:line="360" w:lineRule="auto"/>
              <w:ind w:firstLine="480" w:firstLineChars="200"/>
              <w:jc w:val="both"/>
              <w:textAlignment w:val="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本项目生产过程中产生大气污染物及水污染物</w:t>
            </w:r>
            <w:r>
              <w:rPr>
                <w:rFonts w:hint="eastAsia" w:cs="Times New Roman"/>
                <w:color w:val="000000" w:themeColor="text1"/>
                <w:sz w:val="24"/>
                <w:szCs w:val="24"/>
                <w:highlight w:val="none"/>
                <w:lang w:val="en-US" w:eastAsia="zh-CN"/>
                <w14:textFill>
                  <w14:solidFill>
                    <w14:schemeClr w14:val="tx1"/>
                  </w14:solidFill>
                </w14:textFill>
              </w:rPr>
              <w:t>排放污染较小</w:t>
            </w:r>
            <w:r>
              <w:rPr>
                <w:rFonts w:hint="default" w:ascii="Times New Roman" w:hAnsi="Times New Roman" w:eastAsia="宋体" w:cs="Times New Roman"/>
                <w:color w:val="000000" w:themeColor="text1"/>
                <w:sz w:val="24"/>
                <w:szCs w:val="24"/>
                <w:highlight w:val="none"/>
                <w14:textFill>
                  <w14:solidFill>
                    <w14:schemeClr w14:val="tx1"/>
                  </w14:solidFill>
                </w14:textFill>
              </w:rPr>
              <w:t>，运营期不存在土壤、地下水环境污染途径，故可不开展地下水和土壤环境质量现状调查</w:t>
            </w:r>
            <w:r>
              <w:rPr>
                <w:rFonts w:hint="default" w:ascii="Times New Roman" w:hAnsi="Times New Roman" w:eastAsia="宋体" w:cs="Times New Roman"/>
                <w:color w:val="000000" w:themeColor="text1"/>
                <w:szCs w:val="22"/>
                <w:highlight w:val="none"/>
                <w14:textFill>
                  <w14:solidFill>
                    <w14:schemeClr w14:val="tx1"/>
                  </w14:solidFill>
                </w14:textFill>
              </w:rPr>
              <w:t>。</w:t>
            </w:r>
          </w:p>
        </w:tc>
      </w:tr>
      <w:tr w14:paraId="08E415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800" w:type="dxa"/>
            <w:noWrap w:val="0"/>
            <w:vAlign w:val="center"/>
          </w:tcPr>
          <w:p w14:paraId="4C332FDA">
            <w:pPr>
              <w:adjustRightInd w:val="0"/>
              <w:snapToGrid w:val="0"/>
              <w:jc w:val="center"/>
              <w:rPr>
                <w:rFonts w:hint="default" w:ascii="Times New Roman" w:hAnsi="Times New Roman" w:eastAsia="宋体" w:cs="Times New Roman"/>
                <w:b/>
                <w:bCs/>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环</w:t>
            </w:r>
          </w:p>
          <w:p w14:paraId="71453532">
            <w:pPr>
              <w:adjustRightInd w:val="0"/>
              <w:snapToGrid w:val="0"/>
              <w:jc w:val="center"/>
              <w:rPr>
                <w:rFonts w:hint="default" w:ascii="Times New Roman" w:hAnsi="Times New Roman" w:eastAsia="宋体" w:cs="Times New Roman"/>
                <w:b/>
                <w:bCs/>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境</w:t>
            </w:r>
          </w:p>
          <w:p w14:paraId="7D4CEC27">
            <w:pPr>
              <w:adjustRightInd w:val="0"/>
              <w:snapToGrid w:val="0"/>
              <w:jc w:val="center"/>
              <w:rPr>
                <w:rFonts w:hint="default" w:ascii="Times New Roman" w:hAnsi="Times New Roman" w:eastAsia="宋体" w:cs="Times New Roman"/>
                <w:b/>
                <w:bCs/>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保</w:t>
            </w:r>
          </w:p>
          <w:p w14:paraId="74E6C4F7">
            <w:pPr>
              <w:adjustRightInd w:val="0"/>
              <w:snapToGrid w:val="0"/>
              <w:jc w:val="center"/>
              <w:rPr>
                <w:rFonts w:hint="default" w:ascii="Times New Roman" w:hAnsi="Times New Roman" w:eastAsia="宋体" w:cs="Times New Roman"/>
                <w:b/>
                <w:bCs/>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护</w:t>
            </w:r>
          </w:p>
          <w:p w14:paraId="72EAE4E8">
            <w:pPr>
              <w:adjustRightInd w:val="0"/>
              <w:snapToGrid w:val="0"/>
              <w:jc w:val="center"/>
              <w:rPr>
                <w:rFonts w:hint="default" w:ascii="Times New Roman" w:hAnsi="Times New Roman" w:eastAsia="宋体" w:cs="Times New Roman"/>
                <w:b/>
                <w:bCs/>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目</w:t>
            </w:r>
          </w:p>
          <w:p w14:paraId="76233A43">
            <w:pPr>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标</w:t>
            </w:r>
          </w:p>
        </w:tc>
        <w:tc>
          <w:tcPr>
            <w:tcW w:w="8190" w:type="dxa"/>
            <w:noWrap w:val="0"/>
            <w:vAlign w:val="top"/>
          </w:tcPr>
          <w:p w14:paraId="00A8DD6E">
            <w:pPr>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主要环境保护目标（列出名单及保护级别）：</w:t>
            </w:r>
          </w:p>
          <w:p w14:paraId="2B25D74F">
            <w:pPr>
              <w:pStyle w:val="81"/>
              <w:spacing w:line="360" w:lineRule="auto"/>
              <w:ind w:firstLine="480"/>
              <w:rPr>
                <w:rFonts w:hint="default" w:ascii="Times New Roman" w:hAnsi="Times New Roman" w:eastAsia="宋体" w:cs="Times New Roman"/>
                <w:color w:val="000000" w:themeColor="text1"/>
                <w:kern w:val="0"/>
                <w:szCs w:val="24"/>
                <w:highlight w:val="none"/>
                <w:lang w:bidi="en-US"/>
                <w14:textFill>
                  <w14:solidFill>
                    <w14:schemeClr w14:val="tx1"/>
                  </w14:solidFill>
                </w14:textFill>
              </w:rPr>
            </w:pPr>
            <w:r>
              <w:rPr>
                <w:rFonts w:hint="default" w:ascii="Times New Roman" w:hAnsi="Times New Roman" w:eastAsia="宋体" w:cs="Times New Roman"/>
                <w:color w:val="000000" w:themeColor="text1"/>
                <w:szCs w:val="24"/>
                <w:highlight w:val="none"/>
                <w14:textFill>
                  <w14:solidFill>
                    <w14:schemeClr w14:val="tx1"/>
                  </w14:solidFill>
                </w14:textFill>
              </w:rPr>
              <w:t>通过现场踏勘，</w:t>
            </w:r>
            <w:r>
              <w:rPr>
                <w:rFonts w:hint="default" w:ascii="Times New Roman" w:hAnsi="Times New Roman" w:eastAsia="宋体" w:cs="Times New Roman"/>
                <w:color w:val="000000" w:themeColor="text1"/>
                <w:kern w:val="0"/>
                <w:szCs w:val="24"/>
                <w:highlight w:val="none"/>
                <w:lang w:bidi="en-US"/>
                <w14:textFill>
                  <w14:solidFill>
                    <w14:schemeClr w14:val="tx1"/>
                  </w14:solidFill>
                </w14:textFill>
              </w:rPr>
              <w:t>本项目位于</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内蒙古鄂尔多斯</w:t>
            </w:r>
            <w:r>
              <w:rPr>
                <w:rFonts w:hint="eastAsia" w:cs="Times New Roman"/>
                <w:color w:val="000000" w:themeColor="text1"/>
                <w:sz w:val="24"/>
                <w:highlight w:val="none"/>
                <w:lang w:val="en-US" w:eastAsia="zh-CN"/>
                <w14:textFill>
                  <w14:solidFill>
                    <w14:schemeClr w14:val="tx1"/>
                  </w14:solidFill>
                </w14:textFill>
              </w:rPr>
              <w:t>市</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准格尔经济开发区准格尔产业园</w:t>
            </w:r>
            <w:r>
              <w:rPr>
                <w:rFonts w:hint="default" w:ascii="Times New Roman" w:hAnsi="Times New Roman" w:eastAsia="宋体" w:cs="Times New Roman"/>
                <w:color w:val="000000" w:themeColor="text1"/>
                <w:kern w:val="0"/>
                <w:szCs w:val="24"/>
                <w:highlight w:val="none"/>
                <w:lang w:bidi="en-US"/>
                <w14:textFill>
                  <w14:solidFill>
                    <w14:schemeClr w14:val="tx1"/>
                  </w14:solidFill>
                </w14:textFill>
              </w:rPr>
              <w:t>。</w:t>
            </w:r>
          </w:p>
          <w:p w14:paraId="2A8D40D6">
            <w:pPr>
              <w:pStyle w:val="81"/>
              <w:spacing w:line="360" w:lineRule="auto"/>
              <w:ind w:firstLine="480"/>
              <w:rPr>
                <w:rFonts w:hint="default" w:ascii="Times New Roman" w:hAnsi="Times New Roman" w:eastAsia="宋体" w:cs="Times New Roman"/>
                <w:color w:val="000000" w:themeColor="text1"/>
                <w:kern w:val="0"/>
                <w:szCs w:val="24"/>
                <w:highlight w:val="none"/>
                <w:lang w:bidi="en-US"/>
                <w14:textFill>
                  <w14:solidFill>
                    <w14:schemeClr w14:val="tx1"/>
                  </w14:solidFill>
                </w14:textFill>
              </w:rPr>
            </w:pPr>
            <w:r>
              <w:rPr>
                <w:rFonts w:hint="default" w:ascii="Times New Roman" w:hAnsi="Times New Roman" w:eastAsia="宋体" w:cs="Times New Roman"/>
                <w:color w:val="000000" w:themeColor="text1"/>
                <w:kern w:val="0"/>
                <w:szCs w:val="24"/>
                <w:highlight w:val="none"/>
                <w:lang w:bidi="en-US"/>
                <w14:textFill>
                  <w14:solidFill>
                    <w14:schemeClr w14:val="tx1"/>
                  </w14:solidFill>
                </w14:textFill>
              </w:rPr>
              <w:t>①大气环境：本项目在园区内，厂界500m范围内无自然保护区、风景名胜区、居住区、文化区和农村地区中人群较集中的区域等保护目标。</w:t>
            </w:r>
          </w:p>
          <w:p w14:paraId="5E49C595">
            <w:pPr>
              <w:pStyle w:val="81"/>
              <w:spacing w:line="360" w:lineRule="auto"/>
              <w:ind w:firstLine="480"/>
              <w:rPr>
                <w:rFonts w:hint="default" w:ascii="Times New Roman" w:hAnsi="Times New Roman" w:eastAsia="宋体" w:cs="Times New Roman"/>
                <w:color w:val="000000" w:themeColor="text1"/>
                <w:kern w:val="0"/>
                <w:szCs w:val="24"/>
                <w:highlight w:val="none"/>
                <w:lang w:bidi="en-US"/>
                <w14:textFill>
                  <w14:solidFill>
                    <w14:schemeClr w14:val="tx1"/>
                  </w14:solidFill>
                </w14:textFill>
              </w:rPr>
            </w:pPr>
            <w:r>
              <w:rPr>
                <w:rFonts w:hint="default" w:ascii="Times New Roman" w:hAnsi="Times New Roman" w:eastAsia="宋体" w:cs="Times New Roman"/>
                <w:color w:val="000000" w:themeColor="text1"/>
                <w:kern w:val="0"/>
                <w:szCs w:val="24"/>
                <w:highlight w:val="none"/>
                <w:lang w:bidi="en-US"/>
                <w14:textFill>
                  <w14:solidFill>
                    <w14:schemeClr w14:val="tx1"/>
                  </w14:solidFill>
                </w14:textFill>
              </w:rPr>
              <w:t>②声环境：本项目在园区内，厂界外50m范围内无声环境保护目标。</w:t>
            </w:r>
          </w:p>
          <w:p w14:paraId="272E236D">
            <w:pPr>
              <w:pStyle w:val="81"/>
              <w:spacing w:line="360" w:lineRule="auto"/>
              <w:ind w:firstLine="480"/>
              <w:rPr>
                <w:rFonts w:hint="default" w:ascii="Times New Roman" w:hAnsi="Times New Roman" w:eastAsia="宋体" w:cs="Times New Roman"/>
                <w:color w:val="000000" w:themeColor="text1"/>
                <w:kern w:val="0"/>
                <w:szCs w:val="24"/>
                <w:highlight w:val="none"/>
                <w:lang w:bidi="en-US"/>
                <w14:textFill>
                  <w14:solidFill>
                    <w14:schemeClr w14:val="tx1"/>
                  </w14:solidFill>
                </w14:textFill>
              </w:rPr>
            </w:pPr>
            <w:r>
              <w:rPr>
                <w:rFonts w:hint="default" w:ascii="Times New Roman" w:hAnsi="Times New Roman" w:eastAsia="宋体" w:cs="Times New Roman"/>
                <w:color w:val="000000" w:themeColor="text1"/>
                <w:kern w:val="0"/>
                <w:szCs w:val="24"/>
                <w:highlight w:val="none"/>
                <w:lang w:bidi="en-US"/>
                <w14:textFill>
                  <w14:solidFill>
                    <w14:schemeClr w14:val="tx1"/>
                  </w14:solidFill>
                </w14:textFill>
              </w:rPr>
              <w:t>③地下水环境：本项目厂界外500m范围内无地下水集中式饮用水源和热水、矿泉水、温泉等特殊的地下水资源。</w:t>
            </w:r>
          </w:p>
          <w:p w14:paraId="374080F5">
            <w:pPr>
              <w:pStyle w:val="81"/>
              <w:spacing w:line="360" w:lineRule="auto"/>
              <w:ind w:firstLine="480"/>
              <w:rPr>
                <w:rFonts w:hint="default" w:ascii="Times New Roman" w:hAnsi="Times New Roman" w:eastAsia="宋体" w:cs="Times New Roman"/>
                <w:color w:val="000000" w:themeColor="text1"/>
                <w:kern w:val="0"/>
                <w:szCs w:val="24"/>
                <w:highlight w:val="none"/>
                <w:lang w:bidi="en-US"/>
                <w14:textFill>
                  <w14:solidFill>
                    <w14:schemeClr w14:val="tx1"/>
                  </w14:solidFill>
                </w14:textFill>
              </w:rPr>
            </w:pPr>
            <w:r>
              <w:rPr>
                <w:rFonts w:hint="default" w:ascii="Times New Roman" w:hAnsi="Times New Roman" w:eastAsia="宋体" w:cs="Times New Roman"/>
                <w:color w:val="000000" w:themeColor="text1"/>
                <w:kern w:val="0"/>
                <w:szCs w:val="24"/>
                <w:highlight w:val="none"/>
                <w:lang w:bidi="en-US"/>
                <w14:textFill>
                  <w14:solidFill>
                    <w14:schemeClr w14:val="tx1"/>
                  </w14:solidFill>
                </w14:textFill>
              </w:rPr>
              <w:t>④生态环境：本项目是在工业园区内的工业用地内新建，不涉及生态环境保护目标。</w:t>
            </w:r>
          </w:p>
          <w:p w14:paraId="1F8715C8">
            <w:pPr>
              <w:pStyle w:val="81"/>
              <w:spacing w:line="360" w:lineRule="auto"/>
              <w:ind w:firstLine="480"/>
              <w:rPr>
                <w:rFonts w:hint="default" w:ascii="Times New Roman" w:hAnsi="Times New Roman" w:eastAsia="宋体" w:cs="Times New Roman"/>
                <w:color w:val="000000" w:themeColor="text1"/>
                <w:kern w:val="0"/>
                <w:szCs w:val="24"/>
                <w:highlight w:val="none"/>
                <w:lang w:val="en-US" w:eastAsia="zh-CN" w:bidi="en-US"/>
                <w14:textFill>
                  <w14:solidFill>
                    <w14:schemeClr w14:val="tx1"/>
                  </w14:solidFill>
                </w14:textFill>
              </w:rPr>
            </w:pPr>
            <w:r>
              <w:rPr>
                <w:rFonts w:hint="default" w:ascii="Times New Roman" w:hAnsi="Times New Roman" w:eastAsia="宋体" w:cs="Times New Roman"/>
                <w:color w:val="000000" w:themeColor="text1"/>
                <w:kern w:val="0"/>
                <w:szCs w:val="24"/>
                <w:highlight w:val="none"/>
                <w:lang w:val="en-US" w:eastAsia="zh-CN" w:bidi="en-US"/>
                <w14:textFill>
                  <w14:solidFill>
                    <w14:schemeClr w14:val="tx1"/>
                  </w14:solidFill>
                </w14:textFill>
              </w:rPr>
              <w:t>项目周边无饮用水水源保护区，内无重点保护文物、自然保护区、珍稀动植物资源等环境敏感点。根据项目工程特点、评价区域环境特征，本项目环境保护目标详见下表。</w:t>
            </w:r>
          </w:p>
          <w:p w14:paraId="3DF5DEB8">
            <w:pPr>
              <w:keepNext w:val="0"/>
              <w:keepLines w:val="0"/>
              <w:widowControl/>
              <w:suppressLineNumbers w:val="0"/>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表3</w:t>
            </w:r>
            <w:r>
              <w:rPr>
                <w:rFonts w:hint="eastAsia" w:cs="Times New Roman"/>
                <w:b/>
                <w:bCs/>
                <w:color w:val="000000" w:themeColor="text1"/>
                <w:kern w:val="0"/>
                <w:sz w:val="24"/>
                <w:szCs w:val="24"/>
                <w:highlight w:val="none"/>
                <w:lang w:val="en-US" w:eastAsia="zh-CN" w:bidi="ar"/>
                <w14:textFill>
                  <w14:solidFill>
                    <w14:schemeClr w14:val="tx1"/>
                  </w14:solidFill>
                </w14:textFill>
              </w:rPr>
              <w:t>-7</w:t>
            </w:r>
            <w: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环境保护目标一览表</w:t>
            </w:r>
          </w:p>
          <w:tbl>
            <w:tblPr>
              <w:tblStyle w:val="24"/>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519"/>
              <w:gridCol w:w="507"/>
              <w:gridCol w:w="335"/>
              <w:gridCol w:w="357"/>
              <w:gridCol w:w="642"/>
              <w:gridCol w:w="127"/>
              <w:gridCol w:w="835"/>
              <w:gridCol w:w="1351"/>
              <w:gridCol w:w="981"/>
              <w:gridCol w:w="921"/>
              <w:gridCol w:w="615"/>
              <w:gridCol w:w="774"/>
            </w:tblGrid>
            <w:tr w14:paraId="73632D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26" w:type="pct"/>
                  <w:vMerge w:val="restart"/>
                  <w:noWrap/>
                  <w:vAlign w:val="center"/>
                </w:tcPr>
                <w:p w14:paraId="4C3625E5">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环境要素</w:t>
                  </w:r>
                </w:p>
              </w:tc>
              <w:tc>
                <w:tcPr>
                  <w:tcW w:w="318" w:type="pct"/>
                  <w:vMerge w:val="restart"/>
                  <w:noWrap/>
                  <w:vAlign w:val="center"/>
                </w:tcPr>
                <w:p w14:paraId="78FCB2B4">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名称</w:t>
                  </w:r>
                </w:p>
              </w:tc>
              <w:tc>
                <w:tcPr>
                  <w:tcW w:w="433" w:type="pct"/>
                  <w:gridSpan w:val="2"/>
                  <w:noWrap/>
                  <w:vAlign w:val="center"/>
                </w:tcPr>
                <w:p w14:paraId="4E22B488">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坐标/m</w:t>
                  </w:r>
                </w:p>
              </w:tc>
              <w:tc>
                <w:tcPr>
                  <w:tcW w:w="403" w:type="pct"/>
                  <w:vMerge w:val="restart"/>
                  <w:noWrap/>
                  <w:vAlign w:val="center"/>
                </w:tcPr>
                <w:p w14:paraId="7D6588DD">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保护</w:t>
                  </w:r>
                </w:p>
                <w:p w14:paraId="4931066A">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对象</w:t>
                  </w:r>
                </w:p>
              </w:tc>
              <w:tc>
                <w:tcPr>
                  <w:tcW w:w="603" w:type="pct"/>
                  <w:gridSpan w:val="2"/>
                  <w:vMerge w:val="restart"/>
                  <w:noWrap/>
                  <w:vAlign w:val="center"/>
                </w:tcPr>
                <w:p w14:paraId="4969A795">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保护对象人数（人）</w:t>
                  </w:r>
                </w:p>
              </w:tc>
              <w:tc>
                <w:tcPr>
                  <w:tcW w:w="1464" w:type="pct"/>
                  <w:gridSpan w:val="2"/>
                  <w:vMerge w:val="restart"/>
                  <w:noWrap/>
                  <w:vAlign w:val="center"/>
                </w:tcPr>
                <w:p w14:paraId="03A90620">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保护内容</w:t>
                  </w:r>
                </w:p>
              </w:tc>
              <w:tc>
                <w:tcPr>
                  <w:tcW w:w="576" w:type="pct"/>
                  <w:vMerge w:val="restart"/>
                  <w:noWrap/>
                  <w:vAlign w:val="center"/>
                </w:tcPr>
                <w:p w14:paraId="4903F3AB">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环境功能区</w:t>
                  </w:r>
                </w:p>
              </w:tc>
              <w:tc>
                <w:tcPr>
                  <w:tcW w:w="386" w:type="pct"/>
                  <w:vMerge w:val="restart"/>
                  <w:noWrap/>
                  <w:vAlign w:val="center"/>
                </w:tcPr>
                <w:p w14:paraId="261C4303">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相对厂址方位</w:t>
                  </w:r>
                </w:p>
              </w:tc>
              <w:tc>
                <w:tcPr>
                  <w:tcW w:w="486" w:type="pct"/>
                  <w:vMerge w:val="restart"/>
                  <w:noWrap/>
                  <w:vAlign w:val="center"/>
                </w:tcPr>
                <w:p w14:paraId="325A6A0D">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相对厂界距离/km</w:t>
                  </w:r>
                </w:p>
              </w:tc>
            </w:tr>
            <w:tr w14:paraId="37CE2C0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26" w:type="pct"/>
                  <w:vMerge w:val="continue"/>
                  <w:noWrap/>
                  <w:vAlign w:val="center"/>
                </w:tcPr>
                <w:p w14:paraId="66C8C9F9">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318" w:type="pct"/>
                  <w:vMerge w:val="continue"/>
                  <w:noWrap/>
                  <w:vAlign w:val="center"/>
                </w:tcPr>
                <w:p w14:paraId="732CAD81">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210" w:type="pct"/>
                  <w:noWrap/>
                  <w:vAlign w:val="center"/>
                </w:tcPr>
                <w:p w14:paraId="285F50FF">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X</w:t>
                  </w:r>
                </w:p>
              </w:tc>
              <w:tc>
                <w:tcPr>
                  <w:tcW w:w="222" w:type="pct"/>
                  <w:noWrap/>
                  <w:vAlign w:val="center"/>
                </w:tcPr>
                <w:p w14:paraId="21F79C84">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Y</w:t>
                  </w:r>
                </w:p>
              </w:tc>
              <w:tc>
                <w:tcPr>
                  <w:tcW w:w="403" w:type="pct"/>
                  <w:vMerge w:val="continue"/>
                  <w:noWrap/>
                  <w:vAlign w:val="center"/>
                </w:tcPr>
                <w:p w14:paraId="6C77DCA8">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603" w:type="pct"/>
                  <w:gridSpan w:val="2"/>
                  <w:vMerge w:val="continue"/>
                  <w:noWrap/>
                  <w:vAlign w:val="center"/>
                </w:tcPr>
                <w:p w14:paraId="3A1C1261">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1464" w:type="pct"/>
                  <w:gridSpan w:val="2"/>
                  <w:vMerge w:val="continue"/>
                  <w:noWrap/>
                  <w:vAlign w:val="center"/>
                </w:tcPr>
                <w:p w14:paraId="3F56B9D2">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576" w:type="pct"/>
                  <w:vMerge w:val="continue"/>
                  <w:noWrap/>
                  <w:vAlign w:val="center"/>
                </w:tcPr>
                <w:p w14:paraId="40D1819B">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386" w:type="pct"/>
                  <w:vMerge w:val="continue"/>
                  <w:noWrap/>
                  <w:vAlign w:val="center"/>
                </w:tcPr>
                <w:p w14:paraId="67D48CF1">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486" w:type="pct"/>
                  <w:vMerge w:val="continue"/>
                  <w:noWrap/>
                  <w:vAlign w:val="center"/>
                </w:tcPr>
                <w:p w14:paraId="7D4EB0BB">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p>
              </w:tc>
            </w:tr>
            <w:tr w14:paraId="06182C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26" w:type="pct"/>
                  <w:noWrap/>
                  <w:vAlign w:val="center"/>
                </w:tcPr>
                <w:p w14:paraId="33E541BB">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大气环境</w:t>
                  </w:r>
                </w:p>
              </w:tc>
              <w:tc>
                <w:tcPr>
                  <w:tcW w:w="1759" w:type="pct"/>
                  <w:gridSpan w:val="6"/>
                  <w:noWrap/>
                  <w:vAlign w:val="center"/>
                </w:tcPr>
                <w:p w14:paraId="63534A39">
                  <w:pPr>
                    <w:keepNext w:val="0"/>
                    <w:keepLines w:val="0"/>
                    <w:pageBreakBefore w:val="0"/>
                    <w:widowControl w:val="0"/>
                    <w:suppressLineNumbers w:val="0"/>
                    <w:kinsoku/>
                    <w:wordWrap/>
                    <w:overflowPunct/>
                    <w:topLinePunct w:val="0"/>
                    <w:bidi w:val="0"/>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厂界外500m范围</w:t>
                  </w:r>
                </w:p>
                <w:p w14:paraId="4E26193F">
                  <w:pPr>
                    <w:keepNext w:val="0"/>
                    <w:keepLines w:val="0"/>
                    <w:pageBreakBefore w:val="0"/>
                    <w:widowControl w:val="0"/>
                    <w:suppressLineNumbers w:val="0"/>
                    <w:kinsoku/>
                    <w:wordWrap/>
                    <w:overflowPunct/>
                    <w:topLinePunct w:val="0"/>
                    <w:bidi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内无大气环境保护目标</w:t>
                  </w:r>
                </w:p>
              </w:tc>
              <w:tc>
                <w:tcPr>
                  <w:tcW w:w="1464" w:type="pct"/>
                  <w:gridSpan w:val="2"/>
                  <w:noWrap/>
                  <w:vAlign w:val="center"/>
                </w:tcPr>
                <w:p w14:paraId="47E886B7">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《环境空气质量标准》（GB3095-20</w:t>
                  </w:r>
                  <w:r>
                    <w:rPr>
                      <w:rFonts w:hint="eastAsia" w:cs="Times New Roman"/>
                      <w:color w:val="000000" w:themeColor="text1"/>
                      <w:sz w:val="21"/>
                      <w:szCs w:val="21"/>
                      <w:highlight w:val="none"/>
                      <w:lang w:val="en-US" w:eastAsia="zh-CN"/>
                      <w14:textFill>
                        <w14:solidFill>
                          <w14:schemeClr w14:val="tx1"/>
                        </w14:solidFill>
                      </w14:textFill>
                    </w:rPr>
                    <w:t>26</w:t>
                  </w:r>
                  <w:r>
                    <w:rPr>
                      <w:rFonts w:hint="default" w:ascii="Times New Roman" w:hAnsi="Times New Roman" w:cs="Times New Roman"/>
                      <w:color w:val="000000" w:themeColor="text1"/>
                      <w:sz w:val="21"/>
                      <w:szCs w:val="21"/>
                      <w:highlight w:val="none"/>
                      <w14:textFill>
                        <w14:solidFill>
                          <w14:schemeClr w14:val="tx1"/>
                        </w14:solidFill>
                      </w14:textFill>
                    </w:rPr>
                    <w:t>）</w:t>
                  </w:r>
                  <w:r>
                    <w:rPr>
                      <w:rFonts w:hint="eastAsia" w:cs="Times New Roman"/>
                      <w:color w:val="000000" w:themeColor="text1"/>
                      <w:sz w:val="21"/>
                      <w:szCs w:val="21"/>
                      <w:highlight w:val="none"/>
                      <w:lang w:val="en-US" w:eastAsia="zh-CN"/>
                      <w14:textFill>
                        <w14:solidFill>
                          <w14:schemeClr w14:val="tx1"/>
                        </w14:solidFill>
                      </w14:textFill>
                    </w:rPr>
                    <w:t>表2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的</w:t>
                  </w:r>
                  <w:r>
                    <w:rPr>
                      <w:rFonts w:hint="default" w:ascii="Times New Roman" w:hAnsi="Times New Roman" w:cs="Times New Roman"/>
                      <w:color w:val="000000" w:themeColor="text1"/>
                      <w:sz w:val="21"/>
                      <w:szCs w:val="21"/>
                      <w:highlight w:val="none"/>
                      <w14:textFill>
                        <w14:solidFill>
                          <w14:schemeClr w14:val="tx1"/>
                        </w14:solidFill>
                      </w14:textFill>
                    </w:rPr>
                    <w:t>二级标准</w:t>
                  </w:r>
                </w:p>
              </w:tc>
              <w:tc>
                <w:tcPr>
                  <w:tcW w:w="576" w:type="pct"/>
                  <w:noWrap/>
                  <w:vAlign w:val="center"/>
                </w:tcPr>
                <w:p w14:paraId="2AC2C11E">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kern w:val="2"/>
                      <w:sz w:val="21"/>
                      <w:szCs w:val="21"/>
                      <w:highlight w:val="none"/>
                      <w14:textFill>
                        <w14:solidFill>
                          <w14:schemeClr w14:val="tx1"/>
                        </w14:solidFill>
                      </w14:textFill>
                    </w:rPr>
                    <w:t>GB3095-20</w:t>
                  </w:r>
                  <w:r>
                    <w:rPr>
                      <w:rFonts w:hint="eastAsia" w:cs="Times New Roman"/>
                      <w:color w:val="000000" w:themeColor="text1"/>
                      <w:kern w:val="2"/>
                      <w:sz w:val="21"/>
                      <w:szCs w:val="21"/>
                      <w:highlight w:val="none"/>
                      <w:lang w:val="en-US" w:eastAsia="zh-CN"/>
                      <w14:textFill>
                        <w14:solidFill>
                          <w14:schemeClr w14:val="tx1"/>
                        </w14:solidFill>
                      </w14:textFill>
                    </w:rPr>
                    <w:t>26</w:t>
                  </w:r>
                  <w:r>
                    <w:rPr>
                      <w:rFonts w:hint="default" w:ascii="Times New Roman" w:hAnsi="Times New Roman" w:cs="Times New Roman"/>
                      <w:color w:val="000000" w:themeColor="text1"/>
                      <w:kern w:val="2"/>
                      <w:sz w:val="21"/>
                      <w:szCs w:val="21"/>
                      <w:highlight w:val="none"/>
                      <w14:textFill>
                        <w14:solidFill>
                          <w14:schemeClr w14:val="tx1"/>
                        </w14:solidFill>
                      </w14:textFill>
                    </w:rPr>
                    <w:t>二类区</w:t>
                  </w:r>
                </w:p>
              </w:tc>
              <w:tc>
                <w:tcPr>
                  <w:tcW w:w="386" w:type="pct"/>
                  <w:noWrap/>
                  <w:vAlign w:val="center"/>
                </w:tcPr>
                <w:p w14:paraId="2D3DDBB7">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486" w:type="pct"/>
                  <w:noWrap/>
                  <w:vAlign w:val="center"/>
                </w:tcPr>
                <w:p w14:paraId="6792D911">
                  <w:pPr>
                    <w:keepNext w:val="0"/>
                    <w:keepLines w:val="0"/>
                    <w:pageBreakBefore w:val="0"/>
                    <w:widowControl w:val="0"/>
                    <w:kinsoku/>
                    <w:wordWrap/>
                    <w:overflowPunct/>
                    <w:topLinePunct w:val="0"/>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p>
              </w:tc>
            </w:tr>
            <w:tr w14:paraId="2098A7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26" w:type="pct"/>
                  <w:vMerge w:val="restart"/>
                  <w:noWrap/>
                  <w:vAlign w:val="center"/>
                </w:tcPr>
                <w:p w14:paraId="10612C35">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地表水</w:t>
                  </w:r>
                </w:p>
              </w:tc>
              <w:tc>
                <w:tcPr>
                  <w:tcW w:w="318" w:type="pct"/>
                  <w:noWrap/>
                  <w:vAlign w:val="center"/>
                </w:tcPr>
                <w:p w14:paraId="24ABCB23">
                  <w:pPr>
                    <w:keepNext w:val="0"/>
                    <w:keepLines w:val="0"/>
                    <w:pageBreakBefore w:val="0"/>
                    <w:widowControl w:val="0"/>
                    <w:tabs>
                      <w:tab w:val="left" w:pos="1200"/>
                    </w:tabs>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敏感目标名称</w:t>
                  </w:r>
                </w:p>
              </w:tc>
              <w:tc>
                <w:tcPr>
                  <w:tcW w:w="836" w:type="pct"/>
                  <w:gridSpan w:val="3"/>
                  <w:noWrap/>
                  <w:vAlign w:val="center"/>
                </w:tcPr>
                <w:p w14:paraId="55042C5D">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环境敏感特征</w:t>
                  </w:r>
                </w:p>
              </w:tc>
              <w:tc>
                <w:tcPr>
                  <w:tcW w:w="2645" w:type="pct"/>
                  <w:gridSpan w:val="5"/>
                  <w:noWrap/>
                  <w:vAlign w:val="center"/>
                </w:tcPr>
                <w:p w14:paraId="093384E8">
                  <w:pPr>
                    <w:keepNext w:val="0"/>
                    <w:keepLines w:val="0"/>
                    <w:pageBreakBefore w:val="0"/>
                    <w:widowControl w:val="0"/>
                    <w:tabs>
                      <w:tab w:val="left" w:pos="1200"/>
                    </w:tabs>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水质目标</w:t>
                  </w:r>
                </w:p>
              </w:tc>
              <w:tc>
                <w:tcPr>
                  <w:tcW w:w="872" w:type="pct"/>
                  <w:gridSpan w:val="2"/>
                  <w:noWrap/>
                  <w:vAlign w:val="center"/>
                </w:tcPr>
                <w:p w14:paraId="69E4DBC5">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与排放点距离</w:t>
                  </w:r>
                  <w:r>
                    <w:rPr>
                      <w:rFonts w:hint="default" w:ascii="Times New Roman" w:hAnsi="Times New Roman" w:cs="Times New Roman"/>
                      <w:color w:val="000000" w:themeColor="text1"/>
                      <w:sz w:val="21"/>
                      <w:szCs w:val="21"/>
                      <w:highlight w:val="none"/>
                      <w14:textFill>
                        <w14:solidFill>
                          <w14:schemeClr w14:val="tx1"/>
                        </w14:solidFill>
                      </w14:textFill>
                    </w:rPr>
                    <w:t>/km</w:t>
                  </w:r>
                </w:p>
              </w:tc>
            </w:tr>
            <w:tr w14:paraId="2F9F56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26" w:type="pct"/>
                  <w:vMerge w:val="continue"/>
                  <w:noWrap/>
                  <w:vAlign w:val="center"/>
                </w:tcPr>
                <w:p w14:paraId="6539CB29">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318" w:type="pct"/>
                  <w:noWrap/>
                  <w:vAlign w:val="center"/>
                </w:tcPr>
                <w:p w14:paraId="1AED649F">
                  <w:pPr>
                    <w:keepNext w:val="0"/>
                    <w:keepLines w:val="0"/>
                    <w:pageBreakBefore w:val="0"/>
                    <w:widowControl w:val="0"/>
                    <w:tabs>
                      <w:tab w:val="left" w:pos="1200"/>
                    </w:tabs>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836" w:type="pct"/>
                  <w:gridSpan w:val="3"/>
                  <w:noWrap/>
                  <w:vAlign w:val="center"/>
                </w:tcPr>
                <w:p w14:paraId="1542BF4C">
                  <w:pPr>
                    <w:keepNext w:val="0"/>
                    <w:keepLines w:val="0"/>
                    <w:pageBreakBefore w:val="0"/>
                    <w:widowControl w:val="0"/>
                    <w:tabs>
                      <w:tab w:val="left" w:pos="1200"/>
                    </w:tabs>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2645" w:type="pct"/>
                  <w:gridSpan w:val="5"/>
                  <w:noWrap/>
                  <w:vAlign w:val="center"/>
                </w:tcPr>
                <w:p w14:paraId="3964B59C">
                  <w:pPr>
                    <w:keepNext w:val="0"/>
                    <w:keepLines w:val="0"/>
                    <w:pageBreakBefore w:val="0"/>
                    <w:widowControl w:val="0"/>
                    <w:tabs>
                      <w:tab w:val="left" w:pos="1200"/>
                    </w:tabs>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872" w:type="pct"/>
                  <w:gridSpan w:val="2"/>
                  <w:noWrap/>
                  <w:vAlign w:val="center"/>
                </w:tcPr>
                <w:p w14:paraId="768EBDB4">
                  <w:pPr>
                    <w:keepNext w:val="0"/>
                    <w:keepLines w:val="0"/>
                    <w:pageBreakBefore w:val="0"/>
                    <w:widowControl w:val="0"/>
                    <w:tabs>
                      <w:tab w:val="left" w:pos="1200"/>
                    </w:tabs>
                    <w:kinsoku/>
                    <w:wordWrap/>
                    <w:overflowPunct/>
                    <w:topLinePunct w:val="0"/>
                    <w:autoSpaceDE w:val="0"/>
                    <w:autoSpaceDN w:val="0"/>
                    <w:bidi w:val="0"/>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p>
              </w:tc>
            </w:tr>
            <w:tr w14:paraId="390A5A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26" w:type="pct"/>
                  <w:vMerge w:val="restart"/>
                  <w:noWrap/>
                  <w:vAlign w:val="center"/>
                </w:tcPr>
                <w:p w14:paraId="23880F39">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地下水</w:t>
                  </w:r>
                </w:p>
              </w:tc>
              <w:tc>
                <w:tcPr>
                  <w:tcW w:w="3800" w:type="pct"/>
                  <w:gridSpan w:val="9"/>
                  <w:noWrap/>
                  <w:vAlign w:val="center"/>
                </w:tcPr>
                <w:p w14:paraId="5FBCA969">
                  <w:pPr>
                    <w:keepNext w:val="0"/>
                    <w:keepLines w:val="0"/>
                    <w:pageBreakBefore w:val="0"/>
                    <w:widowControl w:val="0"/>
                    <w:tabs>
                      <w:tab w:val="left" w:pos="1200"/>
                    </w:tabs>
                    <w:kinsoku/>
                    <w:wordWrap/>
                    <w:overflowPunct/>
                    <w:topLinePunct w:val="0"/>
                    <w:bidi w:val="0"/>
                    <w:adjustRightInd w:val="0"/>
                    <w:snapToGrid w:val="0"/>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一、分散式饮用水井</w:t>
                  </w:r>
                </w:p>
              </w:tc>
              <w:tc>
                <w:tcPr>
                  <w:tcW w:w="872" w:type="pct"/>
                  <w:gridSpan w:val="2"/>
                  <w:noWrap/>
                  <w:vAlign w:val="center"/>
                </w:tcPr>
                <w:p w14:paraId="6686FCD4">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保护级别</w:t>
                  </w:r>
                </w:p>
              </w:tc>
            </w:tr>
            <w:tr w14:paraId="66C7EF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26" w:type="pct"/>
                  <w:vMerge w:val="continue"/>
                  <w:noWrap/>
                  <w:vAlign w:val="center"/>
                </w:tcPr>
                <w:p w14:paraId="58711E33">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318" w:type="pct"/>
                  <w:noWrap/>
                  <w:vAlign w:val="center"/>
                </w:tcPr>
                <w:p w14:paraId="05EFDFD8">
                  <w:pPr>
                    <w:pStyle w:val="120"/>
                    <w:keepNext w:val="0"/>
                    <w:keepLines w:val="0"/>
                    <w:pageBreakBefore w:val="0"/>
                    <w:widowControl w:val="0"/>
                    <w:kinsoku/>
                    <w:wordWrap/>
                    <w:overflowPunct/>
                    <w:topLinePunct w:val="0"/>
                    <w:bidi w:val="0"/>
                    <w:spacing w:after="0"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0"/>
                      <w:sz w:val="21"/>
                      <w:szCs w:val="21"/>
                      <w:highlight w:val="none"/>
                      <w14:textFill>
                        <w14:solidFill>
                          <w14:schemeClr w14:val="tx1"/>
                        </w14:solidFill>
                      </w14:textFill>
                    </w:rPr>
                    <w:t>名称</w:t>
                  </w:r>
                </w:p>
              </w:tc>
              <w:tc>
                <w:tcPr>
                  <w:tcW w:w="433" w:type="pct"/>
                  <w:gridSpan w:val="2"/>
                  <w:noWrap/>
                  <w:vAlign w:val="center"/>
                </w:tcPr>
                <w:p w14:paraId="0A6187D0">
                  <w:pPr>
                    <w:pStyle w:val="120"/>
                    <w:keepNext w:val="0"/>
                    <w:keepLines w:val="0"/>
                    <w:pageBreakBefore w:val="0"/>
                    <w:widowControl w:val="0"/>
                    <w:kinsoku/>
                    <w:wordWrap/>
                    <w:overflowPunct/>
                    <w:topLinePunct w:val="0"/>
                    <w:bidi w:val="0"/>
                    <w:spacing w:after="0"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0"/>
                      <w:sz w:val="21"/>
                      <w:szCs w:val="21"/>
                      <w:highlight w:val="none"/>
                      <w14:textFill>
                        <w14:solidFill>
                          <w14:schemeClr w14:val="tx1"/>
                        </w14:solidFill>
                      </w14:textFill>
                    </w:rPr>
                    <w:t>方位</w:t>
                  </w:r>
                </w:p>
              </w:tc>
              <w:tc>
                <w:tcPr>
                  <w:tcW w:w="483" w:type="pct"/>
                  <w:gridSpan w:val="2"/>
                  <w:noWrap/>
                  <w:vAlign w:val="center"/>
                </w:tcPr>
                <w:p w14:paraId="1F617CAB">
                  <w:pPr>
                    <w:pStyle w:val="120"/>
                    <w:keepNext w:val="0"/>
                    <w:keepLines w:val="0"/>
                    <w:pageBreakBefore w:val="0"/>
                    <w:widowControl w:val="0"/>
                    <w:kinsoku/>
                    <w:wordWrap/>
                    <w:overflowPunct/>
                    <w:topLinePunct w:val="0"/>
                    <w:bidi w:val="0"/>
                    <w:spacing w:after="0"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0"/>
                      <w:sz w:val="21"/>
                      <w:szCs w:val="21"/>
                      <w:highlight w:val="none"/>
                      <w14:textFill>
                        <w14:solidFill>
                          <w14:schemeClr w14:val="tx1"/>
                        </w14:solidFill>
                      </w14:textFill>
                    </w:rPr>
                    <w:t>距离</w:t>
                  </w:r>
                </w:p>
              </w:tc>
              <w:tc>
                <w:tcPr>
                  <w:tcW w:w="1371" w:type="pct"/>
                  <w:gridSpan w:val="2"/>
                  <w:noWrap/>
                  <w:vAlign w:val="center"/>
                </w:tcPr>
                <w:p w14:paraId="50466864">
                  <w:pPr>
                    <w:pStyle w:val="120"/>
                    <w:keepNext w:val="0"/>
                    <w:keepLines w:val="0"/>
                    <w:pageBreakBefore w:val="0"/>
                    <w:widowControl w:val="0"/>
                    <w:kinsoku/>
                    <w:wordWrap/>
                    <w:overflowPunct/>
                    <w:topLinePunct w:val="0"/>
                    <w:bidi w:val="0"/>
                    <w:spacing w:after="0"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0"/>
                      <w:sz w:val="21"/>
                      <w:szCs w:val="21"/>
                      <w:highlight w:val="none"/>
                      <w14:textFill>
                        <w14:solidFill>
                          <w14:schemeClr w14:val="tx1"/>
                        </w14:solidFill>
                      </w14:textFill>
                    </w:rPr>
                    <w:t>井深（m）</w:t>
                  </w:r>
                </w:p>
              </w:tc>
              <w:tc>
                <w:tcPr>
                  <w:tcW w:w="1194" w:type="pct"/>
                  <w:gridSpan w:val="2"/>
                  <w:noWrap/>
                  <w:vAlign w:val="center"/>
                </w:tcPr>
                <w:p w14:paraId="4BE18DC8">
                  <w:pPr>
                    <w:pStyle w:val="120"/>
                    <w:keepNext w:val="0"/>
                    <w:keepLines w:val="0"/>
                    <w:pageBreakBefore w:val="0"/>
                    <w:widowControl w:val="0"/>
                    <w:kinsoku/>
                    <w:wordWrap/>
                    <w:overflowPunct/>
                    <w:topLinePunct w:val="0"/>
                    <w:bidi w:val="0"/>
                    <w:spacing w:after="0"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0"/>
                      <w:sz w:val="21"/>
                      <w:szCs w:val="21"/>
                      <w:highlight w:val="none"/>
                      <w14:textFill>
                        <w14:solidFill>
                          <w14:schemeClr w14:val="tx1"/>
                        </w14:solidFill>
                      </w14:textFill>
                    </w:rPr>
                    <w:t>开采层位</w:t>
                  </w:r>
                </w:p>
              </w:tc>
              <w:tc>
                <w:tcPr>
                  <w:tcW w:w="872" w:type="pct"/>
                  <w:gridSpan w:val="2"/>
                  <w:vMerge w:val="restart"/>
                  <w:noWrap/>
                  <w:vAlign w:val="center"/>
                </w:tcPr>
                <w:p w14:paraId="64585AE6">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《地下水质量标准》</w:t>
                  </w:r>
                </w:p>
                <w:p w14:paraId="5A04FD37">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（GB/T14848-2017）Ⅲ类标准</w:t>
                  </w:r>
                </w:p>
              </w:tc>
            </w:tr>
            <w:tr w14:paraId="5F2ADB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26" w:type="pct"/>
                  <w:vMerge w:val="continue"/>
                  <w:noWrap/>
                  <w:vAlign w:val="center"/>
                </w:tcPr>
                <w:p w14:paraId="1578D611">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318" w:type="pct"/>
                  <w:noWrap/>
                  <w:vAlign w:val="center"/>
                </w:tcPr>
                <w:p w14:paraId="2CE0A057">
                  <w:pPr>
                    <w:pStyle w:val="120"/>
                    <w:keepNext w:val="0"/>
                    <w:keepLines w:val="0"/>
                    <w:pageBreakBefore w:val="0"/>
                    <w:widowControl w:val="0"/>
                    <w:kinsoku/>
                    <w:wordWrap/>
                    <w:overflowPunct/>
                    <w:topLinePunct w:val="0"/>
                    <w:bidi w:val="0"/>
                    <w:spacing w:after="0" w:line="240" w:lineRule="auto"/>
                    <w:ind w:firstLine="0" w:firstLineChars="0"/>
                    <w:jc w:val="cente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w:t>
                  </w:r>
                </w:p>
              </w:tc>
              <w:tc>
                <w:tcPr>
                  <w:tcW w:w="433" w:type="pct"/>
                  <w:gridSpan w:val="2"/>
                  <w:noWrap/>
                  <w:vAlign w:val="center"/>
                </w:tcPr>
                <w:p w14:paraId="322CE014">
                  <w:pPr>
                    <w:pStyle w:val="120"/>
                    <w:keepNext w:val="0"/>
                    <w:keepLines w:val="0"/>
                    <w:pageBreakBefore w:val="0"/>
                    <w:widowControl w:val="0"/>
                    <w:kinsoku/>
                    <w:wordWrap/>
                    <w:overflowPunct/>
                    <w:topLinePunct w:val="0"/>
                    <w:bidi w:val="0"/>
                    <w:spacing w:after="0" w:line="240" w:lineRule="auto"/>
                    <w:ind w:firstLine="0" w:firstLineChars="0"/>
                    <w:jc w:val="cente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w:t>
                  </w:r>
                </w:p>
              </w:tc>
              <w:tc>
                <w:tcPr>
                  <w:tcW w:w="483" w:type="pct"/>
                  <w:gridSpan w:val="2"/>
                  <w:noWrap/>
                  <w:vAlign w:val="center"/>
                </w:tcPr>
                <w:p w14:paraId="3F8714D8">
                  <w:pPr>
                    <w:pStyle w:val="120"/>
                    <w:keepNext w:val="0"/>
                    <w:keepLines w:val="0"/>
                    <w:pageBreakBefore w:val="0"/>
                    <w:widowControl w:val="0"/>
                    <w:kinsoku/>
                    <w:wordWrap/>
                    <w:overflowPunct/>
                    <w:topLinePunct w:val="0"/>
                    <w:bidi w:val="0"/>
                    <w:spacing w:after="0" w:line="240" w:lineRule="auto"/>
                    <w:ind w:firstLine="0" w:firstLineChars="0"/>
                    <w:jc w:val="center"/>
                    <w:rPr>
                      <w:rFonts w:hint="default" w:ascii="Times New Roman" w:hAnsi="Times New Roman" w:eastAsia="宋体" w:cs="Times New Roman"/>
                      <w:color w:val="000000" w:themeColor="text1"/>
                      <w:spacing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w:t>
                  </w:r>
                </w:p>
              </w:tc>
              <w:tc>
                <w:tcPr>
                  <w:tcW w:w="1371" w:type="pct"/>
                  <w:gridSpan w:val="2"/>
                  <w:noWrap/>
                  <w:vAlign w:val="center"/>
                </w:tcPr>
                <w:p w14:paraId="19E561DA">
                  <w:pPr>
                    <w:pStyle w:val="120"/>
                    <w:keepNext w:val="0"/>
                    <w:keepLines w:val="0"/>
                    <w:pageBreakBefore w:val="0"/>
                    <w:widowControl w:val="0"/>
                    <w:kinsoku/>
                    <w:wordWrap/>
                    <w:overflowPunct/>
                    <w:topLinePunct w:val="0"/>
                    <w:bidi w:val="0"/>
                    <w:spacing w:after="0" w:line="240" w:lineRule="auto"/>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1194" w:type="pct"/>
                  <w:gridSpan w:val="2"/>
                  <w:noWrap/>
                  <w:vAlign w:val="center"/>
                </w:tcPr>
                <w:p w14:paraId="1612012D">
                  <w:pPr>
                    <w:pStyle w:val="120"/>
                    <w:keepNext w:val="0"/>
                    <w:keepLines w:val="0"/>
                    <w:pageBreakBefore w:val="0"/>
                    <w:widowControl w:val="0"/>
                    <w:kinsoku/>
                    <w:wordWrap/>
                    <w:overflowPunct/>
                    <w:topLinePunct w:val="0"/>
                    <w:bidi w:val="0"/>
                    <w:spacing w:after="0" w:line="240" w:lineRule="auto"/>
                    <w:ind w:firstLine="0" w:firstLineChars="0"/>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0"/>
                      <w:sz w:val="21"/>
                      <w:szCs w:val="21"/>
                      <w:highlight w:val="none"/>
                      <w:lang w:val="en-US" w:eastAsia="zh-CN"/>
                      <w14:textFill>
                        <w14:solidFill>
                          <w14:schemeClr w14:val="tx1"/>
                        </w14:solidFill>
                      </w14:textFill>
                    </w:rPr>
                    <w:t>/</w:t>
                  </w:r>
                </w:p>
              </w:tc>
              <w:tc>
                <w:tcPr>
                  <w:tcW w:w="872" w:type="pct"/>
                  <w:gridSpan w:val="2"/>
                  <w:vMerge w:val="continue"/>
                  <w:noWrap/>
                  <w:vAlign w:val="center"/>
                </w:tcPr>
                <w:p w14:paraId="13255ABA">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p>
              </w:tc>
            </w:tr>
            <w:tr w14:paraId="277D4B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26" w:type="pct"/>
                  <w:vMerge w:val="continue"/>
                  <w:noWrap/>
                  <w:vAlign w:val="center"/>
                </w:tcPr>
                <w:p w14:paraId="46353B0E">
                  <w:pPr>
                    <w:keepNext w:val="0"/>
                    <w:keepLines w:val="0"/>
                    <w:pageBreakBefore w:val="0"/>
                    <w:widowControl w:val="0"/>
                    <w:tabs>
                      <w:tab w:val="left" w:pos="1200"/>
                    </w:tabs>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3800" w:type="pct"/>
                  <w:gridSpan w:val="9"/>
                  <w:noWrap/>
                  <w:vAlign w:val="center"/>
                </w:tcPr>
                <w:p w14:paraId="2FBE45C4">
                  <w:pPr>
                    <w:keepNext w:val="0"/>
                    <w:keepLines w:val="0"/>
                    <w:pageBreakBefore w:val="0"/>
                    <w:widowControl w:val="0"/>
                    <w:tabs>
                      <w:tab w:val="left" w:pos="1200"/>
                    </w:tabs>
                    <w:kinsoku/>
                    <w:wordWrap/>
                    <w:overflowPunct/>
                    <w:topLinePunct w:val="0"/>
                    <w:autoSpaceDE w:val="0"/>
                    <w:autoSpaceDN w:val="0"/>
                    <w:bidi w:val="0"/>
                    <w:adjustRightInd w:val="0"/>
                    <w:snapToGrid w:val="0"/>
                    <w:spacing w:line="240" w:lineRule="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二、含水层</w:t>
                  </w:r>
                </w:p>
              </w:tc>
              <w:tc>
                <w:tcPr>
                  <w:tcW w:w="872" w:type="pct"/>
                  <w:gridSpan w:val="2"/>
                  <w:vMerge w:val="continue"/>
                  <w:noWrap/>
                  <w:vAlign w:val="center"/>
                </w:tcPr>
                <w:p w14:paraId="7C06BE75">
                  <w:pPr>
                    <w:keepNext w:val="0"/>
                    <w:keepLines w:val="0"/>
                    <w:pageBreakBefore w:val="0"/>
                    <w:widowControl w:val="0"/>
                    <w:tabs>
                      <w:tab w:val="left" w:pos="1200"/>
                    </w:tabs>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p>
              </w:tc>
            </w:tr>
            <w:tr w14:paraId="4B3BB2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26" w:type="pct"/>
                  <w:vMerge w:val="continue"/>
                  <w:noWrap/>
                  <w:vAlign w:val="center"/>
                </w:tcPr>
                <w:p w14:paraId="529794FA">
                  <w:pPr>
                    <w:keepNext w:val="0"/>
                    <w:keepLines w:val="0"/>
                    <w:pageBreakBefore w:val="0"/>
                    <w:widowControl w:val="0"/>
                    <w:tabs>
                      <w:tab w:val="left" w:pos="1200"/>
                    </w:tabs>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3800" w:type="pct"/>
                  <w:gridSpan w:val="9"/>
                  <w:noWrap/>
                  <w:vAlign w:val="center"/>
                </w:tcPr>
                <w:p w14:paraId="7FD17477">
                  <w:pPr>
                    <w:keepNext w:val="0"/>
                    <w:keepLines w:val="0"/>
                    <w:pageBreakBefore w:val="0"/>
                    <w:widowControl w:val="0"/>
                    <w:suppressLineNumbers w:val="0"/>
                    <w:kinsoku/>
                    <w:wordWrap/>
                    <w:overflowPunct/>
                    <w:topLinePunct w:val="0"/>
                    <w:bidi w:val="0"/>
                    <w:jc w:val="left"/>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厂界外500m范围内无地下水集中式饮用水水源和热水、矿泉水、温泉等特殊地下水资源</w:t>
                  </w:r>
                </w:p>
              </w:tc>
              <w:tc>
                <w:tcPr>
                  <w:tcW w:w="872" w:type="pct"/>
                  <w:gridSpan w:val="2"/>
                  <w:vMerge w:val="continue"/>
                  <w:noWrap/>
                  <w:vAlign w:val="center"/>
                </w:tcPr>
                <w:p w14:paraId="163ADACB">
                  <w:pPr>
                    <w:keepNext w:val="0"/>
                    <w:keepLines w:val="0"/>
                    <w:pageBreakBefore w:val="0"/>
                    <w:widowControl w:val="0"/>
                    <w:tabs>
                      <w:tab w:val="left" w:pos="1200"/>
                    </w:tabs>
                    <w:kinsoku/>
                    <w:wordWrap/>
                    <w:overflowPunct/>
                    <w:topLinePunct w:val="0"/>
                    <w:autoSpaceDE w:val="0"/>
                    <w:autoSpaceDN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p>
              </w:tc>
            </w:tr>
            <w:tr w14:paraId="6BAC7C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jc w:val="center"/>
              </w:trPr>
              <w:tc>
                <w:tcPr>
                  <w:tcW w:w="326" w:type="pct"/>
                  <w:noWrap/>
                  <w:vAlign w:val="center"/>
                </w:tcPr>
                <w:p w14:paraId="45E8C495">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声环境</w:t>
                  </w:r>
                </w:p>
              </w:tc>
              <w:tc>
                <w:tcPr>
                  <w:tcW w:w="752" w:type="pct"/>
                  <w:gridSpan w:val="3"/>
                  <w:noWrap/>
                  <w:vAlign w:val="center"/>
                </w:tcPr>
                <w:p w14:paraId="48ACBA29">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厂界外</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5</w:t>
                  </w:r>
                  <w:r>
                    <w:rPr>
                      <w:rFonts w:hint="default" w:ascii="Times New Roman" w:hAnsi="Times New Roman" w:cs="Times New Roman"/>
                      <w:color w:val="000000" w:themeColor="text1"/>
                      <w:sz w:val="21"/>
                      <w:szCs w:val="21"/>
                      <w:highlight w:val="none"/>
                      <w14:textFill>
                        <w14:solidFill>
                          <w14:schemeClr w14:val="tx1"/>
                        </w14:solidFill>
                      </w14:textFill>
                    </w:rPr>
                    <w:t>0m范围内无敏感点</w:t>
                  </w:r>
                </w:p>
              </w:tc>
              <w:tc>
                <w:tcPr>
                  <w:tcW w:w="2471" w:type="pct"/>
                  <w:gridSpan w:val="5"/>
                  <w:noWrap/>
                  <w:vAlign w:val="center"/>
                </w:tcPr>
                <w:p w14:paraId="05AE1620">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《声环境质量标准》（GB3096-2008）3类区标准</w:t>
                  </w:r>
                </w:p>
              </w:tc>
              <w:tc>
                <w:tcPr>
                  <w:tcW w:w="576" w:type="pct"/>
                  <w:noWrap/>
                  <w:vAlign w:val="center"/>
                </w:tcPr>
                <w:p w14:paraId="696EF9A8">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3类区</w:t>
                  </w:r>
                </w:p>
              </w:tc>
              <w:tc>
                <w:tcPr>
                  <w:tcW w:w="386" w:type="pct"/>
                  <w:noWrap/>
                  <w:vAlign w:val="center"/>
                </w:tcPr>
                <w:p w14:paraId="36B6DC2F">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c>
                <w:tcPr>
                  <w:tcW w:w="486" w:type="pct"/>
                  <w:noWrap/>
                  <w:vAlign w:val="center"/>
                </w:tcPr>
                <w:p w14:paraId="02CA85E5">
                  <w:pPr>
                    <w:keepNext w:val="0"/>
                    <w:keepLines w:val="0"/>
                    <w:pageBreakBefore w:val="0"/>
                    <w:widowControl w:val="0"/>
                    <w:tabs>
                      <w:tab w:val="left" w:pos="1200"/>
                    </w:tabs>
                    <w:kinsoku/>
                    <w:wordWrap/>
                    <w:overflowPunct/>
                    <w:topLinePunct w:val="0"/>
                    <w:bidi w:val="0"/>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w:t>
                  </w:r>
                </w:p>
              </w:tc>
            </w:tr>
          </w:tbl>
          <w:p w14:paraId="38738056">
            <w:pPr>
              <w:pStyle w:val="81"/>
              <w:spacing w:line="360" w:lineRule="auto"/>
              <w:ind w:firstLine="480"/>
              <w:rPr>
                <w:rFonts w:hint="default" w:ascii="Times New Roman" w:hAnsi="Times New Roman" w:eastAsia="宋体" w:cs="Times New Roman"/>
                <w:color w:val="000000" w:themeColor="text1"/>
                <w:kern w:val="0"/>
                <w:szCs w:val="24"/>
                <w:highlight w:val="none"/>
                <w:lang w:bidi="en-US"/>
                <w14:textFill>
                  <w14:solidFill>
                    <w14:schemeClr w14:val="tx1"/>
                  </w14:solidFill>
                </w14:textFill>
              </w:rPr>
            </w:pPr>
          </w:p>
        </w:tc>
      </w:tr>
      <w:tr w14:paraId="7D3E8D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noWrap w:val="0"/>
            <w:tcMar>
              <w:left w:w="28" w:type="dxa"/>
              <w:right w:w="28" w:type="dxa"/>
            </w:tcMar>
            <w:vAlign w:val="center"/>
          </w:tcPr>
          <w:p w14:paraId="1F26DF99">
            <w:pPr>
              <w:adjustRightInd w:val="0"/>
              <w:snapToGrid w:val="0"/>
              <w:jc w:val="center"/>
              <w:rPr>
                <w:rFonts w:hint="default" w:ascii="Times New Roman" w:hAnsi="Times New Roman" w:eastAsia="宋体" w:cs="Times New Roman"/>
                <w:b/>
                <w:bCs/>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污染</w:t>
            </w:r>
          </w:p>
          <w:p w14:paraId="40A04CE0">
            <w:pPr>
              <w:adjustRightInd w:val="0"/>
              <w:snapToGrid w:val="0"/>
              <w:jc w:val="center"/>
              <w:rPr>
                <w:rFonts w:hint="default" w:ascii="Times New Roman" w:hAnsi="Times New Roman" w:eastAsia="宋体" w:cs="Times New Roman"/>
                <w:b/>
                <w:bCs/>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物排</w:t>
            </w:r>
          </w:p>
          <w:p w14:paraId="29D609C4">
            <w:pPr>
              <w:adjustRightInd w:val="0"/>
              <w:snapToGrid w:val="0"/>
              <w:jc w:val="center"/>
              <w:rPr>
                <w:rFonts w:hint="default" w:ascii="Times New Roman" w:hAnsi="Times New Roman" w:eastAsia="宋体" w:cs="Times New Roman"/>
                <w:b/>
                <w:bCs/>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放控</w:t>
            </w:r>
          </w:p>
          <w:p w14:paraId="4115A1B3">
            <w:pPr>
              <w:adjustRightInd w:val="0"/>
              <w:snapToGrid w:val="0"/>
              <w:jc w:val="center"/>
              <w:rPr>
                <w:rFonts w:hint="default" w:ascii="Times New Roman" w:hAnsi="Times New Roman" w:eastAsia="宋体" w:cs="Times New Roman"/>
                <w:b/>
                <w:bCs/>
                <w:color w:val="000000" w:themeColor="text1"/>
                <w:kern w:val="0"/>
                <w:sz w:val="24"/>
                <w:highlight w:val="none"/>
                <w14:textFill>
                  <w14:solidFill>
                    <w14:schemeClr w14:val="tx1"/>
                  </w14:solidFill>
                </w14:textFill>
              </w:rPr>
            </w:pPr>
            <w:r>
              <w:rPr>
                <w:rFonts w:hint="eastAsia" w:cs="Times New Roman"/>
                <w:b/>
                <w:bCs/>
                <w:color w:val="000000" w:themeColor="text1"/>
                <w:kern w:val="0"/>
                <w:sz w:val="24"/>
                <w:highlight w:val="none"/>
                <w:lang w:eastAsia="zh-CN"/>
                <w14:textFill>
                  <w14:solidFill>
                    <w14:schemeClr w14:val="tx1"/>
                  </w14:solidFill>
                </w14:textFill>
              </w:rPr>
              <w:t>指标</w:t>
            </w:r>
          </w:p>
          <w:p w14:paraId="4E96768E">
            <w:pPr>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准</w:t>
            </w:r>
          </w:p>
        </w:tc>
        <w:tc>
          <w:tcPr>
            <w:tcW w:w="8190" w:type="dxa"/>
            <w:noWrap w:val="0"/>
            <w:vAlign w:val="center"/>
          </w:tcPr>
          <w:p w14:paraId="2219A71E">
            <w:pPr>
              <w:keepNext w:val="0"/>
              <w:keepLines w:val="0"/>
              <w:pageBreakBefore w:val="0"/>
              <w:widowControl w:val="0"/>
              <w:kinsoku/>
              <w:wordWrap/>
              <w:overflowPunct/>
              <w:topLinePunct w:val="0"/>
              <w:autoSpaceDN/>
              <w:bidi w:val="0"/>
              <w:spacing w:line="360" w:lineRule="auto"/>
              <w:ind w:firstLine="482" w:firstLineChars="200"/>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lang w:eastAsia="zh-CN"/>
                <w14:textFill>
                  <w14:solidFill>
                    <w14:schemeClr w14:val="tx1"/>
                  </w14:solidFill>
                </w14:textFill>
              </w:rPr>
              <w:t>1.</w:t>
            </w:r>
            <w:r>
              <w:rPr>
                <w:rFonts w:hint="default" w:ascii="Times New Roman" w:hAnsi="Times New Roman" w:eastAsia="宋体" w:cs="Times New Roman"/>
                <w:b/>
                <w:bCs/>
                <w:color w:val="000000" w:themeColor="text1"/>
                <w:sz w:val="24"/>
                <w:highlight w:val="none"/>
                <w14:textFill>
                  <w14:solidFill>
                    <w14:schemeClr w14:val="tx1"/>
                  </w14:solidFill>
                </w14:textFill>
              </w:rPr>
              <w:t>大气污染物排放标准</w:t>
            </w:r>
          </w:p>
          <w:p w14:paraId="5801A2FB">
            <w:pPr>
              <w:pStyle w:val="97"/>
              <w:keepNext w:val="0"/>
              <w:keepLines w:val="0"/>
              <w:pageBreakBefore w:val="0"/>
              <w:widowControl w:val="0"/>
              <w:kinsoku/>
              <w:wordWrap/>
              <w:overflowPunct/>
              <w:topLinePunct w:val="0"/>
              <w:autoSpaceDE w:val="0"/>
              <w:autoSpaceDN/>
              <w:bidi w:val="0"/>
              <w:spacing w:before="0" w:beforeAutospacing="0" w:after="0" w:afterAutospacing="0" w:line="360" w:lineRule="auto"/>
              <w:ind w:left="0" w:firstLine="480" w:firstLineChars="200"/>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施工期废气排放执行《大气污染物综合排放标准》（GB16297-1996）表2中无组织排放监控浓度限值。</w:t>
            </w:r>
          </w:p>
          <w:p w14:paraId="5921C4A5">
            <w:pPr>
              <w:spacing w:line="360" w:lineRule="auto"/>
              <w:ind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运营期生产、原料存储、转运、装卸及包装等执行《耐火材料工业大气污染物排放标准》（GB46790-2025）表1大气污染物排放限值；厂区</w:t>
            </w:r>
            <w:r>
              <w:rPr>
                <w:rFonts w:hint="eastAsia" w:cs="Times New Roman"/>
                <w:color w:val="000000" w:themeColor="text1"/>
                <w:sz w:val="24"/>
                <w:szCs w:val="24"/>
                <w:highlight w:val="none"/>
                <w:lang w:val="en-US" w:eastAsia="zh-CN"/>
                <w14:textFill>
                  <w14:solidFill>
                    <w14:schemeClr w14:val="tx1"/>
                  </w14:solidFill>
                </w14:textFill>
              </w:rPr>
              <w:t>内</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无组织粉尘执行《耐火材料工业大气污染物排放标准》（GB46790-2025）表4厂区内无组织排放监控浓度限值</w:t>
            </w:r>
            <w:r>
              <w:rPr>
                <w:rFonts w:hint="eastAsia"/>
                <w:color w:val="000000" w:themeColor="text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厂</w:t>
            </w:r>
            <w:r>
              <w:rPr>
                <w:rFonts w:hint="eastAsia" w:cs="Times New Roman"/>
                <w:color w:val="000000" w:themeColor="text1"/>
                <w:sz w:val="24"/>
                <w:szCs w:val="24"/>
                <w:highlight w:val="none"/>
                <w:lang w:val="en-US" w:eastAsia="zh-CN"/>
                <w14:textFill>
                  <w14:solidFill>
                    <w14:schemeClr w14:val="tx1"/>
                  </w14:solidFill>
                </w14:textFill>
              </w:rPr>
              <w:t>界外</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无组织粉尘</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颗粒物</w:t>
            </w:r>
            <w:r>
              <w:rPr>
                <w:rFonts w:hint="eastAsia" w:cs="Times New Roman"/>
                <w:color w:val="000000" w:themeColor="text1"/>
                <w:sz w:val="24"/>
                <w:szCs w:val="24"/>
                <w:highlight w:val="none"/>
                <w:lang w:val="en-US" w:eastAsia="zh-CN"/>
                <w14:textFill>
                  <w14:solidFill>
                    <w14:schemeClr w14:val="tx1"/>
                  </w14:solidFill>
                </w14:textFill>
              </w:rPr>
              <w:t>执行</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《大气污染物综合排放标准》（GB16297-1996）表</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2中</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无组织排放</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限值</w:t>
            </w:r>
            <w:r>
              <w:rPr>
                <w:rFonts w:hint="eastAsia"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运营期氨气排放执行《恶臭污染物排放标准》（GB14554-93）表1排放限值。</w:t>
            </w:r>
          </w:p>
          <w:p w14:paraId="2D76CDA1">
            <w:pPr>
              <w:keepNext w:val="0"/>
              <w:keepLines w:val="0"/>
              <w:pageBreakBefore w:val="0"/>
              <w:widowControl w:val="0"/>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表3-</w:t>
            </w:r>
            <w:r>
              <w:rPr>
                <w:rFonts w:hint="eastAsia" w:cs="Times New Roman"/>
                <w:b/>
                <w:bCs/>
                <w:color w:val="000000" w:themeColor="text1"/>
                <w:sz w:val="24"/>
                <w:highlight w:val="none"/>
                <w:lang w:val="en-US" w:eastAsia="zh-CN"/>
                <w14:textFill>
                  <w14:solidFill>
                    <w14:schemeClr w14:val="tx1"/>
                  </w14:solidFill>
                </w14:textFill>
              </w:rPr>
              <w:t>8</w:t>
            </w: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耐火材料工业大气污染物排放标准</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8"/>
              <w:gridCol w:w="688"/>
              <w:gridCol w:w="931"/>
              <w:gridCol w:w="1197"/>
              <w:gridCol w:w="1657"/>
              <w:gridCol w:w="1291"/>
              <w:gridCol w:w="1070"/>
              <w:gridCol w:w="729"/>
            </w:tblGrid>
            <w:tr w14:paraId="3CC2D8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 w:type="pct"/>
                  <w:vMerge w:val="restart"/>
                  <w:noWrap w:val="0"/>
                  <w:vAlign w:val="center"/>
                </w:tcPr>
                <w:p w14:paraId="38254D03">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序号</w:t>
                  </w:r>
                </w:p>
              </w:tc>
              <w:tc>
                <w:tcPr>
                  <w:tcW w:w="432" w:type="pct"/>
                  <w:vMerge w:val="restart"/>
                  <w:noWrap w:val="0"/>
                  <w:vAlign w:val="center"/>
                </w:tcPr>
                <w:p w14:paraId="74867EA1">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污染物</w:t>
                  </w:r>
                </w:p>
                <w:p w14:paraId="7C30997A">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项目</w:t>
                  </w:r>
                </w:p>
              </w:tc>
              <w:tc>
                <w:tcPr>
                  <w:tcW w:w="3188" w:type="pct"/>
                  <w:gridSpan w:val="4"/>
                  <w:noWrap w:val="0"/>
                  <w:vAlign w:val="center"/>
                </w:tcPr>
                <w:p w14:paraId="51639337">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隧道窑、梭式窑、竖窑、回转窑等窑炉进行干燥、热处理、焙烧等生产工序</w:t>
                  </w:r>
                  <w:r>
                    <w:rPr>
                      <w:rFonts w:hint="default" w:ascii="Times New Roman" w:hAnsi="Times New Roman" w:eastAsia="宋体" w:cs="Times New Roman"/>
                      <w:b w:val="0"/>
                      <w:bCs w:val="0"/>
                      <w:color w:val="000000" w:themeColor="text1"/>
                      <w:sz w:val="21"/>
                      <w:szCs w:val="21"/>
                      <w:highlight w:val="none"/>
                      <w:vertAlign w:val="superscript"/>
                      <w:lang w:val="en-US" w:eastAsia="zh-CN"/>
                      <w14:textFill>
                        <w14:solidFill>
                          <w14:schemeClr w14:val="tx1"/>
                        </w14:solidFill>
                      </w14:textFill>
                    </w:rPr>
                    <w:t>ab</w:t>
                  </w:r>
                </w:p>
              </w:tc>
              <w:tc>
                <w:tcPr>
                  <w:tcW w:w="672" w:type="pct"/>
                  <w:vMerge w:val="restart"/>
                  <w:noWrap w:val="0"/>
                  <w:vAlign w:val="center"/>
                </w:tcPr>
                <w:p w14:paraId="0DCD4C73">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原料破碎、筛分、配料、混料及其他生产工序</w:t>
                  </w:r>
                </w:p>
              </w:tc>
              <w:tc>
                <w:tcPr>
                  <w:tcW w:w="457" w:type="pct"/>
                  <w:vMerge w:val="restart"/>
                  <w:noWrap w:val="0"/>
                  <w:vAlign w:val="center"/>
                </w:tcPr>
                <w:p w14:paraId="04DABBF4">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污染物排放监控位置</w:t>
                  </w:r>
                </w:p>
              </w:tc>
            </w:tr>
            <w:tr w14:paraId="261E5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 w:type="pct"/>
                  <w:vMerge w:val="continue"/>
                  <w:noWrap w:val="0"/>
                  <w:vAlign w:val="center"/>
                </w:tcPr>
                <w:p w14:paraId="39D62E96">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c>
                <w:tcPr>
                  <w:tcW w:w="432" w:type="pct"/>
                  <w:vMerge w:val="continue"/>
                  <w:noWrap w:val="0"/>
                  <w:vAlign w:val="center"/>
                </w:tcPr>
                <w:p w14:paraId="79270BAE">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c>
                <w:tcPr>
                  <w:tcW w:w="584" w:type="pct"/>
                  <w:noWrap w:val="0"/>
                  <w:vAlign w:val="center"/>
                </w:tcPr>
                <w:p w14:paraId="6A67063E">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t≤500℃</w:t>
                  </w:r>
                </w:p>
              </w:tc>
              <w:tc>
                <w:tcPr>
                  <w:tcW w:w="751" w:type="pct"/>
                  <w:noWrap w:val="0"/>
                  <w:vAlign w:val="center"/>
                </w:tcPr>
                <w:p w14:paraId="407732C8">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500℃&lt;t≤1200℃</w:t>
                  </w:r>
                </w:p>
              </w:tc>
              <w:tc>
                <w:tcPr>
                  <w:tcW w:w="1040" w:type="pct"/>
                  <w:noWrap w:val="0"/>
                  <w:vAlign w:val="center"/>
                </w:tcPr>
                <w:p w14:paraId="1A22B5E9">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1200℃&lt;t≤1700℃</w:t>
                  </w:r>
                </w:p>
              </w:tc>
              <w:tc>
                <w:tcPr>
                  <w:tcW w:w="810" w:type="pct"/>
                  <w:noWrap w:val="0"/>
                  <w:vAlign w:val="center"/>
                </w:tcPr>
                <w:p w14:paraId="00A04815">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t＞1700℃</w:t>
                  </w:r>
                </w:p>
              </w:tc>
              <w:tc>
                <w:tcPr>
                  <w:tcW w:w="672" w:type="pct"/>
                  <w:vMerge w:val="continue"/>
                  <w:noWrap w:val="0"/>
                  <w:vAlign w:val="top"/>
                </w:tcPr>
                <w:p w14:paraId="55C50A13">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c>
                <w:tcPr>
                  <w:tcW w:w="457" w:type="pct"/>
                  <w:vMerge w:val="continue"/>
                  <w:noWrap w:val="0"/>
                  <w:vAlign w:val="top"/>
                </w:tcPr>
                <w:p w14:paraId="459C2B6E">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r>
            <w:tr w14:paraId="1732D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 w:type="pct"/>
                  <w:noWrap w:val="0"/>
                  <w:vAlign w:val="top"/>
                </w:tcPr>
                <w:p w14:paraId="781D3F56">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w:t>
                  </w:r>
                </w:p>
              </w:tc>
              <w:tc>
                <w:tcPr>
                  <w:tcW w:w="432" w:type="pct"/>
                  <w:noWrap w:val="0"/>
                  <w:vAlign w:val="center"/>
                </w:tcPr>
                <w:p w14:paraId="3EE42E17">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颗粒物</w:t>
                  </w:r>
                </w:p>
              </w:tc>
              <w:tc>
                <w:tcPr>
                  <w:tcW w:w="584" w:type="pct"/>
                  <w:noWrap w:val="0"/>
                  <w:vAlign w:val="center"/>
                </w:tcPr>
                <w:p w14:paraId="03F8ED1E">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20</w:t>
                  </w:r>
                </w:p>
              </w:tc>
              <w:tc>
                <w:tcPr>
                  <w:tcW w:w="751" w:type="pct"/>
                  <w:noWrap w:val="0"/>
                  <w:vAlign w:val="center"/>
                </w:tcPr>
                <w:p w14:paraId="7997C96F">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20</w:t>
                  </w:r>
                </w:p>
              </w:tc>
              <w:tc>
                <w:tcPr>
                  <w:tcW w:w="1040" w:type="pct"/>
                  <w:noWrap w:val="0"/>
                  <w:vAlign w:val="center"/>
                </w:tcPr>
                <w:p w14:paraId="40127EA2">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20</w:t>
                  </w:r>
                </w:p>
              </w:tc>
              <w:tc>
                <w:tcPr>
                  <w:tcW w:w="810" w:type="pct"/>
                  <w:noWrap w:val="0"/>
                  <w:vAlign w:val="center"/>
                </w:tcPr>
                <w:p w14:paraId="6AA9331F">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20</w:t>
                  </w:r>
                </w:p>
              </w:tc>
              <w:tc>
                <w:tcPr>
                  <w:tcW w:w="672" w:type="pct"/>
                  <w:noWrap w:val="0"/>
                  <w:vAlign w:val="center"/>
                </w:tcPr>
                <w:p w14:paraId="75B43C20">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20</w:t>
                  </w:r>
                </w:p>
              </w:tc>
              <w:tc>
                <w:tcPr>
                  <w:tcW w:w="457" w:type="pct"/>
                  <w:vMerge w:val="restart"/>
                  <w:noWrap w:val="0"/>
                  <w:vAlign w:val="top"/>
                </w:tcPr>
                <w:p w14:paraId="458748CE">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车间或</w:t>
                  </w:r>
                </w:p>
                <w:p w14:paraId="25EDD133">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生产设施排气筒</w:t>
                  </w:r>
                </w:p>
              </w:tc>
            </w:tr>
            <w:tr w14:paraId="3DA8C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 w:type="pct"/>
                  <w:noWrap w:val="0"/>
                  <w:vAlign w:val="top"/>
                </w:tcPr>
                <w:p w14:paraId="16756978">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2</w:t>
                  </w:r>
                </w:p>
              </w:tc>
              <w:tc>
                <w:tcPr>
                  <w:tcW w:w="432" w:type="pct"/>
                  <w:noWrap w:val="0"/>
                  <w:vAlign w:val="center"/>
                </w:tcPr>
                <w:p w14:paraId="5EA30F1C">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二氧化硫</w:t>
                  </w:r>
                </w:p>
              </w:tc>
              <w:tc>
                <w:tcPr>
                  <w:tcW w:w="584" w:type="pct"/>
                  <w:noWrap w:val="0"/>
                  <w:vAlign w:val="center"/>
                </w:tcPr>
                <w:p w14:paraId="634A8F05">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w:t>
                  </w:r>
                </w:p>
              </w:tc>
              <w:tc>
                <w:tcPr>
                  <w:tcW w:w="751" w:type="pct"/>
                  <w:noWrap w:val="0"/>
                  <w:vAlign w:val="center"/>
                </w:tcPr>
                <w:p w14:paraId="18CD7D53">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50</w:t>
                  </w:r>
                </w:p>
              </w:tc>
              <w:tc>
                <w:tcPr>
                  <w:tcW w:w="1040" w:type="pct"/>
                  <w:noWrap w:val="0"/>
                  <w:vAlign w:val="center"/>
                </w:tcPr>
                <w:p w14:paraId="6C8388A1">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50</w:t>
                  </w:r>
                </w:p>
              </w:tc>
              <w:tc>
                <w:tcPr>
                  <w:tcW w:w="810" w:type="pct"/>
                  <w:noWrap w:val="0"/>
                  <w:vAlign w:val="center"/>
                </w:tcPr>
                <w:p w14:paraId="7A28043B">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50</w:t>
                  </w:r>
                </w:p>
              </w:tc>
              <w:tc>
                <w:tcPr>
                  <w:tcW w:w="672" w:type="pct"/>
                  <w:noWrap w:val="0"/>
                  <w:vAlign w:val="center"/>
                </w:tcPr>
                <w:p w14:paraId="036D66C7">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t>/</w:t>
                  </w:r>
                </w:p>
              </w:tc>
              <w:tc>
                <w:tcPr>
                  <w:tcW w:w="457" w:type="pct"/>
                  <w:vMerge w:val="continue"/>
                  <w:noWrap w:val="0"/>
                  <w:vAlign w:val="top"/>
                </w:tcPr>
                <w:p w14:paraId="0CF3F225">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r>
            <w:tr w14:paraId="09C7B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 w:type="pct"/>
                  <w:noWrap w:val="0"/>
                  <w:vAlign w:val="center"/>
                </w:tcPr>
                <w:p w14:paraId="57CD2215">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3</w:t>
                  </w:r>
                </w:p>
              </w:tc>
              <w:tc>
                <w:tcPr>
                  <w:tcW w:w="432" w:type="pct"/>
                  <w:noWrap w:val="0"/>
                  <w:vAlign w:val="center"/>
                </w:tcPr>
                <w:p w14:paraId="131B9A41">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氮氧化物</w:t>
                  </w:r>
                </w:p>
              </w:tc>
              <w:tc>
                <w:tcPr>
                  <w:tcW w:w="584" w:type="pct"/>
                  <w:noWrap w:val="0"/>
                  <w:vAlign w:val="center"/>
                </w:tcPr>
                <w:p w14:paraId="5F84FD68">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w:t>
                  </w:r>
                </w:p>
              </w:tc>
              <w:tc>
                <w:tcPr>
                  <w:tcW w:w="751" w:type="pct"/>
                  <w:noWrap w:val="0"/>
                  <w:vAlign w:val="center"/>
                </w:tcPr>
                <w:p w14:paraId="14A2C113">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50</w:t>
                  </w:r>
                  <w:r>
                    <w:rPr>
                      <w:rFonts w:hint="default" w:ascii="Times New Roman" w:hAnsi="Times New Roman" w:eastAsia="宋体" w:cs="Times New Roman"/>
                      <w:b w:val="0"/>
                      <w:bCs w:val="0"/>
                      <w:color w:val="000000" w:themeColor="text1"/>
                      <w:sz w:val="21"/>
                      <w:szCs w:val="21"/>
                      <w:highlight w:val="none"/>
                      <w:vertAlign w:val="superscript"/>
                      <w:lang w:val="en-US" w:eastAsia="zh-CN"/>
                      <w14:textFill>
                        <w14:solidFill>
                          <w14:schemeClr w14:val="tx1"/>
                        </w14:solidFill>
                      </w14:textFill>
                    </w:rPr>
                    <w:t>d</w:t>
                  </w:r>
                </w:p>
                <w:p w14:paraId="0754AAC9">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(100</w:t>
                  </w:r>
                  <w:r>
                    <w:rPr>
                      <w:rFonts w:hint="default" w:ascii="Times New Roman" w:hAnsi="Times New Roman" w:eastAsia="宋体" w:cs="Times New Roman"/>
                      <w:b w:val="0"/>
                      <w:bCs w:val="0"/>
                      <w:color w:val="000000" w:themeColor="text1"/>
                      <w:sz w:val="21"/>
                      <w:szCs w:val="21"/>
                      <w:highlight w:val="none"/>
                      <w:vertAlign w:val="superscript"/>
                      <w:lang w:val="en-US" w:eastAsia="zh-CN"/>
                      <w14:textFill>
                        <w14:solidFill>
                          <w14:schemeClr w14:val="tx1"/>
                        </w14:solidFill>
                      </w14:textFill>
                    </w:rPr>
                    <w:t>e)</w:t>
                  </w:r>
                </w:p>
              </w:tc>
              <w:tc>
                <w:tcPr>
                  <w:tcW w:w="1040" w:type="pct"/>
                  <w:noWrap w:val="0"/>
                  <w:vAlign w:val="center"/>
                </w:tcPr>
                <w:p w14:paraId="565850F7">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100</w:t>
                  </w:r>
                  <w:r>
                    <w:rPr>
                      <w:rFonts w:hint="default" w:ascii="Times New Roman" w:hAnsi="Times New Roman" w:eastAsia="宋体" w:cs="Times New Roman"/>
                      <w:b w:val="0"/>
                      <w:bCs w:val="0"/>
                      <w:color w:val="000000" w:themeColor="text1"/>
                      <w:sz w:val="21"/>
                      <w:szCs w:val="21"/>
                      <w:highlight w:val="none"/>
                      <w:vertAlign w:val="superscript"/>
                      <w:lang w:val="en-US" w:eastAsia="zh-CN"/>
                      <w14:textFill>
                        <w14:solidFill>
                          <w14:schemeClr w14:val="tx1"/>
                        </w14:solidFill>
                      </w14:textFill>
                    </w:rPr>
                    <w:t>d</w:t>
                  </w:r>
                </w:p>
                <w:p w14:paraId="7F222CEE">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(150</w:t>
                  </w:r>
                  <w:r>
                    <w:rPr>
                      <w:rFonts w:hint="default" w:ascii="Times New Roman" w:hAnsi="Times New Roman" w:eastAsia="宋体" w:cs="Times New Roman"/>
                      <w:b w:val="0"/>
                      <w:bCs w:val="0"/>
                      <w:color w:val="000000" w:themeColor="text1"/>
                      <w:sz w:val="21"/>
                      <w:szCs w:val="21"/>
                      <w:highlight w:val="none"/>
                      <w:vertAlign w:val="superscript"/>
                      <w:lang w:val="en-US" w:eastAsia="zh-CN"/>
                      <w14:textFill>
                        <w14:solidFill>
                          <w14:schemeClr w14:val="tx1"/>
                        </w14:solidFill>
                      </w14:textFill>
                    </w:rPr>
                    <w:t>e)</w:t>
                  </w:r>
                </w:p>
              </w:tc>
              <w:tc>
                <w:tcPr>
                  <w:tcW w:w="810" w:type="pct"/>
                  <w:noWrap w:val="0"/>
                  <w:vAlign w:val="center"/>
                </w:tcPr>
                <w:p w14:paraId="2C998A2E">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200</w:t>
                  </w:r>
                  <w:r>
                    <w:rPr>
                      <w:rFonts w:hint="default" w:ascii="Times New Roman" w:hAnsi="Times New Roman" w:eastAsia="宋体" w:cs="Times New Roman"/>
                      <w:b w:val="0"/>
                      <w:bCs w:val="0"/>
                      <w:color w:val="000000" w:themeColor="text1"/>
                      <w:sz w:val="21"/>
                      <w:szCs w:val="21"/>
                      <w:highlight w:val="none"/>
                      <w:vertAlign w:val="superscript"/>
                      <w:lang w:val="en-US" w:eastAsia="zh-CN"/>
                      <w14:textFill>
                        <w14:solidFill>
                          <w14:schemeClr w14:val="tx1"/>
                        </w14:solidFill>
                      </w14:textFill>
                    </w:rPr>
                    <w:t>d</w:t>
                  </w:r>
                </w:p>
                <w:p w14:paraId="1014C621">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(250</w:t>
                  </w:r>
                  <w:r>
                    <w:rPr>
                      <w:rFonts w:hint="default" w:ascii="Times New Roman" w:hAnsi="Times New Roman" w:eastAsia="宋体" w:cs="Times New Roman"/>
                      <w:b w:val="0"/>
                      <w:bCs w:val="0"/>
                      <w:color w:val="000000" w:themeColor="text1"/>
                      <w:sz w:val="21"/>
                      <w:szCs w:val="21"/>
                      <w:highlight w:val="none"/>
                      <w:vertAlign w:val="superscript"/>
                      <w:lang w:val="en-US" w:eastAsia="zh-CN"/>
                      <w14:textFill>
                        <w14:solidFill>
                          <w14:schemeClr w14:val="tx1"/>
                        </w14:solidFill>
                      </w14:textFill>
                    </w:rPr>
                    <w:t>e)</w:t>
                  </w:r>
                </w:p>
              </w:tc>
              <w:tc>
                <w:tcPr>
                  <w:tcW w:w="672" w:type="pct"/>
                  <w:noWrap w:val="0"/>
                  <w:vAlign w:val="center"/>
                </w:tcPr>
                <w:p w14:paraId="269F5C3F">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w:t>
                  </w:r>
                </w:p>
              </w:tc>
              <w:tc>
                <w:tcPr>
                  <w:tcW w:w="457" w:type="pct"/>
                  <w:vMerge w:val="continue"/>
                  <w:noWrap w:val="0"/>
                  <w:vAlign w:val="top"/>
                </w:tcPr>
                <w:p w14:paraId="4E2F56DB">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r>
            <w:tr w14:paraId="71B1D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49" w:type="pct"/>
                  <w:noWrap w:val="0"/>
                  <w:vAlign w:val="center"/>
                </w:tcPr>
                <w:p w14:paraId="689A1459">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4</w:t>
                  </w:r>
                </w:p>
              </w:tc>
              <w:tc>
                <w:tcPr>
                  <w:tcW w:w="432" w:type="pct"/>
                  <w:noWrap w:val="0"/>
                  <w:vAlign w:val="center"/>
                </w:tcPr>
                <w:p w14:paraId="1193D912">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氨</w:t>
                  </w:r>
                </w:p>
              </w:tc>
              <w:tc>
                <w:tcPr>
                  <w:tcW w:w="584" w:type="pct"/>
                  <w:noWrap w:val="0"/>
                  <w:vAlign w:val="center"/>
                </w:tcPr>
                <w:p w14:paraId="7ACA87B6">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w:t>
                  </w:r>
                </w:p>
              </w:tc>
              <w:tc>
                <w:tcPr>
                  <w:tcW w:w="751" w:type="pct"/>
                  <w:noWrap w:val="0"/>
                  <w:vAlign w:val="center"/>
                </w:tcPr>
                <w:p w14:paraId="2A96713B">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8</w:t>
                  </w:r>
                  <w:r>
                    <w:rPr>
                      <w:rFonts w:hint="eastAsia" w:ascii="Times New Roman" w:hAnsi="Times New Roman" w:eastAsia="宋体" w:cs="Times New Roman"/>
                      <w:b w:val="0"/>
                      <w:bCs w:val="0"/>
                      <w:color w:val="000000" w:themeColor="text1"/>
                      <w:sz w:val="21"/>
                      <w:szCs w:val="21"/>
                      <w:highlight w:val="none"/>
                      <w:vertAlign w:val="superscript"/>
                      <w:lang w:val="en-US" w:eastAsia="zh-CN"/>
                      <w14:textFill>
                        <w14:solidFill>
                          <w14:schemeClr w14:val="tx1"/>
                        </w14:solidFill>
                      </w14:textFill>
                    </w:rPr>
                    <w:t>j</w:t>
                  </w:r>
                </w:p>
              </w:tc>
              <w:tc>
                <w:tcPr>
                  <w:tcW w:w="1040" w:type="pct"/>
                  <w:noWrap w:val="0"/>
                  <w:vAlign w:val="center"/>
                </w:tcPr>
                <w:p w14:paraId="5CD8516E">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8</w:t>
                  </w:r>
                  <w:r>
                    <w:rPr>
                      <w:rFonts w:hint="eastAsia" w:ascii="Times New Roman" w:hAnsi="Times New Roman" w:eastAsia="宋体" w:cs="Times New Roman"/>
                      <w:b w:val="0"/>
                      <w:bCs w:val="0"/>
                      <w:color w:val="000000" w:themeColor="text1"/>
                      <w:sz w:val="21"/>
                      <w:szCs w:val="21"/>
                      <w:highlight w:val="none"/>
                      <w:vertAlign w:val="superscript"/>
                      <w:lang w:val="en-US" w:eastAsia="zh-CN"/>
                      <w14:textFill>
                        <w14:solidFill>
                          <w14:schemeClr w14:val="tx1"/>
                        </w14:solidFill>
                      </w14:textFill>
                    </w:rPr>
                    <w:t>j</w:t>
                  </w:r>
                </w:p>
              </w:tc>
              <w:tc>
                <w:tcPr>
                  <w:tcW w:w="810" w:type="pct"/>
                  <w:noWrap w:val="0"/>
                  <w:vAlign w:val="center"/>
                </w:tcPr>
                <w:p w14:paraId="75600B02">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8</w:t>
                  </w:r>
                  <w:r>
                    <w:rPr>
                      <w:rFonts w:hint="eastAsia" w:ascii="Times New Roman" w:hAnsi="Times New Roman" w:eastAsia="宋体" w:cs="Times New Roman"/>
                      <w:b w:val="0"/>
                      <w:bCs w:val="0"/>
                      <w:color w:val="000000" w:themeColor="text1"/>
                      <w:sz w:val="21"/>
                      <w:szCs w:val="21"/>
                      <w:highlight w:val="none"/>
                      <w:vertAlign w:val="superscript"/>
                      <w:lang w:val="en-US" w:eastAsia="zh-CN"/>
                      <w14:textFill>
                        <w14:solidFill>
                          <w14:schemeClr w14:val="tx1"/>
                        </w14:solidFill>
                      </w14:textFill>
                    </w:rPr>
                    <w:t>j</w:t>
                  </w:r>
                </w:p>
              </w:tc>
              <w:tc>
                <w:tcPr>
                  <w:tcW w:w="672" w:type="pct"/>
                  <w:noWrap w:val="0"/>
                  <w:vAlign w:val="center"/>
                </w:tcPr>
                <w:p w14:paraId="16C8DC2E">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w:t>
                  </w:r>
                </w:p>
              </w:tc>
              <w:tc>
                <w:tcPr>
                  <w:tcW w:w="457" w:type="pct"/>
                  <w:vMerge w:val="continue"/>
                  <w:noWrap w:val="0"/>
                  <w:vAlign w:val="top"/>
                </w:tcPr>
                <w:p w14:paraId="03CFA638">
                  <w:pPr>
                    <w:keepNext w:val="0"/>
                    <w:keepLines w:val="0"/>
                    <w:pageBreakBefore w:val="0"/>
                    <w:widowControl w:val="0"/>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p>
              </w:tc>
            </w:tr>
            <w:tr w14:paraId="7AA2A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00" w:type="pct"/>
                  <w:gridSpan w:val="8"/>
                  <w:noWrap w:val="0"/>
                  <w:vAlign w:val="top"/>
                </w:tcPr>
                <w:p w14:paraId="5CABBC40">
                  <w:pPr>
                    <w:keepNext w:val="0"/>
                    <w:keepLines w:val="0"/>
                    <w:widowControl/>
                    <w:suppressLineNumbers w:val="0"/>
                    <w:jc w:val="left"/>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vertAlign w:val="baseline"/>
                      <w:lang w:val="en-US" w:eastAsia="zh-CN"/>
                      <w14:textFill>
                        <w14:solidFill>
                          <w14:schemeClr w14:val="tx1"/>
                        </w14:solidFill>
                      </w14:textFill>
                    </w:rPr>
                    <w:t>注：a</w:t>
                  </w:r>
                  <w:r>
                    <w:rPr>
                      <w:rFonts w:hint="default" w:ascii="Times New Roman" w:hAnsi="Times New Roman" w:eastAsia="宋体" w:cs="Times New Roman"/>
                      <w:color w:val="000000" w:themeColor="text1"/>
                      <w:kern w:val="0"/>
                      <w:sz w:val="18"/>
                      <w:szCs w:val="18"/>
                      <w:highlight w:val="none"/>
                      <w:lang w:val="en-US" w:eastAsia="zh-CN" w:bidi="ar"/>
                      <w14:textFill>
                        <w14:solidFill>
                          <w14:schemeClr w14:val="tx1"/>
                        </w14:solidFill>
                      </w14:textFill>
                    </w:rPr>
                    <w:t>窑炉温度（</w:t>
                  </w:r>
                  <w:r>
                    <w:rPr>
                      <w:rFonts w:hint="default" w:ascii="Times New Roman" w:hAnsi="Times New Roman" w:eastAsia="宋体" w:cs="Times New Roman"/>
                      <w:i/>
                      <w:iCs/>
                      <w:color w:val="000000" w:themeColor="text1"/>
                      <w:kern w:val="0"/>
                      <w:sz w:val="18"/>
                      <w:szCs w:val="18"/>
                      <w:highlight w:val="none"/>
                      <w:lang w:val="en-US" w:eastAsia="zh-CN" w:bidi="ar"/>
                      <w14:textFill>
                        <w14:solidFill>
                          <w14:schemeClr w14:val="tx1"/>
                        </w14:solidFill>
                      </w14:textFill>
                    </w:rPr>
                    <w:t>t</w:t>
                  </w:r>
                  <w:r>
                    <w:rPr>
                      <w:rFonts w:hint="default" w:ascii="Times New Roman" w:hAnsi="Times New Roman" w:eastAsia="宋体" w:cs="Times New Roman"/>
                      <w:color w:val="000000" w:themeColor="text1"/>
                      <w:kern w:val="0"/>
                      <w:sz w:val="18"/>
                      <w:szCs w:val="18"/>
                      <w:highlight w:val="none"/>
                      <w:lang w:val="en-US" w:eastAsia="zh-CN" w:bidi="ar"/>
                      <w14:textFill>
                        <w14:solidFill>
                          <w14:schemeClr w14:val="tx1"/>
                        </w14:solidFill>
                      </w14:textFill>
                    </w:rPr>
                    <w:t>）根据附录A或环评文件、排污许可证、设计文件中最高的窑炉烧成或焙烧温度确定。b全电隧道窑、全电梭式窑仅执行颗粒物排放限值。</w:t>
                  </w:r>
                </w:p>
                <w:p w14:paraId="3A60D988">
                  <w:pPr>
                    <w:keepNext w:val="0"/>
                    <w:keepLines w:val="0"/>
                    <w:widowControl/>
                    <w:suppressLineNumbers w:val="0"/>
                    <w:jc w:val="left"/>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eastAsia="宋体" w:cs="Times New Roman"/>
                      <w:b w:val="0"/>
                      <w:bCs w:val="0"/>
                      <w:color w:val="000000" w:themeColor="text1"/>
                      <w:sz w:val="18"/>
                      <w:szCs w:val="18"/>
                      <w:highlight w:val="none"/>
                      <w:vertAlign w:val="baseline"/>
                      <w:lang w:val="en-US" w:eastAsia="zh-CN"/>
                      <w14:textFill>
                        <w14:solidFill>
                          <w14:schemeClr w14:val="tx1"/>
                        </w14:solidFill>
                      </w14:textFill>
                    </w:rPr>
                    <w:t>d</w:t>
                  </w:r>
                  <w:r>
                    <w:rPr>
                      <w:rFonts w:hint="default" w:ascii="Times New Roman" w:hAnsi="Times New Roman" w:eastAsia="宋体" w:cs="Times New Roman"/>
                      <w:color w:val="000000" w:themeColor="text1"/>
                      <w:kern w:val="0"/>
                      <w:sz w:val="18"/>
                      <w:szCs w:val="18"/>
                      <w:highlight w:val="none"/>
                      <w:lang w:val="en-US" w:eastAsia="zh-CN" w:bidi="ar"/>
                      <w14:textFill>
                        <w14:solidFill>
                          <w14:schemeClr w14:val="tx1"/>
                        </w14:solidFill>
                      </w14:textFill>
                    </w:rPr>
                    <w:t>适用于新建企业和2030年1月1日以后的现有企业。</w:t>
                  </w:r>
                </w:p>
                <w:p w14:paraId="47DF4D3A">
                  <w:pPr>
                    <w:keepNext w:val="0"/>
                    <w:keepLines w:val="0"/>
                    <w:widowControl/>
                    <w:suppressLineNumbers w:val="0"/>
                    <w:jc w:val="left"/>
                    <w:rPr>
                      <w:rFonts w:hint="default" w:ascii="Times New Roman" w:hAnsi="Times New Roman" w:eastAsia="宋体" w:cs="Times New Roman"/>
                      <w:color w:val="000000" w:themeColor="text1"/>
                      <w:kern w:val="0"/>
                      <w:sz w:val="18"/>
                      <w:szCs w:val="18"/>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
                      <w14:textFill>
                        <w14:solidFill>
                          <w14:schemeClr w14:val="tx1"/>
                        </w14:solidFill>
                      </w14:textFill>
                    </w:rPr>
                    <w:t>e适用于2030年1月1日以前的现有企业。</w:t>
                  </w:r>
                </w:p>
                <w:p w14:paraId="7A192412">
                  <w:pPr>
                    <w:pStyle w:val="9"/>
                    <w:keepNext w:val="0"/>
                    <w:keepLines w:val="0"/>
                    <w:pageBreakBefore w:val="0"/>
                    <w:widowControl w:val="0"/>
                    <w:kinsoku/>
                    <w:wordWrap/>
                    <w:overflowPunct/>
                    <w:topLinePunct w:val="0"/>
                    <w:autoSpaceDE/>
                    <w:autoSpaceDN/>
                    <w:bidi w:val="0"/>
                    <w:adjustRightInd/>
                    <w:snapToGrid/>
                    <w:spacing w:after="0"/>
                    <w:ind w:left="0" w:leftChars="0" w:firstLine="0" w:firstLineChars="0"/>
                    <w:textAlignment w:val="auto"/>
                    <w:rPr>
                      <w:rFonts w:hint="default"/>
                      <w:color w:val="000000" w:themeColor="text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sz w:val="18"/>
                      <w:szCs w:val="18"/>
                      <w:highlight w:val="none"/>
                      <w:vertAlign w:val="baseline"/>
                      <w:lang w:val="en-US" w:eastAsia="zh-CN"/>
                      <w14:textFill>
                        <w14:solidFill>
                          <w14:schemeClr w14:val="tx1"/>
                        </w14:solidFill>
                      </w14:textFill>
                    </w:rPr>
                    <w:t>j</w:t>
                  </w:r>
                  <w:r>
                    <w:rPr>
                      <w:rFonts w:hint="eastAsia" w:ascii="Times New Roman" w:hAnsi="Times New Roman" w:eastAsia="宋体" w:cs="Times New Roman"/>
                      <w:color w:val="000000" w:themeColor="text1"/>
                      <w:kern w:val="0"/>
                      <w:sz w:val="18"/>
                      <w:szCs w:val="18"/>
                      <w:highlight w:val="none"/>
                      <w:lang w:val="en-US" w:eastAsia="zh-CN" w:bidi="ar"/>
                      <w14:textFill>
                        <w14:solidFill>
                          <w14:schemeClr w14:val="tx1"/>
                        </w14:solidFill>
                      </w14:textFill>
                    </w:rPr>
                    <w:t>适用于烟气处理使用氨水、尿素等含氨物质。</w:t>
                  </w:r>
                </w:p>
              </w:tc>
            </w:tr>
          </w:tbl>
          <w:p w14:paraId="35E8A394">
            <w:pPr>
              <w:keepNext w:val="0"/>
              <w:keepLines w:val="0"/>
              <w:pageBreakBefore w:val="0"/>
              <w:widowControl w:val="0"/>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表3-</w:t>
            </w:r>
            <w:r>
              <w:rPr>
                <w:rFonts w:hint="eastAsia" w:cs="Times New Roman"/>
                <w:b/>
                <w:bCs/>
                <w:color w:val="000000" w:themeColor="text1"/>
                <w:kern w:val="2"/>
                <w:sz w:val="24"/>
                <w:szCs w:val="24"/>
                <w:highlight w:val="none"/>
                <w:lang w:val="en-US" w:eastAsia="zh-CN" w:bidi="ar-SA"/>
                <w14:textFill>
                  <w14:solidFill>
                    <w14:schemeClr w14:val="tx1"/>
                  </w14:solidFill>
                </w14:textFill>
              </w:rPr>
              <w:t>9</w:t>
            </w: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基准氧含量</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0"/>
              <w:gridCol w:w="4250"/>
            </w:tblGrid>
            <w:tr w14:paraId="6D077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0" w:type="dxa"/>
                </w:tcPr>
                <w:p w14:paraId="5397651B">
                  <w:pPr>
                    <w:pStyle w:val="8"/>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窑炉类型</w:t>
                  </w:r>
                </w:p>
              </w:tc>
              <w:tc>
                <w:tcPr>
                  <w:tcW w:w="4250" w:type="dxa"/>
                </w:tcPr>
                <w:p w14:paraId="42216A2D">
                  <w:pPr>
                    <w:pStyle w:val="8"/>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烟气基准含氧量，%</w:t>
                  </w:r>
                </w:p>
              </w:tc>
            </w:tr>
            <w:tr w14:paraId="5B492B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50" w:type="dxa"/>
                </w:tcPr>
                <w:p w14:paraId="696B27ED">
                  <w:pPr>
                    <w:pStyle w:val="8"/>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竖窑、回转窑</w:t>
                  </w:r>
                </w:p>
              </w:tc>
              <w:tc>
                <w:tcPr>
                  <w:tcW w:w="4250" w:type="dxa"/>
                </w:tcPr>
                <w:p w14:paraId="645FD41B">
                  <w:pPr>
                    <w:pStyle w:val="8"/>
                    <w:keepNext w:val="0"/>
                    <w:keepLines w:val="0"/>
                    <w:pageBreakBefore w:val="0"/>
                    <w:widowControl w:val="0"/>
                    <w:kinsoku/>
                    <w:wordWrap/>
                    <w:overflowPunct/>
                    <w:topLinePunct w:val="0"/>
                    <w:autoSpaceDE/>
                    <w:autoSpaceDN/>
                    <w:bidi w:val="0"/>
                    <w:adjustRightInd/>
                    <w:snapToGrid/>
                    <w:ind w:firstLine="0"/>
                    <w:jc w:val="center"/>
                    <w:textAlignment w:val="auto"/>
                    <w:rPr>
                      <w:rFonts w:hint="default"/>
                      <w:color w:val="000000" w:themeColor="text1"/>
                      <w:sz w:val="21"/>
                      <w:szCs w:val="21"/>
                      <w:highlight w:val="none"/>
                      <w:vertAlign w:val="baseline"/>
                      <w:lang w:val="en-US" w:eastAsia="zh-CN"/>
                      <w14:textFill>
                        <w14:solidFill>
                          <w14:schemeClr w14:val="tx1"/>
                        </w14:solidFill>
                      </w14:textFill>
                    </w:rPr>
                  </w:pPr>
                  <w:r>
                    <w:rPr>
                      <w:rFonts w:hint="eastAsia"/>
                      <w:color w:val="000000" w:themeColor="text1"/>
                      <w:sz w:val="21"/>
                      <w:szCs w:val="21"/>
                      <w:highlight w:val="none"/>
                      <w:vertAlign w:val="baseline"/>
                      <w:lang w:val="en-US" w:eastAsia="zh-CN"/>
                      <w14:textFill>
                        <w14:solidFill>
                          <w14:schemeClr w14:val="tx1"/>
                        </w14:solidFill>
                      </w14:textFill>
                    </w:rPr>
                    <w:t>16</w:t>
                  </w:r>
                </w:p>
              </w:tc>
            </w:tr>
          </w:tbl>
          <w:p w14:paraId="5617C6A8">
            <w:pPr>
              <w:keepNext w:val="0"/>
              <w:keepLines w:val="0"/>
              <w:pageBreakBefore w:val="0"/>
              <w:widowControl w:val="0"/>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表3-</w:t>
            </w: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1</w:t>
            </w:r>
            <w:r>
              <w:rPr>
                <w:rFonts w:hint="eastAsia" w:cs="Times New Roman"/>
                <w:b/>
                <w:bCs/>
                <w:color w:val="000000" w:themeColor="text1"/>
                <w:kern w:val="2"/>
                <w:sz w:val="24"/>
                <w:szCs w:val="24"/>
                <w:highlight w:val="none"/>
                <w:lang w:val="en-US" w:eastAsia="zh-CN" w:bidi="ar-SA"/>
                <w14:textFill>
                  <w14:solidFill>
                    <w14:schemeClr w14:val="tx1"/>
                  </w14:solidFill>
                </w14:textFill>
              </w:rPr>
              <w:t>0</w:t>
            </w:r>
            <w:r>
              <w:rPr>
                <w:rFonts w:hint="default"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耐火材料工业大气污染物排放标准</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1"/>
              <w:gridCol w:w="1258"/>
              <w:gridCol w:w="1467"/>
              <w:gridCol w:w="2648"/>
              <w:gridCol w:w="1957"/>
            </w:tblGrid>
            <w:tr w14:paraId="498A9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396" w:type="pct"/>
                  <w:noWrap w:val="0"/>
                  <w:vAlign w:val="center"/>
                </w:tcPr>
                <w:p w14:paraId="4CCC81AA">
                  <w:pPr>
                    <w:keepNext w:val="0"/>
                    <w:keepLines w:val="0"/>
                    <w:pageBreakBefore w:val="0"/>
                    <w:widowControl/>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序号</w:t>
                  </w:r>
                </w:p>
              </w:tc>
              <w:tc>
                <w:tcPr>
                  <w:tcW w:w="790" w:type="pct"/>
                  <w:noWrap w:val="0"/>
                  <w:vAlign w:val="center"/>
                </w:tcPr>
                <w:p w14:paraId="02135B8E">
                  <w:pPr>
                    <w:keepNext w:val="0"/>
                    <w:keepLines w:val="0"/>
                    <w:pageBreakBefore w:val="0"/>
                    <w:widowControl/>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污染物</w:t>
                  </w:r>
                </w:p>
                <w:p w14:paraId="0F0B6C6D">
                  <w:pPr>
                    <w:keepNext w:val="0"/>
                    <w:keepLines w:val="0"/>
                    <w:pageBreakBefore w:val="0"/>
                    <w:widowControl/>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项目</w:t>
                  </w:r>
                </w:p>
              </w:tc>
              <w:tc>
                <w:tcPr>
                  <w:tcW w:w="921" w:type="pct"/>
                  <w:noWrap w:val="0"/>
                  <w:vAlign w:val="center"/>
                </w:tcPr>
                <w:p w14:paraId="55725D73">
                  <w:pPr>
                    <w:keepNext w:val="0"/>
                    <w:keepLines w:val="0"/>
                    <w:pageBreakBefore w:val="0"/>
                    <w:widowControl/>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监控浓度</w:t>
                  </w:r>
                </w:p>
                <w:p w14:paraId="29F5B38F">
                  <w:pPr>
                    <w:keepNext w:val="0"/>
                    <w:keepLines w:val="0"/>
                    <w:pageBreakBefore w:val="0"/>
                    <w:widowControl/>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限值</w:t>
                  </w:r>
                </w:p>
              </w:tc>
              <w:tc>
                <w:tcPr>
                  <w:tcW w:w="1663" w:type="pct"/>
                  <w:noWrap w:val="0"/>
                  <w:vAlign w:val="center"/>
                </w:tcPr>
                <w:p w14:paraId="46E31668">
                  <w:pPr>
                    <w:keepNext w:val="0"/>
                    <w:keepLines w:val="0"/>
                    <w:pageBreakBefore w:val="0"/>
                    <w:widowControl/>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限值含义</w:t>
                  </w:r>
                </w:p>
              </w:tc>
              <w:tc>
                <w:tcPr>
                  <w:tcW w:w="1229" w:type="pct"/>
                  <w:noWrap w:val="0"/>
                  <w:vAlign w:val="center"/>
                </w:tcPr>
                <w:p w14:paraId="04CF27A3">
                  <w:pPr>
                    <w:keepNext w:val="0"/>
                    <w:keepLines w:val="0"/>
                    <w:pageBreakBefore w:val="0"/>
                    <w:widowControl/>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无组织排放监控位置</w:t>
                  </w:r>
                </w:p>
              </w:tc>
            </w:tr>
            <w:tr w14:paraId="2F2D9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pct"/>
                  <w:noWrap w:val="0"/>
                  <w:vAlign w:val="center"/>
                </w:tcPr>
                <w:p w14:paraId="7B46E2B6">
                  <w:pPr>
                    <w:keepNext w:val="0"/>
                    <w:keepLines w:val="0"/>
                    <w:pageBreakBefore w:val="0"/>
                    <w:widowControl/>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w:t>
                  </w:r>
                </w:p>
              </w:tc>
              <w:tc>
                <w:tcPr>
                  <w:tcW w:w="790" w:type="pct"/>
                  <w:vMerge w:val="restart"/>
                  <w:noWrap w:val="0"/>
                  <w:vAlign w:val="center"/>
                </w:tcPr>
                <w:p w14:paraId="211D2C9B">
                  <w:pPr>
                    <w:keepNext w:val="0"/>
                    <w:keepLines w:val="0"/>
                    <w:pageBreakBefore w:val="0"/>
                    <w:widowControl/>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颗粒物</w:t>
                  </w:r>
                </w:p>
              </w:tc>
              <w:tc>
                <w:tcPr>
                  <w:tcW w:w="921" w:type="pct"/>
                  <w:noWrap w:val="0"/>
                  <w:vAlign w:val="center"/>
                </w:tcPr>
                <w:p w14:paraId="3E6DC6DA">
                  <w:pPr>
                    <w:keepNext w:val="0"/>
                    <w:keepLines w:val="0"/>
                    <w:pageBreakBefore w:val="0"/>
                    <w:widowControl/>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3</w:t>
                  </w:r>
                </w:p>
              </w:tc>
              <w:tc>
                <w:tcPr>
                  <w:tcW w:w="1663" w:type="pct"/>
                  <w:noWrap w:val="0"/>
                  <w:vAlign w:val="center"/>
                </w:tcPr>
                <w:p w14:paraId="59E4E3B7">
                  <w:pPr>
                    <w:keepNext w:val="0"/>
                    <w:keepLines w:val="0"/>
                    <w:pageBreakBefore w:val="0"/>
                    <w:widowControl/>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监控点处1h平均浓度值</w:t>
                  </w:r>
                </w:p>
              </w:tc>
              <w:tc>
                <w:tcPr>
                  <w:tcW w:w="1229" w:type="pct"/>
                  <w:vMerge w:val="restart"/>
                  <w:noWrap w:val="0"/>
                  <w:vAlign w:val="center"/>
                </w:tcPr>
                <w:p w14:paraId="287ABAAC">
                  <w:pPr>
                    <w:keepNext w:val="0"/>
                    <w:keepLines w:val="0"/>
                    <w:pageBreakBefore w:val="0"/>
                    <w:widowControl/>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在厂房外设置监控点</w:t>
                  </w:r>
                </w:p>
              </w:tc>
            </w:tr>
            <w:tr w14:paraId="750BE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96" w:type="pct"/>
                  <w:noWrap w:val="0"/>
                  <w:vAlign w:val="center"/>
                </w:tcPr>
                <w:p w14:paraId="09953A12">
                  <w:pPr>
                    <w:keepNext w:val="0"/>
                    <w:keepLines w:val="0"/>
                    <w:pageBreakBefore w:val="0"/>
                    <w:widowControl/>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2</w:t>
                  </w:r>
                </w:p>
              </w:tc>
              <w:tc>
                <w:tcPr>
                  <w:tcW w:w="790" w:type="pct"/>
                  <w:vMerge w:val="continue"/>
                  <w:noWrap w:val="0"/>
                  <w:vAlign w:val="center"/>
                </w:tcPr>
                <w:p w14:paraId="44B61B72">
                  <w:pPr>
                    <w:keepNext w:val="0"/>
                    <w:keepLines w:val="0"/>
                    <w:pageBreakBefore w:val="0"/>
                    <w:widowControl/>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c>
                <w:tcPr>
                  <w:tcW w:w="921" w:type="pct"/>
                  <w:noWrap w:val="0"/>
                  <w:vAlign w:val="center"/>
                </w:tcPr>
                <w:p w14:paraId="7D197BDB">
                  <w:pPr>
                    <w:keepNext w:val="0"/>
                    <w:keepLines w:val="0"/>
                    <w:pageBreakBefore w:val="0"/>
                    <w:widowControl/>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9</w:t>
                  </w:r>
                </w:p>
              </w:tc>
              <w:tc>
                <w:tcPr>
                  <w:tcW w:w="1663" w:type="pct"/>
                  <w:noWrap w:val="0"/>
                  <w:vAlign w:val="center"/>
                </w:tcPr>
                <w:p w14:paraId="1C132524">
                  <w:pPr>
                    <w:keepNext w:val="0"/>
                    <w:keepLines w:val="0"/>
                    <w:pageBreakBefore w:val="0"/>
                    <w:widowControl/>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监控点处任意一次浓度值</w:t>
                  </w:r>
                </w:p>
              </w:tc>
              <w:tc>
                <w:tcPr>
                  <w:tcW w:w="1229" w:type="pct"/>
                  <w:vMerge w:val="continue"/>
                  <w:noWrap w:val="0"/>
                  <w:vAlign w:val="center"/>
                </w:tcPr>
                <w:p w14:paraId="3F8A34CA">
                  <w:pPr>
                    <w:keepNext w:val="0"/>
                    <w:keepLines w:val="0"/>
                    <w:pageBreakBefore w:val="0"/>
                    <w:widowControl/>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b w:val="0"/>
                      <w:bCs w:val="0"/>
                      <w:color w:val="000000" w:themeColor="text1"/>
                      <w:sz w:val="21"/>
                      <w:szCs w:val="21"/>
                      <w:highlight w:val="none"/>
                      <w:vertAlign w:val="baseline"/>
                      <w14:textFill>
                        <w14:solidFill>
                          <w14:schemeClr w14:val="tx1"/>
                        </w14:solidFill>
                      </w14:textFill>
                    </w:rPr>
                  </w:pPr>
                </w:p>
              </w:tc>
            </w:tr>
          </w:tbl>
          <w:p w14:paraId="73324111">
            <w:pPr>
              <w:keepNext w:val="0"/>
              <w:keepLines w:val="0"/>
              <w:pageBreakBefore w:val="0"/>
              <w:widowControl w:val="0"/>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表3-1</w:t>
            </w:r>
            <w:r>
              <w:rPr>
                <w:rFonts w:hint="eastAsia" w:cs="Times New Roman"/>
                <w:b/>
                <w:bCs/>
                <w:color w:val="000000" w:themeColor="text1"/>
                <w:kern w:val="2"/>
                <w:sz w:val="24"/>
                <w:szCs w:val="24"/>
                <w:highlight w:val="none"/>
                <w:lang w:val="en-US" w:eastAsia="zh-CN" w:bidi="ar-SA"/>
                <w14:textFill>
                  <w14:solidFill>
                    <w14:schemeClr w14:val="tx1"/>
                  </w14:solidFill>
                </w14:textFill>
              </w:rPr>
              <w:t>1</w:t>
            </w:r>
            <w:r>
              <w:rPr>
                <w:rFonts w:hint="eastAsia" w:ascii="Times New Roman" w:hAnsi="Times New Roman" w:eastAsia="宋体" w:cs="Times New Roman"/>
                <w:b/>
                <w:bCs/>
                <w:color w:val="000000" w:themeColor="text1"/>
                <w:kern w:val="2"/>
                <w:sz w:val="24"/>
                <w:szCs w:val="24"/>
                <w:highlight w:val="none"/>
                <w:lang w:val="en-US" w:eastAsia="zh-CN" w:bidi="ar-SA"/>
                <w14:textFill>
                  <w14:solidFill>
                    <w14:schemeClr w14:val="tx1"/>
                  </w14:solidFill>
                </w14:textFill>
              </w:rPr>
              <w:t>《大气污染物综合排放标准》</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5"/>
              <w:gridCol w:w="930"/>
              <w:gridCol w:w="1112"/>
              <w:gridCol w:w="855"/>
              <w:gridCol w:w="3675"/>
              <w:gridCol w:w="524"/>
            </w:tblGrid>
            <w:tr w14:paraId="13390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43" w:type="pct"/>
                  <w:noWrap w:val="0"/>
                  <w:vAlign w:val="center"/>
                </w:tcPr>
                <w:p w14:paraId="27FE84AC">
                  <w:pPr>
                    <w:pStyle w:val="119"/>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rPr>
                      <w:rFonts w:hint="eastAsia"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排放</w:t>
                  </w:r>
                </w:p>
                <w:p w14:paraId="3711DF86">
                  <w:pPr>
                    <w:pStyle w:val="119"/>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形式</w:t>
                  </w:r>
                </w:p>
              </w:tc>
              <w:tc>
                <w:tcPr>
                  <w:tcW w:w="584" w:type="pct"/>
                  <w:noWrap w:val="0"/>
                  <w:vAlign w:val="center"/>
                </w:tcPr>
                <w:p w14:paraId="3B1FC5BB">
                  <w:pPr>
                    <w:pStyle w:val="119"/>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污染物</w:t>
                  </w:r>
                </w:p>
              </w:tc>
              <w:tc>
                <w:tcPr>
                  <w:tcW w:w="698" w:type="pct"/>
                  <w:shd w:val="clear" w:color="auto" w:fill="auto"/>
                  <w:noWrap w:val="0"/>
                  <w:vAlign w:val="center"/>
                </w:tcPr>
                <w:p w14:paraId="2117FCBA">
                  <w:pPr>
                    <w:pStyle w:val="119"/>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rPr>
                      <w:rFonts w:hint="eastAsia" w:ascii="Times New Roman" w:hAnsi="Times New Roman" w:eastAsia="宋体" w:cs="Times New Roman"/>
                      <w:color w:val="000000" w:themeColor="text1"/>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浓度限值mg/Nm</w:t>
                  </w:r>
                  <w:r>
                    <w:rPr>
                      <w:rFonts w:hint="eastAsia" w:ascii="Times New Roman" w:hAnsi="Times New Roman" w:eastAsia="宋体" w:cs="Times New Roman"/>
                      <w:color w:val="000000" w:themeColor="text1"/>
                      <w:sz w:val="21"/>
                      <w:szCs w:val="21"/>
                      <w:highlight w:val="none"/>
                      <w:vertAlign w:val="superscript"/>
                      <w:lang w:val="en-US" w:eastAsia="zh-CN"/>
                      <w14:textFill>
                        <w14:solidFill>
                          <w14:schemeClr w14:val="tx1"/>
                        </w14:solidFill>
                      </w14:textFill>
                    </w:rPr>
                    <w:t>3</w:t>
                  </w:r>
                </w:p>
              </w:tc>
              <w:tc>
                <w:tcPr>
                  <w:tcW w:w="536" w:type="pct"/>
                  <w:noWrap w:val="0"/>
                  <w:vAlign w:val="center"/>
                </w:tcPr>
                <w:p w14:paraId="377A2B31">
                  <w:pPr>
                    <w:pStyle w:val="119"/>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速率限值kg/h</w:t>
                  </w:r>
                </w:p>
              </w:tc>
              <w:tc>
                <w:tcPr>
                  <w:tcW w:w="2308" w:type="pct"/>
                  <w:noWrap w:val="0"/>
                  <w:vAlign w:val="center"/>
                </w:tcPr>
                <w:p w14:paraId="677CA993">
                  <w:pPr>
                    <w:pStyle w:val="119"/>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执行标准</w:t>
                  </w:r>
                </w:p>
              </w:tc>
              <w:tc>
                <w:tcPr>
                  <w:tcW w:w="329" w:type="pct"/>
                  <w:noWrap w:val="0"/>
                  <w:vAlign w:val="center"/>
                </w:tcPr>
                <w:p w14:paraId="60DDC37C">
                  <w:pPr>
                    <w:pStyle w:val="119"/>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备注</w:t>
                  </w:r>
                </w:p>
              </w:tc>
            </w:tr>
            <w:tr w14:paraId="7B160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43" w:type="pct"/>
                  <w:noWrap w:val="0"/>
                  <w:vAlign w:val="center"/>
                </w:tcPr>
                <w:p w14:paraId="4091A275">
                  <w:pPr>
                    <w:pStyle w:val="119"/>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无组织</w:t>
                  </w:r>
                </w:p>
              </w:tc>
              <w:tc>
                <w:tcPr>
                  <w:tcW w:w="584" w:type="pct"/>
                  <w:noWrap w:val="0"/>
                  <w:vAlign w:val="center"/>
                </w:tcPr>
                <w:p w14:paraId="054E2168">
                  <w:pPr>
                    <w:pStyle w:val="119"/>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颗粒物</w:t>
                  </w:r>
                </w:p>
              </w:tc>
              <w:tc>
                <w:tcPr>
                  <w:tcW w:w="698" w:type="pct"/>
                  <w:shd w:val="clear" w:color="auto" w:fill="auto"/>
                  <w:noWrap w:val="0"/>
                  <w:vAlign w:val="center"/>
                </w:tcPr>
                <w:p w14:paraId="0F496CD2">
                  <w:pPr>
                    <w:keepNext w:val="0"/>
                    <w:keepLines w:val="0"/>
                    <w:pageBreakBefore w:val="0"/>
                    <w:widowControl/>
                    <w:tabs>
                      <w:tab w:val="left" w:pos="-108"/>
                      <w:tab w:val="left" w:pos="627"/>
                      <w:tab w:val="left" w:pos="942"/>
                    </w:tabs>
                    <w:kinsoku/>
                    <w:wordWrap/>
                    <w:overflowPunct/>
                    <w:topLinePunct w:val="0"/>
                    <w:autoSpaceDE/>
                    <w:autoSpaceDN/>
                    <w:bidi w:val="0"/>
                    <w:adjustRightInd/>
                    <w:snapToGrid/>
                    <w:spacing w:line="240" w:lineRule="auto"/>
                    <w:jc w:val="center"/>
                    <w:textAlignment w:val="auto"/>
                    <w:outlineLvl w:val="1"/>
                    <w:rPr>
                      <w:rFonts w:hint="default" w:ascii="Times New Roman" w:hAnsi="Times New Roman" w:eastAsia="宋体" w:cs="Times New Roman"/>
                      <w:color w:val="000000" w:themeColor="text1"/>
                      <w:sz w:val="21"/>
                      <w:szCs w:val="21"/>
                      <w:highlight w:val="none"/>
                      <w:vertAlign w:val="baseli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1.0</w:t>
                  </w:r>
                </w:p>
              </w:tc>
              <w:tc>
                <w:tcPr>
                  <w:tcW w:w="536" w:type="pct"/>
                  <w:noWrap w:val="0"/>
                  <w:vAlign w:val="center"/>
                </w:tcPr>
                <w:p w14:paraId="61A6A3A5">
                  <w:pPr>
                    <w:pStyle w:val="119"/>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w:t>
                  </w:r>
                </w:p>
              </w:tc>
              <w:tc>
                <w:tcPr>
                  <w:tcW w:w="2308" w:type="pct"/>
                  <w:noWrap w:val="0"/>
                  <w:vAlign w:val="center"/>
                </w:tcPr>
                <w:p w14:paraId="242043E4">
                  <w:pPr>
                    <w:pStyle w:val="119"/>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rPr>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《大气污染物综合排放标准》（GB16297-1996）表</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2中</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无组织排放限值</w:t>
                  </w:r>
                </w:p>
              </w:tc>
              <w:tc>
                <w:tcPr>
                  <w:tcW w:w="329" w:type="pct"/>
                  <w:noWrap w:val="0"/>
                  <w:vAlign w:val="center"/>
                </w:tcPr>
                <w:p w14:paraId="3571C3B6">
                  <w:pPr>
                    <w:pStyle w:val="119"/>
                    <w:keepNext w:val="0"/>
                    <w:keepLines w:val="0"/>
                    <w:pageBreakBefore w:val="0"/>
                    <w:widowControl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r>
          </w:tbl>
          <w:p w14:paraId="36CC9320">
            <w:pPr>
              <w:pStyle w:val="8"/>
              <w:rPr>
                <w:rFonts w:hint="eastAsia"/>
                <w:color w:val="000000" w:themeColor="text1"/>
                <w:highlight w:val="none"/>
                <w14:textFill>
                  <w14:solidFill>
                    <w14:schemeClr w14:val="tx1"/>
                  </w14:solidFill>
                </w14:textFill>
              </w:rPr>
            </w:pPr>
          </w:p>
          <w:p w14:paraId="3D6D75DE">
            <w:pPr>
              <w:spacing w:line="240" w:lineRule="atLeast"/>
              <w:jc w:val="center"/>
              <w:rPr>
                <w:rFonts w:hint="eastAsia" w:ascii="Times New Roman" w:hAnsi="Times New Roman" w:eastAsia="宋体" w:cs="Times New Roman"/>
                <w:b/>
                <w:bCs/>
                <w:color w:val="000000" w:themeColor="text1"/>
                <w:sz w:val="24"/>
                <w:szCs w:val="24"/>
                <w:highlight w:val="none"/>
                <w:vertAlign w:val="superscript"/>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表3-</w:t>
            </w:r>
            <w:r>
              <w:rPr>
                <w:rFonts w:hint="eastAsia" w:cs="Times New Roman"/>
                <w:b/>
                <w:bCs/>
                <w:color w:val="000000" w:themeColor="text1"/>
                <w:sz w:val="24"/>
                <w:szCs w:val="24"/>
                <w:highlight w:val="none"/>
                <w:lang w:val="en-US" w:eastAsia="zh-CN"/>
                <w14:textFill>
                  <w14:solidFill>
                    <w14:schemeClr w14:val="tx1"/>
                  </w14:solidFill>
                </w14:textFill>
              </w:rPr>
              <w:t>12</w:t>
            </w: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《恶臭污染物排放标准》（GB14554-93）单位：mg/m</w:t>
            </w:r>
            <w:r>
              <w:rPr>
                <w:rFonts w:hint="eastAsia" w:ascii="Times New Roman" w:hAnsi="Times New Roman" w:eastAsia="宋体" w:cs="Times New Roman"/>
                <w:b/>
                <w:bCs/>
                <w:color w:val="000000" w:themeColor="text1"/>
                <w:sz w:val="24"/>
                <w:szCs w:val="24"/>
                <w:highlight w:val="none"/>
                <w:vertAlign w:val="superscript"/>
                <w:lang w:val="en-US" w:eastAsia="zh-CN"/>
                <w14:textFill>
                  <w14:solidFill>
                    <w14:schemeClr w14:val="tx1"/>
                  </w14:solidFill>
                </w14:textFill>
              </w:rPr>
              <w:t>3</w:t>
            </w:r>
          </w:p>
          <w:tbl>
            <w:tblPr>
              <w:tblStyle w:val="24"/>
              <w:tblW w:w="7972"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774"/>
              <w:gridCol w:w="1021"/>
              <w:gridCol w:w="1421"/>
              <w:gridCol w:w="4756"/>
            </w:tblGrid>
            <w:tr w14:paraId="52C7261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85" w:type="pct"/>
                  <w:vMerge w:val="restart"/>
                  <w:tcBorders>
                    <w:top w:val="single" w:color="auto" w:sz="4" w:space="0"/>
                    <w:left w:val="single" w:color="auto" w:sz="0" w:space="0"/>
                    <w:bottom w:val="single" w:color="auto" w:sz="4" w:space="0"/>
                    <w:right w:val="single" w:color="auto" w:sz="4" w:space="0"/>
                  </w:tcBorders>
                  <w:noWrap w:val="0"/>
                  <w:vAlign w:val="center"/>
                </w:tcPr>
                <w:p w14:paraId="3346928E">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污染物</w:t>
                  </w:r>
                </w:p>
              </w:tc>
              <w:tc>
                <w:tcPr>
                  <w:tcW w:w="1531" w:type="pct"/>
                  <w:gridSpan w:val="2"/>
                  <w:tcBorders>
                    <w:top w:val="single" w:color="auto" w:sz="4" w:space="0"/>
                    <w:left w:val="single" w:color="auto" w:sz="4" w:space="0"/>
                    <w:bottom w:val="single" w:color="auto" w:sz="4" w:space="0"/>
                    <w:right w:val="single" w:color="auto" w:sz="4" w:space="0"/>
                  </w:tcBorders>
                  <w:noWrap w:val="0"/>
                  <w:vAlign w:val="center"/>
                </w:tcPr>
                <w:p w14:paraId="763F1168">
                  <w:pPr>
                    <w:jc w:val="center"/>
                    <w:rPr>
                      <w:rFonts w:hint="eastAsia"/>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无组织排放监控浓度限值</w:t>
                  </w:r>
                </w:p>
              </w:tc>
              <w:tc>
                <w:tcPr>
                  <w:tcW w:w="2982" w:type="pct"/>
                  <w:vMerge w:val="restart"/>
                  <w:tcBorders>
                    <w:top w:val="single" w:color="auto" w:sz="4" w:space="0"/>
                    <w:left w:val="single" w:color="auto" w:sz="4" w:space="0"/>
                    <w:bottom w:val="single" w:color="auto" w:sz="4" w:space="0"/>
                    <w:right w:val="single" w:color="auto" w:sz="4" w:space="0"/>
                  </w:tcBorders>
                  <w:noWrap w:val="0"/>
                  <w:vAlign w:val="center"/>
                </w:tcPr>
                <w:p w14:paraId="39838124">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污染物排放监控位置</w:t>
                  </w:r>
                </w:p>
              </w:tc>
            </w:tr>
            <w:tr w14:paraId="1C941A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12" w:hRule="atLeast"/>
                <w:jc w:val="center"/>
              </w:trPr>
              <w:tc>
                <w:tcPr>
                  <w:tcW w:w="485" w:type="pct"/>
                  <w:vMerge w:val="continue"/>
                  <w:tcBorders>
                    <w:top w:val="single" w:color="auto" w:sz="4" w:space="0"/>
                    <w:left w:val="single" w:color="auto" w:sz="4" w:space="0"/>
                    <w:bottom w:val="single" w:color="auto" w:sz="4" w:space="0"/>
                    <w:right w:val="single" w:color="auto" w:sz="4" w:space="0"/>
                  </w:tcBorders>
                  <w:noWrap w:val="0"/>
                  <w:vAlign w:val="center"/>
                </w:tcPr>
                <w:p w14:paraId="4290F0EA">
                  <w:pPr>
                    <w:jc w:val="center"/>
                    <w:rPr>
                      <w:rFonts w:hint="eastAsia"/>
                      <w:color w:val="000000" w:themeColor="text1"/>
                      <w:sz w:val="21"/>
                      <w:szCs w:val="21"/>
                      <w:highlight w:val="none"/>
                      <w14:textFill>
                        <w14:solidFill>
                          <w14:schemeClr w14:val="tx1"/>
                        </w14:solidFill>
                      </w14:textFill>
                    </w:rPr>
                  </w:pPr>
                </w:p>
              </w:tc>
              <w:tc>
                <w:tcPr>
                  <w:tcW w:w="640" w:type="pct"/>
                  <w:tcBorders>
                    <w:top w:val="single" w:color="auto" w:sz="4" w:space="0"/>
                    <w:left w:val="single" w:color="auto" w:sz="4" w:space="0"/>
                    <w:bottom w:val="single" w:color="auto" w:sz="4" w:space="0"/>
                    <w:right w:val="single" w:color="auto" w:sz="4" w:space="0"/>
                  </w:tcBorders>
                  <w:noWrap w:val="0"/>
                  <w:vAlign w:val="center"/>
                </w:tcPr>
                <w:p w14:paraId="00E7D8BA">
                  <w:pPr>
                    <w:jc w:val="center"/>
                    <w:rPr>
                      <w:rFonts w:hint="eastAsia"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监控点</w:t>
                  </w:r>
                </w:p>
              </w:tc>
              <w:tc>
                <w:tcPr>
                  <w:tcW w:w="891" w:type="pct"/>
                  <w:tcBorders>
                    <w:top w:val="single" w:color="auto" w:sz="4" w:space="0"/>
                    <w:left w:val="single" w:color="auto" w:sz="4" w:space="0"/>
                    <w:bottom w:val="single" w:color="auto" w:sz="4" w:space="0"/>
                    <w:right w:val="single" w:color="auto" w:sz="4" w:space="0"/>
                  </w:tcBorders>
                  <w:noWrap w:val="0"/>
                  <w:vAlign w:val="center"/>
                </w:tcPr>
                <w:p w14:paraId="2E34B11E">
                  <w:pPr>
                    <w:jc w:val="center"/>
                    <w:rPr>
                      <w:rFonts w:hint="default" w:eastAsia="宋体"/>
                      <w:color w:val="000000" w:themeColor="text1"/>
                      <w:sz w:val="21"/>
                      <w:szCs w:val="21"/>
                      <w:highlight w:val="none"/>
                      <w:vertAlign w:val="superscript"/>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浓度mg/m</w:t>
                  </w:r>
                  <w:r>
                    <w:rPr>
                      <w:rFonts w:hint="eastAsia"/>
                      <w:color w:val="000000" w:themeColor="text1"/>
                      <w:sz w:val="21"/>
                      <w:szCs w:val="21"/>
                      <w:highlight w:val="none"/>
                      <w:vertAlign w:val="superscript"/>
                      <w:lang w:val="en-US" w:eastAsia="zh-CN"/>
                      <w14:textFill>
                        <w14:solidFill>
                          <w14:schemeClr w14:val="tx1"/>
                        </w14:solidFill>
                      </w14:textFill>
                    </w:rPr>
                    <w:t>3</w:t>
                  </w:r>
                </w:p>
              </w:tc>
              <w:tc>
                <w:tcPr>
                  <w:tcW w:w="2982" w:type="pct"/>
                  <w:vMerge w:val="continue"/>
                  <w:tcBorders>
                    <w:top w:val="single" w:color="auto" w:sz="4" w:space="0"/>
                    <w:left w:val="single" w:color="auto" w:sz="4" w:space="0"/>
                    <w:bottom w:val="single" w:color="auto" w:sz="4" w:space="0"/>
                    <w:right w:val="single" w:color="auto" w:sz="4" w:space="0"/>
                  </w:tcBorders>
                  <w:noWrap w:val="0"/>
                  <w:vAlign w:val="center"/>
                </w:tcPr>
                <w:p w14:paraId="55D97AA1">
                  <w:pPr>
                    <w:jc w:val="center"/>
                    <w:rPr>
                      <w:rFonts w:hint="eastAsia"/>
                      <w:color w:val="000000" w:themeColor="text1"/>
                      <w:sz w:val="21"/>
                      <w:szCs w:val="21"/>
                      <w:highlight w:val="none"/>
                      <w14:textFill>
                        <w14:solidFill>
                          <w14:schemeClr w14:val="tx1"/>
                        </w14:solidFill>
                      </w14:textFill>
                    </w:rPr>
                  </w:pPr>
                </w:p>
              </w:tc>
            </w:tr>
            <w:tr w14:paraId="53FA5D8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84" w:hRule="atLeast"/>
                <w:jc w:val="center"/>
              </w:trPr>
              <w:tc>
                <w:tcPr>
                  <w:tcW w:w="485" w:type="pct"/>
                  <w:tcBorders>
                    <w:top w:val="single" w:color="auto" w:sz="4" w:space="0"/>
                    <w:left w:val="single" w:color="auto" w:sz="4" w:space="0"/>
                    <w:bottom w:val="single" w:color="auto" w:sz="4" w:space="0"/>
                    <w:right w:val="single" w:color="auto" w:sz="4" w:space="0"/>
                  </w:tcBorders>
                  <w:noWrap w:val="0"/>
                  <w:vAlign w:val="center"/>
                </w:tcPr>
                <w:p w14:paraId="5531BF4D">
                  <w:pPr>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氨气</w:t>
                  </w:r>
                </w:p>
              </w:tc>
              <w:tc>
                <w:tcPr>
                  <w:tcW w:w="640" w:type="pct"/>
                  <w:tcBorders>
                    <w:top w:val="single" w:color="auto" w:sz="4" w:space="0"/>
                    <w:left w:val="single" w:color="auto" w:sz="4" w:space="0"/>
                    <w:bottom w:val="single" w:color="auto" w:sz="4" w:space="0"/>
                    <w:right w:val="single" w:color="auto" w:sz="4" w:space="0"/>
                  </w:tcBorders>
                  <w:noWrap w:val="0"/>
                  <w:vAlign w:val="center"/>
                </w:tcPr>
                <w:p w14:paraId="38C2F607">
                  <w:pPr>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厂界</w:t>
                  </w:r>
                </w:p>
              </w:tc>
              <w:tc>
                <w:tcPr>
                  <w:tcW w:w="891" w:type="pct"/>
                  <w:tcBorders>
                    <w:top w:val="single" w:color="auto" w:sz="4" w:space="0"/>
                    <w:left w:val="single" w:color="auto" w:sz="4" w:space="0"/>
                    <w:bottom w:val="single" w:color="auto" w:sz="4" w:space="0"/>
                    <w:right w:val="single" w:color="auto" w:sz="4" w:space="0"/>
                  </w:tcBorders>
                  <w:noWrap w:val="0"/>
                  <w:vAlign w:val="center"/>
                </w:tcPr>
                <w:p w14:paraId="5FF6F509">
                  <w:pPr>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1.5</w:t>
                  </w:r>
                </w:p>
              </w:tc>
              <w:tc>
                <w:tcPr>
                  <w:tcW w:w="2982" w:type="pct"/>
                  <w:tcBorders>
                    <w:top w:val="single" w:color="auto" w:sz="4" w:space="0"/>
                    <w:left w:val="single" w:color="auto" w:sz="4" w:space="0"/>
                    <w:bottom w:val="single" w:color="auto" w:sz="4" w:space="0"/>
                    <w:right w:val="single" w:color="auto" w:sz="4" w:space="0"/>
                  </w:tcBorders>
                  <w:noWrap w:val="0"/>
                  <w:vAlign w:val="center"/>
                </w:tcPr>
                <w:p w14:paraId="3C6A276E">
                  <w:pPr>
                    <w:jc w:val="center"/>
                    <w:rPr>
                      <w:rFonts w:hint="default" w:eastAsia="宋体"/>
                      <w:color w:val="000000" w:themeColor="text1"/>
                      <w:sz w:val="21"/>
                      <w:szCs w:val="21"/>
                      <w:highlight w:val="none"/>
                      <w:lang w:val="en-US" w:eastAsia="zh-CN"/>
                      <w14:textFill>
                        <w14:solidFill>
                          <w14:schemeClr w14:val="tx1"/>
                        </w14:solidFill>
                      </w14:textFill>
                    </w:rPr>
                  </w:pPr>
                  <w:r>
                    <w:rPr>
                      <w:rFonts w:hint="default" w:eastAsia="宋体"/>
                      <w:color w:val="000000" w:themeColor="text1"/>
                      <w:sz w:val="21"/>
                      <w:szCs w:val="21"/>
                      <w:highlight w:val="none"/>
                      <w:lang w:val="en-US" w:eastAsia="zh-CN"/>
                      <w14:textFill>
                        <w14:solidFill>
                          <w14:schemeClr w14:val="tx1"/>
                        </w14:solidFill>
                      </w14:textFill>
                    </w:rPr>
                    <w:t>《恶臭污染物排放标准》（GB14554-93）表1排放限值</w:t>
                  </w:r>
                </w:p>
              </w:tc>
            </w:tr>
            <w:tr w14:paraId="0211BC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84" w:hRule="atLeast"/>
                <w:jc w:val="center"/>
              </w:trPr>
              <w:tc>
                <w:tcPr>
                  <w:tcW w:w="485" w:type="pct"/>
                  <w:vMerge w:val="restart"/>
                  <w:tcBorders>
                    <w:top w:val="single" w:color="auto" w:sz="4" w:space="0"/>
                    <w:left w:val="single" w:color="auto" w:sz="4" w:space="0"/>
                    <w:right w:val="single" w:color="auto" w:sz="4" w:space="0"/>
                  </w:tcBorders>
                  <w:noWrap w:val="0"/>
                  <w:vAlign w:val="center"/>
                </w:tcPr>
                <w:p w14:paraId="2402D48A">
                  <w:pPr>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污染物</w:t>
                  </w:r>
                </w:p>
              </w:tc>
              <w:tc>
                <w:tcPr>
                  <w:tcW w:w="1531" w:type="pct"/>
                  <w:gridSpan w:val="2"/>
                  <w:tcBorders>
                    <w:top w:val="single" w:color="auto" w:sz="4" w:space="0"/>
                    <w:left w:val="single" w:color="auto" w:sz="4" w:space="0"/>
                    <w:bottom w:val="single" w:color="auto" w:sz="4" w:space="0"/>
                    <w:right w:val="single" w:color="auto" w:sz="4" w:space="0"/>
                  </w:tcBorders>
                  <w:noWrap w:val="0"/>
                  <w:vAlign w:val="center"/>
                </w:tcPr>
                <w:p w14:paraId="2DDCBCD1">
                  <w:pPr>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有</w:t>
                  </w:r>
                  <w:r>
                    <w:rPr>
                      <w:rFonts w:hint="eastAsia"/>
                      <w:color w:val="000000" w:themeColor="text1"/>
                      <w:sz w:val="21"/>
                      <w:szCs w:val="21"/>
                      <w:highlight w:val="none"/>
                      <w14:textFill>
                        <w14:solidFill>
                          <w14:schemeClr w14:val="tx1"/>
                        </w14:solidFill>
                      </w14:textFill>
                    </w:rPr>
                    <w:t>组织排放监控浓度限值</w:t>
                  </w:r>
                </w:p>
              </w:tc>
              <w:tc>
                <w:tcPr>
                  <w:tcW w:w="4756" w:type="dxa"/>
                  <w:vMerge w:val="restart"/>
                  <w:tcBorders>
                    <w:top w:val="single" w:color="auto" w:sz="4" w:space="0"/>
                    <w:left w:val="single" w:color="auto" w:sz="4" w:space="0"/>
                    <w:right w:val="single" w:color="auto" w:sz="4" w:space="0"/>
                  </w:tcBorders>
                  <w:noWrap w:val="0"/>
                  <w:vAlign w:val="center"/>
                </w:tcPr>
                <w:p w14:paraId="541642DE">
                  <w:pPr>
                    <w:jc w:val="center"/>
                    <w:rPr>
                      <w:rFonts w:hint="default"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污染物排放监控位置</w:t>
                  </w:r>
                </w:p>
              </w:tc>
            </w:tr>
            <w:tr w14:paraId="1BA430D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84" w:hRule="atLeast"/>
                <w:jc w:val="center"/>
              </w:trPr>
              <w:tc>
                <w:tcPr>
                  <w:tcW w:w="485" w:type="pct"/>
                  <w:vMerge w:val="continue"/>
                  <w:tcBorders>
                    <w:left w:val="single" w:color="auto" w:sz="4" w:space="0"/>
                    <w:bottom w:val="single" w:color="auto" w:sz="4" w:space="0"/>
                    <w:right w:val="single" w:color="auto" w:sz="4" w:space="0"/>
                  </w:tcBorders>
                  <w:noWrap w:val="0"/>
                  <w:vAlign w:val="center"/>
                </w:tcPr>
                <w:p w14:paraId="63AFCA4E">
                  <w:pPr>
                    <w:jc w:val="center"/>
                    <w:rPr>
                      <w:rFonts w:hint="eastAsia"/>
                      <w:color w:val="000000" w:themeColor="text1"/>
                      <w:sz w:val="21"/>
                      <w:szCs w:val="21"/>
                      <w:highlight w:val="none"/>
                      <w:lang w:val="en-US" w:eastAsia="zh-CN"/>
                      <w14:textFill>
                        <w14:solidFill>
                          <w14:schemeClr w14:val="tx1"/>
                        </w14:solidFill>
                      </w14:textFill>
                    </w:rPr>
                  </w:pPr>
                </w:p>
              </w:tc>
              <w:tc>
                <w:tcPr>
                  <w:tcW w:w="640" w:type="pct"/>
                  <w:tcBorders>
                    <w:top w:val="single" w:color="auto" w:sz="4" w:space="0"/>
                    <w:left w:val="single" w:color="auto" w:sz="4" w:space="0"/>
                    <w:bottom w:val="single" w:color="auto" w:sz="4" w:space="0"/>
                    <w:right w:val="single" w:color="auto" w:sz="4" w:space="0"/>
                  </w:tcBorders>
                  <w:noWrap w:val="0"/>
                  <w:vAlign w:val="center"/>
                </w:tcPr>
                <w:p w14:paraId="4EE49823">
                  <w:pPr>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监控点</w:t>
                  </w:r>
                </w:p>
              </w:tc>
              <w:tc>
                <w:tcPr>
                  <w:tcW w:w="891" w:type="pct"/>
                  <w:tcBorders>
                    <w:top w:val="single" w:color="auto" w:sz="4" w:space="0"/>
                    <w:left w:val="single" w:color="auto" w:sz="4" w:space="0"/>
                    <w:bottom w:val="single" w:color="auto" w:sz="4" w:space="0"/>
                    <w:right w:val="single" w:color="auto" w:sz="4" w:space="0"/>
                  </w:tcBorders>
                  <w:noWrap w:val="0"/>
                  <w:vAlign w:val="center"/>
                </w:tcPr>
                <w:p w14:paraId="459C3B97">
                  <w:pPr>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速率kg/h</w:t>
                  </w:r>
                </w:p>
              </w:tc>
              <w:tc>
                <w:tcPr>
                  <w:tcW w:w="2982" w:type="pct"/>
                  <w:vMerge w:val="continue"/>
                  <w:tcBorders>
                    <w:left w:val="single" w:color="auto" w:sz="4" w:space="0"/>
                    <w:bottom w:val="single" w:color="auto" w:sz="4" w:space="0"/>
                    <w:right w:val="single" w:color="auto" w:sz="4" w:space="0"/>
                  </w:tcBorders>
                  <w:noWrap w:val="0"/>
                  <w:vAlign w:val="center"/>
                </w:tcPr>
                <w:p w14:paraId="024F96D6">
                  <w:pPr>
                    <w:jc w:val="center"/>
                    <w:rPr>
                      <w:rFonts w:hint="default" w:eastAsia="宋体"/>
                      <w:color w:val="000000" w:themeColor="text1"/>
                      <w:sz w:val="21"/>
                      <w:szCs w:val="21"/>
                      <w:highlight w:val="none"/>
                      <w:lang w:val="en-US" w:eastAsia="zh-CN"/>
                      <w14:textFill>
                        <w14:solidFill>
                          <w14:schemeClr w14:val="tx1"/>
                        </w14:solidFill>
                      </w14:textFill>
                    </w:rPr>
                  </w:pPr>
                </w:p>
              </w:tc>
            </w:tr>
            <w:tr w14:paraId="40A7183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84" w:hRule="atLeast"/>
                <w:jc w:val="center"/>
              </w:trPr>
              <w:tc>
                <w:tcPr>
                  <w:tcW w:w="485" w:type="pct"/>
                  <w:tcBorders>
                    <w:top w:val="single" w:color="auto" w:sz="4" w:space="0"/>
                    <w:left w:val="single" w:color="auto" w:sz="4" w:space="0"/>
                    <w:bottom w:val="single" w:color="auto" w:sz="4" w:space="0"/>
                    <w:right w:val="single" w:color="auto" w:sz="4" w:space="0"/>
                  </w:tcBorders>
                  <w:noWrap w:val="0"/>
                  <w:vAlign w:val="center"/>
                </w:tcPr>
                <w:p w14:paraId="08B6F14B">
                  <w:pPr>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氨气</w:t>
                  </w:r>
                </w:p>
              </w:tc>
              <w:tc>
                <w:tcPr>
                  <w:tcW w:w="640" w:type="pct"/>
                  <w:tcBorders>
                    <w:top w:val="single" w:color="auto" w:sz="4" w:space="0"/>
                    <w:left w:val="single" w:color="auto" w:sz="4" w:space="0"/>
                    <w:bottom w:val="single" w:color="auto" w:sz="4" w:space="0"/>
                    <w:right w:val="single" w:color="auto" w:sz="4" w:space="0"/>
                  </w:tcBorders>
                  <w:noWrap w:val="0"/>
                  <w:vAlign w:val="center"/>
                </w:tcPr>
                <w:p w14:paraId="77758583">
                  <w:pPr>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排污口</w:t>
                  </w:r>
                </w:p>
              </w:tc>
              <w:tc>
                <w:tcPr>
                  <w:tcW w:w="891" w:type="pct"/>
                  <w:tcBorders>
                    <w:top w:val="single" w:color="auto" w:sz="4" w:space="0"/>
                    <w:left w:val="single" w:color="auto" w:sz="4" w:space="0"/>
                    <w:bottom w:val="single" w:color="auto" w:sz="4" w:space="0"/>
                    <w:right w:val="single" w:color="auto" w:sz="4" w:space="0"/>
                  </w:tcBorders>
                  <w:noWrap w:val="0"/>
                  <w:vAlign w:val="center"/>
                </w:tcPr>
                <w:p w14:paraId="67F131CA">
                  <w:pPr>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35</w:t>
                  </w:r>
                </w:p>
              </w:tc>
              <w:tc>
                <w:tcPr>
                  <w:tcW w:w="4756" w:type="dxa"/>
                  <w:tcBorders>
                    <w:top w:val="single" w:color="auto" w:sz="4" w:space="0"/>
                    <w:left w:val="single" w:color="auto" w:sz="4" w:space="0"/>
                    <w:bottom w:val="single" w:color="auto" w:sz="4" w:space="0"/>
                    <w:right w:val="single" w:color="auto" w:sz="4" w:space="0"/>
                  </w:tcBorders>
                  <w:noWrap w:val="0"/>
                  <w:vAlign w:val="center"/>
                </w:tcPr>
                <w:p w14:paraId="5E7A05C2">
                  <w:pPr>
                    <w:jc w:val="center"/>
                    <w:rPr>
                      <w:rFonts w:hint="default" w:eastAsia="宋体"/>
                      <w:color w:val="000000" w:themeColor="text1"/>
                      <w:sz w:val="21"/>
                      <w:szCs w:val="21"/>
                      <w:highlight w:val="none"/>
                      <w:lang w:val="en-US" w:eastAsia="zh-CN"/>
                      <w14:textFill>
                        <w14:solidFill>
                          <w14:schemeClr w14:val="tx1"/>
                        </w14:solidFill>
                      </w14:textFill>
                    </w:rPr>
                  </w:pPr>
                  <w:r>
                    <w:rPr>
                      <w:rFonts w:hint="default" w:eastAsia="宋体"/>
                      <w:color w:val="000000" w:themeColor="text1"/>
                      <w:sz w:val="21"/>
                      <w:szCs w:val="21"/>
                      <w:highlight w:val="none"/>
                      <w:lang w:val="en-US" w:eastAsia="zh-CN"/>
                      <w14:textFill>
                        <w14:solidFill>
                          <w14:schemeClr w14:val="tx1"/>
                        </w14:solidFill>
                      </w14:textFill>
                    </w:rPr>
                    <w:t>《恶臭污染物排放标准》（GB14554-93）表</w:t>
                  </w:r>
                  <w:r>
                    <w:rPr>
                      <w:rFonts w:hint="eastAsia" w:eastAsia="宋体"/>
                      <w:color w:val="000000" w:themeColor="text1"/>
                      <w:sz w:val="21"/>
                      <w:szCs w:val="21"/>
                      <w:highlight w:val="none"/>
                      <w:lang w:val="en-US" w:eastAsia="zh-CN"/>
                      <w14:textFill>
                        <w14:solidFill>
                          <w14:schemeClr w14:val="tx1"/>
                        </w14:solidFill>
                      </w14:textFill>
                    </w:rPr>
                    <w:t>2</w:t>
                  </w:r>
                  <w:r>
                    <w:rPr>
                      <w:rFonts w:hint="default" w:eastAsia="宋体"/>
                      <w:color w:val="000000" w:themeColor="text1"/>
                      <w:sz w:val="21"/>
                      <w:szCs w:val="21"/>
                      <w:highlight w:val="none"/>
                      <w:lang w:val="en-US" w:eastAsia="zh-CN"/>
                      <w14:textFill>
                        <w14:solidFill>
                          <w14:schemeClr w14:val="tx1"/>
                        </w14:solidFill>
                      </w14:textFill>
                    </w:rPr>
                    <w:t>排放限值</w:t>
                  </w:r>
                </w:p>
              </w:tc>
            </w:tr>
          </w:tbl>
          <w:p w14:paraId="2DB3C5A3">
            <w:pPr>
              <w:widowControl/>
              <w:tabs>
                <w:tab w:val="left" w:pos="-108"/>
                <w:tab w:val="left" w:pos="627"/>
                <w:tab w:val="left" w:pos="942"/>
              </w:tabs>
              <w:spacing w:before="120" w:beforeLines="50" w:line="360" w:lineRule="auto"/>
              <w:ind w:firstLine="482" w:firstLineChars="200"/>
              <w:jc w:val="both"/>
              <w:outlineLvl w:val="1"/>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lang w:eastAsia="zh-CN"/>
                <w14:textFill>
                  <w14:solidFill>
                    <w14:schemeClr w14:val="tx1"/>
                  </w14:solidFill>
                </w14:textFill>
              </w:rPr>
              <w:t>2.</w:t>
            </w:r>
            <w:r>
              <w:rPr>
                <w:rFonts w:hint="default" w:ascii="Times New Roman" w:hAnsi="Times New Roman" w:eastAsia="宋体" w:cs="Times New Roman"/>
                <w:b/>
                <w:bCs/>
                <w:color w:val="000000" w:themeColor="text1"/>
                <w:sz w:val="24"/>
                <w:highlight w:val="none"/>
                <w14:textFill>
                  <w14:solidFill>
                    <w14:schemeClr w14:val="tx1"/>
                  </w14:solidFill>
                </w14:textFill>
              </w:rPr>
              <w:t>废水排放标准</w:t>
            </w:r>
          </w:p>
          <w:p w14:paraId="020F91E3">
            <w:pPr>
              <w:pStyle w:val="116"/>
              <w:keepNext w:val="0"/>
              <w:keepLines w:val="0"/>
              <w:pageBreakBefore w:val="0"/>
              <w:widowControl w:val="0"/>
              <w:kinsoku/>
              <w:wordWrap/>
              <w:overflowPunct/>
              <w:topLinePunct w:val="0"/>
              <w:autoSpaceDE/>
              <w:autoSpaceDN/>
              <w:bidi w:val="0"/>
              <w:adjustRightInd/>
              <w:snapToGrid/>
              <w:spacing w:line="360" w:lineRule="auto"/>
              <w:ind w:left="0" w:right="0" w:firstLine="476"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1"/>
                <w:sz w:val="24"/>
                <w:szCs w:val="24"/>
                <w:highlight w:val="none"/>
                <w14:textFill>
                  <w14:solidFill>
                    <w14:schemeClr w14:val="tx1"/>
                  </w14:solidFill>
                </w14:textFill>
              </w:rPr>
              <w:t>脱硫废水经三联</w:t>
            </w:r>
            <w:r>
              <w:rPr>
                <w:rFonts w:hint="default" w:ascii="Times New Roman" w:hAnsi="Times New Roman" w:eastAsia="宋体" w:cs="Times New Roman"/>
                <w:color w:val="000000" w:themeColor="text1"/>
                <w:sz w:val="24"/>
                <w:szCs w:val="24"/>
                <w:highlight w:val="none"/>
                <w14:textFill>
                  <w14:solidFill>
                    <w14:schemeClr w14:val="tx1"/>
                  </w14:solidFill>
                </w14:textFill>
              </w:rPr>
              <w:t>箱装置处理后</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回用</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软水</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站排水和余热锅炉排水</w:t>
            </w:r>
            <w:r>
              <w:rPr>
                <w:rFonts w:hint="eastAsia" w:ascii="Times New Roman" w:hAnsi="Times New Roman" w:cs="Times New Roman"/>
                <w:b w:val="0"/>
                <w:bCs w:val="0"/>
                <w:color w:val="000000" w:themeColor="text1"/>
                <w:sz w:val="24"/>
                <w:szCs w:val="24"/>
                <w:highlight w:val="none"/>
                <w:lang w:val="en-US" w:eastAsia="zh-CN"/>
                <w14:textFill>
                  <w14:solidFill>
                    <w14:schemeClr w14:val="tx1"/>
                  </w14:solidFill>
                </w14:textFill>
              </w:rPr>
              <w:t>通过罐车拉运送园区污水处理厂处理</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生活污水经厂区</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防渗化</w:t>
            </w:r>
            <w:r>
              <w:rPr>
                <w:rFonts w:hint="default" w:ascii="Times New Roman" w:hAnsi="Times New Roman" w:eastAsia="宋体" w:cs="Times New Roman"/>
                <w:color w:val="000000" w:themeColor="text1"/>
                <w:sz w:val="24"/>
                <w:szCs w:val="24"/>
                <w:highlight w:val="none"/>
                <w14:textFill>
                  <w14:solidFill>
                    <w14:schemeClr w14:val="tx1"/>
                  </w14:solidFill>
                </w14:textFill>
              </w:rPr>
              <w:t>粪池处理后</w:t>
            </w:r>
            <w:r>
              <w:rPr>
                <w:rFonts w:hint="eastAsia" w:cs="Times New Roman"/>
                <w:color w:val="000000" w:themeColor="text1"/>
                <w:sz w:val="24"/>
                <w:szCs w:val="24"/>
                <w:highlight w:val="none"/>
                <w:lang w:val="en-US" w:eastAsia="zh-CN"/>
                <w14:textFill>
                  <w14:solidFill>
                    <w14:schemeClr w14:val="tx1"/>
                  </w14:solidFill>
                </w14:textFill>
              </w:rPr>
              <w:t>罐车拉运至</w:t>
            </w:r>
            <w:r>
              <w:rPr>
                <w:rFonts w:hint="default" w:ascii="Times New Roman" w:hAnsi="Times New Roman" w:eastAsia="宋体" w:cs="Times New Roman"/>
                <w:color w:val="000000" w:themeColor="text1"/>
                <w:sz w:val="24"/>
                <w:szCs w:val="24"/>
                <w:highlight w:val="none"/>
                <w14:textFill>
                  <w14:solidFill>
                    <w14:schemeClr w14:val="tx1"/>
                  </w14:solidFill>
                </w14:textFill>
              </w:rPr>
              <w:t>园</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区</w:t>
            </w:r>
            <w:r>
              <w:rPr>
                <w:rFonts w:hint="default" w:ascii="Times New Roman" w:hAnsi="Times New Roman" w:eastAsia="宋体" w:cs="Times New Roman"/>
                <w:color w:val="000000" w:themeColor="text1"/>
                <w:sz w:val="24"/>
                <w:szCs w:val="24"/>
                <w:highlight w:val="none"/>
                <w14:textFill>
                  <w14:solidFill>
                    <w14:schemeClr w14:val="tx1"/>
                  </w14:solidFill>
                </w14:textFill>
              </w:rPr>
              <w:t>污水处理厂处</w:t>
            </w:r>
            <w:r>
              <w:rPr>
                <w:rFonts w:hint="default" w:ascii="Times New Roman" w:hAnsi="Times New Roman" w:eastAsia="宋体" w:cs="Times New Roman"/>
                <w:color w:val="000000" w:themeColor="text1"/>
                <w:spacing w:val="-1"/>
                <w:sz w:val="24"/>
                <w:szCs w:val="24"/>
                <w:highlight w:val="none"/>
                <w14:textFill>
                  <w14:solidFill>
                    <w14:schemeClr w14:val="tx1"/>
                  </w14:solidFill>
                </w14:textFill>
              </w:rPr>
              <w:t>理，污水处理设施出水</w:t>
            </w:r>
            <w:r>
              <w:rPr>
                <w:rFonts w:hint="eastAsia" w:ascii="Times New Roman" w:hAnsi="Times New Roman" w:cs="Times New Roman"/>
                <w:color w:val="000000" w:themeColor="text1"/>
                <w:spacing w:val="-1"/>
                <w:sz w:val="24"/>
                <w:szCs w:val="24"/>
                <w:highlight w:val="none"/>
                <w:lang w:val="en-US" w:eastAsia="zh-CN"/>
                <w14:textFill>
                  <w14:solidFill>
                    <w14:schemeClr w14:val="tx1"/>
                  </w14:solidFill>
                </w14:textFill>
              </w:rPr>
              <w:t>与污水处理厂签订的进水水质要求</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p>
          <w:p w14:paraId="2E77CF43">
            <w:pPr>
              <w:pStyle w:val="105"/>
              <w:autoSpaceDE w:val="0"/>
              <w:spacing w:line="240" w:lineRule="auto"/>
              <w:ind w:firstLine="420"/>
              <w:jc w:val="center"/>
              <w:rPr>
                <w:rFonts w:hint="default" w:ascii="Times New Roman" w:hAnsi="Times New Roman" w:eastAsia="宋体" w:cs="Times New Roman"/>
                <w:b/>
                <w:bCs/>
                <w:color w:val="000000" w:themeColor="text1"/>
                <w:kern w:val="2"/>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14:textFill>
                  <w14:solidFill>
                    <w14:schemeClr w14:val="tx1"/>
                  </w14:solidFill>
                </w14:textFill>
              </w:rPr>
              <w:t>表</w:t>
            </w:r>
            <w:r>
              <w:rPr>
                <w:rFonts w:hint="default" w:ascii="Times New Roman" w:hAnsi="Times New Roman" w:eastAsia="宋体" w:cs="Times New Roman"/>
                <w:b/>
                <w:bCs/>
                <w:color w:val="000000" w:themeColor="text1"/>
                <w:kern w:val="2"/>
                <w:sz w:val="24"/>
                <w:szCs w:val="24"/>
                <w:highlight w:val="none"/>
                <w:lang w:val="en-US" w:eastAsia="zh-CN"/>
                <w14:textFill>
                  <w14:solidFill>
                    <w14:schemeClr w14:val="tx1"/>
                  </w14:solidFill>
                </w14:textFill>
              </w:rPr>
              <w:t>3-</w:t>
            </w:r>
            <w:r>
              <w:rPr>
                <w:rFonts w:hint="eastAsia" w:hAnsi="Times New Roman" w:cs="Times New Roman"/>
                <w:b/>
                <w:bCs/>
                <w:color w:val="000000" w:themeColor="text1"/>
                <w:kern w:val="2"/>
                <w:sz w:val="24"/>
                <w:szCs w:val="24"/>
                <w:highlight w:val="none"/>
                <w:lang w:val="en-US" w:eastAsia="zh-CN"/>
                <w14:textFill>
                  <w14:solidFill>
                    <w14:schemeClr w14:val="tx1"/>
                  </w14:solidFill>
                </w14:textFill>
              </w:rPr>
              <w:t>13</w:t>
            </w:r>
            <w:r>
              <w:rPr>
                <w:rFonts w:hint="default" w:ascii="Times New Roman" w:hAnsi="Times New Roman" w:eastAsia="宋体" w:cs="Times New Roman"/>
                <w:b/>
                <w:bCs/>
                <w:color w:val="000000" w:themeColor="text1"/>
                <w:kern w:val="2"/>
                <w:sz w:val="24"/>
                <w:szCs w:val="24"/>
                <w:highlight w:val="none"/>
                <w14:textFill>
                  <w14:solidFill>
                    <w14:schemeClr w14:val="tx1"/>
                  </w14:solidFill>
                </w14:textFill>
              </w:rPr>
              <w:t>污水</w:t>
            </w:r>
            <w:r>
              <w:rPr>
                <w:rFonts w:hint="eastAsia" w:ascii="Times New Roman" w:hAnsi="Times New Roman" w:eastAsia="宋体" w:cs="Times New Roman"/>
                <w:b/>
                <w:bCs/>
                <w:color w:val="000000" w:themeColor="text1"/>
                <w:kern w:val="2"/>
                <w:sz w:val="24"/>
                <w:szCs w:val="24"/>
                <w:highlight w:val="none"/>
                <w:lang w:val="en-US" w:eastAsia="zh-CN"/>
                <w14:textFill>
                  <w14:solidFill>
                    <w14:schemeClr w14:val="tx1"/>
                  </w14:solidFill>
                </w14:textFill>
              </w:rPr>
              <w:t>进水水质要求</w:t>
            </w:r>
            <w:r>
              <w:rPr>
                <w:rFonts w:hint="default" w:ascii="Times New Roman" w:hAnsi="Times New Roman" w:eastAsia="宋体" w:cs="Times New Roman"/>
                <w:b/>
                <w:bCs/>
                <w:color w:val="000000" w:themeColor="text1"/>
                <w:kern w:val="2"/>
                <w:sz w:val="24"/>
                <w:szCs w:val="24"/>
                <w:highlight w:val="none"/>
                <w14:textFill>
                  <w14:solidFill>
                    <w14:schemeClr w14:val="tx1"/>
                  </w14:solidFill>
                </w14:textFill>
              </w:rPr>
              <w:t>标准</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2562"/>
              <w:gridCol w:w="3094"/>
              <w:gridCol w:w="2305"/>
            </w:tblGrid>
            <w:tr w14:paraId="7424D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2696" w:type="dxa"/>
                  <w:noWrap w:val="0"/>
                  <w:vAlign w:val="top"/>
                </w:tcPr>
                <w:p w14:paraId="51B39427">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项目</w:t>
                  </w:r>
                </w:p>
              </w:tc>
              <w:tc>
                <w:tcPr>
                  <w:tcW w:w="3257" w:type="dxa"/>
                  <w:noWrap w:val="0"/>
                  <w:vAlign w:val="top"/>
                </w:tcPr>
                <w:p w14:paraId="6DBAD35A">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设计指标</w:t>
                  </w:r>
                </w:p>
              </w:tc>
              <w:tc>
                <w:tcPr>
                  <w:tcW w:w="2426" w:type="dxa"/>
                  <w:noWrap w:val="0"/>
                  <w:vAlign w:val="top"/>
                </w:tcPr>
                <w:p w14:paraId="477FDF0F">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单位</w:t>
                  </w:r>
                </w:p>
              </w:tc>
            </w:tr>
            <w:tr w14:paraId="09D2B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2696" w:type="dxa"/>
                  <w:noWrap w:val="0"/>
                  <w:vAlign w:val="top"/>
                </w:tcPr>
                <w:p w14:paraId="4E294D62">
                  <w:pPr>
                    <w:jc w:val="center"/>
                    <w:rPr>
                      <w:rFonts w:hint="default" w:ascii="Times New Roman" w:hAnsi="Times New Roman" w:eastAsia="宋体" w:cs="Times New Roman"/>
                      <w:b w:val="0"/>
                      <w:bCs w:val="0"/>
                      <w:color w:val="000000" w:themeColor="text1"/>
                      <w:szCs w:val="21"/>
                      <w:highlight w:val="none"/>
                      <w:lang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化学需氧量（COD）</w:t>
                  </w:r>
                </w:p>
              </w:tc>
              <w:tc>
                <w:tcPr>
                  <w:tcW w:w="3257" w:type="dxa"/>
                  <w:noWrap w:val="0"/>
                  <w:vAlign w:val="top"/>
                </w:tcPr>
                <w:p w14:paraId="2392640D">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800</w:t>
                  </w:r>
                </w:p>
              </w:tc>
              <w:tc>
                <w:tcPr>
                  <w:tcW w:w="2426" w:type="dxa"/>
                  <w:noWrap w:val="0"/>
                  <w:vAlign w:val="top"/>
                </w:tcPr>
                <w:p w14:paraId="6F4BF200">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mg/L</w:t>
                  </w:r>
                </w:p>
              </w:tc>
            </w:tr>
            <w:tr w14:paraId="3A50D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2696" w:type="dxa"/>
                  <w:noWrap w:val="0"/>
                  <w:vAlign w:val="top"/>
                </w:tcPr>
                <w:p w14:paraId="78EF9FA1">
                  <w:pPr>
                    <w:jc w:val="center"/>
                    <w:rPr>
                      <w:rFonts w:hint="eastAsia" w:ascii="Times New Roman" w:hAnsi="Times New Roman" w:eastAsia="宋体" w:cs="Times New Roman"/>
                      <w:b w:val="0"/>
                      <w:bCs w:val="0"/>
                      <w:color w:val="000000" w:themeColor="text1"/>
                      <w:szCs w:val="21"/>
                      <w:highlight w:val="none"/>
                      <w:lang w:val="en-US" w:eastAsia="zh-CN"/>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氨氮（NH</w:t>
                  </w:r>
                  <w:r>
                    <w:rPr>
                      <w:rFonts w:hint="eastAsia"/>
                      <w:color w:val="000000" w:themeColor="text1"/>
                      <w:highlight w:val="none"/>
                      <w:vertAlign w:val="subscript"/>
                      <w:lang w:val="en-US" w:eastAsia="zh-CN"/>
                      <w14:textFill>
                        <w14:solidFill>
                          <w14:schemeClr w14:val="tx1"/>
                        </w14:solidFill>
                      </w14:textFill>
                    </w:rPr>
                    <w:t>3</w:t>
                  </w:r>
                  <w:r>
                    <w:rPr>
                      <w:rFonts w:hint="eastAsia"/>
                      <w:color w:val="000000" w:themeColor="text1"/>
                      <w:highlight w:val="none"/>
                      <w:vertAlign w:val="baseline"/>
                      <w:lang w:val="en-US" w:eastAsia="zh-CN"/>
                      <w14:textFill>
                        <w14:solidFill>
                          <w14:schemeClr w14:val="tx1"/>
                        </w14:solidFill>
                      </w14:textFill>
                    </w:rPr>
                    <w:t>-N）</w:t>
                  </w:r>
                </w:p>
              </w:tc>
              <w:tc>
                <w:tcPr>
                  <w:tcW w:w="3257" w:type="dxa"/>
                  <w:noWrap w:val="0"/>
                  <w:vAlign w:val="top"/>
                </w:tcPr>
                <w:p w14:paraId="77E79C53">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300</w:t>
                  </w:r>
                </w:p>
              </w:tc>
              <w:tc>
                <w:tcPr>
                  <w:tcW w:w="2426" w:type="dxa"/>
                  <w:noWrap w:val="0"/>
                  <w:vAlign w:val="top"/>
                </w:tcPr>
                <w:p w14:paraId="1A9BE78E">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mg/L</w:t>
                  </w:r>
                </w:p>
              </w:tc>
            </w:tr>
            <w:tr w14:paraId="25FA7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2696" w:type="dxa"/>
                  <w:noWrap w:val="0"/>
                  <w:vAlign w:val="top"/>
                </w:tcPr>
                <w:p w14:paraId="09BCC3AE">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悬浮物（SS）</w:t>
                  </w:r>
                </w:p>
              </w:tc>
              <w:tc>
                <w:tcPr>
                  <w:tcW w:w="3257" w:type="dxa"/>
                  <w:noWrap w:val="0"/>
                  <w:vAlign w:val="top"/>
                </w:tcPr>
                <w:p w14:paraId="3B6FC8E0">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170</w:t>
                  </w:r>
                </w:p>
              </w:tc>
              <w:tc>
                <w:tcPr>
                  <w:tcW w:w="2426" w:type="dxa"/>
                  <w:noWrap w:val="0"/>
                  <w:vAlign w:val="top"/>
                </w:tcPr>
                <w:p w14:paraId="1A5E7EE1">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mg/L</w:t>
                  </w:r>
                </w:p>
              </w:tc>
            </w:tr>
            <w:tr w14:paraId="104FE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2696" w:type="dxa"/>
                  <w:noWrap w:val="0"/>
                  <w:vAlign w:val="top"/>
                </w:tcPr>
                <w:p w14:paraId="17D02F79">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BOD</w:t>
                  </w:r>
                  <w:r>
                    <w:rPr>
                      <w:rFonts w:hint="eastAsia"/>
                      <w:color w:val="000000" w:themeColor="text1"/>
                      <w:highlight w:val="none"/>
                      <w:vertAlign w:val="subscript"/>
                      <w:lang w:val="en-US" w:eastAsia="zh-CN"/>
                      <w14:textFill>
                        <w14:solidFill>
                          <w14:schemeClr w14:val="tx1"/>
                        </w14:solidFill>
                      </w14:textFill>
                    </w:rPr>
                    <w:t>5</w:t>
                  </w:r>
                </w:p>
              </w:tc>
              <w:tc>
                <w:tcPr>
                  <w:tcW w:w="3257" w:type="dxa"/>
                  <w:noWrap w:val="0"/>
                  <w:vAlign w:val="top"/>
                </w:tcPr>
                <w:p w14:paraId="06235625">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1200</w:t>
                  </w:r>
                </w:p>
              </w:tc>
              <w:tc>
                <w:tcPr>
                  <w:tcW w:w="2426" w:type="dxa"/>
                  <w:noWrap w:val="0"/>
                  <w:vAlign w:val="top"/>
                </w:tcPr>
                <w:p w14:paraId="45CEF2C5">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mg/L</w:t>
                  </w:r>
                </w:p>
              </w:tc>
            </w:tr>
            <w:tr w14:paraId="1F0A6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2696" w:type="dxa"/>
                  <w:noWrap w:val="0"/>
                  <w:vAlign w:val="top"/>
                </w:tcPr>
                <w:p w14:paraId="7788B80F">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PH</w:t>
                  </w:r>
                </w:p>
              </w:tc>
              <w:tc>
                <w:tcPr>
                  <w:tcW w:w="3257" w:type="dxa"/>
                  <w:noWrap w:val="0"/>
                  <w:vAlign w:val="top"/>
                </w:tcPr>
                <w:p w14:paraId="525D7C75">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6-9</w:t>
                  </w:r>
                </w:p>
              </w:tc>
              <w:tc>
                <w:tcPr>
                  <w:tcW w:w="2426" w:type="dxa"/>
                  <w:noWrap w:val="0"/>
                  <w:vAlign w:val="top"/>
                </w:tcPr>
                <w:p w14:paraId="03B1E1D9">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w:t>
                  </w:r>
                </w:p>
              </w:tc>
            </w:tr>
            <w:tr w14:paraId="2996D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2696" w:type="dxa"/>
                  <w:noWrap w:val="0"/>
                  <w:vAlign w:val="top"/>
                </w:tcPr>
                <w:p w14:paraId="1A7EECD8">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电导率</w:t>
                  </w:r>
                </w:p>
              </w:tc>
              <w:tc>
                <w:tcPr>
                  <w:tcW w:w="3257" w:type="dxa"/>
                  <w:noWrap w:val="0"/>
                  <w:vAlign w:val="top"/>
                </w:tcPr>
                <w:p w14:paraId="11F45F19">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5000</w:t>
                  </w:r>
                </w:p>
              </w:tc>
              <w:tc>
                <w:tcPr>
                  <w:tcW w:w="2426" w:type="dxa"/>
                  <w:noWrap w:val="0"/>
                  <w:vAlign w:val="top"/>
                </w:tcPr>
                <w:p w14:paraId="05FC9285">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mg/L</w:t>
                  </w:r>
                </w:p>
              </w:tc>
            </w:tr>
            <w:tr w14:paraId="1E12D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2696" w:type="dxa"/>
                  <w:noWrap w:val="0"/>
                  <w:vAlign w:val="top"/>
                </w:tcPr>
                <w:p w14:paraId="3FBC42A6">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石油类</w:t>
                  </w:r>
                </w:p>
              </w:tc>
              <w:tc>
                <w:tcPr>
                  <w:tcW w:w="3257" w:type="dxa"/>
                  <w:noWrap w:val="0"/>
                  <w:vAlign w:val="top"/>
                </w:tcPr>
                <w:p w14:paraId="157D3789">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10</w:t>
                  </w:r>
                </w:p>
              </w:tc>
              <w:tc>
                <w:tcPr>
                  <w:tcW w:w="2426" w:type="dxa"/>
                  <w:noWrap w:val="0"/>
                  <w:vAlign w:val="top"/>
                </w:tcPr>
                <w:p w14:paraId="1C58606D">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mg/L</w:t>
                  </w:r>
                </w:p>
              </w:tc>
            </w:tr>
            <w:tr w14:paraId="7034F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2696" w:type="dxa"/>
                  <w:noWrap w:val="0"/>
                  <w:vAlign w:val="top"/>
                </w:tcPr>
                <w:p w14:paraId="0C6F1EC0">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lang w:val="en-US" w:eastAsia="zh-CN"/>
                      <w14:textFill>
                        <w14:solidFill>
                          <w14:schemeClr w14:val="tx1"/>
                        </w14:solidFill>
                      </w14:textFill>
                    </w:rPr>
                    <w:t>SO</w:t>
                  </w:r>
                  <w:r>
                    <w:rPr>
                      <w:rFonts w:hint="eastAsia"/>
                      <w:color w:val="000000" w:themeColor="text1"/>
                      <w:highlight w:val="none"/>
                      <w:vertAlign w:val="subscript"/>
                      <w:lang w:val="en-US" w:eastAsia="zh-CN"/>
                      <w14:textFill>
                        <w14:solidFill>
                          <w14:schemeClr w14:val="tx1"/>
                        </w14:solidFill>
                      </w14:textFill>
                    </w:rPr>
                    <w:t>4</w:t>
                  </w:r>
                  <w:r>
                    <w:rPr>
                      <w:rFonts w:hint="eastAsia"/>
                      <w:color w:val="000000" w:themeColor="text1"/>
                      <w:highlight w:val="none"/>
                      <w:vertAlign w:val="superscript"/>
                      <w:lang w:val="en-US" w:eastAsia="zh-CN"/>
                      <w14:textFill>
                        <w14:solidFill>
                          <w14:schemeClr w14:val="tx1"/>
                        </w14:solidFill>
                      </w14:textFill>
                    </w:rPr>
                    <w:t>2-</w:t>
                  </w:r>
                </w:p>
              </w:tc>
              <w:tc>
                <w:tcPr>
                  <w:tcW w:w="3257" w:type="dxa"/>
                  <w:noWrap w:val="0"/>
                  <w:vAlign w:val="top"/>
                </w:tcPr>
                <w:p w14:paraId="1FEE3045">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1000</w:t>
                  </w:r>
                </w:p>
              </w:tc>
              <w:tc>
                <w:tcPr>
                  <w:tcW w:w="2426" w:type="dxa"/>
                  <w:noWrap w:val="0"/>
                  <w:vAlign w:val="top"/>
                </w:tcPr>
                <w:p w14:paraId="75D3628A">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mg/L</w:t>
                  </w:r>
                </w:p>
              </w:tc>
            </w:tr>
            <w:tr w14:paraId="7F914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2696" w:type="dxa"/>
                  <w:noWrap w:val="0"/>
                  <w:vAlign w:val="top"/>
                </w:tcPr>
                <w:p w14:paraId="5B014978">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挥发酚</w:t>
                  </w:r>
                </w:p>
              </w:tc>
              <w:tc>
                <w:tcPr>
                  <w:tcW w:w="3257" w:type="dxa"/>
                  <w:noWrap w:val="0"/>
                  <w:vAlign w:val="top"/>
                </w:tcPr>
                <w:p w14:paraId="3B3A367E">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20</w:t>
                  </w:r>
                </w:p>
              </w:tc>
              <w:tc>
                <w:tcPr>
                  <w:tcW w:w="2426" w:type="dxa"/>
                  <w:noWrap w:val="0"/>
                  <w:vAlign w:val="top"/>
                </w:tcPr>
                <w:p w14:paraId="41FFEF3A">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mg/L</w:t>
                  </w:r>
                </w:p>
              </w:tc>
            </w:tr>
            <w:tr w14:paraId="34EB9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2696" w:type="dxa"/>
                  <w:noWrap w:val="0"/>
                  <w:vAlign w:val="top"/>
                </w:tcPr>
                <w:p w14:paraId="28BB1744">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硫化物</w:t>
                  </w:r>
                </w:p>
              </w:tc>
              <w:tc>
                <w:tcPr>
                  <w:tcW w:w="3257" w:type="dxa"/>
                  <w:noWrap w:val="0"/>
                  <w:vAlign w:val="top"/>
                </w:tcPr>
                <w:p w14:paraId="06E31E09">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2</w:t>
                  </w:r>
                </w:p>
              </w:tc>
              <w:tc>
                <w:tcPr>
                  <w:tcW w:w="2426" w:type="dxa"/>
                  <w:noWrap w:val="0"/>
                  <w:vAlign w:val="top"/>
                </w:tcPr>
                <w:p w14:paraId="3CB9A41C">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mg/L</w:t>
                  </w:r>
                </w:p>
              </w:tc>
            </w:tr>
            <w:tr w14:paraId="37041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2696" w:type="dxa"/>
                  <w:noWrap w:val="0"/>
                  <w:vAlign w:val="top"/>
                </w:tcPr>
                <w:p w14:paraId="2962AD10">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硝基苯</w:t>
                  </w:r>
                </w:p>
              </w:tc>
              <w:tc>
                <w:tcPr>
                  <w:tcW w:w="3257" w:type="dxa"/>
                  <w:noWrap w:val="0"/>
                  <w:vAlign w:val="top"/>
                </w:tcPr>
                <w:p w14:paraId="4F7B437D">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5</w:t>
                  </w:r>
                </w:p>
              </w:tc>
              <w:tc>
                <w:tcPr>
                  <w:tcW w:w="2426" w:type="dxa"/>
                  <w:noWrap w:val="0"/>
                  <w:vAlign w:val="top"/>
                </w:tcPr>
                <w:p w14:paraId="65CBC98B">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mg/L</w:t>
                  </w:r>
                </w:p>
              </w:tc>
            </w:tr>
            <w:tr w14:paraId="74C64A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2696" w:type="dxa"/>
                  <w:noWrap w:val="0"/>
                  <w:vAlign w:val="top"/>
                </w:tcPr>
                <w:p w14:paraId="61B16CB8">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氰化物</w:t>
                  </w:r>
                </w:p>
              </w:tc>
              <w:tc>
                <w:tcPr>
                  <w:tcW w:w="3257" w:type="dxa"/>
                  <w:noWrap w:val="0"/>
                  <w:vAlign w:val="top"/>
                </w:tcPr>
                <w:p w14:paraId="2CFF9B73">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1</w:t>
                  </w:r>
                </w:p>
              </w:tc>
              <w:tc>
                <w:tcPr>
                  <w:tcW w:w="2426" w:type="dxa"/>
                  <w:noWrap w:val="0"/>
                  <w:vAlign w:val="top"/>
                </w:tcPr>
                <w:p w14:paraId="704A596A">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mg/L</w:t>
                  </w:r>
                </w:p>
              </w:tc>
            </w:tr>
            <w:tr w14:paraId="6940A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2696" w:type="dxa"/>
                  <w:noWrap w:val="0"/>
                  <w:vAlign w:val="top"/>
                </w:tcPr>
                <w:p w14:paraId="3EBCD718">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总磷</w:t>
                  </w:r>
                </w:p>
              </w:tc>
              <w:tc>
                <w:tcPr>
                  <w:tcW w:w="3257" w:type="dxa"/>
                  <w:noWrap w:val="0"/>
                  <w:vAlign w:val="top"/>
                </w:tcPr>
                <w:p w14:paraId="74C7D3AF">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10</w:t>
                  </w:r>
                </w:p>
              </w:tc>
              <w:tc>
                <w:tcPr>
                  <w:tcW w:w="2426" w:type="dxa"/>
                  <w:noWrap w:val="0"/>
                  <w:vAlign w:val="top"/>
                </w:tcPr>
                <w:p w14:paraId="7171F334">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mg/L</w:t>
                  </w:r>
                </w:p>
              </w:tc>
            </w:tr>
            <w:tr w14:paraId="2BAC68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2696" w:type="dxa"/>
                  <w:noWrap w:val="0"/>
                  <w:vAlign w:val="top"/>
                </w:tcPr>
                <w:p w14:paraId="4AC0453E">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总硬度</w:t>
                  </w:r>
                </w:p>
              </w:tc>
              <w:tc>
                <w:tcPr>
                  <w:tcW w:w="3257" w:type="dxa"/>
                  <w:noWrap w:val="0"/>
                  <w:vAlign w:val="top"/>
                </w:tcPr>
                <w:p w14:paraId="40BA86B9">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495</w:t>
                  </w:r>
                </w:p>
              </w:tc>
              <w:tc>
                <w:tcPr>
                  <w:tcW w:w="2426" w:type="dxa"/>
                  <w:noWrap w:val="0"/>
                  <w:vAlign w:val="top"/>
                </w:tcPr>
                <w:p w14:paraId="675A4EED">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mg/L</w:t>
                  </w:r>
                </w:p>
              </w:tc>
            </w:tr>
            <w:tr w14:paraId="22BB16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2696" w:type="dxa"/>
                  <w:noWrap w:val="0"/>
                  <w:vAlign w:val="top"/>
                </w:tcPr>
                <w:p w14:paraId="34E67720">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总硅</w:t>
                  </w:r>
                </w:p>
              </w:tc>
              <w:tc>
                <w:tcPr>
                  <w:tcW w:w="3257" w:type="dxa"/>
                  <w:noWrap w:val="0"/>
                  <w:vAlign w:val="top"/>
                </w:tcPr>
                <w:p w14:paraId="7331A6CD">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&lt;36</w:t>
                  </w:r>
                </w:p>
              </w:tc>
              <w:tc>
                <w:tcPr>
                  <w:tcW w:w="2426" w:type="dxa"/>
                  <w:noWrap w:val="0"/>
                  <w:vAlign w:val="top"/>
                </w:tcPr>
                <w:p w14:paraId="542A232B">
                  <w:pPr>
                    <w:jc w:val="center"/>
                    <w:rPr>
                      <w:rFonts w:hint="default" w:ascii="Times New Roman" w:hAnsi="Times New Roman" w:eastAsia="宋体" w:cs="Times New Roman"/>
                      <w:b w:val="0"/>
                      <w:bCs w:val="0"/>
                      <w:color w:val="000000" w:themeColor="text1"/>
                      <w:szCs w:val="21"/>
                      <w:highlight w:val="none"/>
                      <w14:textFill>
                        <w14:solidFill>
                          <w14:schemeClr w14:val="tx1"/>
                        </w14:solidFill>
                      </w14:textFill>
                    </w:rPr>
                  </w:pPr>
                  <w:r>
                    <w:rPr>
                      <w:rFonts w:hint="eastAsia"/>
                      <w:color w:val="000000" w:themeColor="text1"/>
                      <w:highlight w:val="none"/>
                      <w:vertAlign w:val="baseline"/>
                      <w:lang w:val="en-US" w:eastAsia="zh-CN"/>
                      <w14:textFill>
                        <w14:solidFill>
                          <w14:schemeClr w14:val="tx1"/>
                        </w14:solidFill>
                      </w14:textFill>
                    </w:rPr>
                    <w:t>mg/L</w:t>
                  </w:r>
                </w:p>
              </w:tc>
            </w:tr>
          </w:tbl>
          <w:p w14:paraId="11F493C9">
            <w:pPr>
              <w:widowControl/>
              <w:tabs>
                <w:tab w:val="left" w:pos="-108"/>
                <w:tab w:val="left" w:pos="627"/>
                <w:tab w:val="left" w:pos="942"/>
              </w:tabs>
              <w:spacing w:before="120" w:beforeLines="50"/>
              <w:ind w:firstLine="482" w:firstLineChars="200"/>
              <w:jc w:val="left"/>
              <w:outlineLvl w:val="1"/>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lang w:eastAsia="zh-CN"/>
                <w14:textFill>
                  <w14:solidFill>
                    <w14:schemeClr w14:val="tx1"/>
                  </w14:solidFill>
                </w14:textFill>
              </w:rPr>
              <w:t>3.</w:t>
            </w:r>
            <w:r>
              <w:rPr>
                <w:rFonts w:hint="default" w:ascii="Times New Roman" w:hAnsi="Times New Roman" w:eastAsia="宋体" w:cs="Times New Roman"/>
                <w:b/>
                <w:bCs/>
                <w:color w:val="000000" w:themeColor="text1"/>
                <w:sz w:val="24"/>
                <w:highlight w:val="none"/>
                <w14:textFill>
                  <w14:solidFill>
                    <w14:schemeClr w14:val="tx1"/>
                  </w14:solidFill>
                </w14:textFill>
              </w:rPr>
              <w:t>噪声排放标准</w:t>
            </w:r>
          </w:p>
          <w:p w14:paraId="390ECBF1">
            <w:pPr>
              <w:widowControl/>
              <w:tabs>
                <w:tab w:val="left" w:pos="-108"/>
                <w:tab w:val="left" w:pos="627"/>
                <w:tab w:val="left" w:pos="942"/>
              </w:tabs>
              <w:spacing w:before="120" w:beforeLines="50" w:line="360" w:lineRule="auto"/>
              <w:ind w:firstLine="480" w:firstLineChars="200"/>
              <w:outlineLvl w:val="1"/>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施工期噪声执行《建筑施工噪声排放标准》（GB12523-20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25</w:t>
            </w: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中表1建筑施工场界噪声排放限值</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运营期噪声执行《工业企业厂界环境噪声排放标准》（GB12348-2008）</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中的</w:t>
            </w:r>
            <w:r>
              <w:rPr>
                <w:rFonts w:hint="default" w:ascii="Times New Roman" w:hAnsi="Times New Roman" w:eastAsia="宋体" w:cs="Times New Roman"/>
                <w:color w:val="000000" w:themeColor="text1"/>
                <w:sz w:val="24"/>
                <w:highlight w:val="none"/>
                <w14:textFill>
                  <w14:solidFill>
                    <w14:schemeClr w14:val="tx1"/>
                  </w14:solidFill>
                </w14:textFill>
              </w:rPr>
              <w:t>3类</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昼、夜间</w:t>
            </w:r>
            <w:r>
              <w:rPr>
                <w:rFonts w:hint="default" w:ascii="Times New Roman" w:hAnsi="Times New Roman" w:eastAsia="宋体" w:cs="Times New Roman"/>
                <w:color w:val="000000" w:themeColor="text1"/>
                <w:sz w:val="24"/>
                <w:highlight w:val="none"/>
                <w14:textFill>
                  <w14:solidFill>
                    <w14:schemeClr w14:val="tx1"/>
                  </w14:solidFill>
                </w14:textFill>
              </w:rPr>
              <w:t>标准。</w:t>
            </w:r>
          </w:p>
          <w:p w14:paraId="0687C6EC">
            <w:pPr>
              <w:pStyle w:val="105"/>
              <w:autoSpaceDE w:val="0"/>
              <w:spacing w:line="240" w:lineRule="auto"/>
              <w:ind w:firstLine="420"/>
              <w:jc w:val="center"/>
              <w:rPr>
                <w:rFonts w:hint="eastAsia" w:ascii="Times New Roman" w:hAnsi="Times New Roman" w:eastAsia="宋体" w:cs="Times New Roman"/>
                <w:b/>
                <w:bCs/>
                <w:color w:val="000000" w:themeColor="text1"/>
                <w:kern w:val="2"/>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14:textFill>
                  <w14:solidFill>
                    <w14:schemeClr w14:val="tx1"/>
                  </w14:solidFill>
                </w14:textFill>
              </w:rPr>
              <w:t>表</w:t>
            </w:r>
            <w:r>
              <w:rPr>
                <w:rFonts w:hint="default" w:ascii="Times New Roman" w:hAnsi="Times New Roman" w:eastAsia="宋体" w:cs="Times New Roman"/>
                <w:b/>
                <w:bCs/>
                <w:color w:val="000000" w:themeColor="text1"/>
                <w:kern w:val="2"/>
                <w:sz w:val="24"/>
                <w:szCs w:val="24"/>
                <w:highlight w:val="none"/>
                <w:lang w:val="en-US" w:eastAsia="zh-CN"/>
                <w14:textFill>
                  <w14:solidFill>
                    <w14:schemeClr w14:val="tx1"/>
                  </w14:solidFill>
                </w14:textFill>
              </w:rPr>
              <w:t>3-</w:t>
            </w:r>
            <w:r>
              <w:rPr>
                <w:rFonts w:hint="eastAsia" w:hAnsi="Times New Roman" w:cs="Times New Roman"/>
                <w:b/>
                <w:bCs/>
                <w:color w:val="000000" w:themeColor="text1"/>
                <w:kern w:val="2"/>
                <w:sz w:val="24"/>
                <w:szCs w:val="24"/>
                <w:highlight w:val="none"/>
                <w:lang w:val="en-US" w:eastAsia="zh-CN"/>
                <w14:textFill>
                  <w14:solidFill>
                    <w14:schemeClr w14:val="tx1"/>
                  </w14:solidFill>
                </w14:textFill>
              </w:rPr>
              <w:t>14</w:t>
            </w:r>
            <w:r>
              <w:rPr>
                <w:rFonts w:hint="default" w:ascii="Times New Roman" w:hAnsi="Times New Roman" w:eastAsia="宋体" w:cs="Times New Roman"/>
                <w:b/>
                <w:bCs/>
                <w:color w:val="000000" w:themeColor="text1"/>
                <w:kern w:val="2"/>
                <w:sz w:val="24"/>
                <w:szCs w:val="24"/>
                <w:highlight w:val="none"/>
                <w14:textFill>
                  <w14:solidFill>
                    <w14:schemeClr w14:val="tx1"/>
                  </w14:solidFill>
                </w14:textFill>
              </w:rPr>
              <w:t>噪声排放标准</w:t>
            </w:r>
            <w:r>
              <w:rPr>
                <w:rFonts w:hint="eastAsia" w:hAnsi="Times New Roman" w:cs="Times New Roman"/>
                <w:b/>
                <w:bCs/>
                <w:color w:val="000000" w:themeColor="text1"/>
                <w:kern w:val="2"/>
                <w:sz w:val="24"/>
                <w:szCs w:val="24"/>
                <w:highlight w:val="none"/>
                <w:lang w:val="en-US" w:eastAsia="zh-CN"/>
                <w14:textFill>
                  <w14:solidFill>
                    <w14:schemeClr w14:val="tx1"/>
                  </w14:solidFill>
                </w14:textFill>
              </w:rPr>
              <w:t>单位：</w:t>
            </w:r>
            <w:r>
              <w:rPr>
                <w:rFonts w:hint="default" w:ascii="Times New Roman" w:hAnsi="Times New Roman" w:eastAsia="宋体" w:cs="Times New Roman"/>
                <w:b w:val="0"/>
                <w:bCs w:val="0"/>
                <w:color w:val="000000" w:themeColor="text1"/>
                <w:highlight w:val="none"/>
                <w14:textFill>
                  <w14:solidFill>
                    <w14:schemeClr w14:val="tx1"/>
                  </w14:solidFill>
                </w14:textFill>
              </w:rPr>
              <w:t>dB</w:t>
            </w:r>
            <w:r>
              <w:rPr>
                <w:rFonts w:hint="eastAsia" w:ascii="Times New Roman" w:hAnsi="Times New Roman" w:cs="Times New Roman"/>
                <w:b w:val="0"/>
                <w:bCs w:val="0"/>
                <w:color w:val="000000" w:themeColor="text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highlight w:val="none"/>
                <w14:textFill>
                  <w14:solidFill>
                    <w14:schemeClr w14:val="tx1"/>
                  </w14:solidFill>
                </w14:textFill>
              </w:rPr>
              <w:t>A</w:t>
            </w:r>
            <w:r>
              <w:rPr>
                <w:rFonts w:hint="eastAsia" w:ascii="Times New Roman" w:hAnsi="Times New Roman" w:cs="Times New Roman"/>
                <w:b w:val="0"/>
                <w:bCs w:val="0"/>
                <w:color w:val="000000" w:themeColor="text1"/>
                <w:highlight w:val="none"/>
                <w:lang w:eastAsia="zh-CN"/>
                <w14:textFill>
                  <w14:solidFill>
                    <w14:schemeClr w14:val="tx1"/>
                  </w14:solidFill>
                </w14:textFill>
              </w:rPr>
              <w:t>)</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62"/>
              <w:gridCol w:w="787"/>
              <w:gridCol w:w="962"/>
              <w:gridCol w:w="1800"/>
              <w:gridCol w:w="1453"/>
            </w:tblGrid>
            <w:tr w14:paraId="08AA7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59" w:type="pct"/>
                  <w:noWrap w:val="0"/>
                  <w:vAlign w:val="center"/>
                </w:tcPr>
                <w:p w14:paraId="4E393CBC">
                  <w:pPr>
                    <w:pStyle w:val="14"/>
                    <w:jc w:val="center"/>
                    <w:rPr>
                      <w:rFonts w:hint="default" w:ascii="Times New Roman" w:hAnsi="Times New Roman" w:eastAsia="宋体" w:cs="Times New Roman"/>
                      <w:b w:val="0"/>
                      <w:bCs w:val="0"/>
                      <w:color w:val="000000" w:themeColor="text1"/>
                      <w:highlight w:val="none"/>
                      <w14:textFill>
                        <w14:solidFill>
                          <w14:schemeClr w14:val="tx1"/>
                        </w14:solidFill>
                      </w14:textFill>
                    </w:rPr>
                  </w:pPr>
                  <w:r>
                    <w:rPr>
                      <w:rFonts w:hint="default" w:ascii="Times New Roman" w:hAnsi="Times New Roman" w:eastAsia="宋体" w:cs="Times New Roman"/>
                      <w:b w:val="0"/>
                      <w:bCs w:val="0"/>
                      <w:color w:val="000000" w:themeColor="text1"/>
                      <w:highlight w:val="none"/>
                      <w14:textFill>
                        <w14:solidFill>
                          <w14:schemeClr w14:val="tx1"/>
                        </w14:solidFill>
                      </w14:textFill>
                    </w:rPr>
                    <w:t>标准名称</w:t>
                  </w:r>
                </w:p>
              </w:tc>
              <w:tc>
                <w:tcPr>
                  <w:tcW w:w="1098" w:type="pct"/>
                  <w:gridSpan w:val="2"/>
                  <w:noWrap w:val="0"/>
                  <w:vAlign w:val="center"/>
                </w:tcPr>
                <w:p w14:paraId="318F9D1F">
                  <w:pPr>
                    <w:pStyle w:val="14"/>
                    <w:jc w:val="center"/>
                    <w:rPr>
                      <w:rFonts w:hint="default" w:ascii="Times New Roman" w:hAnsi="Times New Roman" w:eastAsia="宋体" w:cs="Times New Roman"/>
                      <w:b w:val="0"/>
                      <w:bCs w:val="0"/>
                      <w:color w:val="000000" w:themeColor="text1"/>
                      <w:highlight w:val="none"/>
                      <w14:textFill>
                        <w14:solidFill>
                          <w14:schemeClr w14:val="tx1"/>
                        </w14:solidFill>
                      </w14:textFill>
                    </w:rPr>
                  </w:pPr>
                  <w:r>
                    <w:rPr>
                      <w:rFonts w:hint="default" w:ascii="Times New Roman" w:hAnsi="Times New Roman" w:eastAsia="宋体" w:cs="Times New Roman"/>
                      <w:b w:val="0"/>
                      <w:bCs w:val="0"/>
                      <w:color w:val="000000" w:themeColor="text1"/>
                      <w:highlight w:val="none"/>
                      <w14:textFill>
                        <w14:solidFill>
                          <w14:schemeClr w14:val="tx1"/>
                        </w14:solidFill>
                      </w14:textFill>
                    </w:rPr>
                    <w:t>噪声类别</w:t>
                  </w:r>
                </w:p>
              </w:tc>
              <w:tc>
                <w:tcPr>
                  <w:tcW w:w="1130" w:type="pct"/>
                  <w:noWrap w:val="0"/>
                  <w:vAlign w:val="center"/>
                </w:tcPr>
                <w:p w14:paraId="5D750D49">
                  <w:pPr>
                    <w:pStyle w:val="14"/>
                    <w:jc w:val="center"/>
                    <w:rPr>
                      <w:rFonts w:hint="default" w:ascii="Times New Roman" w:hAnsi="Times New Roman" w:eastAsia="宋体" w:cs="Times New Roman"/>
                      <w:b w:val="0"/>
                      <w:bCs w:val="0"/>
                      <w:color w:val="000000" w:themeColor="text1"/>
                      <w:highlight w:val="none"/>
                      <w14:textFill>
                        <w14:solidFill>
                          <w14:schemeClr w14:val="tx1"/>
                        </w14:solidFill>
                      </w14:textFill>
                    </w:rPr>
                  </w:pPr>
                  <w:r>
                    <w:rPr>
                      <w:rFonts w:hint="default" w:ascii="Times New Roman" w:hAnsi="Times New Roman" w:eastAsia="宋体" w:cs="Times New Roman"/>
                      <w:b w:val="0"/>
                      <w:bCs w:val="0"/>
                      <w:color w:val="000000" w:themeColor="text1"/>
                      <w:highlight w:val="none"/>
                      <w14:textFill>
                        <w14:solidFill>
                          <w14:schemeClr w14:val="tx1"/>
                        </w14:solidFill>
                      </w14:textFill>
                    </w:rPr>
                    <w:t>时间段</w:t>
                  </w:r>
                </w:p>
              </w:tc>
              <w:tc>
                <w:tcPr>
                  <w:tcW w:w="912" w:type="pct"/>
                  <w:noWrap w:val="0"/>
                  <w:vAlign w:val="center"/>
                </w:tcPr>
                <w:p w14:paraId="3A928EB6">
                  <w:pPr>
                    <w:pStyle w:val="14"/>
                    <w:jc w:val="center"/>
                    <w:rPr>
                      <w:rFonts w:hint="default" w:ascii="Times New Roman" w:hAnsi="Times New Roman" w:eastAsia="宋体" w:cs="Times New Roman"/>
                      <w:b w:val="0"/>
                      <w:bCs w:val="0"/>
                      <w:color w:val="000000" w:themeColor="text1"/>
                      <w:highlight w:val="none"/>
                      <w14:textFill>
                        <w14:solidFill>
                          <w14:schemeClr w14:val="tx1"/>
                        </w14:solidFill>
                      </w14:textFill>
                    </w:rPr>
                  </w:pPr>
                  <w:r>
                    <w:rPr>
                      <w:rFonts w:hint="default" w:ascii="Times New Roman" w:hAnsi="Times New Roman" w:eastAsia="宋体" w:cs="Times New Roman"/>
                      <w:b w:val="0"/>
                      <w:bCs w:val="0"/>
                      <w:color w:val="000000" w:themeColor="text1"/>
                      <w:highlight w:val="none"/>
                      <w14:textFill>
                        <w14:solidFill>
                          <w14:schemeClr w14:val="tx1"/>
                        </w14:solidFill>
                      </w14:textFill>
                    </w:rPr>
                    <w:t>标准值</w:t>
                  </w:r>
                </w:p>
              </w:tc>
            </w:tr>
            <w:tr w14:paraId="1B7D3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1859" w:type="pct"/>
                  <w:vMerge w:val="restart"/>
                  <w:noWrap w:val="0"/>
                  <w:vAlign w:val="center"/>
                </w:tcPr>
                <w:p w14:paraId="4E1819B6">
                  <w:pPr>
                    <w:pStyle w:val="14"/>
                    <w:jc w:val="center"/>
                    <w:rPr>
                      <w:rFonts w:hint="default" w:ascii="Times New Roman" w:hAnsi="Times New Roman" w:eastAsia="宋体" w:cs="Times New Roman"/>
                      <w:b w:val="0"/>
                      <w:bCs w:val="0"/>
                      <w:color w:val="000000" w:themeColor="text1"/>
                      <w:highlight w:val="none"/>
                      <w14:textFill>
                        <w14:solidFill>
                          <w14:schemeClr w14:val="tx1"/>
                        </w14:solidFill>
                      </w14:textFill>
                    </w:rPr>
                  </w:pPr>
                  <w:r>
                    <w:rPr>
                      <w:rFonts w:hint="default" w:ascii="Times New Roman" w:hAnsi="Times New Roman" w:eastAsia="宋体" w:cs="Times New Roman"/>
                      <w:b w:val="0"/>
                      <w:bCs w:val="0"/>
                      <w:color w:val="000000" w:themeColor="text1"/>
                      <w:highlight w:val="none"/>
                      <w14:textFill>
                        <w14:solidFill>
                          <w14:schemeClr w14:val="tx1"/>
                        </w14:solidFill>
                      </w14:textFill>
                    </w:rPr>
                    <w:t>《工业企业厂界环境噪声排放标准》（GB12348-2008）</w:t>
                  </w:r>
                </w:p>
              </w:tc>
              <w:tc>
                <w:tcPr>
                  <w:tcW w:w="494" w:type="pct"/>
                  <w:vMerge w:val="restart"/>
                  <w:noWrap w:val="0"/>
                  <w:vAlign w:val="center"/>
                </w:tcPr>
                <w:p w14:paraId="39611D26">
                  <w:pPr>
                    <w:pStyle w:val="14"/>
                    <w:jc w:val="center"/>
                    <w:rPr>
                      <w:rFonts w:hint="default" w:ascii="Times New Roman" w:hAnsi="Times New Roman" w:eastAsia="宋体" w:cs="Times New Roman"/>
                      <w:b w:val="0"/>
                      <w:bCs w:val="0"/>
                      <w:color w:val="000000" w:themeColor="text1"/>
                      <w:highlight w:val="none"/>
                      <w14:textFill>
                        <w14:solidFill>
                          <w14:schemeClr w14:val="tx1"/>
                        </w14:solidFill>
                      </w14:textFill>
                    </w:rPr>
                  </w:pPr>
                  <w:r>
                    <w:rPr>
                      <w:rFonts w:hint="default" w:ascii="Times New Roman" w:hAnsi="Times New Roman" w:eastAsia="宋体" w:cs="Times New Roman"/>
                      <w:b w:val="0"/>
                      <w:bCs w:val="0"/>
                      <w:color w:val="000000" w:themeColor="text1"/>
                      <w:highlight w:val="none"/>
                      <w14:textFill>
                        <w14:solidFill>
                          <w14:schemeClr w14:val="tx1"/>
                        </w14:solidFill>
                      </w14:textFill>
                    </w:rPr>
                    <w:t>运营</w:t>
                  </w:r>
                </w:p>
              </w:tc>
              <w:tc>
                <w:tcPr>
                  <w:tcW w:w="603" w:type="pct"/>
                  <w:vMerge w:val="restart"/>
                  <w:noWrap w:val="0"/>
                  <w:vAlign w:val="center"/>
                </w:tcPr>
                <w:p w14:paraId="7EC135D7">
                  <w:pPr>
                    <w:pStyle w:val="14"/>
                    <w:jc w:val="center"/>
                    <w:rPr>
                      <w:rFonts w:hint="default" w:ascii="Times New Roman" w:hAnsi="Times New Roman" w:eastAsia="宋体" w:cs="Times New Roman"/>
                      <w:b w:val="0"/>
                      <w:bCs w:val="0"/>
                      <w:color w:val="000000" w:themeColor="text1"/>
                      <w:highlight w:val="none"/>
                      <w14:textFill>
                        <w14:solidFill>
                          <w14:schemeClr w14:val="tx1"/>
                        </w14:solidFill>
                      </w14:textFill>
                    </w:rPr>
                  </w:pPr>
                  <w:r>
                    <w:rPr>
                      <w:rFonts w:hint="default" w:ascii="Times New Roman" w:hAnsi="Times New Roman" w:eastAsia="宋体" w:cs="Times New Roman"/>
                      <w:b w:val="0"/>
                      <w:bCs w:val="0"/>
                      <w:color w:val="000000" w:themeColor="text1"/>
                      <w:highlight w:val="none"/>
                      <w14:textFill>
                        <w14:solidFill>
                          <w14:schemeClr w14:val="tx1"/>
                        </w14:solidFill>
                      </w14:textFill>
                    </w:rPr>
                    <w:t>3类</w:t>
                  </w:r>
                </w:p>
              </w:tc>
              <w:tc>
                <w:tcPr>
                  <w:tcW w:w="1130" w:type="pct"/>
                  <w:noWrap w:val="0"/>
                  <w:vAlign w:val="center"/>
                </w:tcPr>
                <w:p w14:paraId="39DE54D2">
                  <w:pPr>
                    <w:pStyle w:val="14"/>
                    <w:jc w:val="center"/>
                    <w:rPr>
                      <w:rFonts w:hint="default" w:ascii="Times New Roman" w:hAnsi="Times New Roman" w:eastAsia="宋体" w:cs="Times New Roman"/>
                      <w:b w:val="0"/>
                      <w:bCs w:val="0"/>
                      <w:color w:val="000000" w:themeColor="text1"/>
                      <w:highlight w:val="none"/>
                      <w14:textFill>
                        <w14:solidFill>
                          <w14:schemeClr w14:val="tx1"/>
                        </w14:solidFill>
                      </w14:textFill>
                    </w:rPr>
                  </w:pPr>
                  <w:r>
                    <w:rPr>
                      <w:rFonts w:hint="default" w:ascii="Times New Roman" w:hAnsi="Times New Roman" w:eastAsia="宋体" w:cs="Times New Roman"/>
                      <w:b w:val="0"/>
                      <w:bCs w:val="0"/>
                      <w:color w:val="000000" w:themeColor="text1"/>
                      <w:highlight w:val="none"/>
                      <w14:textFill>
                        <w14:solidFill>
                          <w14:schemeClr w14:val="tx1"/>
                        </w14:solidFill>
                      </w14:textFill>
                    </w:rPr>
                    <w:t>昼间</w:t>
                  </w:r>
                </w:p>
              </w:tc>
              <w:tc>
                <w:tcPr>
                  <w:tcW w:w="912" w:type="pct"/>
                  <w:noWrap w:val="0"/>
                  <w:vAlign w:val="center"/>
                </w:tcPr>
                <w:p w14:paraId="4ECFB5E2">
                  <w:pPr>
                    <w:pStyle w:val="14"/>
                    <w:jc w:val="center"/>
                    <w:rPr>
                      <w:rFonts w:hint="default" w:ascii="Times New Roman" w:hAnsi="Times New Roman" w:eastAsia="宋体" w:cs="Times New Roman"/>
                      <w:b w:val="0"/>
                      <w:bCs w:val="0"/>
                      <w:color w:val="000000" w:themeColor="text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highlight w:val="none"/>
                      <w14:textFill>
                        <w14:solidFill>
                          <w14:schemeClr w14:val="tx1"/>
                        </w14:solidFill>
                      </w14:textFill>
                    </w:rPr>
                    <w:t>65</w:t>
                  </w:r>
                </w:p>
              </w:tc>
            </w:tr>
            <w:tr w14:paraId="5445C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1859" w:type="pct"/>
                  <w:vMerge w:val="continue"/>
                  <w:noWrap w:val="0"/>
                  <w:vAlign w:val="center"/>
                </w:tcPr>
                <w:p w14:paraId="3A8DA403">
                  <w:pPr>
                    <w:pStyle w:val="14"/>
                    <w:jc w:val="center"/>
                    <w:rPr>
                      <w:rFonts w:hint="default" w:ascii="Times New Roman" w:hAnsi="Times New Roman" w:eastAsia="宋体" w:cs="Times New Roman"/>
                      <w:b w:val="0"/>
                      <w:bCs w:val="0"/>
                      <w:color w:val="000000" w:themeColor="text1"/>
                      <w:highlight w:val="none"/>
                      <w14:textFill>
                        <w14:solidFill>
                          <w14:schemeClr w14:val="tx1"/>
                        </w14:solidFill>
                      </w14:textFill>
                    </w:rPr>
                  </w:pPr>
                </w:p>
              </w:tc>
              <w:tc>
                <w:tcPr>
                  <w:tcW w:w="494" w:type="pct"/>
                  <w:vMerge w:val="continue"/>
                  <w:noWrap w:val="0"/>
                  <w:vAlign w:val="center"/>
                </w:tcPr>
                <w:p w14:paraId="59F41114">
                  <w:pPr>
                    <w:pStyle w:val="14"/>
                    <w:jc w:val="center"/>
                    <w:rPr>
                      <w:rFonts w:hint="default" w:ascii="Times New Roman" w:hAnsi="Times New Roman" w:eastAsia="宋体" w:cs="Times New Roman"/>
                      <w:b w:val="0"/>
                      <w:bCs w:val="0"/>
                      <w:color w:val="000000" w:themeColor="text1"/>
                      <w:highlight w:val="none"/>
                      <w14:textFill>
                        <w14:solidFill>
                          <w14:schemeClr w14:val="tx1"/>
                        </w14:solidFill>
                      </w14:textFill>
                    </w:rPr>
                  </w:pPr>
                </w:p>
              </w:tc>
              <w:tc>
                <w:tcPr>
                  <w:tcW w:w="603" w:type="pct"/>
                  <w:vMerge w:val="continue"/>
                  <w:noWrap w:val="0"/>
                  <w:vAlign w:val="center"/>
                </w:tcPr>
                <w:p w14:paraId="6EB6B97B">
                  <w:pPr>
                    <w:pStyle w:val="14"/>
                    <w:jc w:val="center"/>
                    <w:rPr>
                      <w:rFonts w:hint="default" w:ascii="Times New Roman" w:hAnsi="Times New Roman" w:eastAsia="宋体" w:cs="Times New Roman"/>
                      <w:b w:val="0"/>
                      <w:bCs w:val="0"/>
                      <w:color w:val="000000" w:themeColor="text1"/>
                      <w:highlight w:val="none"/>
                      <w14:textFill>
                        <w14:solidFill>
                          <w14:schemeClr w14:val="tx1"/>
                        </w14:solidFill>
                      </w14:textFill>
                    </w:rPr>
                  </w:pPr>
                </w:p>
              </w:tc>
              <w:tc>
                <w:tcPr>
                  <w:tcW w:w="1130" w:type="pct"/>
                  <w:noWrap w:val="0"/>
                  <w:vAlign w:val="center"/>
                </w:tcPr>
                <w:p w14:paraId="6625C7D5">
                  <w:pPr>
                    <w:pStyle w:val="14"/>
                    <w:jc w:val="center"/>
                    <w:rPr>
                      <w:rFonts w:hint="default" w:ascii="Times New Roman" w:hAnsi="Times New Roman" w:eastAsia="宋体" w:cs="Times New Roman"/>
                      <w:b w:val="0"/>
                      <w:bCs w:val="0"/>
                      <w:color w:val="000000" w:themeColor="text1"/>
                      <w:highlight w:val="none"/>
                      <w14:textFill>
                        <w14:solidFill>
                          <w14:schemeClr w14:val="tx1"/>
                        </w14:solidFill>
                      </w14:textFill>
                    </w:rPr>
                  </w:pPr>
                  <w:r>
                    <w:rPr>
                      <w:rFonts w:hint="default" w:ascii="Times New Roman" w:hAnsi="Times New Roman" w:eastAsia="宋体" w:cs="Times New Roman"/>
                      <w:b w:val="0"/>
                      <w:bCs w:val="0"/>
                      <w:color w:val="000000" w:themeColor="text1"/>
                      <w:highlight w:val="none"/>
                      <w14:textFill>
                        <w14:solidFill>
                          <w14:schemeClr w14:val="tx1"/>
                        </w14:solidFill>
                      </w14:textFill>
                    </w:rPr>
                    <w:t>夜间</w:t>
                  </w:r>
                </w:p>
              </w:tc>
              <w:tc>
                <w:tcPr>
                  <w:tcW w:w="912" w:type="pct"/>
                  <w:noWrap w:val="0"/>
                  <w:vAlign w:val="center"/>
                </w:tcPr>
                <w:p w14:paraId="45D99DF9">
                  <w:pPr>
                    <w:pStyle w:val="14"/>
                    <w:jc w:val="center"/>
                    <w:rPr>
                      <w:rFonts w:hint="default" w:ascii="Times New Roman" w:hAnsi="Times New Roman" w:eastAsia="宋体" w:cs="Times New Roman"/>
                      <w:b w:val="0"/>
                      <w:bCs w:val="0"/>
                      <w:color w:val="000000" w:themeColor="text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highlight w:val="none"/>
                      <w14:textFill>
                        <w14:solidFill>
                          <w14:schemeClr w14:val="tx1"/>
                        </w14:solidFill>
                      </w14:textFill>
                    </w:rPr>
                    <w:t>55</w:t>
                  </w:r>
                </w:p>
              </w:tc>
            </w:tr>
            <w:tr w14:paraId="37289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859" w:type="pct"/>
                  <w:vMerge w:val="restart"/>
                  <w:noWrap w:val="0"/>
                  <w:vAlign w:val="center"/>
                </w:tcPr>
                <w:p w14:paraId="443FABDF">
                  <w:pPr>
                    <w:pStyle w:val="14"/>
                    <w:jc w:val="center"/>
                    <w:rPr>
                      <w:rFonts w:hint="default" w:ascii="Times New Roman" w:hAnsi="Times New Roman" w:eastAsia="宋体" w:cs="Times New Roman"/>
                      <w:b w:val="0"/>
                      <w:bCs w:val="0"/>
                      <w:color w:val="000000" w:themeColor="text1"/>
                      <w:highlight w:val="none"/>
                      <w14:textFill>
                        <w14:solidFill>
                          <w14:schemeClr w14:val="tx1"/>
                        </w14:solidFill>
                      </w14:textFill>
                    </w:rPr>
                  </w:pPr>
                  <w:r>
                    <w:rPr>
                      <w:rFonts w:hint="default" w:ascii="Times New Roman" w:hAnsi="Times New Roman" w:eastAsia="宋体" w:cs="Times New Roman"/>
                      <w:b w:val="0"/>
                      <w:bCs w:val="0"/>
                      <w:color w:val="000000" w:themeColor="text1"/>
                      <w:highlight w:val="none"/>
                      <w14:textFill>
                        <w14:solidFill>
                          <w14:schemeClr w14:val="tx1"/>
                        </w14:solidFill>
                      </w14:textFill>
                    </w:rPr>
                    <w:t>《建筑施工噪声排放标准》（GB12523-20</w:t>
                  </w:r>
                  <w:r>
                    <w:rPr>
                      <w:rFonts w:hint="default" w:ascii="Times New Roman" w:hAnsi="Times New Roman" w:eastAsia="宋体" w:cs="Times New Roman"/>
                      <w:b w:val="0"/>
                      <w:bCs w:val="0"/>
                      <w:color w:val="000000" w:themeColor="text1"/>
                      <w:highlight w:val="none"/>
                      <w:lang w:val="en-US" w:eastAsia="zh-CN"/>
                      <w14:textFill>
                        <w14:solidFill>
                          <w14:schemeClr w14:val="tx1"/>
                        </w14:solidFill>
                      </w14:textFill>
                    </w:rPr>
                    <w:t>25</w:t>
                  </w:r>
                  <w:r>
                    <w:rPr>
                      <w:rFonts w:hint="default" w:ascii="Times New Roman" w:hAnsi="Times New Roman" w:eastAsia="宋体" w:cs="Times New Roman"/>
                      <w:b w:val="0"/>
                      <w:bCs w:val="0"/>
                      <w:color w:val="000000" w:themeColor="text1"/>
                      <w:highlight w:val="none"/>
                      <w14:textFill>
                        <w14:solidFill>
                          <w14:schemeClr w14:val="tx1"/>
                        </w14:solidFill>
                      </w14:textFill>
                    </w:rPr>
                    <w:t>）</w:t>
                  </w:r>
                </w:p>
              </w:tc>
              <w:tc>
                <w:tcPr>
                  <w:tcW w:w="1098" w:type="pct"/>
                  <w:gridSpan w:val="2"/>
                  <w:vMerge w:val="restart"/>
                  <w:noWrap w:val="0"/>
                  <w:vAlign w:val="center"/>
                </w:tcPr>
                <w:p w14:paraId="68EEF072">
                  <w:pPr>
                    <w:pStyle w:val="14"/>
                    <w:jc w:val="center"/>
                    <w:rPr>
                      <w:rFonts w:hint="default" w:ascii="Times New Roman" w:hAnsi="Times New Roman" w:eastAsia="宋体" w:cs="Times New Roman"/>
                      <w:b w:val="0"/>
                      <w:bCs w:val="0"/>
                      <w:color w:val="000000" w:themeColor="text1"/>
                      <w:highlight w:val="none"/>
                      <w14:textFill>
                        <w14:solidFill>
                          <w14:schemeClr w14:val="tx1"/>
                        </w14:solidFill>
                      </w14:textFill>
                    </w:rPr>
                  </w:pPr>
                  <w:r>
                    <w:rPr>
                      <w:rFonts w:hint="default" w:ascii="Times New Roman" w:hAnsi="Times New Roman" w:eastAsia="宋体" w:cs="Times New Roman"/>
                      <w:b w:val="0"/>
                      <w:bCs w:val="0"/>
                      <w:color w:val="000000" w:themeColor="text1"/>
                      <w:highlight w:val="none"/>
                      <w14:textFill>
                        <w14:solidFill>
                          <w14:schemeClr w14:val="tx1"/>
                        </w14:solidFill>
                      </w14:textFill>
                    </w:rPr>
                    <w:t>施工期</w:t>
                  </w:r>
                </w:p>
              </w:tc>
              <w:tc>
                <w:tcPr>
                  <w:tcW w:w="1130" w:type="pct"/>
                  <w:noWrap w:val="0"/>
                  <w:vAlign w:val="center"/>
                </w:tcPr>
                <w:p w14:paraId="0991F884">
                  <w:pPr>
                    <w:pStyle w:val="14"/>
                    <w:jc w:val="center"/>
                    <w:rPr>
                      <w:rFonts w:hint="default" w:ascii="Times New Roman" w:hAnsi="Times New Roman" w:eastAsia="宋体" w:cs="Times New Roman"/>
                      <w:b w:val="0"/>
                      <w:bCs w:val="0"/>
                      <w:color w:val="000000" w:themeColor="text1"/>
                      <w:highlight w:val="none"/>
                      <w14:textFill>
                        <w14:solidFill>
                          <w14:schemeClr w14:val="tx1"/>
                        </w14:solidFill>
                      </w14:textFill>
                    </w:rPr>
                  </w:pPr>
                  <w:r>
                    <w:rPr>
                      <w:rFonts w:hint="default" w:ascii="Times New Roman" w:hAnsi="Times New Roman" w:eastAsia="宋体" w:cs="Times New Roman"/>
                      <w:b w:val="0"/>
                      <w:bCs w:val="0"/>
                      <w:color w:val="000000" w:themeColor="text1"/>
                      <w:highlight w:val="none"/>
                      <w14:textFill>
                        <w14:solidFill>
                          <w14:schemeClr w14:val="tx1"/>
                        </w14:solidFill>
                      </w14:textFill>
                    </w:rPr>
                    <w:t>昼间</w:t>
                  </w:r>
                </w:p>
              </w:tc>
              <w:tc>
                <w:tcPr>
                  <w:tcW w:w="912" w:type="pct"/>
                  <w:noWrap w:val="0"/>
                  <w:vAlign w:val="center"/>
                </w:tcPr>
                <w:p w14:paraId="7CF0885F">
                  <w:pPr>
                    <w:pStyle w:val="14"/>
                    <w:jc w:val="center"/>
                    <w:rPr>
                      <w:rFonts w:hint="default" w:ascii="Times New Roman" w:hAnsi="Times New Roman" w:eastAsia="宋体" w:cs="Times New Roman"/>
                      <w:b w:val="0"/>
                      <w:bCs w:val="0"/>
                      <w:color w:val="000000" w:themeColor="text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highlight w:val="none"/>
                      <w14:textFill>
                        <w14:solidFill>
                          <w14:schemeClr w14:val="tx1"/>
                        </w14:solidFill>
                      </w14:textFill>
                    </w:rPr>
                    <w:t>70</w:t>
                  </w:r>
                </w:p>
              </w:tc>
            </w:tr>
            <w:tr w14:paraId="0FD36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859" w:type="pct"/>
                  <w:vMerge w:val="continue"/>
                  <w:noWrap w:val="0"/>
                  <w:vAlign w:val="center"/>
                </w:tcPr>
                <w:p w14:paraId="7B87884D">
                  <w:pPr>
                    <w:pStyle w:val="14"/>
                    <w:jc w:val="center"/>
                    <w:rPr>
                      <w:rFonts w:hint="default" w:ascii="Times New Roman" w:hAnsi="Times New Roman" w:eastAsia="宋体" w:cs="Times New Roman"/>
                      <w:b w:val="0"/>
                      <w:bCs w:val="0"/>
                      <w:color w:val="000000" w:themeColor="text1"/>
                      <w:highlight w:val="none"/>
                      <w14:textFill>
                        <w14:solidFill>
                          <w14:schemeClr w14:val="tx1"/>
                        </w14:solidFill>
                      </w14:textFill>
                    </w:rPr>
                  </w:pPr>
                </w:p>
              </w:tc>
              <w:tc>
                <w:tcPr>
                  <w:tcW w:w="1098" w:type="pct"/>
                  <w:gridSpan w:val="2"/>
                  <w:vMerge w:val="continue"/>
                  <w:noWrap w:val="0"/>
                  <w:vAlign w:val="center"/>
                </w:tcPr>
                <w:p w14:paraId="43E328ED">
                  <w:pPr>
                    <w:pStyle w:val="14"/>
                    <w:jc w:val="center"/>
                    <w:rPr>
                      <w:rFonts w:hint="default" w:ascii="Times New Roman" w:hAnsi="Times New Roman" w:eastAsia="宋体" w:cs="Times New Roman"/>
                      <w:b w:val="0"/>
                      <w:bCs w:val="0"/>
                      <w:color w:val="000000" w:themeColor="text1"/>
                      <w:highlight w:val="none"/>
                      <w14:textFill>
                        <w14:solidFill>
                          <w14:schemeClr w14:val="tx1"/>
                        </w14:solidFill>
                      </w14:textFill>
                    </w:rPr>
                  </w:pPr>
                </w:p>
              </w:tc>
              <w:tc>
                <w:tcPr>
                  <w:tcW w:w="1130" w:type="pct"/>
                  <w:noWrap w:val="0"/>
                  <w:vAlign w:val="center"/>
                </w:tcPr>
                <w:p w14:paraId="740460EF">
                  <w:pPr>
                    <w:pStyle w:val="14"/>
                    <w:jc w:val="center"/>
                    <w:rPr>
                      <w:rFonts w:hint="default" w:ascii="Times New Roman" w:hAnsi="Times New Roman" w:eastAsia="宋体" w:cs="Times New Roman"/>
                      <w:b w:val="0"/>
                      <w:bCs w:val="0"/>
                      <w:color w:val="000000" w:themeColor="text1"/>
                      <w:highlight w:val="none"/>
                      <w14:textFill>
                        <w14:solidFill>
                          <w14:schemeClr w14:val="tx1"/>
                        </w14:solidFill>
                      </w14:textFill>
                    </w:rPr>
                  </w:pPr>
                  <w:r>
                    <w:rPr>
                      <w:rFonts w:hint="default" w:ascii="Times New Roman" w:hAnsi="Times New Roman" w:eastAsia="宋体" w:cs="Times New Roman"/>
                      <w:b w:val="0"/>
                      <w:bCs w:val="0"/>
                      <w:color w:val="000000" w:themeColor="text1"/>
                      <w:highlight w:val="none"/>
                      <w14:textFill>
                        <w14:solidFill>
                          <w14:schemeClr w14:val="tx1"/>
                        </w14:solidFill>
                      </w14:textFill>
                    </w:rPr>
                    <w:t>夜间</w:t>
                  </w:r>
                </w:p>
              </w:tc>
              <w:tc>
                <w:tcPr>
                  <w:tcW w:w="912" w:type="pct"/>
                  <w:noWrap w:val="0"/>
                  <w:vAlign w:val="center"/>
                </w:tcPr>
                <w:p w14:paraId="6D2E7A8C">
                  <w:pPr>
                    <w:pStyle w:val="14"/>
                    <w:jc w:val="center"/>
                    <w:rPr>
                      <w:rFonts w:hint="default" w:ascii="Times New Roman" w:hAnsi="Times New Roman" w:eastAsia="宋体" w:cs="Times New Roman"/>
                      <w:b w:val="0"/>
                      <w:bCs w:val="0"/>
                      <w:color w:val="000000" w:themeColor="text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highlight w:val="none"/>
                      <w14:textFill>
                        <w14:solidFill>
                          <w14:schemeClr w14:val="tx1"/>
                        </w14:solidFill>
                      </w14:textFill>
                    </w:rPr>
                    <w:t>50</w:t>
                  </w:r>
                </w:p>
              </w:tc>
            </w:tr>
          </w:tbl>
          <w:p w14:paraId="4637BDFD">
            <w:pPr>
              <w:widowControl/>
              <w:spacing w:before="120" w:beforeLines="50"/>
              <w:ind w:firstLine="482"/>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lang w:eastAsia="zh-CN"/>
                <w14:textFill>
                  <w14:solidFill>
                    <w14:schemeClr w14:val="tx1"/>
                  </w14:solidFill>
                </w14:textFill>
              </w:rPr>
              <w:t>4.</w:t>
            </w:r>
            <w:r>
              <w:rPr>
                <w:rFonts w:hint="default" w:ascii="Times New Roman" w:hAnsi="Times New Roman" w:eastAsia="宋体" w:cs="Times New Roman"/>
                <w:b/>
                <w:bCs/>
                <w:color w:val="000000" w:themeColor="text1"/>
                <w:sz w:val="24"/>
                <w:highlight w:val="none"/>
                <w14:textFill>
                  <w14:solidFill>
                    <w14:schemeClr w14:val="tx1"/>
                  </w14:solidFill>
                </w14:textFill>
              </w:rPr>
              <w:t>固体废物排放标准</w:t>
            </w:r>
          </w:p>
          <w:p w14:paraId="5F37EA2B">
            <w:pPr>
              <w:keepNext w:val="0"/>
              <w:keepLines w:val="0"/>
              <w:pageBreakBefore w:val="0"/>
              <w:widowControl w:val="0"/>
              <w:kinsoku/>
              <w:wordWrap/>
              <w:overflowPunct/>
              <w:topLinePunct w:val="0"/>
              <w:autoSpaceDE/>
              <w:autoSpaceDN/>
              <w:bidi w:val="0"/>
              <w:adjustRightInd/>
              <w:snapToGrid/>
              <w:spacing w:before="120" w:beforeLines="50" w:line="360" w:lineRule="auto"/>
              <w:ind w:firstLine="480" w:firstLineChars="200"/>
              <w:textAlignment w:val="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eastAsia="zh-CN"/>
                <w14:textFill>
                  <w14:solidFill>
                    <w14:schemeClr w14:val="tx1"/>
                  </w14:solidFill>
                </w14:textFill>
              </w:rPr>
              <w:t>运行</w:t>
            </w:r>
            <w:r>
              <w:rPr>
                <w:rFonts w:hint="default" w:ascii="Times New Roman" w:hAnsi="Times New Roman" w:eastAsia="宋体" w:cs="Times New Roman"/>
                <w:color w:val="000000" w:themeColor="text1"/>
                <w:sz w:val="24"/>
                <w:highlight w:val="none"/>
                <w14:textFill>
                  <w14:solidFill>
                    <w14:schemeClr w14:val="tx1"/>
                  </w14:solidFill>
                </w14:textFill>
              </w:rPr>
              <w:t>过程中涉及的</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一般固体废物的</w:t>
            </w:r>
            <w:r>
              <w:rPr>
                <w:rFonts w:hint="default" w:ascii="Times New Roman" w:hAnsi="Times New Roman" w:eastAsia="宋体" w:cs="Times New Roman"/>
                <w:color w:val="000000" w:themeColor="text1"/>
                <w:sz w:val="24"/>
                <w:highlight w:val="none"/>
                <w14:textFill>
                  <w14:solidFill>
                    <w14:schemeClr w14:val="tx1"/>
                  </w14:solidFill>
                </w14:textFill>
              </w:rPr>
              <w:t>产生、收集、贮存、处置等过程执行《中华人民共和国固体废物污染环境防治法》</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2020年9月1日起实施</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相关要求。</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一般固体废物的贮存过程参照《一般工业固体废物贮存和填埋污染控制标准》（GB18599-2020）执行，贮存过程满足相应防渗漏、防雨淋、防扬尘等环境保护要求。</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识别参照</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《固体废物分类与代码目录》（公告</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2024年第4号</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危险废物执行《危险废物贮存污染控制标准》（GB18597-2023）。</w:t>
            </w:r>
          </w:p>
        </w:tc>
      </w:tr>
      <w:tr w14:paraId="20234A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54" w:hRule="atLeast"/>
          <w:jc w:val="center"/>
        </w:trPr>
        <w:tc>
          <w:tcPr>
            <w:tcW w:w="800" w:type="dxa"/>
            <w:noWrap w:val="0"/>
            <w:vAlign w:val="center"/>
          </w:tcPr>
          <w:p w14:paraId="1A3F2078">
            <w:pPr>
              <w:adjustRightInd w:val="0"/>
              <w:snapToGrid w:val="0"/>
              <w:jc w:val="center"/>
              <w:rPr>
                <w:rFonts w:hint="default" w:ascii="Times New Roman" w:hAnsi="Times New Roman" w:eastAsia="宋体" w:cs="Times New Roman"/>
                <w:b/>
                <w:bCs/>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总量</w:t>
            </w:r>
          </w:p>
          <w:p w14:paraId="386E8CAD">
            <w:pPr>
              <w:adjustRightInd w:val="0"/>
              <w:snapToGrid w:val="0"/>
              <w:jc w:val="center"/>
              <w:rPr>
                <w:rFonts w:hint="default" w:ascii="Times New Roman" w:hAnsi="Times New Roman" w:eastAsia="宋体" w:cs="Times New Roman"/>
                <w:b/>
                <w:bCs/>
                <w:color w:val="000000" w:themeColor="text1"/>
                <w:kern w:val="0"/>
                <w:sz w:val="24"/>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控制</w:t>
            </w:r>
          </w:p>
          <w:p w14:paraId="1E0F1D45">
            <w:pPr>
              <w:adjustRightInd w:val="0"/>
              <w:snapToGrid w:val="0"/>
              <w:jc w:val="center"/>
              <w:rPr>
                <w:rFonts w:hint="default" w:ascii="Times New Roman" w:hAnsi="Times New Roman" w:eastAsia="宋体" w:cs="Times New Roman"/>
                <w:color w:val="000000" w:themeColor="text1"/>
                <w:kern w:val="0"/>
                <w:szCs w:val="21"/>
                <w:highlight w:val="none"/>
                <w14:textFill>
                  <w14:solidFill>
                    <w14:schemeClr w14:val="tx1"/>
                  </w14:solidFill>
                </w14:textFill>
              </w:rPr>
            </w:pPr>
            <w:r>
              <w:rPr>
                <w:rFonts w:hint="default" w:ascii="Times New Roman" w:hAnsi="Times New Roman" w:eastAsia="宋体" w:cs="Times New Roman"/>
                <w:b/>
                <w:bCs/>
                <w:color w:val="000000" w:themeColor="text1"/>
                <w:kern w:val="0"/>
                <w:sz w:val="24"/>
                <w:highlight w:val="none"/>
                <w14:textFill>
                  <w14:solidFill>
                    <w14:schemeClr w14:val="tx1"/>
                  </w14:solidFill>
                </w14:textFill>
              </w:rPr>
              <w:t>指标</w:t>
            </w:r>
          </w:p>
        </w:tc>
        <w:tc>
          <w:tcPr>
            <w:tcW w:w="8190" w:type="dxa"/>
            <w:noWrap w:val="0"/>
            <w:vAlign w:val="top"/>
          </w:tcPr>
          <w:p w14:paraId="329D955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 w:val="0"/>
                <w:bCs/>
                <w:color w:val="000000" w:themeColor="text1"/>
                <w:kern w:val="0"/>
                <w:sz w:val="28"/>
                <w:szCs w:val="28"/>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按照《国务院关于印发“十四五”节能减排综合工作方案的通知》，国发〔2021〕（33号）和内政发〔2022〕（17号）文件更新总量控制指标，污染物排放总量控制指标分别为NOx、VOCs、COD和氨氮。</w:t>
            </w:r>
          </w:p>
          <w:p w14:paraId="1902312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根据生态环境部《关于进一步加强重金属污染防控的意见》（环固体〔2022〕17号）、内蒙古自治区生态环境厅《关于印发〈内蒙古自治区进一步加强重金属污染防控工作方案〉的通知》要求，对铅、汞、镉、铬和砷五种重点重金属污染物排放量实施总量控制，本项目不属于重点行业（包括重有色金属矿采选业（铜、铅锌、镍钴、锡、锑和汞矿采选，不属于有色金属冶炼业（铜、铅锌、镍钴、锡、锑和汞冶炼，铅蓄电池制造业，电镀行业，化学原料及化学制品制造业（电石法（聚氯乙烯制造、铬盐制造、以工业固体废物为原料的锌无机化合物工业），皮革鞣制加工业等6个行业）、重点区域，因此本项目无需申请重金属总量。</w:t>
            </w:r>
          </w:p>
          <w:p w14:paraId="2A6AA6D0">
            <w:pPr>
              <w:adjustRightInd w:val="0"/>
              <w:snapToGrid w:val="0"/>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根据生态环境部关于印发《建设项目主要污染物排放总量指标审核及管理暂行办法》的通知（环办综合函〔2022〕350号），明确用挥发性有机物取代二氧化硫作为总量控制的</w:t>
            </w:r>
            <w:bookmarkStart w:id="5" w:name="OLE_LINK5"/>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主要污染物</w:t>
            </w:r>
            <w:bookmarkEnd w:id="5"/>
            <w:r>
              <w:rPr>
                <w:rFonts w:hint="default" w:ascii="Times New Roman" w:hAnsi="Times New Roman" w:eastAsia="宋体" w:cs="Times New Roman"/>
                <w:b w:val="0"/>
                <w:bCs/>
                <w:color w:val="000000" w:themeColor="text1"/>
                <w:sz w:val="24"/>
                <w:szCs w:val="24"/>
                <w:highlight w:val="none"/>
                <w:lang w:val="en-US" w:eastAsia="zh-CN"/>
                <w14:textFill>
                  <w14:solidFill>
                    <w14:schemeClr w14:val="tx1"/>
                  </w14:solidFill>
                </w14:textFill>
              </w:rPr>
              <w:t>，因此，本期评价废气总量为挥发性有机物和氮氧化物两项污染物排放总量，废水总量控制指标为COD、氨氮。</w:t>
            </w:r>
          </w:p>
          <w:p w14:paraId="14ACF5CC">
            <w:pPr>
              <w:adjustRightInd w:val="0"/>
              <w:snapToGrid w:val="0"/>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1.废气总量控制目标值</w:t>
            </w:r>
          </w:p>
          <w:p w14:paraId="386DBCA7">
            <w:pPr>
              <w:adjustRightInd w:val="0"/>
              <w:snapToGrid w:val="0"/>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根据</w:t>
            </w:r>
            <w:r>
              <w:rPr>
                <w:rFonts w:hint="eastAsia" w:cs="Times New Roman"/>
                <w:color w:val="000000" w:themeColor="text1"/>
                <w:sz w:val="24"/>
                <w:highlight w:val="none"/>
                <w:lang w:val="en-US" w:eastAsia="zh-CN"/>
                <w14:textFill>
                  <w14:solidFill>
                    <w14:schemeClr w14:val="tx1"/>
                  </w14:solidFill>
                </w14:textFill>
              </w:rPr>
              <w:t>工程</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分析，本项目废气污染物排放量见下表。</w:t>
            </w:r>
          </w:p>
          <w:p w14:paraId="4A7F3B64">
            <w:pPr>
              <w:adjustRightInd w:val="0"/>
              <w:snapToGrid w:val="0"/>
              <w:spacing w:line="240" w:lineRule="auto"/>
              <w:ind w:firstLine="482" w:firstLineChars="200"/>
              <w:jc w:val="cente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表3-</w:t>
            </w:r>
            <w:r>
              <w:rPr>
                <w:rFonts w:hint="eastAsia" w:cs="Times New Roman"/>
                <w:b/>
                <w:bCs/>
                <w:color w:val="000000" w:themeColor="text1"/>
                <w:sz w:val="24"/>
                <w:highlight w:val="none"/>
                <w:lang w:val="en-US" w:eastAsia="zh-CN"/>
                <w14:textFill>
                  <w14:solidFill>
                    <w14:schemeClr w14:val="tx1"/>
                  </w14:solidFill>
                </w14:textFill>
              </w:rPr>
              <w:t>15</w:t>
            </w: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项目废气污染物排放量一览表</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9"/>
              <w:gridCol w:w="1538"/>
              <w:gridCol w:w="1613"/>
              <w:gridCol w:w="2155"/>
              <w:gridCol w:w="1776"/>
            </w:tblGrid>
            <w:tr w14:paraId="6163AB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noWrap w:val="0"/>
                  <w:vAlign w:val="center"/>
                </w:tcPr>
                <w:p w14:paraId="652341E1">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序号</w:t>
                  </w:r>
                </w:p>
              </w:tc>
              <w:tc>
                <w:tcPr>
                  <w:tcW w:w="966" w:type="pct"/>
                  <w:noWrap w:val="0"/>
                  <w:vAlign w:val="center"/>
                </w:tcPr>
                <w:p w14:paraId="00389AA1">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污染物</w:t>
                  </w:r>
                </w:p>
              </w:tc>
              <w:tc>
                <w:tcPr>
                  <w:tcW w:w="1013" w:type="pct"/>
                  <w:noWrap w:val="0"/>
                  <w:vAlign w:val="center"/>
                </w:tcPr>
                <w:p w14:paraId="4AE2E9A0">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废气类型</w:t>
                  </w:r>
                </w:p>
              </w:tc>
              <w:tc>
                <w:tcPr>
                  <w:tcW w:w="1353" w:type="pct"/>
                  <w:noWrap w:val="0"/>
                  <w:vAlign w:val="center"/>
                </w:tcPr>
                <w:p w14:paraId="3F7AA29D">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名称</w:t>
                  </w:r>
                </w:p>
              </w:tc>
              <w:tc>
                <w:tcPr>
                  <w:tcW w:w="1115" w:type="pct"/>
                  <w:noWrap w:val="0"/>
                  <w:vAlign w:val="center"/>
                </w:tcPr>
                <w:p w14:paraId="7D4689FE">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排放量t/a</w:t>
                  </w:r>
                </w:p>
              </w:tc>
            </w:tr>
            <w:tr w14:paraId="42BE3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noWrap w:val="0"/>
                  <w:vAlign w:val="center"/>
                </w:tcPr>
                <w:p w14:paraId="3EA739B0">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1</w:t>
                  </w:r>
                </w:p>
              </w:tc>
              <w:tc>
                <w:tcPr>
                  <w:tcW w:w="966" w:type="pct"/>
                  <w:noWrap w:val="0"/>
                  <w:vAlign w:val="center"/>
                </w:tcPr>
                <w:p w14:paraId="55D7CBB9">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颗粒物</w:t>
                  </w:r>
                </w:p>
              </w:tc>
              <w:tc>
                <w:tcPr>
                  <w:tcW w:w="1013" w:type="pct"/>
                  <w:noWrap w:val="0"/>
                  <w:vAlign w:val="center"/>
                </w:tcPr>
                <w:p w14:paraId="27EBE7DE">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w:t>
                  </w:r>
                </w:p>
              </w:tc>
              <w:tc>
                <w:tcPr>
                  <w:tcW w:w="1353" w:type="pct"/>
                  <w:noWrap w:val="0"/>
                  <w:vAlign w:val="center"/>
                </w:tcPr>
                <w:p w14:paraId="69ABF00B">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排放口AD001</w:t>
                  </w:r>
                </w:p>
              </w:tc>
              <w:tc>
                <w:tcPr>
                  <w:tcW w:w="1115" w:type="pct"/>
                  <w:shd w:val="clear" w:color="auto" w:fill="auto"/>
                  <w:noWrap w:val="0"/>
                  <w:vAlign w:val="center"/>
                </w:tcPr>
                <w:p w14:paraId="6C987B07">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0.12</w:t>
                  </w:r>
                </w:p>
              </w:tc>
            </w:tr>
            <w:tr w14:paraId="643BA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noWrap w:val="0"/>
                  <w:vAlign w:val="center"/>
                </w:tcPr>
                <w:p w14:paraId="1A23858A">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w:t>
                  </w:r>
                </w:p>
              </w:tc>
              <w:tc>
                <w:tcPr>
                  <w:tcW w:w="966" w:type="pct"/>
                  <w:noWrap w:val="0"/>
                  <w:vAlign w:val="center"/>
                </w:tcPr>
                <w:p w14:paraId="58DC151A">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颗粒物</w:t>
                  </w:r>
                </w:p>
              </w:tc>
              <w:tc>
                <w:tcPr>
                  <w:tcW w:w="1013" w:type="pct"/>
                  <w:noWrap w:val="0"/>
                  <w:vAlign w:val="center"/>
                </w:tcPr>
                <w:p w14:paraId="51F333D8">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w:t>
                  </w:r>
                </w:p>
              </w:tc>
              <w:tc>
                <w:tcPr>
                  <w:tcW w:w="1353" w:type="pct"/>
                  <w:noWrap w:val="0"/>
                  <w:vAlign w:val="center"/>
                </w:tcPr>
                <w:p w14:paraId="264CC267">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排放口AD002</w:t>
                  </w:r>
                </w:p>
              </w:tc>
              <w:tc>
                <w:tcPr>
                  <w:tcW w:w="1115" w:type="pct"/>
                  <w:shd w:val="clear" w:color="auto" w:fill="auto"/>
                  <w:noWrap w:val="0"/>
                  <w:vAlign w:val="center"/>
                </w:tcPr>
                <w:p w14:paraId="5C8127C5">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0.12</w:t>
                  </w:r>
                </w:p>
              </w:tc>
            </w:tr>
            <w:tr w14:paraId="26062C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noWrap w:val="0"/>
                  <w:vAlign w:val="center"/>
                </w:tcPr>
                <w:p w14:paraId="55E633D5">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3</w:t>
                  </w:r>
                </w:p>
              </w:tc>
              <w:tc>
                <w:tcPr>
                  <w:tcW w:w="966" w:type="pct"/>
                  <w:noWrap w:val="0"/>
                  <w:vAlign w:val="center"/>
                </w:tcPr>
                <w:p w14:paraId="3DBDDFDA">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颗粒物</w:t>
                  </w:r>
                </w:p>
              </w:tc>
              <w:tc>
                <w:tcPr>
                  <w:tcW w:w="1013" w:type="pct"/>
                  <w:noWrap w:val="0"/>
                  <w:vAlign w:val="center"/>
                </w:tcPr>
                <w:p w14:paraId="1F4D8E4B">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w:t>
                  </w:r>
                </w:p>
              </w:tc>
              <w:tc>
                <w:tcPr>
                  <w:tcW w:w="1353" w:type="pct"/>
                  <w:noWrap w:val="0"/>
                  <w:vAlign w:val="center"/>
                </w:tcPr>
                <w:p w14:paraId="2C56550D">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排放口AD003</w:t>
                  </w:r>
                </w:p>
              </w:tc>
              <w:tc>
                <w:tcPr>
                  <w:tcW w:w="1115" w:type="pct"/>
                  <w:shd w:val="clear" w:color="auto" w:fill="auto"/>
                  <w:noWrap w:val="0"/>
                  <w:vAlign w:val="center"/>
                </w:tcPr>
                <w:p w14:paraId="60E8C659">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w:t>
                  </w:r>
                  <w:r>
                    <w:rPr>
                      <w:rFonts w:hint="eastAsia" w:cs="Times New Roman"/>
                      <w:b w:val="0"/>
                      <w:bCs w:val="0"/>
                      <w:color w:val="000000" w:themeColor="text1"/>
                      <w:sz w:val="21"/>
                      <w:szCs w:val="21"/>
                      <w:highlight w:val="none"/>
                      <w:lang w:val="en-US" w:eastAsia="zh-CN"/>
                      <w14:textFill>
                        <w14:solidFill>
                          <w14:schemeClr w14:val="tx1"/>
                        </w14:solidFill>
                      </w14:textFill>
                    </w:rPr>
                    <w:t>24</w:t>
                  </w:r>
                </w:p>
              </w:tc>
            </w:tr>
            <w:tr w14:paraId="41C11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noWrap w:val="0"/>
                  <w:vAlign w:val="center"/>
                </w:tcPr>
                <w:p w14:paraId="27BFA07E">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4</w:t>
                  </w:r>
                </w:p>
              </w:tc>
              <w:tc>
                <w:tcPr>
                  <w:tcW w:w="966" w:type="pct"/>
                  <w:noWrap w:val="0"/>
                  <w:vAlign w:val="center"/>
                </w:tcPr>
                <w:p w14:paraId="06111493">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颗粒物</w:t>
                  </w:r>
                </w:p>
              </w:tc>
              <w:tc>
                <w:tcPr>
                  <w:tcW w:w="1013" w:type="pct"/>
                  <w:noWrap w:val="0"/>
                  <w:vAlign w:val="center"/>
                </w:tcPr>
                <w:p w14:paraId="76ED62B2">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w:t>
                  </w:r>
                </w:p>
              </w:tc>
              <w:tc>
                <w:tcPr>
                  <w:tcW w:w="1353" w:type="pct"/>
                  <w:noWrap w:val="0"/>
                  <w:vAlign w:val="center"/>
                </w:tcPr>
                <w:p w14:paraId="317B25EF">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排放口AD004</w:t>
                  </w:r>
                </w:p>
              </w:tc>
              <w:tc>
                <w:tcPr>
                  <w:tcW w:w="1115" w:type="pct"/>
                  <w:shd w:val="clear" w:color="auto" w:fill="auto"/>
                  <w:noWrap w:val="0"/>
                  <w:vAlign w:val="center"/>
                </w:tcPr>
                <w:p w14:paraId="5F10E1AF">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0.2</w:t>
                  </w:r>
                  <w:r>
                    <w:rPr>
                      <w:rFonts w:hint="eastAsia" w:cs="Times New Roman"/>
                      <w:b w:val="0"/>
                      <w:bCs w:val="0"/>
                      <w:color w:val="000000" w:themeColor="text1"/>
                      <w:sz w:val="21"/>
                      <w:szCs w:val="21"/>
                      <w:highlight w:val="none"/>
                      <w:lang w:val="en-US" w:eastAsia="zh-CN"/>
                      <w14:textFill>
                        <w14:solidFill>
                          <w14:schemeClr w14:val="tx1"/>
                        </w14:solidFill>
                      </w14:textFill>
                    </w:rPr>
                    <w:t>4</w:t>
                  </w:r>
                </w:p>
              </w:tc>
            </w:tr>
            <w:tr w14:paraId="116E49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shd w:val="clear" w:color="auto" w:fill="auto"/>
                  <w:noWrap w:val="0"/>
                  <w:vAlign w:val="center"/>
                </w:tcPr>
                <w:p w14:paraId="1C440C5F">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5</w:t>
                  </w:r>
                </w:p>
              </w:tc>
              <w:tc>
                <w:tcPr>
                  <w:tcW w:w="966" w:type="pct"/>
                  <w:shd w:val="clear" w:color="auto" w:fill="auto"/>
                  <w:noWrap w:val="0"/>
                  <w:vAlign w:val="center"/>
                </w:tcPr>
                <w:p w14:paraId="1CFE9991">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颗粒物</w:t>
                  </w:r>
                </w:p>
              </w:tc>
              <w:tc>
                <w:tcPr>
                  <w:tcW w:w="1013" w:type="pct"/>
                  <w:shd w:val="clear" w:color="auto" w:fill="auto"/>
                  <w:noWrap w:val="0"/>
                  <w:vAlign w:val="center"/>
                </w:tcPr>
                <w:p w14:paraId="3DAF2630">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w:t>
                  </w:r>
                </w:p>
              </w:tc>
              <w:tc>
                <w:tcPr>
                  <w:tcW w:w="1353" w:type="pct"/>
                  <w:shd w:val="clear" w:color="auto" w:fill="auto"/>
                  <w:noWrap w:val="0"/>
                  <w:vAlign w:val="center"/>
                </w:tcPr>
                <w:p w14:paraId="5638C8F5">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排放口AD00</w:t>
                  </w:r>
                  <w:r>
                    <w:rPr>
                      <w:rFonts w:hint="eastAsia" w:cs="Times New Roman"/>
                      <w:color w:val="000000" w:themeColor="text1"/>
                      <w:sz w:val="21"/>
                      <w:szCs w:val="21"/>
                      <w:highlight w:val="none"/>
                      <w:vertAlign w:val="baseline"/>
                      <w:lang w:val="en-US" w:eastAsia="zh-CN"/>
                      <w14:textFill>
                        <w14:solidFill>
                          <w14:schemeClr w14:val="tx1"/>
                        </w14:solidFill>
                      </w14:textFill>
                    </w:rPr>
                    <w:t>5</w:t>
                  </w:r>
                </w:p>
              </w:tc>
              <w:tc>
                <w:tcPr>
                  <w:tcW w:w="1115" w:type="pct"/>
                  <w:shd w:val="clear" w:color="auto" w:fill="auto"/>
                  <w:noWrap w:val="0"/>
                  <w:vAlign w:val="center"/>
                </w:tcPr>
                <w:p w14:paraId="33869535">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w:t>
                  </w:r>
                  <w:r>
                    <w:rPr>
                      <w:rFonts w:hint="eastAsia" w:cs="Times New Roman"/>
                      <w:b w:val="0"/>
                      <w:bCs w:val="0"/>
                      <w:color w:val="000000" w:themeColor="text1"/>
                      <w:sz w:val="21"/>
                      <w:szCs w:val="21"/>
                      <w:highlight w:val="none"/>
                      <w:lang w:val="en-US" w:eastAsia="zh-CN"/>
                      <w14:textFill>
                        <w14:solidFill>
                          <w14:schemeClr w14:val="tx1"/>
                        </w14:solidFill>
                      </w14:textFill>
                    </w:rPr>
                    <w:t>2</w:t>
                  </w:r>
                </w:p>
              </w:tc>
            </w:tr>
            <w:tr w14:paraId="1005C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vMerge w:val="restart"/>
                  <w:noWrap w:val="0"/>
                  <w:vAlign w:val="center"/>
                </w:tcPr>
                <w:p w14:paraId="42E79530">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6</w:t>
                  </w:r>
                </w:p>
              </w:tc>
              <w:tc>
                <w:tcPr>
                  <w:tcW w:w="966" w:type="pct"/>
                  <w:noWrap w:val="0"/>
                  <w:vAlign w:val="center"/>
                </w:tcPr>
                <w:p w14:paraId="1B49B383">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二氧化硫</w:t>
                  </w:r>
                </w:p>
              </w:tc>
              <w:tc>
                <w:tcPr>
                  <w:tcW w:w="1013" w:type="pct"/>
                  <w:noWrap w:val="0"/>
                  <w:vAlign w:val="center"/>
                </w:tcPr>
                <w:p w14:paraId="558A7211">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w:t>
                  </w:r>
                </w:p>
              </w:tc>
              <w:tc>
                <w:tcPr>
                  <w:tcW w:w="1353" w:type="pct"/>
                  <w:vMerge w:val="restart"/>
                  <w:noWrap w:val="0"/>
                  <w:vAlign w:val="center"/>
                </w:tcPr>
                <w:p w14:paraId="624D6250">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排放口AD00</w:t>
                  </w:r>
                  <w:r>
                    <w:rPr>
                      <w:rFonts w:hint="eastAsia" w:cs="Times New Roman"/>
                      <w:color w:val="000000" w:themeColor="text1"/>
                      <w:sz w:val="21"/>
                      <w:szCs w:val="21"/>
                      <w:highlight w:val="none"/>
                      <w:vertAlign w:val="baseline"/>
                      <w:lang w:val="en-US" w:eastAsia="zh-CN"/>
                      <w14:textFill>
                        <w14:solidFill>
                          <w14:schemeClr w14:val="tx1"/>
                        </w14:solidFill>
                      </w14:textFill>
                    </w:rPr>
                    <w:t>6</w:t>
                  </w:r>
                </w:p>
              </w:tc>
              <w:tc>
                <w:tcPr>
                  <w:tcW w:w="1115" w:type="pct"/>
                  <w:shd w:val="clear" w:color="auto" w:fill="auto"/>
                  <w:noWrap w:val="0"/>
                  <w:vAlign w:val="center"/>
                </w:tcPr>
                <w:p w14:paraId="3B18DB66">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38.41</w:t>
                  </w:r>
                </w:p>
              </w:tc>
            </w:tr>
            <w:tr w14:paraId="286C8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vMerge w:val="continue"/>
                  <w:noWrap w:val="0"/>
                  <w:vAlign w:val="center"/>
                </w:tcPr>
                <w:p w14:paraId="129384BB">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p>
              </w:tc>
              <w:tc>
                <w:tcPr>
                  <w:tcW w:w="966" w:type="pct"/>
                  <w:noWrap w:val="0"/>
                  <w:vAlign w:val="center"/>
                </w:tcPr>
                <w:p w14:paraId="2CF70D3B">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氮氧化物</w:t>
                  </w:r>
                </w:p>
              </w:tc>
              <w:tc>
                <w:tcPr>
                  <w:tcW w:w="1013" w:type="pct"/>
                  <w:noWrap w:val="0"/>
                  <w:vAlign w:val="center"/>
                </w:tcPr>
                <w:p w14:paraId="0A5D104B">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w:t>
                  </w:r>
                </w:p>
              </w:tc>
              <w:tc>
                <w:tcPr>
                  <w:tcW w:w="1353" w:type="pct"/>
                  <w:vMerge w:val="continue"/>
                  <w:noWrap w:val="0"/>
                  <w:vAlign w:val="center"/>
                </w:tcPr>
                <w:p w14:paraId="4F840AEB">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1115" w:type="pct"/>
                  <w:shd w:val="clear" w:color="auto" w:fill="auto"/>
                  <w:noWrap w:val="0"/>
                  <w:vAlign w:val="center"/>
                </w:tcPr>
                <w:p w14:paraId="7D48A684">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94</w:t>
                  </w:r>
                </w:p>
              </w:tc>
            </w:tr>
            <w:tr w14:paraId="49C8F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vMerge w:val="continue"/>
                  <w:noWrap w:val="0"/>
                  <w:vAlign w:val="center"/>
                </w:tcPr>
                <w:p w14:paraId="1B2D3A83">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966" w:type="pct"/>
                  <w:noWrap w:val="0"/>
                  <w:vAlign w:val="center"/>
                </w:tcPr>
                <w:p w14:paraId="59585722">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颗粒物</w:t>
                  </w:r>
                </w:p>
              </w:tc>
              <w:tc>
                <w:tcPr>
                  <w:tcW w:w="1013" w:type="pct"/>
                  <w:noWrap w:val="0"/>
                  <w:vAlign w:val="center"/>
                </w:tcPr>
                <w:p w14:paraId="08639C66">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w:t>
                  </w:r>
                </w:p>
              </w:tc>
              <w:tc>
                <w:tcPr>
                  <w:tcW w:w="1353" w:type="pct"/>
                  <w:vMerge w:val="continue"/>
                  <w:noWrap w:val="0"/>
                  <w:vAlign w:val="center"/>
                </w:tcPr>
                <w:p w14:paraId="5A4E47B2">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1115" w:type="pct"/>
                  <w:shd w:val="clear" w:color="auto" w:fill="auto"/>
                  <w:noWrap w:val="0"/>
                  <w:vAlign w:val="center"/>
                </w:tcPr>
                <w:p w14:paraId="5BD4AAC2">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7.2</w:t>
                  </w:r>
                </w:p>
              </w:tc>
            </w:tr>
            <w:tr w14:paraId="53E805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vMerge w:val="continue"/>
                  <w:noWrap w:val="0"/>
                  <w:vAlign w:val="center"/>
                </w:tcPr>
                <w:p w14:paraId="7693697D">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966" w:type="pct"/>
                  <w:noWrap w:val="0"/>
                  <w:vAlign w:val="center"/>
                </w:tcPr>
                <w:p w14:paraId="5D7BB9EA">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sz w:val="21"/>
                      <w:szCs w:val="21"/>
                      <w:highlight w:val="none"/>
                      <w:vertAlign w:val="baseline"/>
                      <w:lang w:val="en-US" w:eastAsia="zh-CN"/>
                      <w14:textFill>
                        <w14:solidFill>
                          <w14:schemeClr w14:val="tx1"/>
                        </w14:solidFill>
                      </w14:textFill>
                    </w:rPr>
                    <w:t>氨气</w:t>
                  </w:r>
                </w:p>
              </w:tc>
              <w:tc>
                <w:tcPr>
                  <w:tcW w:w="1013" w:type="pct"/>
                  <w:noWrap w:val="0"/>
                  <w:vAlign w:val="center"/>
                </w:tcPr>
                <w:p w14:paraId="64A6230D">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w:t>
                  </w:r>
                </w:p>
              </w:tc>
              <w:tc>
                <w:tcPr>
                  <w:tcW w:w="1353" w:type="pct"/>
                  <w:vMerge w:val="continue"/>
                  <w:noWrap w:val="0"/>
                  <w:vAlign w:val="center"/>
                </w:tcPr>
                <w:p w14:paraId="73901C7C">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p>
              </w:tc>
              <w:tc>
                <w:tcPr>
                  <w:tcW w:w="1115" w:type="pct"/>
                  <w:shd w:val="clear" w:color="auto" w:fill="auto"/>
                  <w:noWrap w:val="0"/>
                  <w:vAlign w:val="center"/>
                </w:tcPr>
                <w:p w14:paraId="6A118CE5">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3.6</w:t>
                  </w:r>
                </w:p>
              </w:tc>
            </w:tr>
            <w:tr w14:paraId="674B2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noWrap w:val="0"/>
                  <w:vAlign w:val="center"/>
                </w:tcPr>
                <w:p w14:paraId="615FD1C2">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7</w:t>
                  </w:r>
                </w:p>
              </w:tc>
              <w:tc>
                <w:tcPr>
                  <w:tcW w:w="966" w:type="pct"/>
                  <w:noWrap w:val="0"/>
                  <w:vAlign w:val="center"/>
                </w:tcPr>
                <w:p w14:paraId="5817DB39">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颗粒物</w:t>
                  </w:r>
                </w:p>
              </w:tc>
              <w:tc>
                <w:tcPr>
                  <w:tcW w:w="1013" w:type="pct"/>
                  <w:noWrap w:val="0"/>
                  <w:vAlign w:val="center"/>
                </w:tcPr>
                <w:p w14:paraId="11942910">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w:t>
                  </w:r>
                </w:p>
              </w:tc>
              <w:tc>
                <w:tcPr>
                  <w:tcW w:w="1353" w:type="pct"/>
                  <w:noWrap w:val="0"/>
                  <w:vAlign w:val="center"/>
                </w:tcPr>
                <w:p w14:paraId="568E67E6">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排放口AD007</w:t>
                  </w:r>
                </w:p>
              </w:tc>
              <w:tc>
                <w:tcPr>
                  <w:tcW w:w="1115" w:type="pct"/>
                  <w:shd w:val="clear" w:color="auto" w:fill="auto"/>
                  <w:noWrap w:val="0"/>
                  <w:vAlign w:val="center"/>
                </w:tcPr>
                <w:p w14:paraId="3D640510">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0.2</w:t>
                  </w:r>
                  <w:r>
                    <w:rPr>
                      <w:rFonts w:hint="eastAsia" w:cs="Times New Roman"/>
                      <w:b w:val="0"/>
                      <w:bCs w:val="0"/>
                      <w:color w:val="000000" w:themeColor="text1"/>
                      <w:sz w:val="21"/>
                      <w:szCs w:val="21"/>
                      <w:highlight w:val="none"/>
                      <w:lang w:val="en-US" w:eastAsia="zh-CN"/>
                      <w14:textFill>
                        <w14:solidFill>
                          <w14:schemeClr w14:val="tx1"/>
                        </w14:solidFill>
                      </w14:textFill>
                    </w:rPr>
                    <w:t>6</w:t>
                  </w:r>
                </w:p>
              </w:tc>
            </w:tr>
            <w:tr w14:paraId="38841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noWrap w:val="0"/>
                  <w:vAlign w:val="center"/>
                </w:tcPr>
                <w:p w14:paraId="23EF365D">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8</w:t>
                  </w:r>
                </w:p>
              </w:tc>
              <w:tc>
                <w:tcPr>
                  <w:tcW w:w="966" w:type="pct"/>
                  <w:noWrap w:val="0"/>
                  <w:vAlign w:val="center"/>
                </w:tcPr>
                <w:p w14:paraId="43D5B3A5">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颗粒物</w:t>
                  </w:r>
                </w:p>
              </w:tc>
              <w:tc>
                <w:tcPr>
                  <w:tcW w:w="1013" w:type="pct"/>
                  <w:noWrap w:val="0"/>
                  <w:vAlign w:val="center"/>
                </w:tcPr>
                <w:p w14:paraId="1F8534BF">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w:t>
                  </w:r>
                </w:p>
              </w:tc>
              <w:tc>
                <w:tcPr>
                  <w:tcW w:w="1353" w:type="pct"/>
                  <w:noWrap w:val="0"/>
                  <w:vAlign w:val="center"/>
                </w:tcPr>
                <w:p w14:paraId="662B12A6">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排放口AD008</w:t>
                  </w:r>
                </w:p>
              </w:tc>
              <w:tc>
                <w:tcPr>
                  <w:tcW w:w="1115" w:type="pct"/>
                  <w:shd w:val="clear" w:color="auto" w:fill="auto"/>
                  <w:noWrap w:val="0"/>
                  <w:vAlign w:val="center"/>
                </w:tcPr>
                <w:p w14:paraId="12AEF675">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2.38</w:t>
                  </w:r>
                </w:p>
              </w:tc>
            </w:tr>
            <w:tr w14:paraId="60E0D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noWrap w:val="0"/>
                  <w:vAlign w:val="center"/>
                </w:tcPr>
                <w:p w14:paraId="49B167E9">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9</w:t>
                  </w:r>
                </w:p>
              </w:tc>
              <w:tc>
                <w:tcPr>
                  <w:tcW w:w="966" w:type="pct"/>
                  <w:noWrap w:val="0"/>
                  <w:vAlign w:val="center"/>
                </w:tcPr>
                <w:p w14:paraId="7E0D905E">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颗粒物</w:t>
                  </w:r>
                </w:p>
              </w:tc>
              <w:tc>
                <w:tcPr>
                  <w:tcW w:w="1013" w:type="pct"/>
                  <w:noWrap w:val="0"/>
                  <w:vAlign w:val="center"/>
                </w:tcPr>
                <w:p w14:paraId="7660FB60">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w:t>
                  </w:r>
                </w:p>
              </w:tc>
              <w:tc>
                <w:tcPr>
                  <w:tcW w:w="1353" w:type="pct"/>
                  <w:noWrap w:val="0"/>
                  <w:vAlign w:val="center"/>
                </w:tcPr>
                <w:p w14:paraId="366EA7F7">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排放口AD009</w:t>
                  </w:r>
                </w:p>
              </w:tc>
              <w:tc>
                <w:tcPr>
                  <w:tcW w:w="1115" w:type="pct"/>
                  <w:shd w:val="clear" w:color="auto" w:fill="auto"/>
                  <w:noWrap w:val="0"/>
                  <w:vAlign w:val="center"/>
                </w:tcPr>
                <w:p w14:paraId="528688C5">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w:t>
                  </w: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096</w:t>
                  </w:r>
                </w:p>
              </w:tc>
            </w:tr>
            <w:tr w14:paraId="0D727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noWrap w:val="0"/>
                  <w:vAlign w:val="center"/>
                </w:tcPr>
                <w:p w14:paraId="13469AC3">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10</w:t>
                  </w:r>
                </w:p>
              </w:tc>
              <w:tc>
                <w:tcPr>
                  <w:tcW w:w="966" w:type="pct"/>
                  <w:noWrap w:val="0"/>
                  <w:vAlign w:val="center"/>
                </w:tcPr>
                <w:p w14:paraId="27091F1B">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颗粒物</w:t>
                  </w:r>
                </w:p>
              </w:tc>
              <w:tc>
                <w:tcPr>
                  <w:tcW w:w="1013" w:type="pct"/>
                  <w:noWrap w:val="0"/>
                  <w:vAlign w:val="center"/>
                </w:tcPr>
                <w:p w14:paraId="0BC25D9B">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w:t>
                  </w:r>
                </w:p>
              </w:tc>
              <w:tc>
                <w:tcPr>
                  <w:tcW w:w="1353" w:type="pct"/>
                  <w:noWrap w:val="0"/>
                  <w:vAlign w:val="center"/>
                </w:tcPr>
                <w:p w14:paraId="20CB3487">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排放口AD010</w:t>
                  </w:r>
                </w:p>
              </w:tc>
              <w:tc>
                <w:tcPr>
                  <w:tcW w:w="1115" w:type="pct"/>
                  <w:shd w:val="clear" w:color="auto" w:fill="auto"/>
                  <w:noWrap w:val="0"/>
                  <w:vAlign w:val="center"/>
                </w:tcPr>
                <w:p w14:paraId="28D44DE4">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w:t>
                  </w: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096</w:t>
                  </w:r>
                </w:p>
              </w:tc>
            </w:tr>
            <w:tr w14:paraId="7E6E5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noWrap w:val="0"/>
                  <w:vAlign w:val="center"/>
                </w:tcPr>
                <w:p w14:paraId="365AC68A">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11</w:t>
                  </w:r>
                </w:p>
              </w:tc>
              <w:tc>
                <w:tcPr>
                  <w:tcW w:w="966" w:type="pct"/>
                  <w:noWrap w:val="0"/>
                  <w:vAlign w:val="center"/>
                </w:tcPr>
                <w:p w14:paraId="78DB2D82">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颗粒物</w:t>
                  </w:r>
                </w:p>
              </w:tc>
              <w:tc>
                <w:tcPr>
                  <w:tcW w:w="1013" w:type="pct"/>
                  <w:noWrap w:val="0"/>
                  <w:vAlign w:val="center"/>
                </w:tcPr>
                <w:p w14:paraId="2383F1B4">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w:t>
                  </w:r>
                </w:p>
              </w:tc>
              <w:tc>
                <w:tcPr>
                  <w:tcW w:w="1353" w:type="pct"/>
                  <w:noWrap w:val="0"/>
                  <w:vAlign w:val="center"/>
                </w:tcPr>
                <w:p w14:paraId="15C183D8">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排放口AD011</w:t>
                  </w:r>
                </w:p>
              </w:tc>
              <w:tc>
                <w:tcPr>
                  <w:tcW w:w="1115" w:type="pct"/>
                  <w:shd w:val="clear" w:color="auto" w:fill="auto"/>
                  <w:noWrap w:val="0"/>
                  <w:vAlign w:val="center"/>
                </w:tcPr>
                <w:p w14:paraId="79D30C49">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0.048</w:t>
                  </w:r>
                </w:p>
              </w:tc>
            </w:tr>
            <w:tr w14:paraId="7C22C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noWrap w:val="0"/>
                  <w:vAlign w:val="center"/>
                </w:tcPr>
                <w:p w14:paraId="753A2C3F">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12</w:t>
                  </w:r>
                </w:p>
              </w:tc>
              <w:tc>
                <w:tcPr>
                  <w:tcW w:w="966" w:type="pct"/>
                  <w:noWrap w:val="0"/>
                  <w:vAlign w:val="center"/>
                </w:tcPr>
                <w:p w14:paraId="562AD96C">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颗粒物</w:t>
                  </w:r>
                </w:p>
              </w:tc>
              <w:tc>
                <w:tcPr>
                  <w:tcW w:w="1013" w:type="pct"/>
                  <w:noWrap w:val="0"/>
                  <w:vAlign w:val="center"/>
                </w:tcPr>
                <w:p w14:paraId="3D77CAB3">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w:t>
                  </w:r>
                </w:p>
              </w:tc>
              <w:tc>
                <w:tcPr>
                  <w:tcW w:w="1353" w:type="pct"/>
                  <w:noWrap w:val="0"/>
                  <w:vAlign w:val="center"/>
                </w:tcPr>
                <w:p w14:paraId="48E55B3C">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排放口AD012</w:t>
                  </w:r>
                </w:p>
              </w:tc>
              <w:tc>
                <w:tcPr>
                  <w:tcW w:w="1115" w:type="pct"/>
                  <w:shd w:val="clear" w:color="auto" w:fill="auto"/>
                  <w:noWrap w:val="0"/>
                  <w:vAlign w:val="center"/>
                </w:tcPr>
                <w:p w14:paraId="49596FB1">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w:t>
                  </w:r>
                  <w:r>
                    <w:rPr>
                      <w:rFonts w:hint="eastAsia" w:cs="Times New Roman"/>
                      <w:b w:val="0"/>
                      <w:bCs w:val="0"/>
                      <w:color w:val="000000" w:themeColor="text1"/>
                      <w:sz w:val="21"/>
                      <w:szCs w:val="21"/>
                      <w:highlight w:val="none"/>
                      <w:lang w:val="en-US" w:eastAsia="zh-CN"/>
                      <w14:textFill>
                        <w14:solidFill>
                          <w14:schemeClr w14:val="tx1"/>
                        </w14:solidFill>
                      </w14:textFill>
                    </w:rPr>
                    <w:t>02</w:t>
                  </w:r>
                </w:p>
              </w:tc>
            </w:tr>
            <w:tr w14:paraId="21A77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noWrap w:val="0"/>
                  <w:vAlign w:val="center"/>
                </w:tcPr>
                <w:p w14:paraId="20F1ED5D">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t>13</w:t>
                  </w:r>
                </w:p>
              </w:tc>
              <w:tc>
                <w:tcPr>
                  <w:tcW w:w="966" w:type="pct"/>
                  <w:noWrap w:val="0"/>
                  <w:vAlign w:val="center"/>
                </w:tcPr>
                <w:p w14:paraId="51FCC404">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颗粒物</w:t>
                  </w:r>
                </w:p>
              </w:tc>
              <w:tc>
                <w:tcPr>
                  <w:tcW w:w="1013" w:type="pct"/>
                  <w:noWrap w:val="0"/>
                  <w:vAlign w:val="center"/>
                </w:tcPr>
                <w:p w14:paraId="50504513">
                  <w:pPr>
                    <w:adjustRightInd w:val="0"/>
                    <w:snapToGrid w:val="0"/>
                    <w:spacing w:line="240" w:lineRule="auto"/>
                    <w:jc w:val="cente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w:t>
                  </w:r>
                </w:p>
              </w:tc>
              <w:tc>
                <w:tcPr>
                  <w:tcW w:w="1353" w:type="pct"/>
                  <w:noWrap w:val="0"/>
                  <w:vAlign w:val="center"/>
                </w:tcPr>
                <w:p w14:paraId="5944E09A">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排放口AD013</w:t>
                  </w:r>
                </w:p>
              </w:tc>
              <w:tc>
                <w:tcPr>
                  <w:tcW w:w="1115" w:type="pct"/>
                  <w:shd w:val="clear" w:color="auto" w:fill="auto"/>
                  <w:noWrap w:val="0"/>
                  <w:vAlign w:val="center"/>
                </w:tcPr>
                <w:p w14:paraId="08F8225E">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w:t>
                  </w:r>
                  <w:r>
                    <w:rPr>
                      <w:rFonts w:hint="eastAsia" w:cs="Times New Roman"/>
                      <w:b w:val="0"/>
                      <w:bCs w:val="0"/>
                      <w:color w:val="000000" w:themeColor="text1"/>
                      <w:sz w:val="21"/>
                      <w:szCs w:val="21"/>
                      <w:highlight w:val="none"/>
                      <w:lang w:val="en-US" w:eastAsia="zh-CN"/>
                      <w14:textFill>
                        <w14:solidFill>
                          <w14:schemeClr w14:val="tx1"/>
                        </w14:solidFill>
                      </w14:textFill>
                    </w:rPr>
                    <w:t>0</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w:t>
                  </w:r>
                </w:p>
              </w:tc>
            </w:tr>
            <w:tr w14:paraId="5AD7D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noWrap w:val="0"/>
                  <w:vAlign w:val="center"/>
                </w:tcPr>
                <w:p w14:paraId="3F341405">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14</w:t>
                  </w:r>
                </w:p>
              </w:tc>
              <w:tc>
                <w:tcPr>
                  <w:tcW w:w="966" w:type="pct"/>
                  <w:shd w:val="clear" w:color="auto" w:fill="auto"/>
                  <w:noWrap w:val="0"/>
                  <w:vAlign w:val="center"/>
                </w:tcPr>
                <w:p w14:paraId="71890301">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颗粒物</w:t>
                  </w:r>
                </w:p>
              </w:tc>
              <w:tc>
                <w:tcPr>
                  <w:tcW w:w="1013" w:type="pct"/>
                  <w:shd w:val="clear" w:color="auto" w:fill="auto"/>
                  <w:noWrap w:val="0"/>
                  <w:vAlign w:val="center"/>
                </w:tcPr>
                <w:p w14:paraId="482450F4">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w:t>
                  </w:r>
                </w:p>
              </w:tc>
              <w:tc>
                <w:tcPr>
                  <w:tcW w:w="1353" w:type="pct"/>
                  <w:shd w:val="clear" w:color="auto" w:fill="auto"/>
                  <w:noWrap w:val="0"/>
                  <w:vAlign w:val="center"/>
                </w:tcPr>
                <w:p w14:paraId="47AB9F71">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排放口AD01</w:t>
                  </w:r>
                  <w:r>
                    <w:rPr>
                      <w:rFonts w:hint="eastAsia" w:cs="Times New Roman"/>
                      <w:color w:val="000000" w:themeColor="text1"/>
                      <w:sz w:val="21"/>
                      <w:szCs w:val="21"/>
                      <w:highlight w:val="none"/>
                      <w:vertAlign w:val="baseline"/>
                      <w:lang w:val="en-US" w:eastAsia="zh-CN"/>
                      <w14:textFill>
                        <w14:solidFill>
                          <w14:schemeClr w14:val="tx1"/>
                        </w14:solidFill>
                      </w14:textFill>
                    </w:rPr>
                    <w:t>4</w:t>
                  </w:r>
                </w:p>
              </w:tc>
              <w:tc>
                <w:tcPr>
                  <w:tcW w:w="1115" w:type="pct"/>
                  <w:shd w:val="clear" w:color="auto" w:fill="auto"/>
                  <w:noWrap w:val="0"/>
                  <w:vAlign w:val="center"/>
                </w:tcPr>
                <w:p w14:paraId="1162C4A2">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w:t>
                  </w: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04</w:t>
                  </w:r>
                </w:p>
              </w:tc>
            </w:tr>
            <w:tr w14:paraId="2378F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2" w:type="pct"/>
                  <w:shd w:val="clear" w:color="auto" w:fill="auto"/>
                  <w:noWrap w:val="0"/>
                  <w:vAlign w:val="center"/>
                </w:tcPr>
                <w:p w14:paraId="688F0D98">
                  <w:pPr>
                    <w:adjustRightInd w:val="0"/>
                    <w:snapToGrid w:val="0"/>
                    <w:spacing w:line="240" w:lineRule="auto"/>
                    <w:jc w:val="center"/>
                    <w:rPr>
                      <w:rFonts w:hint="eastAsia"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color w:val="000000" w:themeColor="text1"/>
                      <w:kern w:val="2"/>
                      <w:sz w:val="21"/>
                      <w:szCs w:val="21"/>
                      <w:highlight w:val="none"/>
                      <w:vertAlign w:val="baseline"/>
                      <w:lang w:val="en-US" w:eastAsia="zh-CN" w:bidi="ar-SA"/>
                      <w14:textFill>
                        <w14:solidFill>
                          <w14:schemeClr w14:val="tx1"/>
                        </w14:solidFill>
                      </w14:textFill>
                    </w:rPr>
                    <w:t>15</w:t>
                  </w:r>
                </w:p>
              </w:tc>
              <w:tc>
                <w:tcPr>
                  <w:tcW w:w="966" w:type="pct"/>
                  <w:shd w:val="clear" w:color="auto" w:fill="auto"/>
                  <w:noWrap w:val="0"/>
                  <w:vAlign w:val="center"/>
                </w:tcPr>
                <w:p w14:paraId="4E05E08E">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颗粒物</w:t>
                  </w:r>
                </w:p>
              </w:tc>
              <w:tc>
                <w:tcPr>
                  <w:tcW w:w="1013" w:type="pct"/>
                  <w:shd w:val="clear" w:color="auto" w:fill="auto"/>
                  <w:noWrap w:val="0"/>
                  <w:vAlign w:val="center"/>
                </w:tcPr>
                <w:p w14:paraId="202B6907">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有组织</w:t>
                  </w:r>
                </w:p>
              </w:tc>
              <w:tc>
                <w:tcPr>
                  <w:tcW w:w="1353" w:type="pct"/>
                  <w:shd w:val="clear" w:color="auto" w:fill="auto"/>
                  <w:noWrap w:val="0"/>
                  <w:vAlign w:val="center"/>
                </w:tcPr>
                <w:p w14:paraId="4FC4D44F">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排放口AD01</w:t>
                  </w:r>
                  <w:r>
                    <w:rPr>
                      <w:rFonts w:hint="eastAsia" w:cs="Times New Roman"/>
                      <w:color w:val="000000" w:themeColor="text1"/>
                      <w:sz w:val="21"/>
                      <w:szCs w:val="21"/>
                      <w:highlight w:val="none"/>
                      <w:vertAlign w:val="baseline"/>
                      <w:lang w:val="en-US" w:eastAsia="zh-CN"/>
                      <w14:textFill>
                        <w14:solidFill>
                          <w14:schemeClr w14:val="tx1"/>
                        </w14:solidFill>
                      </w14:textFill>
                    </w:rPr>
                    <w:t>5</w:t>
                  </w:r>
                </w:p>
              </w:tc>
              <w:tc>
                <w:tcPr>
                  <w:tcW w:w="1115" w:type="pct"/>
                  <w:shd w:val="clear" w:color="auto" w:fill="auto"/>
                  <w:noWrap w:val="0"/>
                  <w:vAlign w:val="center"/>
                </w:tcPr>
                <w:p w14:paraId="600DB617">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w:t>
                  </w: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002</w:t>
                  </w:r>
                </w:p>
              </w:tc>
            </w:tr>
          </w:tbl>
          <w:p w14:paraId="72EE48D2">
            <w:pPr>
              <w:adjustRightInd w:val="0"/>
              <w:snapToGrid w:val="0"/>
              <w:spacing w:line="360" w:lineRule="auto"/>
              <w:ind w:firstLine="480" w:firstLineChars="200"/>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根据上表可知，本项目废气</w:t>
            </w:r>
            <w:r>
              <w:rPr>
                <w:rFonts w:hint="eastAsia" w:cs="Times New Roman"/>
                <w:color w:val="000000" w:themeColor="text1"/>
                <w:sz w:val="24"/>
                <w:highlight w:val="none"/>
                <w:lang w:val="en-US" w:eastAsia="zh-CN"/>
                <w14:textFill>
                  <w14:solidFill>
                    <w14:schemeClr w14:val="tx1"/>
                  </w14:solidFill>
                </w14:textFill>
              </w:rPr>
              <w:t>污染物</w:t>
            </w:r>
            <w:r>
              <w:rPr>
                <w:rFonts w:hint="default" w:ascii="Times New Roman" w:hAnsi="Times New Roman" w:eastAsia="宋体" w:cs="Times New Roman"/>
                <w:color w:val="000000" w:themeColor="text1"/>
                <w:sz w:val="24"/>
                <w:highlight w:val="none"/>
                <w14:textFill>
                  <w14:solidFill>
                    <w14:schemeClr w14:val="tx1"/>
                  </w14:solidFill>
                </w14:textFill>
              </w:rPr>
              <w:t>为颗粒物、NOx、SO</w:t>
            </w:r>
            <w:r>
              <w:rPr>
                <w:rFonts w:hint="default" w:ascii="Times New Roman" w:hAnsi="Times New Roman" w:eastAsia="宋体" w:cs="Times New Roman"/>
                <w:color w:val="000000" w:themeColor="text1"/>
                <w:sz w:val="24"/>
                <w:highlight w:val="none"/>
                <w:vertAlign w:val="subscript"/>
                <w14:textFill>
                  <w14:solidFill>
                    <w14:schemeClr w14:val="tx1"/>
                  </w14:solidFill>
                </w14:textFill>
              </w:rPr>
              <w:t>2</w:t>
            </w:r>
            <w:r>
              <w:rPr>
                <w:rFonts w:hint="eastAsia" w:cs="Times New Roman"/>
                <w:color w:val="000000" w:themeColor="text1"/>
                <w:sz w:val="24"/>
                <w:highlight w:val="none"/>
                <w:vertAlign w:val="baseline"/>
                <w:lang w:eastAsia="zh-CN"/>
                <w14:textFill>
                  <w14:solidFill>
                    <w14:schemeClr w14:val="tx1"/>
                  </w14:solidFill>
                </w14:textFill>
              </w:rPr>
              <w:t>、</w:t>
            </w:r>
            <w:r>
              <w:rPr>
                <w:rFonts w:hint="eastAsia" w:cs="Times New Roman"/>
                <w:color w:val="000000" w:themeColor="text1"/>
                <w:sz w:val="24"/>
                <w:highlight w:val="none"/>
                <w:vertAlign w:val="baseline"/>
                <w:lang w:val="en-US" w:eastAsia="zh-CN"/>
                <w14:textFill>
                  <w14:solidFill>
                    <w14:schemeClr w14:val="tx1"/>
                  </w14:solidFill>
                </w14:textFill>
              </w:rPr>
              <w:t>氨气</w:t>
            </w:r>
            <w:r>
              <w:rPr>
                <w:rFonts w:hint="eastAsia" w:cs="Times New Roman"/>
                <w:color w:val="000000" w:themeColor="text1"/>
                <w:sz w:val="24"/>
                <w:highlight w:val="none"/>
                <w:vertAlign w:val="baseli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排放量分别为</w:t>
            </w:r>
            <w:r>
              <w:rPr>
                <w:rFonts w:hint="eastAsia" w:cs="Times New Roman"/>
                <w:color w:val="000000" w:themeColor="text1"/>
                <w:sz w:val="24"/>
                <w:highlight w:val="none"/>
                <w:lang w:val="en-US" w:eastAsia="zh-CN"/>
                <w14:textFill>
                  <w14:solidFill>
                    <w14:schemeClr w14:val="tx1"/>
                  </w14:solidFill>
                </w14:textFill>
              </w:rPr>
              <w:t>11.052</w:t>
            </w:r>
            <w:r>
              <w:rPr>
                <w:rFonts w:hint="default" w:ascii="Times New Roman" w:hAnsi="Times New Roman" w:eastAsia="宋体" w:cs="Times New Roman"/>
                <w:color w:val="000000" w:themeColor="text1"/>
                <w:sz w:val="24"/>
                <w:highlight w:val="none"/>
                <w14:textFill>
                  <w14:solidFill>
                    <w14:schemeClr w14:val="tx1"/>
                  </w14:solidFill>
                </w14:textFill>
              </w:rPr>
              <w:t>t/a、</w:t>
            </w:r>
            <w:r>
              <w:rPr>
                <w:rFonts w:hint="eastAsia" w:cs="Times New Roman"/>
                <w:color w:val="000000" w:themeColor="text1"/>
                <w:sz w:val="24"/>
                <w:highlight w:val="none"/>
                <w:lang w:val="en-US" w:eastAsia="zh-CN"/>
                <w14:textFill>
                  <w14:solidFill>
                    <w14:schemeClr w14:val="tx1"/>
                  </w14:solidFill>
                </w14:textFill>
              </w:rPr>
              <w:t>94t</w:t>
            </w:r>
            <w:r>
              <w:rPr>
                <w:rFonts w:hint="default" w:ascii="Times New Roman" w:hAnsi="Times New Roman" w:eastAsia="宋体" w:cs="Times New Roman"/>
                <w:color w:val="000000" w:themeColor="text1"/>
                <w:sz w:val="24"/>
                <w:highlight w:val="none"/>
                <w14:textFill>
                  <w14:solidFill>
                    <w14:schemeClr w14:val="tx1"/>
                  </w14:solidFill>
                </w14:textFill>
              </w:rPr>
              <w:t>/a、</w:t>
            </w:r>
            <w:r>
              <w:rPr>
                <w:rFonts w:hint="eastAsia" w:cs="Times New Roman"/>
                <w:color w:val="000000" w:themeColor="text1"/>
                <w:sz w:val="24"/>
                <w:highlight w:val="none"/>
                <w:lang w:val="en-US" w:eastAsia="zh-CN"/>
                <w14:textFill>
                  <w14:solidFill>
                    <w14:schemeClr w14:val="tx1"/>
                  </w14:solidFill>
                </w14:textFill>
              </w:rPr>
              <w:t>39.44t</w:t>
            </w:r>
            <w:r>
              <w:rPr>
                <w:rFonts w:hint="default" w:ascii="Times New Roman" w:hAnsi="Times New Roman" w:eastAsia="宋体" w:cs="Times New Roman"/>
                <w:color w:val="000000" w:themeColor="text1"/>
                <w:sz w:val="24"/>
                <w:highlight w:val="none"/>
                <w14:textFill>
                  <w14:solidFill>
                    <w14:schemeClr w14:val="tx1"/>
                  </w14:solidFill>
                </w14:textFill>
              </w:rPr>
              <w:t>/a</w:t>
            </w:r>
            <w:r>
              <w:rPr>
                <w:rFonts w:hint="eastAsia" w:cs="Times New Roman"/>
                <w:color w:val="000000" w:themeColor="text1"/>
                <w:sz w:val="24"/>
                <w:highlight w:val="none"/>
                <w:lang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3.6t/a</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p>
          <w:p w14:paraId="47618164">
            <w:pPr>
              <w:numPr>
                <w:ilvl w:val="0"/>
                <w:numId w:val="3"/>
              </w:numPr>
              <w:adjustRightInd w:val="0"/>
              <w:snapToGrid w:val="0"/>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废水总量控制目标值</w:t>
            </w:r>
          </w:p>
          <w:p w14:paraId="7D8134A7">
            <w:pPr>
              <w:numPr>
                <w:ilvl w:val="0"/>
                <w:numId w:val="0"/>
              </w:numPr>
              <w:adjustRightInd w:val="0"/>
              <w:snapToGrid w:val="0"/>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本项目建</w:t>
            </w:r>
            <w:r>
              <w:rPr>
                <w:rFonts w:hint="eastAsia" w:cs="Times New Roman"/>
                <w:color w:val="000000" w:themeColor="text1"/>
                <w:sz w:val="24"/>
                <w:highlight w:val="none"/>
                <w:lang w:eastAsia="zh-CN"/>
                <w14:textFill>
                  <w14:solidFill>
                    <w14:schemeClr w14:val="tx1"/>
                  </w14:solidFill>
                </w14:textFill>
              </w:rPr>
              <w:t>成后</w:t>
            </w:r>
            <w:r>
              <w:rPr>
                <w:rFonts w:hint="default" w:ascii="Times New Roman" w:hAnsi="Times New Roman" w:eastAsia="宋体" w:cs="Times New Roman"/>
                <w:color w:val="000000" w:themeColor="text1"/>
                <w:sz w:val="24"/>
                <w:highlight w:val="none"/>
                <w14:textFill>
                  <w14:solidFill>
                    <w14:schemeClr w14:val="tx1"/>
                  </w14:solidFill>
                </w14:textFill>
              </w:rPr>
              <w:t>，项目生产</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辅助工程排水</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通过</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罐车拉运至园区生产废水处理厂处理</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生活污水经厂区</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防渗</w:t>
            </w:r>
            <w:r>
              <w:rPr>
                <w:rFonts w:hint="default" w:ascii="Times New Roman" w:hAnsi="Times New Roman" w:eastAsia="宋体" w:cs="Times New Roman"/>
                <w:color w:val="000000" w:themeColor="text1"/>
                <w:sz w:val="24"/>
                <w:highlight w:val="none"/>
                <w14:textFill>
                  <w14:solidFill>
                    <w14:schemeClr w14:val="tx1"/>
                  </w14:solidFill>
                </w14:textFill>
              </w:rPr>
              <w:t>化粪池处理后</w:t>
            </w:r>
            <w:r>
              <w:rPr>
                <w:rFonts w:hint="eastAsia" w:cs="Times New Roman"/>
                <w:color w:val="000000" w:themeColor="text1"/>
                <w:sz w:val="24"/>
                <w:szCs w:val="24"/>
                <w:highlight w:val="none"/>
                <w:lang w:val="en-US" w:eastAsia="zh-CN"/>
                <w14:textFill>
                  <w14:solidFill>
                    <w14:schemeClr w14:val="tx1"/>
                  </w14:solidFill>
                </w14:textFill>
              </w:rPr>
              <w:t>罐车拉运至</w:t>
            </w:r>
            <w:r>
              <w:rPr>
                <w:rFonts w:hint="default" w:ascii="Times New Roman" w:hAnsi="Times New Roman" w:eastAsia="宋体" w:cs="Times New Roman"/>
                <w:color w:val="000000" w:themeColor="text1"/>
                <w:sz w:val="24"/>
                <w:highlight w:val="none"/>
                <w14:textFill>
                  <w14:solidFill>
                    <w14:schemeClr w14:val="tx1"/>
                  </w14:solidFill>
                </w14:textFill>
              </w:rPr>
              <w:t>园</w:t>
            </w:r>
            <w:r>
              <w:rPr>
                <w:rFonts w:hint="eastAsia" w:cs="Times New Roman"/>
                <w:color w:val="000000" w:themeColor="text1"/>
                <w:sz w:val="24"/>
                <w:highlight w:val="none"/>
                <w:lang w:val="en-US" w:eastAsia="zh-CN"/>
                <w14:textFill>
                  <w14:solidFill>
                    <w14:schemeClr w14:val="tx1"/>
                  </w14:solidFill>
                </w14:textFill>
              </w:rPr>
              <w:t>区</w:t>
            </w:r>
            <w:r>
              <w:rPr>
                <w:rFonts w:hint="default" w:ascii="Times New Roman" w:hAnsi="Times New Roman" w:eastAsia="宋体" w:cs="Times New Roman"/>
                <w:color w:val="000000" w:themeColor="text1"/>
                <w:sz w:val="24"/>
                <w:highlight w:val="none"/>
                <w14:textFill>
                  <w14:solidFill>
                    <w14:schemeClr w14:val="tx1"/>
                  </w14:solidFill>
                </w14:textFill>
              </w:rPr>
              <w:t>污水处理厂处理</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总量已包含在污水处理厂总量指标中，不需要进行申请。</w:t>
            </w:r>
          </w:p>
          <w:p w14:paraId="6155D567">
            <w:pPr>
              <w:numPr>
                <w:ilvl w:val="0"/>
                <w:numId w:val="3"/>
              </w:numPr>
              <w:adjustRightInd w:val="0"/>
              <w:snapToGrid w:val="0"/>
              <w:spacing w:line="360" w:lineRule="auto"/>
              <w:ind w:left="0" w:leftChars="0"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污染物总量控制</w:t>
            </w:r>
          </w:p>
          <w:p w14:paraId="1807A709">
            <w:pPr>
              <w:adjustRightInd w:val="0"/>
              <w:snapToGrid w:val="0"/>
              <w:spacing w:line="360" w:lineRule="auto"/>
              <w:ind w:firstLine="480" w:firstLineChars="200"/>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本项目大气污染物排放总量指标为氮氧化物</w:t>
            </w:r>
            <w:r>
              <w:rPr>
                <w:rFonts w:hint="eastAsia" w:cs="Times New Roman"/>
                <w:color w:val="000000" w:themeColor="text1"/>
                <w:sz w:val="24"/>
                <w:highlight w:val="none"/>
                <w:lang w:val="en-US" w:eastAsia="zh-CN"/>
                <w14:textFill>
                  <w14:solidFill>
                    <w14:schemeClr w14:val="tx1"/>
                  </w14:solidFill>
                </w14:textFill>
              </w:rPr>
              <w:t>94</w:t>
            </w:r>
            <w:r>
              <w:rPr>
                <w:rFonts w:hint="default" w:ascii="Times New Roman" w:hAnsi="Times New Roman" w:eastAsia="宋体" w:cs="Times New Roman"/>
                <w:color w:val="000000" w:themeColor="text1"/>
                <w:sz w:val="24"/>
                <w:highlight w:val="none"/>
                <w14:textFill>
                  <w14:solidFill>
                    <w14:schemeClr w14:val="tx1"/>
                  </w14:solidFill>
                </w14:textFill>
              </w:rPr>
              <w:t>t/a</w:t>
            </w:r>
            <w:r>
              <w:rPr>
                <w:rFonts w:hint="eastAsia" w:cs="Times New Roman"/>
                <w:color w:val="000000" w:themeColor="text1"/>
                <w:sz w:val="24"/>
                <w:highlight w:val="none"/>
                <w:lang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二氧化硫39.44t/a</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废水总量控制指标为：</w:t>
            </w:r>
            <w:r>
              <w:rPr>
                <w:rFonts w:hint="eastAsia" w:cs="Times New Roman"/>
                <w:color w:val="000000" w:themeColor="text1"/>
                <w:sz w:val="24"/>
                <w:highlight w:val="none"/>
                <w:lang w:val="en-US" w:eastAsia="zh-CN"/>
                <w14:textFill>
                  <w14:solidFill>
                    <w14:schemeClr w14:val="tx1"/>
                  </w14:solidFill>
                </w14:textFill>
              </w:rPr>
              <w:t>COD</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0t/a、氨氮</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t/a。</w:t>
            </w:r>
          </w:p>
        </w:tc>
      </w:tr>
    </w:tbl>
    <w:p w14:paraId="7C5BB28B">
      <w:pPr>
        <w:pStyle w:val="20"/>
        <w:outlineLvl w:val="0"/>
        <w:rPr>
          <w:rFonts w:ascii="Times New Roman" w:hAnsi="Times New Roman" w:eastAsia="黑体"/>
          <w:snapToGrid w:val="0"/>
          <w:color w:val="000000" w:themeColor="text1"/>
          <w:sz w:val="30"/>
          <w:szCs w:val="30"/>
          <w:highlight w:val="none"/>
          <w14:textFill>
            <w14:solidFill>
              <w14:schemeClr w14:val="tx1"/>
            </w14:solidFill>
          </w14:textFill>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730067D4">
      <w:pPr>
        <w:pStyle w:val="20"/>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firstLine="0" w:firstLineChars="0"/>
        <w:jc w:val="center"/>
        <w:textAlignment w:val="auto"/>
        <w:outlineLvl w:val="0"/>
        <w:rPr>
          <w:rFonts w:ascii="Times New Roman" w:hAnsi="Times New Roman" w:eastAsia="黑体" w:cs="Times New Roman"/>
          <w:snapToGrid w:val="0"/>
          <w:color w:val="000000" w:themeColor="text1"/>
          <w:sz w:val="30"/>
          <w:szCs w:val="30"/>
          <w:highlight w:val="none"/>
          <w14:textFill>
            <w14:solidFill>
              <w14:schemeClr w14:val="tx1"/>
            </w14:solidFill>
          </w14:textFill>
        </w:rPr>
      </w:pPr>
      <w:r>
        <w:rPr>
          <w:rFonts w:ascii="Times New Roman" w:hAnsi="Times New Roman" w:eastAsia="黑体" w:cs="Times New Roman"/>
          <w:snapToGrid w:val="0"/>
          <w:color w:val="000000" w:themeColor="text1"/>
          <w:sz w:val="30"/>
          <w:szCs w:val="30"/>
          <w:highlight w:val="none"/>
          <w14:textFill>
            <w14:solidFill>
              <w14:schemeClr w14:val="tx1"/>
            </w14:solidFill>
          </w14:textFill>
        </w:rPr>
        <w:t>四、主要环境影响和保护措施</w:t>
      </w:r>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8172"/>
      </w:tblGrid>
      <w:tr w14:paraId="0F3973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40" w:hRule="atLeast"/>
          <w:jc w:val="center"/>
        </w:trPr>
        <w:tc>
          <w:tcPr>
            <w:tcW w:w="746" w:type="dxa"/>
            <w:noWrap w:val="0"/>
            <w:tcMar>
              <w:left w:w="28" w:type="dxa"/>
              <w:right w:w="28" w:type="dxa"/>
            </w:tcMar>
            <w:vAlign w:val="center"/>
          </w:tcPr>
          <w:p w14:paraId="02B1E377">
            <w:pPr>
              <w:pStyle w:val="20"/>
              <w:adjustRightInd w:val="0"/>
              <w:snapToGrid w:val="0"/>
              <w:spacing w:before="0" w:beforeAutospacing="0" w:after="0" w:afterAutospacing="0"/>
              <w:jc w:val="center"/>
              <w:rPr>
                <w:rFonts w:hint="default" w:ascii="Times New Roman" w:hAnsi="Times New Roman" w:cs="Times New Roman"/>
                <w:b/>
                <w:bCs/>
                <w:color w:val="000000" w:themeColor="text1"/>
                <w:kern w:val="2"/>
                <w:szCs w:val="24"/>
                <w:highlight w:val="none"/>
                <w14:textFill>
                  <w14:solidFill>
                    <w14:schemeClr w14:val="tx1"/>
                  </w14:solidFill>
                </w14:textFill>
              </w:rPr>
            </w:pPr>
            <w:r>
              <w:rPr>
                <w:rFonts w:hint="default" w:ascii="Times New Roman" w:hAnsi="Times New Roman" w:cs="Times New Roman"/>
                <w:b/>
                <w:bCs/>
                <w:color w:val="000000" w:themeColor="text1"/>
                <w:kern w:val="2"/>
                <w:szCs w:val="24"/>
                <w:highlight w:val="none"/>
                <w14:textFill>
                  <w14:solidFill>
                    <w14:schemeClr w14:val="tx1"/>
                  </w14:solidFill>
                </w14:textFill>
              </w:rPr>
              <w:t>施工</w:t>
            </w:r>
          </w:p>
          <w:p w14:paraId="7952ADA8">
            <w:pPr>
              <w:pStyle w:val="20"/>
              <w:adjustRightInd w:val="0"/>
              <w:snapToGrid w:val="0"/>
              <w:spacing w:before="0" w:beforeAutospacing="0" w:after="0" w:afterAutospacing="0"/>
              <w:jc w:val="center"/>
              <w:rPr>
                <w:rFonts w:hint="default" w:ascii="Times New Roman" w:hAnsi="Times New Roman" w:cs="Times New Roman"/>
                <w:b/>
                <w:bCs/>
                <w:color w:val="000000" w:themeColor="text1"/>
                <w:kern w:val="2"/>
                <w:szCs w:val="24"/>
                <w:highlight w:val="none"/>
                <w14:textFill>
                  <w14:solidFill>
                    <w14:schemeClr w14:val="tx1"/>
                  </w14:solidFill>
                </w14:textFill>
              </w:rPr>
            </w:pPr>
            <w:r>
              <w:rPr>
                <w:rFonts w:hint="default" w:ascii="Times New Roman" w:hAnsi="Times New Roman" w:cs="Times New Roman"/>
                <w:b/>
                <w:bCs/>
                <w:color w:val="000000" w:themeColor="text1"/>
                <w:kern w:val="2"/>
                <w:szCs w:val="24"/>
                <w:highlight w:val="none"/>
                <w14:textFill>
                  <w14:solidFill>
                    <w14:schemeClr w14:val="tx1"/>
                  </w14:solidFill>
                </w14:textFill>
              </w:rPr>
              <w:t>期环</w:t>
            </w:r>
          </w:p>
          <w:p w14:paraId="1FB108E3">
            <w:pPr>
              <w:pStyle w:val="20"/>
              <w:adjustRightInd w:val="0"/>
              <w:snapToGrid w:val="0"/>
              <w:spacing w:before="0" w:beforeAutospacing="0" w:after="0" w:afterAutospacing="0"/>
              <w:jc w:val="center"/>
              <w:rPr>
                <w:rFonts w:hint="default" w:ascii="Times New Roman" w:hAnsi="Times New Roman" w:cs="Times New Roman"/>
                <w:b/>
                <w:bCs/>
                <w:color w:val="000000" w:themeColor="text1"/>
                <w:kern w:val="2"/>
                <w:szCs w:val="24"/>
                <w:highlight w:val="none"/>
                <w14:textFill>
                  <w14:solidFill>
                    <w14:schemeClr w14:val="tx1"/>
                  </w14:solidFill>
                </w14:textFill>
              </w:rPr>
            </w:pPr>
            <w:r>
              <w:rPr>
                <w:rFonts w:hint="default" w:ascii="Times New Roman" w:hAnsi="Times New Roman" w:cs="Times New Roman"/>
                <w:b/>
                <w:bCs/>
                <w:color w:val="000000" w:themeColor="text1"/>
                <w:kern w:val="2"/>
                <w:szCs w:val="24"/>
                <w:highlight w:val="none"/>
                <w14:textFill>
                  <w14:solidFill>
                    <w14:schemeClr w14:val="tx1"/>
                  </w14:solidFill>
                </w14:textFill>
              </w:rPr>
              <w:t>境保</w:t>
            </w:r>
          </w:p>
          <w:p w14:paraId="00C78BAA">
            <w:pPr>
              <w:pStyle w:val="20"/>
              <w:adjustRightInd w:val="0"/>
              <w:snapToGrid w:val="0"/>
              <w:spacing w:before="0" w:beforeAutospacing="0" w:after="0" w:afterAutospacing="0"/>
              <w:jc w:val="center"/>
              <w:rPr>
                <w:rFonts w:hint="default" w:ascii="Times New Roman" w:hAnsi="Times New Roman" w:cs="Times New Roman"/>
                <w:b/>
                <w:bCs/>
                <w:color w:val="000000" w:themeColor="text1"/>
                <w:kern w:val="2"/>
                <w:szCs w:val="24"/>
                <w:highlight w:val="none"/>
                <w14:textFill>
                  <w14:solidFill>
                    <w14:schemeClr w14:val="tx1"/>
                  </w14:solidFill>
                </w14:textFill>
              </w:rPr>
            </w:pPr>
            <w:r>
              <w:rPr>
                <w:rFonts w:hint="default" w:ascii="Times New Roman" w:hAnsi="Times New Roman" w:cs="Times New Roman"/>
                <w:b/>
                <w:bCs/>
                <w:color w:val="000000" w:themeColor="text1"/>
                <w:kern w:val="2"/>
                <w:szCs w:val="24"/>
                <w:highlight w:val="none"/>
                <w14:textFill>
                  <w14:solidFill>
                    <w14:schemeClr w14:val="tx1"/>
                  </w14:solidFill>
                </w14:textFill>
              </w:rPr>
              <w:t>护措</w:t>
            </w:r>
          </w:p>
          <w:p w14:paraId="2FC9A02E">
            <w:pPr>
              <w:pStyle w:val="20"/>
              <w:adjustRightInd w:val="0"/>
              <w:snapToGrid w:val="0"/>
              <w:spacing w:before="0" w:beforeAutospacing="0" w:after="0" w:afterAutospacing="0"/>
              <w:jc w:val="center"/>
              <w:rPr>
                <w:rFonts w:hint="default" w:ascii="Times New Roman" w:hAnsi="Times New Roman" w:cs="Times New Roman"/>
                <w:bCs/>
                <w:color w:val="000000" w:themeColor="text1"/>
                <w:kern w:val="2"/>
                <w:sz w:val="21"/>
                <w:szCs w:val="21"/>
                <w:highlight w:val="none"/>
                <w14:textFill>
                  <w14:solidFill>
                    <w14:schemeClr w14:val="tx1"/>
                  </w14:solidFill>
                </w14:textFill>
              </w:rPr>
            </w:pPr>
            <w:r>
              <w:rPr>
                <w:rFonts w:hint="default" w:ascii="Times New Roman" w:hAnsi="Times New Roman" w:cs="Times New Roman"/>
                <w:b/>
                <w:bCs/>
                <w:color w:val="000000" w:themeColor="text1"/>
                <w:kern w:val="2"/>
                <w:szCs w:val="24"/>
                <w:highlight w:val="none"/>
                <w14:textFill>
                  <w14:solidFill>
                    <w14:schemeClr w14:val="tx1"/>
                  </w14:solidFill>
                </w14:textFill>
              </w:rPr>
              <w:t>施</w:t>
            </w:r>
          </w:p>
        </w:tc>
        <w:tc>
          <w:tcPr>
            <w:tcW w:w="8162" w:type="dxa"/>
            <w:noWrap w:val="0"/>
            <w:vAlign w:val="center"/>
          </w:tcPr>
          <w:p w14:paraId="312545C6">
            <w:pPr>
              <w:pStyle w:val="14"/>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1.</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大气环境保护措施</w:t>
            </w:r>
          </w:p>
          <w:p w14:paraId="672DEE6D">
            <w:pPr>
              <w:adjustRightInd w:val="0"/>
              <w:snapToGrid w:val="0"/>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粉尘防治措施分析</w:t>
            </w:r>
          </w:p>
          <w:p w14:paraId="33A8143F">
            <w:pPr>
              <w:adjustRightInd w:val="0"/>
              <w:snapToGrid w:val="0"/>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①施工场地四周设置围栏，当起风时，可使影响距离缩短；</w:t>
            </w:r>
          </w:p>
          <w:p w14:paraId="0C4D70FD">
            <w:pPr>
              <w:adjustRightInd w:val="0"/>
              <w:snapToGrid w:val="0"/>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②开挖、钻孔等过程，应洒水使作业面保持一定的湿度；对施工场地内松散、干涸的表土，经常洒水防止扬尘；</w:t>
            </w:r>
          </w:p>
          <w:p w14:paraId="6DEBF901">
            <w:pPr>
              <w:adjustRightInd w:val="0"/>
              <w:snapToGrid w:val="0"/>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③加强回填土方堆放场的管理，采取土方表面压实、定期喷水、覆盖等措施；不需要的泥土、建筑材料弃渣应及时运走；</w:t>
            </w:r>
          </w:p>
          <w:p w14:paraId="2BC08AC9">
            <w:pPr>
              <w:adjustRightInd w:val="0"/>
              <w:snapToGrid w:val="0"/>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④施工前对</w:t>
            </w:r>
            <w:r>
              <w:rPr>
                <w:rFonts w:hint="eastAsia" w:cs="Times New Roman"/>
                <w:color w:val="000000" w:themeColor="text1"/>
                <w:sz w:val="24"/>
                <w:highlight w:val="none"/>
                <w:lang w:eastAsia="zh-CN"/>
                <w14:textFill>
                  <w14:solidFill>
                    <w14:schemeClr w14:val="tx1"/>
                  </w14:solidFill>
                </w14:textFill>
              </w:rPr>
              <w:t>进场</w:t>
            </w:r>
            <w:r>
              <w:rPr>
                <w:rFonts w:hint="default" w:ascii="Times New Roman" w:hAnsi="Times New Roman" w:eastAsia="宋体" w:cs="Times New Roman"/>
                <w:color w:val="000000" w:themeColor="text1"/>
                <w:sz w:val="24"/>
                <w:highlight w:val="none"/>
                <w14:textFill>
                  <w14:solidFill>
                    <w14:schemeClr w14:val="tx1"/>
                  </w14:solidFill>
                </w14:textFill>
              </w:rPr>
              <w:t>道路路面进行硬化，同时应</w:t>
            </w:r>
            <w:r>
              <w:rPr>
                <w:rFonts w:hint="eastAsia" w:cs="Times New Roman"/>
                <w:color w:val="000000" w:themeColor="text1"/>
                <w:sz w:val="24"/>
                <w:highlight w:val="none"/>
                <w:lang w:eastAsia="zh-CN"/>
                <w14:textFill>
                  <w14:solidFill>
                    <w14:schemeClr w14:val="tx1"/>
                  </w14:solidFill>
                </w14:textFill>
              </w:rPr>
              <w:t>限制</w:t>
            </w:r>
            <w:r>
              <w:rPr>
                <w:rFonts w:hint="default" w:ascii="Times New Roman" w:hAnsi="Times New Roman" w:eastAsia="宋体" w:cs="Times New Roman"/>
                <w:color w:val="000000" w:themeColor="text1"/>
                <w:sz w:val="24"/>
                <w:highlight w:val="none"/>
                <w14:textFill>
                  <w14:solidFill>
                    <w14:schemeClr w14:val="tx1"/>
                  </w14:solidFill>
                </w14:textFill>
              </w:rPr>
              <w:t>车速，施工场地出口设水池，车辆驶出施工场地时经过水清洗后可清除车轮上所沾泥土，减少行驶产生的扬尘；</w:t>
            </w:r>
          </w:p>
          <w:p w14:paraId="7803F5C0">
            <w:pPr>
              <w:adjustRightInd w:val="0"/>
              <w:snapToGrid w:val="0"/>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⑤加强运输管理，如散货车不得超高超载、使用有盖的运输车辆，以免车辆颠簸物料洒出；水泥使用密封罐装运输车，装卸应有除尘装置，防止扬尘污染；化学物质的运输要防止泄漏；坚持文明装卸；</w:t>
            </w:r>
          </w:p>
          <w:p w14:paraId="5FCFDC6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⑥施工单位必须加强施工区域的管理。建筑材料的堆场以及</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混凝土搅拌机</w:t>
            </w:r>
            <w:r>
              <w:rPr>
                <w:rFonts w:hint="default" w:ascii="Times New Roman" w:hAnsi="Times New Roman" w:eastAsia="宋体" w:cs="Times New Roman"/>
                <w:color w:val="000000" w:themeColor="text1"/>
                <w:sz w:val="24"/>
                <w:highlight w:val="none"/>
                <w14:textFill>
                  <w14:solidFill>
                    <w14:schemeClr w14:val="tx1"/>
                  </w14:solidFill>
                </w14:textFill>
              </w:rPr>
              <w:t>定点定位，不宜设在居住区的上风向；根据风速，采取相应的防尘措施，对散料堆场采用水喷淋防尘，或用</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篷布</w:t>
            </w:r>
            <w:r>
              <w:rPr>
                <w:rFonts w:hint="default" w:ascii="Times New Roman" w:hAnsi="Times New Roman" w:eastAsia="宋体" w:cs="Times New Roman"/>
                <w:color w:val="000000" w:themeColor="text1"/>
                <w:sz w:val="24"/>
                <w:highlight w:val="none"/>
                <w14:textFill>
                  <w14:solidFill>
                    <w14:schemeClr w14:val="tx1"/>
                  </w14:solidFill>
                </w14:textFill>
              </w:rPr>
              <w:t>遮盖散料堆；</w:t>
            </w:r>
          </w:p>
          <w:p w14:paraId="16CAD14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⑦合理安排施工计划，根据平面布局，可以对场地局部提前进行绿化，改善生态景观，减轻扬尘环境影响；</w:t>
            </w:r>
          </w:p>
          <w:p w14:paraId="1F1FFBA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⑧挖掘土石方过程要遵守施工建筑规定及有关水土保持规定，尽力减</w:t>
            </w:r>
          </w:p>
          <w:p w14:paraId="6516DEC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轻植被破坏，减少扬尘，保护环境。</w:t>
            </w:r>
          </w:p>
          <w:p w14:paraId="2BAA3AA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车辆废气防治措施分析</w:t>
            </w:r>
          </w:p>
          <w:p w14:paraId="45555A3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加强对施工车辆的检修和维护，严禁使用超期服役和尾气超标的车辆。对施工期间进出施工现场车流量进行合理安排，防止施工现场车流量过大。尽可能使用耗油低，排气小的施工车辆，选用优质燃油，减少机械和车辆的有害废气排放。</w:t>
            </w:r>
          </w:p>
          <w:p w14:paraId="2F12FEED">
            <w:pPr>
              <w:pStyle w:val="14"/>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2.</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水环境保护措施</w:t>
            </w:r>
          </w:p>
          <w:p w14:paraId="3A30195F">
            <w:pPr>
              <w:adjustRightInd w:val="0"/>
              <w:snapToGrid w:val="0"/>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施工期废水来源于施工机械冲洗废水和施工阶段产生的泥浆废水。施工机械冲洗废水排放量小，冲洗废水主要是水泥碎粒、沙土构成的悬浮物污染；泥浆废水是一种含有微细颗粒的悬浮</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浑浊</w:t>
            </w:r>
            <w:r>
              <w:rPr>
                <w:rFonts w:hint="default" w:ascii="Times New Roman" w:hAnsi="Times New Roman" w:eastAsia="宋体" w:cs="Times New Roman"/>
                <w:color w:val="000000" w:themeColor="text1"/>
                <w:sz w:val="24"/>
                <w:highlight w:val="none"/>
                <w14:textFill>
                  <w14:solidFill>
                    <w14:schemeClr w14:val="tx1"/>
                  </w14:solidFill>
                </w14:textFill>
              </w:rPr>
              <w:t>液体，外观呈土灰色，比重1.20~1.46</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含泥量</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30%～50%，</w:t>
            </w:r>
            <w:r>
              <w:rPr>
                <w:rFonts w:hint="default" w:ascii="Times New Roman" w:hAnsi="Times New Roman" w:eastAsia="宋体" w:cs="Times New Roman"/>
                <w:color w:val="000000" w:themeColor="text1"/>
                <w:sz w:val="24"/>
                <w:highlight w:val="none"/>
                <w14:textFill>
                  <w14:solidFill>
                    <w14:schemeClr w14:val="tx1"/>
                  </w14:solidFill>
                </w14:textFill>
              </w:rPr>
              <w:t>pH值约6~7</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14:textFill>
                  <w14:solidFill>
                    <w14:schemeClr w14:val="tx1"/>
                  </w14:solidFill>
                </w14:textFill>
              </w:rPr>
              <w:t>经沉淀后全部回用。</w:t>
            </w:r>
          </w:p>
          <w:p w14:paraId="3A74C3E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pacing w:val="-7"/>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同时为了防止建筑施工对周围地下水体产生的石油类等的污染，建设单位应与施工单位</w:t>
            </w:r>
            <w:r>
              <w:rPr>
                <w:rFonts w:hint="eastAsia" w:cs="Times New Roman"/>
                <w:color w:val="000000" w:themeColor="text1"/>
                <w:sz w:val="24"/>
                <w:highlight w:val="none"/>
                <w:lang w:eastAsia="zh-CN"/>
                <w14:textFill>
                  <w14:solidFill>
                    <w14:schemeClr w14:val="tx1"/>
                  </w14:solidFill>
                </w14:textFill>
              </w:rPr>
              <w:t>密切配合</w:t>
            </w:r>
            <w:r>
              <w:rPr>
                <w:rFonts w:hint="default" w:ascii="Times New Roman" w:hAnsi="Times New Roman" w:eastAsia="宋体" w:cs="Times New Roman"/>
                <w:color w:val="000000" w:themeColor="text1"/>
                <w:sz w:val="24"/>
                <w:highlight w:val="none"/>
                <w14:textFill>
                  <w14:solidFill>
                    <w14:schemeClr w14:val="tx1"/>
                  </w14:solidFill>
                </w14:textFill>
              </w:rPr>
              <w:t>，定期清洁施工机械表面不必要的润滑油及其它油废，并妥善处置；加强施工机械设备维修保养，避免施工过程中燃料油的跑、冒、滴、漏；不得随意在施工区域内冲洗汽车</w:t>
            </w:r>
            <w:r>
              <w:rPr>
                <w:rFonts w:hint="default" w:ascii="Times New Roman" w:hAnsi="Times New Roman" w:eastAsia="宋体" w:cs="Times New Roman"/>
                <w:color w:val="000000" w:themeColor="text1"/>
                <w:spacing w:val="-7"/>
                <w:sz w:val="24"/>
                <w:szCs w:val="24"/>
                <w:highlight w:val="none"/>
                <w14:textFill>
                  <w14:solidFill>
                    <w14:schemeClr w14:val="tx1"/>
                  </w14:solidFill>
                </w14:textFill>
              </w:rPr>
              <w:t>，对施工机械进行检修和清洗时必须定点，检修和清洗场地必须经水泥硬化。</w:t>
            </w:r>
          </w:p>
          <w:p w14:paraId="6CB094BC">
            <w:pPr>
              <w:pStyle w:val="14"/>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3.</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固体废物保护措施</w:t>
            </w:r>
          </w:p>
          <w:p w14:paraId="68A0A8DD">
            <w:pPr>
              <w:pStyle w:val="14"/>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施工期产生的固体废弃物主要为建筑施工垃圾和生活垃圾。</w:t>
            </w:r>
          </w:p>
          <w:p w14:paraId="69FDD829">
            <w:pPr>
              <w:pStyle w:val="14"/>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施工单位采取以下环境保护措施：</w:t>
            </w:r>
          </w:p>
          <w:p w14:paraId="365F707D">
            <w:pPr>
              <w:pStyle w:val="14"/>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 1 \* GB3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①</w: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t>设立建筑垃圾集中收集地点。施工结束后，要对砖头、木块、钢材等固体废物及时收集，尽量回用，不能回用的委托环卫部门处理，以防造成二次污染；</w:t>
            </w:r>
          </w:p>
          <w:p w14:paraId="7F8E3D06">
            <w:pPr>
              <w:pStyle w:val="14"/>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 2 \* GB3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②</w: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t>施工单位设临时垃圾箱对生活垃圾进行收集，定期由当地环卫部门清运处置。</w:t>
            </w:r>
          </w:p>
          <w:p w14:paraId="793F7757">
            <w:pPr>
              <w:pStyle w:val="14"/>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采取以上控制措施，施工期</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固体废物</w:t>
            </w:r>
            <w:r>
              <w:rPr>
                <w:rFonts w:hint="default" w:ascii="Times New Roman" w:hAnsi="Times New Roman" w:eastAsia="宋体" w:cs="Times New Roman"/>
                <w:color w:val="000000" w:themeColor="text1"/>
                <w:sz w:val="24"/>
                <w:szCs w:val="24"/>
                <w:highlight w:val="none"/>
                <w14:textFill>
                  <w14:solidFill>
                    <w14:schemeClr w14:val="tx1"/>
                  </w14:solidFill>
                </w14:textFill>
              </w:rPr>
              <w:t>对环境的影响</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较小</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p>
          <w:p w14:paraId="6D13BFB0">
            <w:pPr>
              <w:pStyle w:val="14"/>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4.</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声环境保护措施</w:t>
            </w:r>
          </w:p>
          <w:p w14:paraId="674C1CD7">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bookmarkStart w:id="6" w:name="_Toc25637714"/>
            <w:r>
              <w:rPr>
                <w:rFonts w:hint="default" w:ascii="Times New Roman" w:hAnsi="Times New Roman" w:eastAsia="宋体" w:cs="Times New Roman"/>
                <w:color w:val="000000" w:themeColor="text1"/>
                <w:sz w:val="24"/>
                <w:szCs w:val="24"/>
                <w:highlight w:val="none"/>
                <w14:textFill>
                  <w14:solidFill>
                    <w14:schemeClr w14:val="tx1"/>
                  </w14:solidFill>
                </w14:textFill>
              </w:rPr>
              <w:t>施工期噪声为各种机械设备产生的噪声和车辆行驶时产生的噪声，主要为施工机械设备产生的作业噪声。施工机械有推土机、载重汽车、挖掘机等。根据类比调查和有关资料：这些建筑施工机械的声源噪声强度大多在60~90dB</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A</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左右，上述噪声仅对施工现场区域范围和周围250m内的地区有影响。施工过程中基础开挖等活动均选择在白天进行，噪声影响主要在白天，机械设备的运作都是间歇性的，施工过程中产生的噪声具有间歇性和短暂性的特点，随着实施期的结束而消失。</w:t>
            </w:r>
          </w:p>
          <w:p w14:paraId="7C34C49C">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施工场地噪声主要来自各类高噪声施工机械，为减少施工噪声影响，实施期要遵守《建筑施工噪声排放标准》（GB12523-20</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25</w:t>
            </w:r>
            <w:r>
              <w:rPr>
                <w:rFonts w:hint="default" w:ascii="Times New Roman" w:hAnsi="Times New Roman" w:eastAsia="宋体" w:cs="Times New Roman"/>
                <w:color w:val="000000" w:themeColor="text1"/>
                <w:sz w:val="24"/>
                <w:szCs w:val="24"/>
                <w:highlight w:val="none"/>
                <w14:textFill>
                  <w14:solidFill>
                    <w14:schemeClr w14:val="tx1"/>
                  </w14:solidFill>
                </w14:textFill>
              </w:rPr>
              <w:t>）的要求，进行施工时间限值及相应的噪声防控，建议采取以下防护措施：</w:t>
            </w:r>
          </w:p>
          <w:p w14:paraId="7E4319A2">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①施工时选用噪声符合国家相关标准的施工设备。加强设备维护和保养，保持机械润滑，减少运行噪声。同时加强管理，以减少因施工设备维护和保养不当产生的噪声。</w:t>
            </w:r>
          </w:p>
          <w:p w14:paraId="7F82EFDB">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②高噪声施工设备尽量安排在日间作业，减少夜间施工量</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p>
          <w:p w14:paraId="7C28D632">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③加强施工管理，优化施工场地布置</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p>
          <w:p w14:paraId="11017005">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④降低人为噪声：按规定操作机械设备，材料装卸过程中，尽量减少碰撞声音</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p>
          <w:p w14:paraId="59CE88E7">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黑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施工期噪声的影响具有短暂性、流动性的特点，随着施工期的结束而消失。</w:t>
            </w:r>
            <w:bookmarkEnd w:id="6"/>
          </w:p>
          <w:p w14:paraId="1E2DC299">
            <w:pPr>
              <w:pStyle w:val="14"/>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w:t>
            </w: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施工期生态环境保护措施分析</w:t>
            </w:r>
          </w:p>
          <w:p w14:paraId="6C037304">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本项目建设单位空地建设，原来地表结构及下垫面植被均已完全遭到破坏。项目施工期施工活动对厂址附近生态环境的不利影响在土地利用、水土流失等方面。具体保护措施如下：</w:t>
            </w:r>
          </w:p>
          <w:p w14:paraId="766399FF">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1</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建设活动应控制在一定范围内，严格规定施工场所和运输线路，并设立鲜明标志，严禁随意扩大施工范围，少占土地。</w:t>
            </w:r>
          </w:p>
          <w:p w14:paraId="2BB36F03">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本项目占地面积相对较小，建设期各场地平整、临时弃土弃渣将会破坏原地表植被，这些破坏是</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可以</w:t>
            </w:r>
            <w:r>
              <w:rPr>
                <w:rFonts w:hint="default" w:ascii="Times New Roman" w:hAnsi="Times New Roman" w:eastAsia="宋体" w:cs="Times New Roman"/>
                <w:color w:val="000000" w:themeColor="text1"/>
                <w:sz w:val="24"/>
                <w:szCs w:val="24"/>
                <w:highlight w:val="none"/>
                <w14:textFill>
                  <w14:solidFill>
                    <w14:schemeClr w14:val="tx1"/>
                  </w14:solidFill>
                </w14:textFill>
              </w:rPr>
              <w:t>恢复的，随着施工的结束，这些植被将逐渐恢复，因此在施工过程中要做好施工场地的规划，明确弃土弃渣点和施工范围，尽可能减少施工影响范围，施工结束后，要尽可能恢复临时占地的土地功能。</w:t>
            </w:r>
          </w:p>
          <w:p w14:paraId="04AD8FF7">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施工过程中，应将施工工人临时住所、材料堆放场设置在院墙内，减少扰动范围。</w:t>
            </w:r>
          </w:p>
          <w:p w14:paraId="2B82AE16">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4</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施工时注重植被保护；施工结束后，应立即种植植被实施绿化</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p>
        </w:tc>
      </w:tr>
      <w:tr w14:paraId="08FC58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83" w:hRule="atLeast"/>
          <w:jc w:val="center"/>
        </w:trPr>
        <w:tc>
          <w:tcPr>
            <w:tcW w:w="746" w:type="dxa"/>
            <w:noWrap w:val="0"/>
            <w:tcMar>
              <w:left w:w="28" w:type="dxa"/>
              <w:right w:w="28" w:type="dxa"/>
            </w:tcMar>
            <w:vAlign w:val="center"/>
          </w:tcPr>
          <w:p w14:paraId="3F54DD01">
            <w:pPr>
              <w:adjustRightInd w:val="0"/>
              <w:snapToGrid w:val="0"/>
              <w:jc w:val="center"/>
              <w:rPr>
                <w:rFonts w:hint="default" w:ascii="Times New Roman" w:hAnsi="Times New Roman" w:cs="Times New Roman"/>
                <w:b/>
                <w:color w:val="000000" w:themeColor="text1"/>
                <w:sz w:val="24"/>
                <w:highlight w:val="none"/>
                <w14:textFill>
                  <w14:solidFill>
                    <w14:schemeClr w14:val="tx1"/>
                  </w14:solidFill>
                </w14:textFill>
              </w:rPr>
            </w:pPr>
            <w:r>
              <w:rPr>
                <w:rFonts w:hint="default" w:ascii="Times New Roman" w:hAnsi="Times New Roman" w:cs="Times New Roman"/>
                <w:b/>
                <w:color w:val="000000" w:themeColor="text1"/>
                <w:sz w:val="24"/>
                <w:highlight w:val="none"/>
                <w14:textFill>
                  <w14:solidFill>
                    <w14:schemeClr w14:val="tx1"/>
                  </w14:solidFill>
                </w14:textFill>
              </w:rPr>
              <w:t>运营</w:t>
            </w:r>
          </w:p>
          <w:p w14:paraId="39E5B007">
            <w:pPr>
              <w:adjustRightInd w:val="0"/>
              <w:snapToGrid w:val="0"/>
              <w:jc w:val="center"/>
              <w:rPr>
                <w:rFonts w:hint="default" w:ascii="Times New Roman" w:hAnsi="Times New Roman" w:cs="Times New Roman"/>
                <w:b/>
                <w:color w:val="000000" w:themeColor="text1"/>
                <w:sz w:val="24"/>
                <w:highlight w:val="none"/>
                <w14:textFill>
                  <w14:solidFill>
                    <w14:schemeClr w14:val="tx1"/>
                  </w14:solidFill>
                </w14:textFill>
              </w:rPr>
            </w:pPr>
            <w:r>
              <w:rPr>
                <w:rFonts w:hint="default" w:ascii="Times New Roman" w:hAnsi="Times New Roman" w:cs="Times New Roman"/>
                <w:b/>
                <w:color w:val="000000" w:themeColor="text1"/>
                <w:sz w:val="24"/>
                <w:highlight w:val="none"/>
                <w14:textFill>
                  <w14:solidFill>
                    <w14:schemeClr w14:val="tx1"/>
                  </w14:solidFill>
                </w14:textFill>
              </w:rPr>
              <w:t>期环</w:t>
            </w:r>
          </w:p>
          <w:p w14:paraId="1908DDBA">
            <w:pPr>
              <w:adjustRightInd w:val="0"/>
              <w:snapToGrid w:val="0"/>
              <w:jc w:val="center"/>
              <w:rPr>
                <w:rFonts w:hint="default" w:ascii="Times New Roman" w:hAnsi="Times New Roman" w:cs="Times New Roman"/>
                <w:b/>
                <w:color w:val="000000" w:themeColor="text1"/>
                <w:sz w:val="24"/>
                <w:highlight w:val="none"/>
                <w14:textFill>
                  <w14:solidFill>
                    <w14:schemeClr w14:val="tx1"/>
                  </w14:solidFill>
                </w14:textFill>
              </w:rPr>
            </w:pPr>
            <w:r>
              <w:rPr>
                <w:rFonts w:hint="default" w:ascii="Times New Roman" w:hAnsi="Times New Roman" w:cs="Times New Roman"/>
                <w:b/>
                <w:color w:val="000000" w:themeColor="text1"/>
                <w:sz w:val="24"/>
                <w:highlight w:val="none"/>
                <w14:textFill>
                  <w14:solidFill>
                    <w14:schemeClr w14:val="tx1"/>
                  </w14:solidFill>
                </w14:textFill>
              </w:rPr>
              <w:t>境影</w:t>
            </w:r>
          </w:p>
          <w:p w14:paraId="5E043DFA">
            <w:pPr>
              <w:adjustRightInd w:val="0"/>
              <w:snapToGrid w:val="0"/>
              <w:jc w:val="center"/>
              <w:rPr>
                <w:rFonts w:hint="default" w:ascii="Times New Roman" w:hAnsi="Times New Roman" w:cs="Times New Roman"/>
                <w:b/>
                <w:color w:val="000000" w:themeColor="text1"/>
                <w:sz w:val="24"/>
                <w:highlight w:val="none"/>
                <w14:textFill>
                  <w14:solidFill>
                    <w14:schemeClr w14:val="tx1"/>
                  </w14:solidFill>
                </w14:textFill>
              </w:rPr>
            </w:pPr>
            <w:r>
              <w:rPr>
                <w:rFonts w:hint="default" w:ascii="Times New Roman" w:hAnsi="Times New Roman" w:cs="Times New Roman"/>
                <w:b/>
                <w:color w:val="000000" w:themeColor="text1"/>
                <w:sz w:val="24"/>
                <w:highlight w:val="none"/>
                <w14:textFill>
                  <w14:solidFill>
                    <w14:schemeClr w14:val="tx1"/>
                  </w14:solidFill>
                </w14:textFill>
              </w:rPr>
              <w:t>响和</w:t>
            </w:r>
          </w:p>
          <w:p w14:paraId="2766017E">
            <w:pPr>
              <w:adjustRightInd w:val="0"/>
              <w:snapToGrid w:val="0"/>
              <w:jc w:val="center"/>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cs="Times New Roman"/>
                <w:b/>
                <w:color w:val="000000" w:themeColor="text1"/>
                <w:sz w:val="24"/>
                <w:highlight w:val="none"/>
                <w14:textFill>
                  <w14:solidFill>
                    <w14:schemeClr w14:val="tx1"/>
                  </w14:solidFill>
                </w14:textFill>
              </w:rPr>
              <w:t>保护</w:t>
            </w:r>
          </w:p>
          <w:p w14:paraId="03D21174">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
                <w:color w:val="000000" w:themeColor="text1"/>
                <w:sz w:val="24"/>
                <w:highlight w:val="none"/>
                <w14:textFill>
                  <w14:solidFill>
                    <w14:schemeClr w14:val="tx1"/>
                  </w14:solidFill>
                </w14:textFill>
              </w:rPr>
              <w:t>措施</w:t>
            </w:r>
          </w:p>
        </w:tc>
        <w:tc>
          <w:tcPr>
            <w:tcW w:w="8162" w:type="dxa"/>
            <w:noWrap w:val="0"/>
            <w:vAlign w:val="center"/>
          </w:tcPr>
          <w:p w14:paraId="0F0D8F3E">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outlineLvl w:val="1"/>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lang w:eastAsia="zh-CN"/>
                <w14:textFill>
                  <w14:solidFill>
                    <w14:schemeClr w14:val="tx1"/>
                  </w14:solidFill>
                </w14:textFill>
              </w:rPr>
              <w:t>1.</w:t>
            </w:r>
            <w:r>
              <w:rPr>
                <w:rFonts w:hint="default" w:ascii="Times New Roman" w:hAnsi="Times New Roman" w:eastAsia="宋体" w:cs="Times New Roman"/>
                <w:b/>
                <w:bCs/>
                <w:color w:val="000000" w:themeColor="text1"/>
                <w:sz w:val="24"/>
                <w:highlight w:val="none"/>
                <w14:textFill>
                  <w14:solidFill>
                    <w14:schemeClr w14:val="tx1"/>
                  </w14:solidFill>
                </w14:textFill>
              </w:rPr>
              <w:t>大气环境影响分析</w:t>
            </w:r>
          </w:p>
          <w:p w14:paraId="4FDF21B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highlight w:val="none"/>
                <w14:textFill>
                  <w14:solidFill>
                    <w14:schemeClr w14:val="tx1"/>
                  </w14:solidFill>
                </w14:textFill>
              </w:rPr>
            </w:pPr>
            <w:r>
              <w:rPr>
                <w:rFonts w:hint="default" w:ascii="Times New Roman" w:hAnsi="Times New Roman" w:eastAsia="宋体" w:cs="Times New Roman"/>
                <w:b w:val="0"/>
                <w:bCs w:val="0"/>
                <w:color w:val="000000" w:themeColor="text1"/>
                <w:sz w:val="24"/>
                <w:highlight w:val="none"/>
                <w14:textFill>
                  <w14:solidFill>
                    <w14:schemeClr w14:val="tx1"/>
                  </w14:solidFill>
                </w14:textFill>
              </w:rPr>
              <w:t>（1）废气产生、治理措施及排放情况</w:t>
            </w:r>
          </w:p>
          <w:p w14:paraId="4CF72A5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1）</w:t>
            </w:r>
            <w:r>
              <w:rPr>
                <w:rFonts w:hint="eastAsia" w:cs="Times New Roman"/>
                <w:b w:val="0"/>
                <w:bCs w:val="0"/>
                <w:color w:val="000000" w:themeColor="text1"/>
                <w:sz w:val="24"/>
                <w:szCs w:val="24"/>
                <w:highlight w:val="none"/>
                <w:lang w:val="en-US" w:eastAsia="zh-CN"/>
                <w14:textFill>
                  <w14:solidFill>
                    <w14:schemeClr w14:val="tx1"/>
                  </w14:solidFill>
                </w14:textFill>
              </w:rPr>
              <w:t>原料粉</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仓顶粉尘</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（G1-1、G1-2）</w:t>
            </w:r>
          </w:p>
          <w:p w14:paraId="1B36F4E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项目所使用的</w:t>
            </w:r>
            <w:r>
              <w:rPr>
                <w:rFonts w:hint="eastAsia" w:cs="Times New Roman"/>
                <w:b w:val="0"/>
                <w:bCs w:val="0"/>
                <w:color w:val="000000" w:themeColor="text1"/>
                <w:sz w:val="24"/>
                <w:szCs w:val="24"/>
                <w:highlight w:val="none"/>
                <w:lang w:val="en-US" w:eastAsia="zh-CN"/>
                <w14:textFill>
                  <w14:solidFill>
                    <w14:schemeClr w14:val="tx1"/>
                  </w14:solidFill>
                </w14:textFill>
              </w:rPr>
              <w:t>原料粉</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由</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内蒙古伊东高新材料有限公司</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通过气力输送</w:t>
            </w:r>
            <w:r>
              <w:rPr>
                <w:rFonts w:hint="default" w:ascii="Times New Roman" w:hAnsi="Times New Roman" w:eastAsia="宋体" w:cs="Times New Roman"/>
                <w:color w:val="000000" w:themeColor="text1"/>
                <w:sz w:val="24"/>
                <w:szCs w:val="24"/>
                <w:highlight w:val="none"/>
                <w14:textFill>
                  <w14:solidFill>
                    <w14:schemeClr w14:val="tx1"/>
                  </w14:solidFill>
                </w14:textFill>
              </w:rPr>
              <w:t>至企业</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筒仓</w:t>
            </w:r>
            <w:r>
              <w:rPr>
                <w:rFonts w:hint="default" w:ascii="Times New Roman" w:hAnsi="Times New Roman" w:eastAsia="宋体" w:cs="Times New Roman"/>
                <w:color w:val="000000" w:themeColor="text1"/>
                <w:sz w:val="24"/>
                <w:szCs w:val="24"/>
                <w:highlight w:val="none"/>
                <w14:textFill>
                  <w14:solidFill>
                    <w14:schemeClr w14:val="tx1"/>
                  </w14:solidFill>
                </w14:textFill>
              </w:rPr>
              <w:t>内，</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筒仓装卸状态下</w:t>
            </w:r>
            <w:r>
              <w:rPr>
                <w:rFonts w:hint="default" w:ascii="Times New Roman" w:hAnsi="Times New Roman" w:eastAsia="宋体" w:cs="Times New Roman"/>
                <w:color w:val="000000" w:themeColor="text1"/>
                <w:sz w:val="24"/>
                <w:szCs w:val="24"/>
                <w:highlight w:val="none"/>
                <w14:textFill>
                  <w14:solidFill>
                    <w14:schemeClr w14:val="tx1"/>
                  </w14:solidFill>
                </w14:textFill>
              </w:rPr>
              <w:t>仓顶呼吸孔会产生粉尘。</w:t>
            </w:r>
            <w:r>
              <w:rPr>
                <w:rFonts w:hint="eastAsia" w:cs="Times New Roman"/>
                <w:color w:val="000000" w:themeColor="text1"/>
                <w:sz w:val="24"/>
                <w:szCs w:val="24"/>
                <w:highlight w:val="none"/>
                <w:lang w:val="en-US" w:eastAsia="zh-CN"/>
                <w14:textFill>
                  <w14:solidFill>
                    <w14:schemeClr w14:val="tx1"/>
                  </w14:solidFill>
                </w14:textFill>
              </w:rPr>
              <w:t>原料粉</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参照《3021、3022、3029水泥制品制造行业系数手册（含3022砼结构构件、3029其他水泥类似制品制造）行业》中混凝土制品的物料输送储存源强产污系数为0.12kg/t-产品，本项目输送皮带封闭处理，合计颗粒物产生量24t/a。</w:t>
            </w:r>
          </w:p>
          <w:p w14:paraId="24B71FF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本项目在</w:t>
            </w:r>
            <w:r>
              <w:rPr>
                <w:rFonts w:hint="eastAsia" w:cs="Times New Roman"/>
                <w:b w:val="0"/>
                <w:bCs w:val="0"/>
                <w:color w:val="000000" w:themeColor="text1"/>
                <w:sz w:val="24"/>
                <w:szCs w:val="24"/>
                <w:highlight w:val="none"/>
                <w:lang w:val="en-US" w:eastAsia="zh-CN"/>
                <w14:textFill>
                  <w14:solidFill>
                    <w14:schemeClr w14:val="tx1"/>
                  </w14:solidFill>
                </w14:textFill>
              </w:rPr>
              <w:t>原料粉</w:t>
            </w:r>
            <w:r>
              <w:rPr>
                <w:rFonts w:hint="default" w:ascii="Times New Roman" w:hAnsi="Times New Roman" w:eastAsia="宋体" w:cs="Times New Roman"/>
                <w:color w:val="000000" w:themeColor="text1"/>
                <w:sz w:val="24"/>
                <w:szCs w:val="24"/>
                <w:highlight w:val="none"/>
                <w14:textFill>
                  <w14:solidFill>
                    <w14:schemeClr w14:val="tx1"/>
                  </w14:solidFill>
                </w14:textFill>
              </w:rPr>
              <w:t>仓配备仓顶除尘器，通过风机（风量为</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100</w:t>
            </w:r>
            <w:r>
              <w:rPr>
                <w:rFonts w:hint="default" w:ascii="Times New Roman" w:hAnsi="Times New Roman" w:eastAsia="宋体" w:cs="Times New Roman"/>
                <w:color w:val="000000" w:themeColor="text1"/>
                <w:sz w:val="24"/>
                <w:szCs w:val="24"/>
                <w:highlight w:val="none"/>
                <w14:textFill>
                  <w14:solidFill>
                    <w14:schemeClr w14:val="tx1"/>
                  </w14:solidFill>
                </w14:textFill>
              </w:rPr>
              <w:t>00m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/h</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和10</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00</w:t>
            </w:r>
            <w:r>
              <w:rPr>
                <w:rFonts w:hint="default" w:ascii="Times New Roman" w:hAnsi="Times New Roman" w:eastAsia="宋体" w:cs="Times New Roman"/>
                <w:color w:val="000000" w:themeColor="text1"/>
                <w:sz w:val="24"/>
                <w:szCs w:val="24"/>
                <w:highlight w:val="none"/>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/h，年工作</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2400</w:t>
            </w:r>
            <w:r>
              <w:rPr>
                <w:rFonts w:hint="default" w:ascii="Times New Roman" w:hAnsi="Times New Roman" w:eastAsia="宋体" w:cs="Times New Roman"/>
                <w:color w:val="000000" w:themeColor="text1"/>
                <w:sz w:val="24"/>
                <w:szCs w:val="24"/>
                <w:highlight w:val="none"/>
                <w14:textFill>
                  <w14:solidFill>
                    <w14:schemeClr w14:val="tx1"/>
                  </w14:solidFill>
                </w14:textFill>
              </w:rPr>
              <w:t>h）经内置仓顶除尘器处理（除尘效率99%）后由</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42</w:t>
            </w:r>
            <w:r>
              <w:rPr>
                <w:rFonts w:hint="default" w:ascii="Times New Roman" w:hAnsi="Times New Roman" w:eastAsia="宋体" w:cs="Times New Roman"/>
                <w:color w:val="000000" w:themeColor="text1"/>
                <w:sz w:val="24"/>
                <w:szCs w:val="24"/>
                <w:highlight w:val="none"/>
                <w14:textFill>
                  <w14:solidFill>
                    <w14:schemeClr w14:val="tx1"/>
                  </w14:solidFill>
                </w14:textFill>
              </w:rPr>
              <w:t>m</w:t>
            </w:r>
            <w:r>
              <w:rPr>
                <w:rFonts w:hint="eastAsia" w:cs="Times New Roman"/>
                <w:color w:val="000000" w:themeColor="text1"/>
                <w:sz w:val="24"/>
                <w:highlight w:val="none"/>
                <w:lang w:val="en-US" w:eastAsia="zh-CN"/>
                <w14:textFill>
                  <w14:solidFill>
                    <w14:schemeClr w14:val="tx1"/>
                  </w14:solidFill>
                </w14:textFill>
              </w:rPr>
              <w:t>高</w:t>
            </w:r>
            <w:r>
              <w:rPr>
                <w:rFonts w:hint="eastAsia" w:cs="Times New Roman"/>
                <w:color w:val="000000" w:themeColor="text1"/>
                <w:sz w:val="24"/>
                <w:szCs w:val="24"/>
                <w:highlight w:val="none"/>
                <w:lang w:val="en-US" w:eastAsia="zh-CN"/>
                <w14:textFill>
                  <w14:solidFill>
                    <w14:schemeClr w14:val="tx1"/>
                  </w14:solidFill>
                </w14:textFill>
              </w:rPr>
              <w:t>排气口</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DA001、DA002</w:t>
            </w:r>
            <w:r>
              <w:rPr>
                <w:rFonts w:hint="default" w:ascii="Times New Roman" w:hAnsi="Times New Roman" w:eastAsia="宋体" w:cs="Times New Roman"/>
                <w:color w:val="000000" w:themeColor="text1"/>
                <w:sz w:val="24"/>
                <w:szCs w:val="24"/>
                <w:highlight w:val="none"/>
                <w14:textFill>
                  <w14:solidFill>
                    <w14:schemeClr w14:val="tx1"/>
                  </w14:solidFill>
                </w14:textFill>
              </w:rPr>
              <w:t>）排放，根据产污系数及防治措施，各筒仓粉尘产排情况见</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下表</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p>
          <w:p w14:paraId="37EB4BBF">
            <w:pPr>
              <w:keepNext w:val="0"/>
              <w:keepLines w:val="0"/>
              <w:pageBreakBefore w:val="0"/>
              <w:widowControl w:val="0"/>
              <w:kinsoku/>
              <w:wordWrap/>
              <w:overflowPunct/>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仿宋" w:cs="Times New Roman"/>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14:textFill>
                  <w14:solidFill>
                    <w14:schemeClr w14:val="tx1"/>
                  </w14:solidFill>
                </w14:textFill>
              </w:rPr>
              <w:t>表</w:t>
            </w:r>
            <w:r>
              <w:rPr>
                <w:rFonts w:hint="default" w:ascii="Times New Roman" w:hAnsi="Times New Roman" w:eastAsia="宋体" w:cs="Times New Roman"/>
                <w:b/>
                <w:bCs/>
                <w:color w:val="000000" w:themeColor="text1"/>
                <w:kern w:val="2"/>
                <w:sz w:val="24"/>
                <w:szCs w:val="24"/>
                <w:highlight w:val="none"/>
                <w:lang w:val="en-US" w:eastAsia="zh-CN"/>
                <w14:textFill>
                  <w14:solidFill>
                    <w14:schemeClr w14:val="tx1"/>
                  </w14:solidFill>
                </w14:textFill>
              </w:rPr>
              <w:t>4-1</w:t>
            </w:r>
            <w:r>
              <w:rPr>
                <w:rFonts w:hint="eastAsia" w:cs="Times New Roman"/>
                <w:b/>
                <w:bCs/>
                <w:color w:val="000000" w:themeColor="text1"/>
                <w:kern w:val="2"/>
                <w:sz w:val="24"/>
                <w:szCs w:val="24"/>
                <w:highlight w:val="none"/>
                <w:lang w:val="en-US" w:eastAsia="zh-CN"/>
                <w14:textFill>
                  <w14:solidFill>
                    <w14:schemeClr w14:val="tx1"/>
                  </w14:solidFill>
                </w14:textFill>
              </w:rPr>
              <w:t>原料粉</w:t>
            </w:r>
            <w:r>
              <w:rPr>
                <w:rFonts w:hint="default" w:ascii="Times New Roman" w:hAnsi="Times New Roman" w:cs="Times New Roman"/>
                <w:b/>
                <w:bCs/>
                <w:color w:val="000000" w:themeColor="text1"/>
                <w:kern w:val="2"/>
                <w:sz w:val="24"/>
                <w:szCs w:val="24"/>
                <w:highlight w:val="none"/>
                <w14:textFill>
                  <w14:solidFill>
                    <w14:schemeClr w14:val="tx1"/>
                  </w14:solidFill>
                </w14:textFill>
              </w:rPr>
              <w:t>筒仓粉尘产排情况一览表</w:t>
            </w:r>
          </w:p>
          <w:tbl>
            <w:tblPr>
              <w:tblStyle w:val="24"/>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135"/>
              <w:gridCol w:w="924"/>
              <w:gridCol w:w="672"/>
              <w:gridCol w:w="823"/>
              <w:gridCol w:w="823"/>
              <w:gridCol w:w="823"/>
              <w:gridCol w:w="1169"/>
              <w:gridCol w:w="726"/>
              <w:gridCol w:w="845"/>
            </w:tblGrid>
            <w:tr w14:paraId="5E82B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2" w:hRule="atLeast"/>
              </w:trPr>
              <w:tc>
                <w:tcPr>
                  <w:tcW w:w="715" w:type="pct"/>
                  <w:vMerge w:val="restart"/>
                  <w:noWrap w:val="0"/>
                  <w:vAlign w:val="center"/>
                </w:tcPr>
                <w:p w14:paraId="7CF30B21">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装置</w:t>
                  </w:r>
                </w:p>
              </w:tc>
              <w:tc>
                <w:tcPr>
                  <w:tcW w:w="582" w:type="pct"/>
                  <w:vMerge w:val="restart"/>
                  <w:noWrap w:val="0"/>
                  <w:vAlign w:val="center"/>
                </w:tcPr>
                <w:p w14:paraId="320D623D">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污染源</w:t>
                  </w:r>
                </w:p>
              </w:tc>
              <w:tc>
                <w:tcPr>
                  <w:tcW w:w="423" w:type="pct"/>
                  <w:vMerge w:val="restart"/>
                  <w:noWrap w:val="0"/>
                  <w:vAlign w:val="center"/>
                </w:tcPr>
                <w:p w14:paraId="48C67320">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w:t>
                  </w:r>
                </w:p>
              </w:tc>
              <w:tc>
                <w:tcPr>
                  <w:tcW w:w="518" w:type="pct"/>
                  <w:vMerge w:val="restart"/>
                  <w:noWrap w:val="0"/>
                  <w:vAlign w:val="center"/>
                </w:tcPr>
                <w:p w14:paraId="3F76FE48">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风机</w:t>
                  </w:r>
                </w:p>
                <w:p w14:paraId="3F290080">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风量</w:t>
                  </w:r>
                </w:p>
                <w:p w14:paraId="284A4FA9">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lang w:eastAsia="zh-CN"/>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/h</w:t>
                  </w: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p>
              </w:tc>
              <w:tc>
                <w:tcPr>
                  <w:tcW w:w="518" w:type="pct"/>
                  <w:vMerge w:val="restart"/>
                  <w:noWrap w:val="0"/>
                  <w:vAlign w:val="center"/>
                </w:tcPr>
                <w:p w14:paraId="4B678903">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w:t>
                  </w:r>
                </w:p>
                <w:p w14:paraId="2052BCDB">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产生</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量</w:t>
                  </w:r>
                </w:p>
                <w:p w14:paraId="63382981">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c>
                <w:tcPr>
                  <w:tcW w:w="517" w:type="pct"/>
                  <w:vMerge w:val="restart"/>
                  <w:noWrap w:val="0"/>
                  <w:vAlign w:val="center"/>
                </w:tcPr>
                <w:p w14:paraId="4B970F83">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处理</w:t>
                  </w:r>
                </w:p>
                <w:p w14:paraId="280D2E6F">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效率</w:t>
                  </w:r>
                </w:p>
                <w:p w14:paraId="3A30F4A0">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1193" w:type="pct"/>
                  <w:gridSpan w:val="2"/>
                  <w:noWrap w:val="0"/>
                  <w:vAlign w:val="center"/>
                </w:tcPr>
                <w:p w14:paraId="7FE0A49F">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污染物排放</w:t>
                  </w:r>
                </w:p>
              </w:tc>
              <w:tc>
                <w:tcPr>
                  <w:tcW w:w="532" w:type="pct"/>
                  <w:vMerge w:val="restart"/>
                  <w:noWrap w:val="0"/>
                  <w:vAlign w:val="center"/>
                </w:tcPr>
                <w:p w14:paraId="37A4AED9">
                  <w:pPr>
                    <w:pStyle w:val="85"/>
                    <w:kinsoku w:val="0"/>
                    <w:overflowPunct w:val="0"/>
                    <w:snapToGrid w:val="0"/>
                    <w:jc w:val="cente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高度</w:t>
                  </w:r>
                </w:p>
                <w:p w14:paraId="1AB7014F">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(m)</w:t>
                  </w:r>
                </w:p>
              </w:tc>
            </w:tr>
            <w:tr w14:paraId="602EB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9" w:hRule="atLeast"/>
              </w:trPr>
              <w:tc>
                <w:tcPr>
                  <w:tcW w:w="715" w:type="pct"/>
                  <w:vMerge w:val="continue"/>
                  <w:noWrap w:val="0"/>
                  <w:vAlign w:val="center"/>
                </w:tcPr>
                <w:p w14:paraId="2C5C9EB7">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82" w:type="pct"/>
                  <w:vMerge w:val="continue"/>
                  <w:noWrap w:val="0"/>
                  <w:vAlign w:val="center"/>
                </w:tcPr>
                <w:p w14:paraId="73D2D614">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23" w:type="pct"/>
                  <w:vMerge w:val="continue"/>
                  <w:noWrap w:val="0"/>
                  <w:vAlign w:val="center"/>
                </w:tcPr>
                <w:p w14:paraId="304DA397">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18" w:type="pct"/>
                  <w:vMerge w:val="continue"/>
                  <w:noWrap w:val="0"/>
                  <w:vAlign w:val="center"/>
                </w:tcPr>
                <w:p w14:paraId="69527A19">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18" w:type="pct"/>
                  <w:vMerge w:val="continue"/>
                  <w:noWrap w:val="0"/>
                  <w:vAlign w:val="center"/>
                </w:tcPr>
                <w:p w14:paraId="06E5E5DE">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17" w:type="pct"/>
                  <w:vMerge w:val="continue"/>
                  <w:noWrap w:val="0"/>
                  <w:vAlign w:val="center"/>
                </w:tcPr>
                <w:p w14:paraId="658CA34B">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736" w:type="pct"/>
                  <w:noWrap w:val="0"/>
                  <w:vAlign w:val="center"/>
                </w:tcPr>
                <w:p w14:paraId="7AE62DE3">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排放浓度</w:t>
                  </w:r>
                </w:p>
                <w:p w14:paraId="63319631">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mg/</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lang w:eastAsia="zh-CN"/>
                      <w14:textFill>
                        <w14:solidFill>
                          <w14:schemeClr w14:val="tx1"/>
                        </w14:solidFill>
                      </w14:textFill>
                    </w:rPr>
                    <w:t>3</w:t>
                  </w:r>
                  <w:r>
                    <w:rPr>
                      <w:rFonts w:hint="eastAsia" w:ascii="Times New Roman" w:hAnsi="Times New Roman" w:cs="Times New Roman"/>
                      <w:b w:val="0"/>
                      <w:bCs w:val="0"/>
                      <w:color w:val="000000" w:themeColor="text1"/>
                      <w:sz w:val="21"/>
                      <w:szCs w:val="21"/>
                      <w:highlight w:val="none"/>
                      <w:vertAlign w:val="baseline"/>
                      <w:lang w:eastAsia="zh-CN"/>
                      <w14:textFill>
                        <w14:solidFill>
                          <w14:schemeClr w14:val="tx1"/>
                        </w14:solidFill>
                      </w14:textFill>
                    </w:rPr>
                    <w:t>)</w:t>
                  </w:r>
                </w:p>
              </w:tc>
              <w:tc>
                <w:tcPr>
                  <w:tcW w:w="457" w:type="pct"/>
                  <w:noWrap w:val="0"/>
                  <w:vAlign w:val="center"/>
                </w:tcPr>
                <w:p w14:paraId="11F5424D">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排放量</w:t>
                  </w:r>
                </w:p>
                <w:p w14:paraId="103E62E8">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c>
                <w:tcPr>
                  <w:tcW w:w="532" w:type="pct"/>
                  <w:vMerge w:val="continue"/>
                  <w:noWrap w:val="0"/>
                  <w:vAlign w:val="center"/>
                </w:tcPr>
                <w:p w14:paraId="2346BE4B">
                  <w:pPr>
                    <w:pStyle w:val="85"/>
                    <w:kinsoku w:val="0"/>
                    <w:overflowPunct w:val="0"/>
                    <w:snapToGrid w:val="0"/>
                    <w:jc w:val="cente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pPr>
                </w:p>
              </w:tc>
            </w:tr>
            <w:tr w14:paraId="5E556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8" w:hRule="atLeast"/>
              </w:trPr>
              <w:tc>
                <w:tcPr>
                  <w:tcW w:w="715" w:type="pct"/>
                  <w:noWrap w:val="0"/>
                  <w:vAlign w:val="center"/>
                </w:tcPr>
                <w:p w14:paraId="661E054B">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原料粉</w:t>
                  </w:r>
                </w:p>
                <w:p w14:paraId="379FF13B">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筒仓</w:t>
                  </w:r>
                </w:p>
              </w:tc>
              <w:tc>
                <w:tcPr>
                  <w:tcW w:w="582" w:type="pct"/>
                  <w:noWrap w:val="0"/>
                  <w:vAlign w:val="center"/>
                </w:tcPr>
                <w:p w14:paraId="69A5A1F2">
                  <w:pPr>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DA001</w:t>
                  </w:r>
                </w:p>
              </w:tc>
              <w:tc>
                <w:tcPr>
                  <w:tcW w:w="423" w:type="pct"/>
                  <w:vMerge w:val="restart"/>
                  <w:noWrap w:val="0"/>
                  <w:vAlign w:val="center"/>
                </w:tcPr>
                <w:p w14:paraId="13CCADA1">
                  <w:pPr>
                    <w:pStyle w:val="85"/>
                    <w:kinsoku w:val="0"/>
                    <w:overflowPunct w:val="0"/>
                    <w:snapToGrid w:val="0"/>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颗</w:t>
                  </w:r>
                </w:p>
                <w:p w14:paraId="6F02D6D7">
                  <w:pPr>
                    <w:pStyle w:val="85"/>
                    <w:kinsoku w:val="0"/>
                    <w:overflowPunct w:val="0"/>
                    <w:snapToGrid w:val="0"/>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粒</w:t>
                  </w:r>
                </w:p>
                <w:p w14:paraId="7F9F980C">
                  <w:pPr>
                    <w:pStyle w:val="85"/>
                    <w:kinsoku w:val="0"/>
                    <w:overflowPunct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物</w:t>
                  </w:r>
                </w:p>
              </w:tc>
              <w:tc>
                <w:tcPr>
                  <w:tcW w:w="518" w:type="pct"/>
                  <w:noWrap w:val="0"/>
                  <w:vAlign w:val="center"/>
                </w:tcPr>
                <w:p w14:paraId="44DB6EAB">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10000</w:t>
                  </w:r>
                </w:p>
              </w:tc>
              <w:tc>
                <w:tcPr>
                  <w:tcW w:w="518" w:type="pct"/>
                  <w:noWrap w:val="0"/>
                  <w:vAlign w:val="center"/>
                </w:tcPr>
                <w:p w14:paraId="2AC813B9">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12</w:t>
                  </w:r>
                </w:p>
              </w:tc>
              <w:tc>
                <w:tcPr>
                  <w:tcW w:w="517" w:type="pct"/>
                  <w:noWrap w:val="0"/>
                  <w:vAlign w:val="center"/>
                </w:tcPr>
                <w:p w14:paraId="49EDC614">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99</w:t>
                  </w:r>
                </w:p>
              </w:tc>
              <w:tc>
                <w:tcPr>
                  <w:tcW w:w="736" w:type="pct"/>
                  <w:noWrap w:val="0"/>
                  <w:vAlign w:val="center"/>
                </w:tcPr>
                <w:p w14:paraId="463B2BE0">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5</w:t>
                  </w:r>
                </w:p>
              </w:tc>
              <w:tc>
                <w:tcPr>
                  <w:tcW w:w="457" w:type="pct"/>
                  <w:noWrap w:val="0"/>
                  <w:vAlign w:val="center"/>
                </w:tcPr>
                <w:p w14:paraId="7B9C2140">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0.12</w:t>
                  </w:r>
                </w:p>
              </w:tc>
              <w:tc>
                <w:tcPr>
                  <w:tcW w:w="532" w:type="pct"/>
                  <w:noWrap w:val="0"/>
                  <w:vAlign w:val="center"/>
                </w:tcPr>
                <w:p w14:paraId="222E28A4">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42</w:t>
                  </w:r>
                </w:p>
              </w:tc>
            </w:tr>
            <w:tr w14:paraId="543F2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5" w:hRule="atLeast"/>
              </w:trPr>
              <w:tc>
                <w:tcPr>
                  <w:tcW w:w="715" w:type="pct"/>
                  <w:noWrap w:val="0"/>
                  <w:vAlign w:val="center"/>
                </w:tcPr>
                <w:p w14:paraId="7E3157DF">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原料粉</w:t>
                  </w:r>
                </w:p>
                <w:p w14:paraId="11ECD08C">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筒仓</w:t>
                  </w:r>
                </w:p>
              </w:tc>
              <w:tc>
                <w:tcPr>
                  <w:tcW w:w="582" w:type="pct"/>
                  <w:noWrap w:val="0"/>
                  <w:vAlign w:val="center"/>
                </w:tcPr>
                <w:p w14:paraId="4FE02820">
                  <w:pPr>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DA002</w:t>
                  </w:r>
                </w:p>
              </w:tc>
              <w:tc>
                <w:tcPr>
                  <w:tcW w:w="423" w:type="pct"/>
                  <w:vMerge w:val="continue"/>
                  <w:noWrap w:val="0"/>
                  <w:vAlign w:val="center"/>
                </w:tcPr>
                <w:p w14:paraId="040B944E">
                  <w:pPr>
                    <w:pStyle w:val="85"/>
                    <w:kinsoku w:val="0"/>
                    <w:overflowPunct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518" w:type="pct"/>
                  <w:noWrap w:val="0"/>
                  <w:vAlign w:val="center"/>
                </w:tcPr>
                <w:p w14:paraId="5E19DA73">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10000</w:t>
                  </w:r>
                </w:p>
              </w:tc>
              <w:tc>
                <w:tcPr>
                  <w:tcW w:w="518" w:type="pct"/>
                  <w:noWrap w:val="0"/>
                  <w:vAlign w:val="center"/>
                </w:tcPr>
                <w:p w14:paraId="6D120208">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12</w:t>
                  </w:r>
                </w:p>
              </w:tc>
              <w:tc>
                <w:tcPr>
                  <w:tcW w:w="517" w:type="pct"/>
                  <w:noWrap w:val="0"/>
                  <w:vAlign w:val="center"/>
                </w:tcPr>
                <w:p w14:paraId="10C785C5">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99</w:t>
                  </w:r>
                </w:p>
              </w:tc>
              <w:tc>
                <w:tcPr>
                  <w:tcW w:w="736" w:type="pct"/>
                  <w:noWrap w:val="0"/>
                  <w:vAlign w:val="center"/>
                </w:tcPr>
                <w:p w14:paraId="5B409FF2">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w:t>
                  </w:r>
                </w:p>
              </w:tc>
              <w:tc>
                <w:tcPr>
                  <w:tcW w:w="457" w:type="pct"/>
                  <w:noWrap w:val="0"/>
                  <w:vAlign w:val="center"/>
                </w:tcPr>
                <w:p w14:paraId="28BD5A44">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0.12</w:t>
                  </w:r>
                </w:p>
              </w:tc>
              <w:tc>
                <w:tcPr>
                  <w:tcW w:w="532" w:type="pct"/>
                  <w:noWrap w:val="0"/>
                  <w:vAlign w:val="center"/>
                </w:tcPr>
                <w:p w14:paraId="4CA34215">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42</w:t>
                  </w:r>
                </w:p>
              </w:tc>
            </w:tr>
            <w:tr w14:paraId="262EEF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5" w:hRule="atLeast"/>
              </w:trPr>
              <w:tc>
                <w:tcPr>
                  <w:tcW w:w="3274" w:type="pct"/>
                  <w:gridSpan w:val="6"/>
                  <w:noWrap w:val="0"/>
                  <w:vAlign w:val="center"/>
                </w:tcPr>
                <w:p w14:paraId="7A812C03">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排放</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限值</w:t>
                  </w:r>
                </w:p>
              </w:tc>
              <w:tc>
                <w:tcPr>
                  <w:tcW w:w="736" w:type="pct"/>
                  <w:noWrap w:val="0"/>
                  <w:vAlign w:val="center"/>
                </w:tcPr>
                <w:p w14:paraId="76CD4248">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20</w:t>
                  </w:r>
                </w:p>
              </w:tc>
              <w:tc>
                <w:tcPr>
                  <w:tcW w:w="457" w:type="pct"/>
                  <w:noWrap w:val="0"/>
                  <w:vAlign w:val="center"/>
                </w:tcPr>
                <w:p w14:paraId="4A8C601A">
                  <w:pPr>
                    <w:pStyle w:val="85"/>
                    <w:kinsoku w:val="0"/>
                    <w:overflowPunct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532" w:type="pct"/>
                  <w:noWrap w:val="0"/>
                  <w:vAlign w:val="center"/>
                </w:tcPr>
                <w:p w14:paraId="01A89FAA">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r>
            <w:tr w14:paraId="08716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5" w:hRule="atLeast"/>
              </w:trPr>
              <w:tc>
                <w:tcPr>
                  <w:tcW w:w="3274" w:type="pct"/>
                  <w:gridSpan w:val="6"/>
                  <w:noWrap w:val="0"/>
                  <w:vAlign w:val="center"/>
                </w:tcPr>
                <w:p w14:paraId="22EBB5BF">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达标情况</w:t>
                  </w:r>
                </w:p>
              </w:tc>
              <w:tc>
                <w:tcPr>
                  <w:tcW w:w="736" w:type="pct"/>
                  <w:noWrap w:val="0"/>
                  <w:vAlign w:val="center"/>
                </w:tcPr>
                <w:p w14:paraId="729F5F12">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达标</w:t>
                  </w:r>
                </w:p>
              </w:tc>
              <w:tc>
                <w:tcPr>
                  <w:tcW w:w="457" w:type="pct"/>
                  <w:noWrap w:val="0"/>
                  <w:vAlign w:val="center"/>
                </w:tcPr>
                <w:p w14:paraId="31EB425C">
                  <w:pPr>
                    <w:pStyle w:val="85"/>
                    <w:kinsoku w:val="0"/>
                    <w:overflowPunct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532" w:type="pct"/>
                  <w:noWrap w:val="0"/>
                  <w:vAlign w:val="center"/>
                </w:tcPr>
                <w:p w14:paraId="6983E961">
                  <w:pPr>
                    <w:pStyle w:val="85"/>
                    <w:kinsoku w:val="0"/>
                    <w:overflowPunct w:val="0"/>
                    <w:snapToGrid w:val="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r>
          </w:tbl>
          <w:p w14:paraId="674A3BF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2）转运粉尘</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（G1-3）</w:t>
            </w:r>
          </w:p>
          <w:p w14:paraId="2E4AA4A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vertAlign w:val="baseline"/>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原料粉</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转运封闭仓至悬浮炉前预热旋风器物流入口，</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粉尘参照《3021、3022、3029水泥制品制造行业系数手册（含3022砼结构构件、3029其他水泥类似制品制造）行业》中混凝土制品的物料输送储存源强产污系数为0.12kg/t-产品，本项目输送皮带封闭处理，合计颗粒物产生量24t/a。粉尘配置1台袋式除尘器，除尘器风量为10000Nm</w:t>
            </w:r>
            <w:r>
              <w:rPr>
                <w:rFonts w:hint="default"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/h，</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布袋材质为玻璃纤维布袋，</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除尘效率为99%，年运行时间为</w:t>
            </w:r>
            <w:r>
              <w:rPr>
                <w:rFonts w:hint="default" w:ascii="Times New Roman" w:hAnsi="Times New Roman" w:cs="Times New Roman"/>
                <w:color w:val="000000" w:themeColor="text1"/>
                <w:sz w:val="24"/>
                <w:highlight w:val="none"/>
                <w:lang w:val="en-US" w:eastAsia="zh-CN"/>
                <w14:textFill>
                  <w14:solidFill>
                    <w14:schemeClr w14:val="tx1"/>
                  </w14:solidFill>
                </w14:textFill>
              </w:rPr>
              <w:t>72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00h</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，则污染物排放量0</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.24</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t/a，排放浓度为</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24</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mg/m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vertAlign w:val="baseline"/>
                <w:lang w:val="en-US" w:eastAsia="zh-CN"/>
                <w14:textFill>
                  <w14:solidFill>
                    <w14:schemeClr w14:val="tx1"/>
                  </w14:solidFill>
                </w14:textFill>
              </w:rPr>
              <w:t>。</w:t>
            </w:r>
          </w:p>
          <w:p w14:paraId="43586FCA">
            <w:pPr>
              <w:keepNext w:val="0"/>
              <w:keepLines w:val="0"/>
              <w:pageBreakBefore w:val="0"/>
              <w:widowControl w:val="0"/>
              <w:kinsoku/>
              <w:wordWrap/>
              <w:overflowPunct/>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color w:val="000000" w:themeColor="text1"/>
                <w:kern w:val="2"/>
                <w:sz w:val="24"/>
                <w:szCs w:val="24"/>
                <w:highlight w:val="none"/>
                <w14:textFill>
                  <w14:solidFill>
                    <w14:schemeClr w14:val="tx1"/>
                  </w14:solidFill>
                </w14:textFill>
              </w:rPr>
            </w:pPr>
          </w:p>
          <w:p w14:paraId="18174566">
            <w:pPr>
              <w:keepNext w:val="0"/>
              <w:keepLines w:val="0"/>
              <w:pageBreakBefore w:val="0"/>
              <w:widowControl w:val="0"/>
              <w:kinsoku/>
              <w:wordWrap/>
              <w:overflowPunct/>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宋体" w:cs="Times New Roman"/>
                <w:b/>
                <w:bCs/>
                <w:color w:val="000000" w:themeColor="text1"/>
                <w:kern w:val="2"/>
                <w:sz w:val="24"/>
                <w:szCs w:val="24"/>
                <w:highlight w:val="none"/>
                <w14:textFill>
                  <w14:solidFill>
                    <w14:schemeClr w14:val="tx1"/>
                  </w14:solidFill>
                </w14:textFill>
              </w:rPr>
            </w:pPr>
          </w:p>
          <w:p w14:paraId="4971D338">
            <w:pPr>
              <w:keepNext w:val="0"/>
              <w:keepLines w:val="0"/>
              <w:pageBreakBefore w:val="0"/>
              <w:widowControl w:val="0"/>
              <w:kinsoku/>
              <w:wordWrap/>
              <w:overflowPunct/>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仿宋" w:cs="Times New Roman"/>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14:textFill>
                  <w14:solidFill>
                    <w14:schemeClr w14:val="tx1"/>
                  </w14:solidFill>
                </w14:textFill>
              </w:rPr>
              <w:t>表</w:t>
            </w:r>
            <w:r>
              <w:rPr>
                <w:rFonts w:hint="default" w:ascii="Times New Roman" w:hAnsi="Times New Roman" w:eastAsia="宋体" w:cs="Times New Roman"/>
                <w:b/>
                <w:bCs/>
                <w:color w:val="000000" w:themeColor="text1"/>
                <w:kern w:val="2"/>
                <w:sz w:val="24"/>
                <w:szCs w:val="24"/>
                <w:highlight w:val="none"/>
                <w:lang w:val="en-US" w:eastAsia="zh-CN"/>
                <w14:textFill>
                  <w14:solidFill>
                    <w14:schemeClr w14:val="tx1"/>
                  </w14:solidFill>
                </w14:textFill>
              </w:rPr>
              <w:t>4-2</w:t>
            </w:r>
            <w:r>
              <w:rPr>
                <w:rFonts w:hint="default" w:ascii="Times New Roman" w:hAnsi="Times New Roman" w:cs="Times New Roman"/>
                <w:b/>
                <w:bCs/>
                <w:color w:val="000000" w:themeColor="text1"/>
                <w:kern w:val="2"/>
                <w:sz w:val="24"/>
                <w:szCs w:val="24"/>
                <w:highlight w:val="none"/>
                <w:lang w:val="en-US" w:eastAsia="zh-CN"/>
                <w14:textFill>
                  <w14:solidFill>
                    <w14:schemeClr w14:val="tx1"/>
                  </w14:solidFill>
                </w14:textFill>
              </w:rPr>
              <w:t>转运</w:t>
            </w:r>
            <w:r>
              <w:rPr>
                <w:rFonts w:hint="default" w:ascii="Times New Roman" w:hAnsi="Times New Roman" w:cs="Times New Roman"/>
                <w:b/>
                <w:bCs/>
                <w:color w:val="000000" w:themeColor="text1"/>
                <w:kern w:val="2"/>
                <w:sz w:val="24"/>
                <w:szCs w:val="24"/>
                <w:highlight w:val="none"/>
                <w14:textFill>
                  <w14:solidFill>
                    <w14:schemeClr w14:val="tx1"/>
                  </w14:solidFill>
                </w14:textFill>
              </w:rPr>
              <w:t>粉尘产排情况一览表</w:t>
            </w:r>
          </w:p>
          <w:tbl>
            <w:tblPr>
              <w:tblStyle w:val="24"/>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628"/>
              <w:gridCol w:w="903"/>
              <w:gridCol w:w="747"/>
              <w:gridCol w:w="985"/>
              <w:gridCol w:w="1007"/>
              <w:gridCol w:w="804"/>
              <w:gridCol w:w="1158"/>
              <w:gridCol w:w="723"/>
              <w:gridCol w:w="985"/>
            </w:tblGrid>
            <w:tr w14:paraId="17D9B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2" w:hRule="atLeast"/>
              </w:trPr>
              <w:tc>
                <w:tcPr>
                  <w:tcW w:w="396" w:type="pct"/>
                  <w:vMerge w:val="restart"/>
                  <w:noWrap w:val="0"/>
                  <w:vAlign w:val="center"/>
                </w:tcPr>
                <w:p w14:paraId="4F1C77C1">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装置</w:t>
                  </w:r>
                </w:p>
              </w:tc>
              <w:tc>
                <w:tcPr>
                  <w:tcW w:w="569" w:type="pct"/>
                  <w:vMerge w:val="restart"/>
                  <w:noWrap w:val="0"/>
                  <w:vAlign w:val="center"/>
                </w:tcPr>
                <w:p w14:paraId="744B8E9A">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污染源</w:t>
                  </w:r>
                </w:p>
              </w:tc>
              <w:tc>
                <w:tcPr>
                  <w:tcW w:w="470" w:type="pct"/>
                  <w:vMerge w:val="restart"/>
                  <w:noWrap w:val="0"/>
                  <w:vAlign w:val="center"/>
                </w:tcPr>
                <w:p w14:paraId="14C388E5">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w:t>
                  </w:r>
                </w:p>
              </w:tc>
              <w:tc>
                <w:tcPr>
                  <w:tcW w:w="620" w:type="pct"/>
                  <w:vMerge w:val="restart"/>
                  <w:noWrap w:val="0"/>
                  <w:vAlign w:val="center"/>
                </w:tcPr>
                <w:p w14:paraId="78CD5F59">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风机</w:t>
                  </w:r>
                </w:p>
                <w:p w14:paraId="324D624F">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风量</w:t>
                  </w:r>
                </w:p>
                <w:p w14:paraId="59988F81">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lang w:eastAsia="zh-CN"/>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/h</w:t>
                  </w: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p>
              </w:tc>
              <w:tc>
                <w:tcPr>
                  <w:tcW w:w="634" w:type="pct"/>
                  <w:vMerge w:val="restart"/>
                  <w:noWrap w:val="0"/>
                  <w:vAlign w:val="center"/>
                </w:tcPr>
                <w:p w14:paraId="34FB911A">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w:t>
                  </w:r>
                </w:p>
                <w:p w14:paraId="5FA46E30">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产生</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量</w:t>
                  </w:r>
                </w:p>
                <w:p w14:paraId="5A1E938C">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c>
                <w:tcPr>
                  <w:tcW w:w="505" w:type="pct"/>
                  <w:vMerge w:val="restart"/>
                  <w:noWrap w:val="0"/>
                  <w:vAlign w:val="center"/>
                </w:tcPr>
                <w:p w14:paraId="3033182D">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处理</w:t>
                  </w:r>
                </w:p>
                <w:p w14:paraId="4D50C762">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效率</w:t>
                  </w:r>
                </w:p>
                <w:p w14:paraId="1EC8FF8C">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1184" w:type="pct"/>
                  <w:gridSpan w:val="2"/>
                  <w:noWrap w:val="0"/>
                  <w:vAlign w:val="center"/>
                </w:tcPr>
                <w:p w14:paraId="6DD229B2">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污染物排放</w:t>
                  </w:r>
                </w:p>
              </w:tc>
              <w:tc>
                <w:tcPr>
                  <w:tcW w:w="620" w:type="pct"/>
                  <w:vMerge w:val="restart"/>
                  <w:noWrap w:val="0"/>
                  <w:vAlign w:val="center"/>
                </w:tcPr>
                <w:p w14:paraId="1A0EADCC">
                  <w:pPr>
                    <w:pStyle w:val="85"/>
                    <w:kinsoku w:val="0"/>
                    <w:overflowPunct w:val="0"/>
                    <w:snapToGrid w:val="0"/>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高度（m）</w:t>
                  </w:r>
                </w:p>
              </w:tc>
            </w:tr>
            <w:tr w14:paraId="01459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9" w:hRule="atLeast"/>
              </w:trPr>
              <w:tc>
                <w:tcPr>
                  <w:tcW w:w="396" w:type="pct"/>
                  <w:vMerge w:val="continue"/>
                  <w:noWrap w:val="0"/>
                  <w:vAlign w:val="center"/>
                </w:tcPr>
                <w:p w14:paraId="28B390E5">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69" w:type="pct"/>
                  <w:vMerge w:val="continue"/>
                  <w:noWrap w:val="0"/>
                  <w:vAlign w:val="center"/>
                </w:tcPr>
                <w:p w14:paraId="07BD2F5B">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70" w:type="pct"/>
                  <w:vMerge w:val="continue"/>
                  <w:noWrap w:val="0"/>
                  <w:vAlign w:val="center"/>
                </w:tcPr>
                <w:p w14:paraId="73BF4195">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20" w:type="pct"/>
                  <w:vMerge w:val="continue"/>
                  <w:noWrap w:val="0"/>
                  <w:vAlign w:val="center"/>
                </w:tcPr>
                <w:p w14:paraId="74B9BE5E">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34" w:type="pct"/>
                  <w:vMerge w:val="continue"/>
                  <w:noWrap w:val="0"/>
                  <w:vAlign w:val="center"/>
                </w:tcPr>
                <w:p w14:paraId="1E8585C4">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05" w:type="pct"/>
                  <w:vMerge w:val="continue"/>
                  <w:noWrap w:val="0"/>
                  <w:vAlign w:val="center"/>
                </w:tcPr>
                <w:p w14:paraId="4B7D1A1B">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729" w:type="pct"/>
                  <w:noWrap w:val="0"/>
                  <w:vAlign w:val="center"/>
                </w:tcPr>
                <w:p w14:paraId="033ABEE8">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排放浓度</w:t>
                  </w:r>
                </w:p>
                <w:p w14:paraId="7C16EBE6">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mg/</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lang w:eastAsia="zh-CN"/>
                      <w14:textFill>
                        <w14:solidFill>
                          <w14:schemeClr w14:val="tx1"/>
                        </w14:solidFill>
                      </w14:textFill>
                    </w:rPr>
                    <w:t>3</w:t>
                  </w:r>
                  <w:r>
                    <w:rPr>
                      <w:rFonts w:hint="eastAsia" w:ascii="Times New Roman" w:hAnsi="Times New Roman" w:cs="Times New Roman"/>
                      <w:b w:val="0"/>
                      <w:bCs w:val="0"/>
                      <w:color w:val="000000" w:themeColor="text1"/>
                      <w:sz w:val="21"/>
                      <w:szCs w:val="21"/>
                      <w:highlight w:val="none"/>
                      <w:vertAlign w:val="baseline"/>
                      <w:lang w:eastAsia="zh-CN"/>
                      <w14:textFill>
                        <w14:solidFill>
                          <w14:schemeClr w14:val="tx1"/>
                        </w14:solidFill>
                      </w14:textFill>
                    </w:rPr>
                    <w:t>)</w:t>
                  </w:r>
                </w:p>
              </w:tc>
              <w:tc>
                <w:tcPr>
                  <w:tcW w:w="455" w:type="pct"/>
                  <w:noWrap w:val="0"/>
                  <w:vAlign w:val="center"/>
                </w:tcPr>
                <w:p w14:paraId="000935A2">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排放量</w:t>
                  </w:r>
                </w:p>
                <w:p w14:paraId="188DF863">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c>
                <w:tcPr>
                  <w:tcW w:w="620" w:type="pct"/>
                  <w:vMerge w:val="continue"/>
                  <w:noWrap w:val="0"/>
                  <w:vAlign w:val="center"/>
                </w:tcPr>
                <w:p w14:paraId="383CCB6D">
                  <w:pPr>
                    <w:pStyle w:val="85"/>
                    <w:kinsoku w:val="0"/>
                    <w:overflowPunct w:val="0"/>
                    <w:snapToGrid w:val="0"/>
                    <w:jc w:val="cente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pPr>
                </w:p>
              </w:tc>
            </w:tr>
            <w:tr w14:paraId="2BCFD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8" w:hRule="atLeast"/>
              </w:trPr>
              <w:tc>
                <w:tcPr>
                  <w:tcW w:w="396" w:type="pct"/>
                  <w:noWrap w:val="0"/>
                  <w:vAlign w:val="center"/>
                </w:tcPr>
                <w:p w14:paraId="326F9FBC">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转运</w:t>
                  </w:r>
                </w:p>
                <w:p w14:paraId="4364C6AC">
                  <w:pPr>
                    <w:pStyle w:val="85"/>
                    <w:kinsoku w:val="0"/>
                    <w:overflowPunct w:val="0"/>
                    <w:snapToGrid w:val="0"/>
                    <w:jc w:val="cente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站</w:t>
                  </w:r>
                </w:p>
              </w:tc>
              <w:tc>
                <w:tcPr>
                  <w:tcW w:w="569" w:type="pct"/>
                  <w:noWrap w:val="0"/>
                  <w:vAlign w:val="center"/>
                </w:tcPr>
                <w:p w14:paraId="1EABB976">
                  <w:pPr>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DA003</w:t>
                  </w:r>
                </w:p>
              </w:tc>
              <w:tc>
                <w:tcPr>
                  <w:tcW w:w="470" w:type="pct"/>
                  <w:noWrap w:val="0"/>
                  <w:vAlign w:val="center"/>
                </w:tcPr>
                <w:p w14:paraId="558FF44D">
                  <w:pPr>
                    <w:pStyle w:val="85"/>
                    <w:kinsoku w:val="0"/>
                    <w:overflowPunct w:val="0"/>
                    <w:snapToGrid w:val="0"/>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颗粒物</w:t>
                  </w:r>
                </w:p>
              </w:tc>
              <w:tc>
                <w:tcPr>
                  <w:tcW w:w="620" w:type="pct"/>
                  <w:noWrap w:val="0"/>
                  <w:vAlign w:val="center"/>
                </w:tcPr>
                <w:p w14:paraId="2B95DC39">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10000</w:t>
                  </w:r>
                </w:p>
              </w:tc>
              <w:tc>
                <w:tcPr>
                  <w:tcW w:w="634" w:type="pct"/>
                  <w:noWrap w:val="0"/>
                  <w:vAlign w:val="center"/>
                </w:tcPr>
                <w:p w14:paraId="3425DFCE">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24</w:t>
                  </w:r>
                </w:p>
              </w:tc>
              <w:tc>
                <w:tcPr>
                  <w:tcW w:w="505" w:type="pct"/>
                  <w:noWrap w:val="0"/>
                  <w:vAlign w:val="center"/>
                </w:tcPr>
                <w:p w14:paraId="42A67BAF">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99</w:t>
                  </w:r>
                </w:p>
              </w:tc>
              <w:tc>
                <w:tcPr>
                  <w:tcW w:w="729" w:type="pct"/>
                  <w:noWrap w:val="0"/>
                  <w:vAlign w:val="center"/>
                </w:tcPr>
                <w:p w14:paraId="560B8B76">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i w:val="0"/>
                      <w:color w:val="000000" w:themeColor="text1"/>
                      <w:kern w:val="0"/>
                      <w:sz w:val="21"/>
                      <w:szCs w:val="21"/>
                      <w:highlight w:val="none"/>
                      <w:u w:val="none"/>
                      <w:lang w:val="en-US" w:eastAsia="zh-CN" w:bidi="ar"/>
                      <w14:textFill>
                        <w14:solidFill>
                          <w14:schemeClr w14:val="tx1"/>
                        </w14:solidFill>
                      </w14:textFill>
                    </w:rPr>
                    <w:t>24</w:t>
                  </w:r>
                </w:p>
              </w:tc>
              <w:tc>
                <w:tcPr>
                  <w:tcW w:w="455" w:type="pct"/>
                  <w:noWrap w:val="0"/>
                  <w:vAlign w:val="center"/>
                </w:tcPr>
                <w:p w14:paraId="7C820953">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w:t>
                  </w:r>
                  <w:r>
                    <w:rPr>
                      <w:rFonts w:hint="default" w:ascii="Times New Roman" w:hAnsi="Times New Roman" w:cs="Times New Roman"/>
                      <w:i w:val="0"/>
                      <w:color w:val="000000" w:themeColor="text1"/>
                      <w:kern w:val="0"/>
                      <w:sz w:val="21"/>
                      <w:szCs w:val="21"/>
                      <w:highlight w:val="none"/>
                      <w:u w:val="none"/>
                      <w:lang w:val="en-US" w:eastAsia="zh-CN" w:bidi="ar"/>
                      <w14:textFill>
                        <w14:solidFill>
                          <w14:schemeClr w14:val="tx1"/>
                        </w14:solidFill>
                      </w14:textFill>
                    </w:rPr>
                    <w:t>24</w:t>
                  </w:r>
                </w:p>
              </w:tc>
              <w:tc>
                <w:tcPr>
                  <w:tcW w:w="620" w:type="pct"/>
                  <w:noWrap w:val="0"/>
                  <w:vAlign w:val="center"/>
                </w:tcPr>
                <w:p w14:paraId="7392E9A0">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15</w:t>
                  </w:r>
                </w:p>
              </w:tc>
            </w:tr>
            <w:tr w14:paraId="4C184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5" w:hRule="atLeast"/>
              </w:trPr>
              <w:tc>
                <w:tcPr>
                  <w:tcW w:w="3195" w:type="pct"/>
                  <w:gridSpan w:val="6"/>
                  <w:noWrap w:val="0"/>
                  <w:vAlign w:val="center"/>
                </w:tcPr>
                <w:p w14:paraId="6717B22B">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排放</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限值</w:t>
                  </w:r>
                </w:p>
              </w:tc>
              <w:tc>
                <w:tcPr>
                  <w:tcW w:w="729" w:type="pct"/>
                  <w:noWrap w:val="0"/>
                  <w:vAlign w:val="center"/>
                </w:tcPr>
                <w:p w14:paraId="242C937D">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30</w:t>
                  </w:r>
                </w:p>
              </w:tc>
              <w:tc>
                <w:tcPr>
                  <w:tcW w:w="455" w:type="pct"/>
                  <w:noWrap w:val="0"/>
                  <w:vAlign w:val="center"/>
                </w:tcPr>
                <w:p w14:paraId="51F54754">
                  <w:pPr>
                    <w:pStyle w:val="85"/>
                    <w:kinsoku w:val="0"/>
                    <w:overflowPunct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620" w:type="pct"/>
                  <w:noWrap w:val="0"/>
                  <w:vAlign w:val="center"/>
                </w:tcPr>
                <w:p w14:paraId="3A4E26FD">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r>
            <w:tr w14:paraId="0F983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5" w:hRule="atLeast"/>
              </w:trPr>
              <w:tc>
                <w:tcPr>
                  <w:tcW w:w="3195" w:type="pct"/>
                  <w:gridSpan w:val="6"/>
                  <w:noWrap w:val="0"/>
                  <w:vAlign w:val="center"/>
                </w:tcPr>
                <w:p w14:paraId="6913762D">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达标情况</w:t>
                  </w:r>
                </w:p>
              </w:tc>
              <w:tc>
                <w:tcPr>
                  <w:tcW w:w="729" w:type="pct"/>
                  <w:noWrap w:val="0"/>
                  <w:vAlign w:val="center"/>
                </w:tcPr>
                <w:p w14:paraId="2A4E4B9E">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达标</w:t>
                  </w:r>
                </w:p>
              </w:tc>
              <w:tc>
                <w:tcPr>
                  <w:tcW w:w="455" w:type="pct"/>
                  <w:noWrap w:val="0"/>
                  <w:vAlign w:val="center"/>
                </w:tcPr>
                <w:p w14:paraId="01EA6CC3">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620" w:type="pct"/>
                  <w:noWrap w:val="0"/>
                  <w:vAlign w:val="center"/>
                </w:tcPr>
                <w:p w14:paraId="037CECE1">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r>
          </w:tbl>
          <w:p w14:paraId="5FE66BBC">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窑尾喂料仓卸料</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粉尘</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（G1-4）</w:t>
            </w:r>
          </w:p>
          <w:p w14:paraId="59D811D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窑尾筒仓粉尘参照《3021、3022、3029水泥制品制造行业系数手册（含3022砼结构构件、3029其他水泥类似制品制造）行业》中混凝土制品的物料输送储存源强产污系数为0.12kg/t-产品，本项目输送皮带封闭处理，合计颗粒物产生量24t/a。粉尘配置1台袋式除尘器，除尘器风量为10000Nm</w:t>
            </w:r>
            <w:r>
              <w:rPr>
                <w:rFonts w:hint="default"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/h，除尘效率为99%，年运行时间为2400h。</w:t>
            </w:r>
          </w:p>
          <w:p w14:paraId="2782770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1个</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窑</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尾</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筒仓粉尘产生量为24t/a，袋式除尘器的除尘效率为99%，则排放量为0.24t/a。</w:t>
            </w:r>
          </w:p>
          <w:p w14:paraId="496E221C">
            <w:pPr>
              <w:keepNext w:val="0"/>
              <w:keepLines w:val="0"/>
              <w:pageBreakBefore w:val="0"/>
              <w:widowControl w:val="0"/>
              <w:kinsoku/>
              <w:wordWrap/>
              <w:overflowPunct/>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仿宋" w:cs="Times New Roman"/>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14:textFill>
                  <w14:solidFill>
                    <w14:schemeClr w14:val="tx1"/>
                  </w14:solidFill>
                </w14:textFill>
              </w:rPr>
              <w:t>表</w:t>
            </w:r>
            <w:r>
              <w:rPr>
                <w:rFonts w:hint="default" w:ascii="Times New Roman" w:hAnsi="Times New Roman" w:eastAsia="宋体" w:cs="Times New Roman"/>
                <w:b/>
                <w:bCs/>
                <w:color w:val="000000" w:themeColor="text1"/>
                <w:kern w:val="2"/>
                <w:sz w:val="24"/>
                <w:szCs w:val="24"/>
                <w:highlight w:val="none"/>
                <w:lang w:val="en-US" w:eastAsia="zh-CN"/>
                <w14:textFill>
                  <w14:solidFill>
                    <w14:schemeClr w14:val="tx1"/>
                  </w14:solidFill>
                </w14:textFill>
              </w:rPr>
              <w:t>4-5</w:t>
            </w:r>
            <w:r>
              <w:rPr>
                <w:rFonts w:hint="default" w:ascii="Times New Roman" w:hAnsi="Times New Roman" w:cs="Times New Roman"/>
                <w:b/>
                <w:bCs/>
                <w:color w:val="000000" w:themeColor="text1"/>
                <w:kern w:val="2"/>
                <w:sz w:val="24"/>
                <w:szCs w:val="24"/>
                <w:highlight w:val="none"/>
                <w:lang w:val="en-US" w:eastAsia="zh-CN"/>
                <w14:textFill>
                  <w14:solidFill>
                    <w14:schemeClr w14:val="tx1"/>
                  </w14:solidFill>
                </w14:textFill>
              </w:rPr>
              <w:t>窑尾仓顶废气</w:t>
            </w:r>
            <w:r>
              <w:rPr>
                <w:rFonts w:hint="default" w:ascii="Times New Roman" w:hAnsi="Times New Roman" w:cs="Times New Roman"/>
                <w:b/>
                <w:bCs/>
                <w:color w:val="000000" w:themeColor="text1"/>
                <w:kern w:val="2"/>
                <w:sz w:val="24"/>
                <w:szCs w:val="24"/>
                <w:highlight w:val="none"/>
                <w14:textFill>
                  <w14:solidFill>
                    <w14:schemeClr w14:val="tx1"/>
                  </w14:solidFill>
                </w14:textFill>
              </w:rPr>
              <w:t>粉尘产排情况一览表</w:t>
            </w:r>
          </w:p>
          <w:tbl>
            <w:tblPr>
              <w:tblStyle w:val="2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862"/>
              <w:gridCol w:w="862"/>
              <w:gridCol w:w="742"/>
              <w:gridCol w:w="863"/>
              <w:gridCol w:w="863"/>
              <w:gridCol w:w="607"/>
              <w:gridCol w:w="1127"/>
              <w:gridCol w:w="863"/>
              <w:gridCol w:w="1154"/>
            </w:tblGrid>
            <w:tr w14:paraId="028AB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2" w:hRule="atLeast"/>
              </w:trPr>
              <w:tc>
                <w:tcPr>
                  <w:tcW w:w="543" w:type="pct"/>
                  <w:vMerge w:val="restart"/>
                  <w:noWrap w:val="0"/>
                  <w:vAlign w:val="center"/>
                </w:tcPr>
                <w:p w14:paraId="1F60F421">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装置</w:t>
                  </w:r>
                </w:p>
              </w:tc>
              <w:tc>
                <w:tcPr>
                  <w:tcW w:w="543" w:type="pct"/>
                  <w:vMerge w:val="restart"/>
                  <w:noWrap w:val="0"/>
                  <w:vAlign w:val="center"/>
                </w:tcPr>
                <w:p w14:paraId="3916DE1D">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污染源</w:t>
                  </w:r>
                </w:p>
              </w:tc>
              <w:tc>
                <w:tcPr>
                  <w:tcW w:w="467" w:type="pct"/>
                  <w:vMerge w:val="restart"/>
                  <w:noWrap w:val="0"/>
                  <w:vAlign w:val="center"/>
                </w:tcPr>
                <w:p w14:paraId="15424872">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w:t>
                  </w:r>
                </w:p>
              </w:tc>
              <w:tc>
                <w:tcPr>
                  <w:tcW w:w="543" w:type="pct"/>
                  <w:vMerge w:val="restart"/>
                  <w:noWrap w:val="0"/>
                  <w:vAlign w:val="center"/>
                </w:tcPr>
                <w:p w14:paraId="67AA21C8">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风机</w:t>
                  </w:r>
                </w:p>
                <w:p w14:paraId="3D70C7C2">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风量</w:t>
                  </w:r>
                </w:p>
                <w:p w14:paraId="4F7A283E">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lang w:eastAsia="zh-CN"/>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/h</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p>
              </w:tc>
              <w:tc>
                <w:tcPr>
                  <w:tcW w:w="543" w:type="pct"/>
                  <w:vMerge w:val="restart"/>
                  <w:noWrap w:val="0"/>
                  <w:vAlign w:val="center"/>
                </w:tcPr>
                <w:p w14:paraId="758831E6">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w:t>
                  </w:r>
                </w:p>
                <w:p w14:paraId="6E1CD740">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产生</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量</w:t>
                  </w:r>
                </w:p>
                <w:p w14:paraId="01029DBE">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p>
              </w:tc>
              <w:tc>
                <w:tcPr>
                  <w:tcW w:w="381" w:type="pct"/>
                  <w:vMerge w:val="restart"/>
                  <w:noWrap w:val="0"/>
                  <w:vAlign w:val="center"/>
                </w:tcPr>
                <w:p w14:paraId="771DF526">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处理</w:t>
                  </w:r>
                </w:p>
                <w:p w14:paraId="1EA0ECCE">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效率</w:t>
                  </w:r>
                </w:p>
                <w:p w14:paraId="2342997F">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1252" w:type="pct"/>
                  <w:gridSpan w:val="2"/>
                  <w:noWrap w:val="0"/>
                  <w:vAlign w:val="center"/>
                </w:tcPr>
                <w:p w14:paraId="60C421BE">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污染物排放</w:t>
                  </w:r>
                </w:p>
              </w:tc>
              <w:tc>
                <w:tcPr>
                  <w:tcW w:w="726" w:type="pct"/>
                  <w:vMerge w:val="restart"/>
                  <w:noWrap w:val="0"/>
                  <w:vAlign w:val="center"/>
                </w:tcPr>
                <w:p w14:paraId="52F4646B">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高度（m）</w:t>
                  </w:r>
                </w:p>
              </w:tc>
            </w:tr>
            <w:tr w14:paraId="6AD565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9" w:hRule="atLeast"/>
              </w:trPr>
              <w:tc>
                <w:tcPr>
                  <w:tcW w:w="543" w:type="pct"/>
                  <w:vMerge w:val="continue"/>
                  <w:noWrap w:val="0"/>
                  <w:vAlign w:val="center"/>
                </w:tcPr>
                <w:p w14:paraId="4096A315">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43" w:type="pct"/>
                  <w:vMerge w:val="continue"/>
                  <w:noWrap w:val="0"/>
                  <w:vAlign w:val="center"/>
                </w:tcPr>
                <w:p w14:paraId="7786D4AE">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67" w:type="pct"/>
                  <w:vMerge w:val="continue"/>
                  <w:noWrap w:val="0"/>
                  <w:vAlign w:val="center"/>
                </w:tcPr>
                <w:p w14:paraId="5490AA3E">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43" w:type="pct"/>
                  <w:vMerge w:val="continue"/>
                  <w:noWrap w:val="0"/>
                  <w:vAlign w:val="center"/>
                </w:tcPr>
                <w:p w14:paraId="2CABEA3C">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43" w:type="pct"/>
                  <w:vMerge w:val="continue"/>
                  <w:noWrap w:val="0"/>
                  <w:vAlign w:val="center"/>
                </w:tcPr>
                <w:p w14:paraId="5590CA89">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381" w:type="pct"/>
                  <w:vMerge w:val="continue"/>
                  <w:noWrap w:val="0"/>
                  <w:vAlign w:val="center"/>
                </w:tcPr>
                <w:p w14:paraId="06B0F8CE">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709" w:type="pct"/>
                  <w:noWrap w:val="0"/>
                  <w:vAlign w:val="center"/>
                </w:tcPr>
                <w:p w14:paraId="6CB9A730">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排放浓度</w:t>
                  </w:r>
                </w:p>
                <w:p w14:paraId="7DF7A5F9">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mg/</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lang w:eastAsia="zh-CN"/>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t>)</w:t>
                  </w:r>
                </w:p>
              </w:tc>
              <w:tc>
                <w:tcPr>
                  <w:tcW w:w="543" w:type="pct"/>
                  <w:noWrap w:val="0"/>
                  <w:vAlign w:val="center"/>
                </w:tcPr>
                <w:p w14:paraId="4AB0D434">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排放量</w:t>
                  </w:r>
                </w:p>
                <w:p w14:paraId="0D2A530A">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p>
              </w:tc>
              <w:tc>
                <w:tcPr>
                  <w:tcW w:w="726" w:type="pct"/>
                  <w:vMerge w:val="continue"/>
                  <w:noWrap w:val="0"/>
                  <w:vAlign w:val="center"/>
                </w:tcPr>
                <w:p w14:paraId="200FE4A6">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p>
              </w:tc>
            </w:tr>
            <w:tr w14:paraId="0E023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8" w:hRule="atLeast"/>
              </w:trPr>
              <w:tc>
                <w:tcPr>
                  <w:tcW w:w="543" w:type="pct"/>
                  <w:noWrap w:val="0"/>
                  <w:vAlign w:val="center"/>
                </w:tcPr>
                <w:p w14:paraId="645D9444">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窑</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尾</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仓</w:t>
                  </w:r>
                </w:p>
              </w:tc>
              <w:tc>
                <w:tcPr>
                  <w:tcW w:w="543" w:type="pct"/>
                  <w:noWrap w:val="0"/>
                  <w:vAlign w:val="center"/>
                </w:tcPr>
                <w:p w14:paraId="291B14F9">
                  <w:pPr>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DA00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w:t>
                  </w:r>
                </w:p>
              </w:tc>
              <w:tc>
                <w:tcPr>
                  <w:tcW w:w="467" w:type="pct"/>
                  <w:noWrap w:val="0"/>
                  <w:vAlign w:val="center"/>
                </w:tcPr>
                <w:p w14:paraId="6216F4E3">
                  <w:pPr>
                    <w:pStyle w:val="85"/>
                    <w:kinsoku w:val="0"/>
                    <w:overflowPunct w:val="0"/>
                    <w:snapToGrid w:val="0"/>
                    <w:ind w:firstLine="0" w:firstLineChars="0"/>
                    <w:jc w:val="both"/>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颗粒物</w:t>
                  </w:r>
                </w:p>
              </w:tc>
              <w:tc>
                <w:tcPr>
                  <w:tcW w:w="543" w:type="pct"/>
                  <w:noWrap w:val="0"/>
                  <w:vAlign w:val="center"/>
                </w:tcPr>
                <w:p w14:paraId="7AEBB70B">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10000</w:t>
                  </w:r>
                </w:p>
              </w:tc>
              <w:tc>
                <w:tcPr>
                  <w:tcW w:w="543" w:type="pct"/>
                  <w:noWrap w:val="0"/>
                  <w:vAlign w:val="center"/>
                </w:tcPr>
                <w:p w14:paraId="5019578E">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24</w:t>
                  </w:r>
                </w:p>
              </w:tc>
              <w:tc>
                <w:tcPr>
                  <w:tcW w:w="381" w:type="pct"/>
                  <w:noWrap w:val="0"/>
                  <w:vAlign w:val="center"/>
                </w:tcPr>
                <w:p w14:paraId="2B0DFF68">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99</w:t>
                  </w:r>
                </w:p>
              </w:tc>
              <w:tc>
                <w:tcPr>
                  <w:tcW w:w="709" w:type="pct"/>
                  <w:noWrap w:val="0"/>
                  <w:vAlign w:val="center"/>
                </w:tcPr>
                <w:p w14:paraId="0BE18C83">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i w:val="0"/>
                      <w:color w:val="000000" w:themeColor="text1"/>
                      <w:kern w:val="0"/>
                      <w:sz w:val="21"/>
                      <w:szCs w:val="21"/>
                      <w:highlight w:val="none"/>
                      <w:u w:val="none"/>
                      <w:lang w:val="en-US" w:eastAsia="zh-CN" w:bidi="ar"/>
                      <w14:textFill>
                        <w14:solidFill>
                          <w14:schemeClr w14:val="tx1"/>
                        </w14:solidFill>
                      </w14:textFill>
                    </w:rPr>
                    <w:t>24</w:t>
                  </w:r>
                </w:p>
              </w:tc>
              <w:tc>
                <w:tcPr>
                  <w:tcW w:w="543" w:type="pct"/>
                  <w:noWrap w:val="0"/>
                  <w:vAlign w:val="center"/>
                </w:tcPr>
                <w:p w14:paraId="2E83DDD4">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0.24</w:t>
                  </w:r>
                </w:p>
              </w:tc>
              <w:tc>
                <w:tcPr>
                  <w:tcW w:w="726" w:type="pct"/>
                  <w:noWrap w:val="0"/>
                  <w:vAlign w:val="center"/>
                </w:tcPr>
                <w:p w14:paraId="1647D612">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30</w:t>
                  </w:r>
                </w:p>
              </w:tc>
            </w:tr>
            <w:tr w14:paraId="3C11C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5" w:hRule="atLeast"/>
              </w:trPr>
              <w:tc>
                <w:tcPr>
                  <w:tcW w:w="3021" w:type="pct"/>
                  <w:gridSpan w:val="6"/>
                  <w:noWrap w:val="0"/>
                  <w:vAlign w:val="center"/>
                </w:tcPr>
                <w:p w14:paraId="56D060BD">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排放</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限值</w:t>
                  </w:r>
                </w:p>
              </w:tc>
              <w:tc>
                <w:tcPr>
                  <w:tcW w:w="709" w:type="pct"/>
                  <w:noWrap w:val="0"/>
                  <w:vAlign w:val="center"/>
                </w:tcPr>
                <w:p w14:paraId="0D23A48C">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20</w:t>
                  </w:r>
                </w:p>
              </w:tc>
              <w:tc>
                <w:tcPr>
                  <w:tcW w:w="543" w:type="pct"/>
                  <w:noWrap w:val="0"/>
                  <w:vAlign w:val="center"/>
                </w:tcPr>
                <w:p w14:paraId="7DB3F72D">
                  <w:pPr>
                    <w:pStyle w:val="85"/>
                    <w:kinsoku w:val="0"/>
                    <w:overflowPunct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726" w:type="pct"/>
                  <w:noWrap w:val="0"/>
                  <w:vAlign w:val="center"/>
                </w:tcPr>
                <w:p w14:paraId="43CC821A">
                  <w:pPr>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r>
            <w:tr w14:paraId="189909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5" w:hRule="atLeast"/>
              </w:trPr>
              <w:tc>
                <w:tcPr>
                  <w:tcW w:w="3021" w:type="pct"/>
                  <w:gridSpan w:val="6"/>
                  <w:noWrap w:val="0"/>
                  <w:vAlign w:val="center"/>
                </w:tcPr>
                <w:p w14:paraId="7A477C62">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达标情况</w:t>
                  </w:r>
                </w:p>
              </w:tc>
              <w:tc>
                <w:tcPr>
                  <w:tcW w:w="709" w:type="pct"/>
                  <w:noWrap w:val="0"/>
                  <w:vAlign w:val="center"/>
                </w:tcPr>
                <w:p w14:paraId="1294BBB1">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达标</w:t>
                  </w:r>
                </w:p>
              </w:tc>
              <w:tc>
                <w:tcPr>
                  <w:tcW w:w="543" w:type="pct"/>
                  <w:noWrap w:val="0"/>
                  <w:vAlign w:val="center"/>
                </w:tcPr>
                <w:p w14:paraId="4A29FF8A">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726" w:type="pct"/>
                  <w:noWrap w:val="0"/>
                  <w:vAlign w:val="center"/>
                </w:tcPr>
                <w:p w14:paraId="100A2560">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r>
          </w:tbl>
          <w:p w14:paraId="5D4B696C">
            <w:pPr>
              <w:keepNext w:val="0"/>
              <w:keepLines w:val="0"/>
              <w:pageBreakBefore w:val="0"/>
              <w:widowControl w:val="0"/>
              <w:numPr>
                <w:ilvl w:val="0"/>
                <w:numId w:val="4"/>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窑尾提升机卸料粉尘废气</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（G1-</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5</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w:t>
            </w:r>
          </w:p>
          <w:p w14:paraId="60FBEC8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据建设单位提供的设计资料，</w:t>
            </w:r>
            <w:r>
              <w:rPr>
                <w:rFonts w:hint="eastAsia" w:cs="Times New Roman"/>
                <w:b w:val="0"/>
                <w:bCs w:val="0"/>
                <w:color w:val="000000" w:themeColor="text1"/>
                <w:sz w:val="24"/>
                <w:highlight w:val="none"/>
                <w:lang w:val="en-US" w:eastAsia="zh-CN"/>
                <w14:textFill>
                  <w14:solidFill>
                    <w14:schemeClr w14:val="tx1"/>
                  </w14:solidFill>
                </w14:textFill>
              </w:rPr>
              <w:t>设计</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卸料口全密闭罩</w:t>
            </w:r>
            <w:r>
              <w:rPr>
                <w:rFonts w:hint="eastAsia" w:cs="Times New Roman"/>
                <w:b w:val="0"/>
                <w:bCs w:val="0"/>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窑尾提升机卸料过程废气进入占产品的0.01%，产品窑尾提升机卸料</w:t>
            </w:r>
            <w:r>
              <w:rPr>
                <w:rFonts w:hint="eastAsia" w:cs="Times New Roman"/>
                <w:b w:val="0"/>
                <w:bCs w:val="0"/>
                <w:color w:val="000000" w:themeColor="text1"/>
                <w:sz w:val="24"/>
                <w:highlight w:val="none"/>
                <w:lang w:val="en-US" w:eastAsia="zh-CN"/>
                <w14:textFill>
                  <w14:solidFill>
                    <w14:schemeClr w14:val="tx1"/>
                  </w14:solidFill>
                </w14:textFill>
              </w:rPr>
              <w:t>粉尘</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的产生量为20t/a，产品窑尾提升机</w:t>
            </w:r>
            <w:r>
              <w:rPr>
                <w:rFonts w:hint="eastAsia" w:cs="Times New Roman"/>
                <w:b w:val="0"/>
                <w:bCs w:val="0"/>
                <w:color w:val="000000" w:themeColor="text1"/>
                <w:sz w:val="24"/>
                <w:highlight w:val="none"/>
                <w:lang w:val="en-US" w:eastAsia="zh-CN"/>
                <w14:textFill>
                  <w14:solidFill>
                    <w14:schemeClr w14:val="tx1"/>
                  </w14:solidFill>
                </w14:textFill>
              </w:rPr>
              <w:t>密闭</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卸料</w:t>
            </w:r>
            <w:r>
              <w:rPr>
                <w:rFonts w:hint="eastAsia" w:cs="Times New Roman"/>
                <w:b w:val="0"/>
                <w:bCs w:val="0"/>
                <w:color w:val="000000" w:themeColor="text1"/>
                <w:sz w:val="24"/>
                <w:highlight w:val="none"/>
                <w:lang w:val="en-US" w:eastAsia="zh-CN"/>
                <w14:textFill>
                  <w14:solidFill>
                    <w14:schemeClr w14:val="tx1"/>
                  </w14:solidFill>
                </w14:textFill>
              </w:rPr>
              <w:t>设置</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1台</w:t>
            </w:r>
            <w:r>
              <w:rPr>
                <w:rFonts w:hint="eastAsia" w:cs="Times New Roman"/>
                <w:b w:val="0"/>
                <w:bCs w:val="0"/>
                <w:color w:val="000000" w:themeColor="text1"/>
                <w:sz w:val="24"/>
                <w:highlight w:val="none"/>
                <w:lang w:val="en-US" w:eastAsia="zh-CN"/>
                <w14:textFill>
                  <w14:solidFill>
                    <w14:schemeClr w14:val="tx1"/>
                  </w14:solidFill>
                </w14:textFill>
              </w:rPr>
              <w:t>负压</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袋式除尘器，除尘器风量为10000Nm</w:t>
            </w:r>
            <w:r>
              <w:rPr>
                <w:rFonts w:hint="default" w:ascii="Times New Roman" w:hAnsi="Times New Roman" w:eastAsia="宋体" w:cs="Times New Roman"/>
                <w:b w:val="0"/>
                <w:bCs w:val="0"/>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/h，除尘效率为99%，年运行时间7200h。</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袋式除尘器的除尘效率为99%，</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排放量为2t/a，排放浓度为9.09mg/Nm</w:t>
            </w:r>
            <w:r>
              <w:rPr>
                <w:rFonts w:hint="default" w:ascii="Times New Roman" w:hAnsi="Times New Roman" w:eastAsia="宋体" w:cs="Times New Roman"/>
                <w:b w:val="0"/>
                <w:bCs w:val="0"/>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w:t>
            </w:r>
          </w:p>
          <w:p w14:paraId="7775D751">
            <w:pPr>
              <w:keepNext w:val="0"/>
              <w:keepLines w:val="0"/>
              <w:pageBreakBefore w:val="0"/>
              <w:widowControl w:val="0"/>
              <w:kinsoku/>
              <w:wordWrap/>
              <w:overflowPunct/>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仿宋" w:cs="Times New Roman"/>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14:textFill>
                  <w14:solidFill>
                    <w14:schemeClr w14:val="tx1"/>
                  </w14:solidFill>
                </w14:textFill>
              </w:rPr>
              <w:t>表</w:t>
            </w:r>
            <w:r>
              <w:rPr>
                <w:rFonts w:hint="default" w:ascii="Times New Roman" w:hAnsi="Times New Roman" w:eastAsia="宋体" w:cs="Times New Roman"/>
                <w:b/>
                <w:bCs/>
                <w:color w:val="000000" w:themeColor="text1"/>
                <w:kern w:val="2"/>
                <w:sz w:val="24"/>
                <w:szCs w:val="24"/>
                <w:highlight w:val="none"/>
                <w:lang w:val="en-US" w:eastAsia="zh-CN"/>
                <w14:textFill>
                  <w14:solidFill>
                    <w14:schemeClr w14:val="tx1"/>
                  </w14:solidFill>
                </w14:textFill>
              </w:rPr>
              <w:t>4-3</w:t>
            </w:r>
            <w:r>
              <w:rPr>
                <w:rFonts w:hint="default" w:ascii="Times New Roman" w:hAnsi="Times New Roman" w:cs="Times New Roman"/>
                <w:b/>
                <w:bCs/>
                <w:color w:val="000000" w:themeColor="text1"/>
                <w:kern w:val="2"/>
                <w:sz w:val="24"/>
                <w:szCs w:val="24"/>
                <w:highlight w:val="none"/>
                <w:lang w:val="en-US" w:eastAsia="zh-CN"/>
                <w14:textFill>
                  <w14:solidFill>
                    <w14:schemeClr w14:val="tx1"/>
                  </w14:solidFill>
                </w14:textFill>
              </w:rPr>
              <w:t>废气</w:t>
            </w:r>
            <w:r>
              <w:rPr>
                <w:rFonts w:hint="default" w:ascii="Times New Roman" w:hAnsi="Times New Roman" w:cs="Times New Roman"/>
                <w:b/>
                <w:bCs/>
                <w:color w:val="000000" w:themeColor="text1"/>
                <w:kern w:val="2"/>
                <w:sz w:val="24"/>
                <w:szCs w:val="24"/>
                <w:highlight w:val="none"/>
                <w14:textFill>
                  <w14:solidFill>
                    <w14:schemeClr w14:val="tx1"/>
                  </w14:solidFill>
                </w14:textFill>
              </w:rPr>
              <w:t>粉尘产排情况一览表</w:t>
            </w:r>
          </w:p>
          <w:tbl>
            <w:tblPr>
              <w:tblStyle w:val="24"/>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870"/>
              <w:gridCol w:w="920"/>
              <w:gridCol w:w="850"/>
              <w:gridCol w:w="976"/>
              <w:gridCol w:w="812"/>
              <w:gridCol w:w="794"/>
              <w:gridCol w:w="1152"/>
              <w:gridCol w:w="712"/>
              <w:gridCol w:w="855"/>
            </w:tblGrid>
            <w:tr w14:paraId="6C697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2" w:hRule="atLeast"/>
              </w:trPr>
              <w:tc>
                <w:tcPr>
                  <w:tcW w:w="548" w:type="pct"/>
                  <w:vMerge w:val="restart"/>
                  <w:noWrap w:val="0"/>
                  <w:vAlign w:val="center"/>
                </w:tcPr>
                <w:p w14:paraId="191D6698">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装置</w:t>
                  </w:r>
                </w:p>
              </w:tc>
              <w:tc>
                <w:tcPr>
                  <w:tcW w:w="579" w:type="pct"/>
                  <w:vMerge w:val="restart"/>
                  <w:noWrap w:val="0"/>
                  <w:vAlign w:val="center"/>
                </w:tcPr>
                <w:p w14:paraId="46583520">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污染源</w:t>
                  </w:r>
                </w:p>
              </w:tc>
              <w:tc>
                <w:tcPr>
                  <w:tcW w:w="535" w:type="pct"/>
                  <w:vMerge w:val="restart"/>
                  <w:noWrap w:val="0"/>
                  <w:vAlign w:val="center"/>
                </w:tcPr>
                <w:p w14:paraId="6C1EEADE">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w:t>
                  </w:r>
                </w:p>
              </w:tc>
              <w:tc>
                <w:tcPr>
                  <w:tcW w:w="614" w:type="pct"/>
                  <w:vMerge w:val="restart"/>
                  <w:noWrap w:val="0"/>
                  <w:vAlign w:val="center"/>
                </w:tcPr>
                <w:p w14:paraId="26AE598C">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风机风量</w:t>
                  </w:r>
                </w:p>
                <w:p w14:paraId="6232CB7D">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lang w:eastAsia="zh-CN"/>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/h</w:t>
                  </w: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p>
              </w:tc>
              <w:tc>
                <w:tcPr>
                  <w:tcW w:w="511" w:type="pct"/>
                  <w:vMerge w:val="restart"/>
                  <w:noWrap w:val="0"/>
                  <w:vAlign w:val="center"/>
                </w:tcPr>
                <w:p w14:paraId="08C9B686">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w:t>
                  </w:r>
                </w:p>
                <w:p w14:paraId="61D46403">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产生</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量</w:t>
                  </w:r>
                </w:p>
                <w:p w14:paraId="6AE37D87">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c>
                <w:tcPr>
                  <w:tcW w:w="497" w:type="pct"/>
                  <w:vMerge w:val="restart"/>
                  <w:noWrap w:val="0"/>
                  <w:vAlign w:val="center"/>
                </w:tcPr>
                <w:p w14:paraId="5624A42E">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处理</w:t>
                  </w:r>
                </w:p>
                <w:p w14:paraId="2A69DAD4">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效率</w:t>
                  </w:r>
                </w:p>
                <w:p w14:paraId="0D18DFF0">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1173" w:type="pct"/>
                  <w:gridSpan w:val="2"/>
                  <w:noWrap w:val="0"/>
                  <w:vAlign w:val="center"/>
                </w:tcPr>
                <w:p w14:paraId="7C8C1773">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污染物排放</w:t>
                  </w:r>
                </w:p>
              </w:tc>
              <w:tc>
                <w:tcPr>
                  <w:tcW w:w="538" w:type="pct"/>
                  <w:vMerge w:val="restart"/>
                  <w:noWrap w:val="0"/>
                  <w:vAlign w:val="center"/>
                </w:tcPr>
                <w:p w14:paraId="2C13E230">
                  <w:pPr>
                    <w:pStyle w:val="85"/>
                    <w:kinsoku w:val="0"/>
                    <w:overflowPunct w:val="0"/>
                    <w:snapToGrid w:val="0"/>
                    <w:jc w:val="cente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高度</w:t>
                  </w:r>
                </w:p>
                <w:p w14:paraId="71A670B1">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(m)</w:t>
                  </w:r>
                </w:p>
              </w:tc>
            </w:tr>
            <w:tr w14:paraId="443FB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9" w:hRule="atLeast"/>
              </w:trPr>
              <w:tc>
                <w:tcPr>
                  <w:tcW w:w="548" w:type="pct"/>
                  <w:vMerge w:val="continue"/>
                  <w:noWrap w:val="0"/>
                  <w:vAlign w:val="center"/>
                </w:tcPr>
                <w:p w14:paraId="370B6B21">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79" w:type="pct"/>
                  <w:vMerge w:val="continue"/>
                  <w:noWrap w:val="0"/>
                  <w:vAlign w:val="center"/>
                </w:tcPr>
                <w:p w14:paraId="3960AF2E">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35" w:type="pct"/>
                  <w:vMerge w:val="continue"/>
                  <w:noWrap w:val="0"/>
                  <w:vAlign w:val="center"/>
                </w:tcPr>
                <w:p w14:paraId="14A62B35">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14" w:type="pct"/>
                  <w:vMerge w:val="continue"/>
                  <w:noWrap w:val="0"/>
                  <w:vAlign w:val="center"/>
                </w:tcPr>
                <w:p w14:paraId="4EDFCCCC">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11" w:type="pct"/>
                  <w:vMerge w:val="continue"/>
                  <w:noWrap w:val="0"/>
                  <w:vAlign w:val="center"/>
                </w:tcPr>
                <w:p w14:paraId="716518DF">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97" w:type="pct"/>
                  <w:vMerge w:val="continue"/>
                  <w:noWrap w:val="0"/>
                  <w:vAlign w:val="center"/>
                </w:tcPr>
                <w:p w14:paraId="0954CFE8">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725" w:type="pct"/>
                  <w:noWrap w:val="0"/>
                  <w:vAlign w:val="center"/>
                </w:tcPr>
                <w:p w14:paraId="09C2869E">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排放浓度</w:t>
                  </w:r>
                </w:p>
                <w:p w14:paraId="4C79B656">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mg/</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lang w:eastAsia="zh-CN"/>
                      <w14:textFill>
                        <w14:solidFill>
                          <w14:schemeClr w14:val="tx1"/>
                        </w14:solidFill>
                      </w14:textFill>
                    </w:rPr>
                    <w:t>3</w:t>
                  </w:r>
                  <w:r>
                    <w:rPr>
                      <w:rFonts w:hint="eastAsia" w:ascii="Times New Roman" w:hAnsi="Times New Roman" w:cs="Times New Roman"/>
                      <w:b w:val="0"/>
                      <w:bCs w:val="0"/>
                      <w:color w:val="000000" w:themeColor="text1"/>
                      <w:sz w:val="21"/>
                      <w:szCs w:val="21"/>
                      <w:highlight w:val="none"/>
                      <w:vertAlign w:val="baseline"/>
                      <w:lang w:eastAsia="zh-CN"/>
                      <w14:textFill>
                        <w14:solidFill>
                          <w14:schemeClr w14:val="tx1"/>
                        </w14:solidFill>
                      </w14:textFill>
                    </w:rPr>
                    <w:t>)</w:t>
                  </w:r>
                </w:p>
              </w:tc>
              <w:tc>
                <w:tcPr>
                  <w:tcW w:w="448" w:type="pct"/>
                  <w:noWrap w:val="0"/>
                  <w:vAlign w:val="center"/>
                </w:tcPr>
                <w:p w14:paraId="1650BD05">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排放量</w:t>
                  </w:r>
                </w:p>
                <w:p w14:paraId="34EB2E24">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c>
                <w:tcPr>
                  <w:tcW w:w="538" w:type="pct"/>
                  <w:vMerge w:val="continue"/>
                  <w:noWrap w:val="0"/>
                  <w:vAlign w:val="center"/>
                </w:tcPr>
                <w:p w14:paraId="2FE5D3C6">
                  <w:pPr>
                    <w:pStyle w:val="85"/>
                    <w:kinsoku w:val="0"/>
                    <w:overflowPunct w:val="0"/>
                    <w:snapToGrid w:val="0"/>
                    <w:jc w:val="cente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pPr>
                </w:p>
              </w:tc>
            </w:tr>
            <w:tr w14:paraId="18BBE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8" w:hRule="atLeast"/>
              </w:trPr>
              <w:tc>
                <w:tcPr>
                  <w:tcW w:w="548" w:type="pct"/>
                  <w:noWrap w:val="0"/>
                  <w:vAlign w:val="center"/>
                </w:tcPr>
                <w:p w14:paraId="6A767D8A">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产品窑尾提升机</w:t>
                  </w:r>
                </w:p>
              </w:tc>
              <w:tc>
                <w:tcPr>
                  <w:tcW w:w="579" w:type="pct"/>
                  <w:noWrap w:val="0"/>
                  <w:vAlign w:val="center"/>
                </w:tcPr>
                <w:p w14:paraId="06B6061F">
                  <w:pPr>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DA00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5</w:t>
                  </w:r>
                </w:p>
              </w:tc>
              <w:tc>
                <w:tcPr>
                  <w:tcW w:w="535" w:type="pct"/>
                  <w:noWrap w:val="0"/>
                  <w:vAlign w:val="center"/>
                </w:tcPr>
                <w:p w14:paraId="2F71EFD8">
                  <w:pPr>
                    <w:pStyle w:val="85"/>
                    <w:kinsoku w:val="0"/>
                    <w:overflowPunct w:val="0"/>
                    <w:snapToGrid w:val="0"/>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颗粒物</w:t>
                  </w:r>
                </w:p>
              </w:tc>
              <w:tc>
                <w:tcPr>
                  <w:tcW w:w="614" w:type="pct"/>
                  <w:noWrap w:val="0"/>
                  <w:vAlign w:val="center"/>
                </w:tcPr>
                <w:p w14:paraId="304D984B">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10000</w:t>
                  </w:r>
                </w:p>
              </w:tc>
              <w:tc>
                <w:tcPr>
                  <w:tcW w:w="511" w:type="pct"/>
                  <w:noWrap w:val="0"/>
                  <w:vAlign w:val="center"/>
                </w:tcPr>
                <w:p w14:paraId="3D409E37">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20</w:t>
                  </w:r>
                </w:p>
              </w:tc>
              <w:tc>
                <w:tcPr>
                  <w:tcW w:w="497" w:type="pct"/>
                  <w:noWrap w:val="0"/>
                  <w:vAlign w:val="center"/>
                </w:tcPr>
                <w:p w14:paraId="53CC0977">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99</w:t>
                  </w:r>
                </w:p>
              </w:tc>
              <w:tc>
                <w:tcPr>
                  <w:tcW w:w="725" w:type="pct"/>
                  <w:noWrap w:val="0"/>
                  <w:vAlign w:val="center"/>
                </w:tcPr>
                <w:p w14:paraId="687CA4F7">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8.33</w:t>
                  </w:r>
                </w:p>
              </w:tc>
              <w:tc>
                <w:tcPr>
                  <w:tcW w:w="448" w:type="pct"/>
                  <w:noWrap w:val="0"/>
                  <w:vAlign w:val="center"/>
                </w:tcPr>
                <w:p w14:paraId="6DABAEDA">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0.20</w:t>
                  </w:r>
                </w:p>
              </w:tc>
              <w:tc>
                <w:tcPr>
                  <w:tcW w:w="538" w:type="pct"/>
                  <w:noWrap w:val="0"/>
                  <w:vAlign w:val="center"/>
                </w:tcPr>
                <w:p w14:paraId="553C6911">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90</w:t>
                  </w:r>
                </w:p>
              </w:tc>
            </w:tr>
            <w:tr w14:paraId="68F775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5" w:hRule="atLeast"/>
              </w:trPr>
              <w:tc>
                <w:tcPr>
                  <w:tcW w:w="3287" w:type="pct"/>
                  <w:gridSpan w:val="6"/>
                  <w:noWrap w:val="0"/>
                  <w:vAlign w:val="center"/>
                </w:tcPr>
                <w:p w14:paraId="6524EB99">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排放</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限值</w:t>
                  </w:r>
                </w:p>
              </w:tc>
              <w:tc>
                <w:tcPr>
                  <w:tcW w:w="725" w:type="pct"/>
                  <w:noWrap w:val="0"/>
                  <w:vAlign w:val="center"/>
                </w:tcPr>
                <w:p w14:paraId="17EBD84C">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20</w:t>
                  </w:r>
                </w:p>
              </w:tc>
              <w:tc>
                <w:tcPr>
                  <w:tcW w:w="448" w:type="pct"/>
                  <w:noWrap w:val="0"/>
                  <w:vAlign w:val="center"/>
                </w:tcPr>
                <w:p w14:paraId="2230AF37">
                  <w:pPr>
                    <w:pStyle w:val="85"/>
                    <w:kinsoku w:val="0"/>
                    <w:overflowPunct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538" w:type="pct"/>
                  <w:noWrap w:val="0"/>
                  <w:vAlign w:val="center"/>
                </w:tcPr>
                <w:p w14:paraId="59EEA870">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r>
            <w:tr w14:paraId="622FC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5" w:hRule="atLeast"/>
              </w:trPr>
              <w:tc>
                <w:tcPr>
                  <w:tcW w:w="3287" w:type="pct"/>
                  <w:gridSpan w:val="6"/>
                  <w:noWrap w:val="0"/>
                  <w:vAlign w:val="center"/>
                </w:tcPr>
                <w:p w14:paraId="227AEC31">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达标情况</w:t>
                  </w:r>
                </w:p>
              </w:tc>
              <w:tc>
                <w:tcPr>
                  <w:tcW w:w="725" w:type="pct"/>
                  <w:noWrap w:val="0"/>
                  <w:vAlign w:val="center"/>
                </w:tcPr>
                <w:p w14:paraId="319F03F8">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达标</w:t>
                  </w:r>
                </w:p>
              </w:tc>
              <w:tc>
                <w:tcPr>
                  <w:tcW w:w="448" w:type="pct"/>
                  <w:noWrap w:val="0"/>
                  <w:vAlign w:val="center"/>
                </w:tcPr>
                <w:p w14:paraId="5C695BAF">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538" w:type="pct"/>
                  <w:noWrap w:val="0"/>
                  <w:vAlign w:val="center"/>
                </w:tcPr>
                <w:p w14:paraId="7222FEB5">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r>
          </w:tbl>
          <w:p w14:paraId="383DAD6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cs="Times New Roman"/>
                <w:color w:val="000000" w:themeColor="text1"/>
                <w:sz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）回转窑</w:t>
            </w:r>
            <w:r>
              <w:rPr>
                <w:rFonts w:hint="eastAsia" w:cs="Times New Roman"/>
                <w:color w:val="000000" w:themeColor="text1"/>
                <w:sz w:val="24"/>
                <w:highlight w:val="none"/>
                <w:lang w:val="en-US" w:eastAsia="zh-CN"/>
                <w14:textFill>
                  <w14:solidFill>
                    <w14:schemeClr w14:val="tx1"/>
                  </w14:solidFill>
                </w14:textFill>
              </w:rPr>
              <w:t>和窑尾焙烧</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烟气</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（G1-</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6</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w:t>
            </w:r>
          </w:p>
          <w:p w14:paraId="70E1075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本项目热风炉烟气煅烧回转窑内物料，使用燃料</w:t>
            </w:r>
            <w:r>
              <w:rPr>
                <w:rFonts w:hint="eastAsia" w:cs="Times New Roman"/>
                <w:color w:val="000000" w:themeColor="text1"/>
                <w:sz w:val="24"/>
                <w:highlight w:val="none"/>
                <w:lang w:val="en-US" w:eastAsia="zh-CN"/>
                <w14:textFill>
                  <w14:solidFill>
                    <w14:schemeClr w14:val="tx1"/>
                  </w14:solidFill>
                </w14:textFill>
              </w:rPr>
              <w:t>煤气</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进行间接加热，本项目煤气用量共4403.7万m</w:t>
            </w:r>
            <w:r>
              <w:rPr>
                <w:rFonts w:hint="default"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eastAsia" w:cs="Times New Roman"/>
                <w:color w:val="000000" w:themeColor="text1"/>
                <w:sz w:val="24"/>
                <w:highlight w:val="none"/>
                <w:vertAlign w:val="baseline"/>
                <w:lang w:val="en-US" w:eastAsia="zh-CN"/>
                <w14:textFill>
                  <w14:solidFill>
                    <w14:schemeClr w14:val="tx1"/>
                  </w14:solidFill>
                </w14:textFill>
              </w:rPr>
              <w:t>/a</w:t>
            </w:r>
            <w:r>
              <w:rPr>
                <w:rFonts w:hint="eastAsia" w:cs="Times New Roman"/>
                <w:color w:val="000000" w:themeColor="text1"/>
                <w:sz w:val="24"/>
                <w:szCs w:val="24"/>
                <w:highlight w:val="none"/>
                <w:lang w:val="en-US" w:eastAsia="zh-CN"/>
                <w14:textFill>
                  <w14:solidFill>
                    <w14:schemeClr w14:val="tx1"/>
                  </w14:solidFill>
                </w14:textFill>
              </w:rPr>
              <w:t>。</w:t>
            </w:r>
          </w:p>
          <w:p w14:paraId="27439113">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参照《排放源统计调查产排污核算方法和系数手册》（生态环境部公告2021年第24号）中3089</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和</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《排污许可证申请与核发技术规范工业炉窑》（HJ1121-2020），具体产污系数见下表：</w:t>
            </w:r>
          </w:p>
          <w:p w14:paraId="2F49A6F7">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A.烟气量</w:t>
            </w:r>
          </w:p>
          <w:p w14:paraId="4B3CEDD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参考《排放源统计调查产排污核算方法和系数手册》（生态环境部公告2021年第24号）中3089耐火陶瓷制品及其他耐火材料制造行业系数表</w:t>
            </w:r>
            <w:r>
              <w:rPr>
                <w:rFonts w:hint="eastAsia"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续4</w:t>
            </w:r>
            <w:r>
              <w:rPr>
                <w:rFonts w:hint="eastAsia" w:cs="Times New Roman"/>
                <w:color w:val="000000" w:themeColor="text1"/>
                <w:sz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回转窑</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废气量产污系数为5134m</w:t>
            </w:r>
            <w:r>
              <w:rPr>
                <w:rFonts w:hint="default"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/t产品。</w:t>
            </w:r>
          </w:p>
          <w:p w14:paraId="35602783">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V</w:t>
            </w:r>
            <w:r>
              <w:rPr>
                <w:rFonts w:hint="default" w:ascii="Times New Roman" w:hAnsi="Times New Roman" w:eastAsia="宋体" w:cs="Times New Roman"/>
                <w:color w:val="000000" w:themeColor="text1"/>
                <w:kern w:val="0"/>
                <w:sz w:val="24"/>
                <w:szCs w:val="24"/>
                <w:highlight w:val="none"/>
                <w:vertAlign w:val="subscript"/>
                <w:lang w:val="en-US" w:eastAsia="zh-CN" w:bidi="ar"/>
                <w14:textFill>
                  <w14:solidFill>
                    <w14:schemeClr w14:val="tx1"/>
                  </w14:solidFill>
                </w14:textFill>
              </w:rPr>
              <w:t>gy</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=排污系数×成品</w:t>
            </w:r>
          </w:p>
          <w:p w14:paraId="1109FF3E">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式中：V</w:t>
            </w:r>
            <w:r>
              <w:rPr>
                <w:rFonts w:hint="default" w:ascii="Times New Roman" w:hAnsi="Times New Roman" w:eastAsia="宋体" w:cs="Times New Roman"/>
                <w:color w:val="000000" w:themeColor="text1"/>
                <w:kern w:val="0"/>
                <w:sz w:val="24"/>
                <w:szCs w:val="24"/>
                <w:highlight w:val="none"/>
                <w:vertAlign w:val="subscript"/>
                <w:lang w:val="en-US" w:eastAsia="zh-CN" w:bidi="ar"/>
                <w14:textFill>
                  <w14:solidFill>
                    <w14:schemeClr w14:val="tx1"/>
                  </w14:solidFill>
                </w14:textFill>
              </w:rPr>
              <w:t>gy</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：基准烟气量，Nm</w:t>
            </w:r>
            <w:r>
              <w:rPr>
                <w:rFonts w:hint="default" w:ascii="Times New Roman" w:hAnsi="Times New Roman" w:eastAsia="宋体" w:cs="Times New Roman"/>
                <w:color w:val="000000" w:themeColor="text1"/>
                <w:kern w:val="0"/>
                <w:sz w:val="24"/>
                <w:szCs w:val="24"/>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/kg；</w:t>
            </w:r>
          </w:p>
          <w:p w14:paraId="7D0F214F">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基准烟气量=排污系数×原料量</w:t>
            </w:r>
          </w:p>
          <w:p w14:paraId="283E26E6">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=5134kg/m</w:t>
            </w:r>
            <w:r>
              <w:rPr>
                <w:rFonts w:hint="default" w:ascii="Times New Roman" w:hAnsi="Times New Roman" w:eastAsia="宋体" w:cs="Times New Roman"/>
                <w:color w:val="000000" w:themeColor="text1"/>
                <w:kern w:val="0"/>
                <w:sz w:val="24"/>
                <w:szCs w:val="24"/>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×20万吨=1.0268×10</w:t>
            </w:r>
            <w:r>
              <w:rPr>
                <w:rFonts w:hint="default" w:ascii="Times New Roman" w:hAnsi="Times New Roman" w:eastAsia="宋体" w:cs="Times New Roman"/>
                <w:color w:val="000000" w:themeColor="text1"/>
                <w:kern w:val="0"/>
                <w:sz w:val="24"/>
                <w:szCs w:val="24"/>
                <w:highlight w:val="none"/>
                <w:vertAlign w:val="superscript"/>
                <w:lang w:val="en-US" w:eastAsia="zh-CN" w:bidi="ar"/>
                <w14:textFill>
                  <w14:solidFill>
                    <w14:schemeClr w14:val="tx1"/>
                  </w14:solidFill>
                </w14:textFill>
              </w:rPr>
              <w:t>9</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Nm</w:t>
            </w:r>
            <w:r>
              <w:rPr>
                <w:rFonts w:hint="default" w:ascii="Times New Roman" w:hAnsi="Times New Roman" w:eastAsia="宋体" w:cs="Times New Roman"/>
                <w:color w:val="000000" w:themeColor="text1"/>
                <w:kern w:val="0"/>
                <w:sz w:val="24"/>
                <w:szCs w:val="24"/>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/a</w:t>
            </w:r>
          </w:p>
          <w:p w14:paraId="6AF80C69">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经计算，核算时段内基准烟气量为1.0268×10</w:t>
            </w:r>
            <w:r>
              <w:rPr>
                <w:rFonts w:hint="default" w:ascii="Times New Roman" w:hAnsi="Times New Roman" w:eastAsia="宋体" w:cs="Times New Roman"/>
                <w:color w:val="000000" w:themeColor="text1"/>
                <w:kern w:val="0"/>
                <w:sz w:val="24"/>
                <w:szCs w:val="24"/>
                <w:highlight w:val="none"/>
                <w:vertAlign w:val="superscript"/>
                <w:lang w:val="en-US" w:eastAsia="zh-CN" w:bidi="ar"/>
                <w14:textFill>
                  <w14:solidFill>
                    <w14:schemeClr w14:val="tx1"/>
                  </w14:solidFill>
                </w14:textFill>
              </w:rPr>
              <w:t>9</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Nm</w:t>
            </w:r>
            <w:r>
              <w:rPr>
                <w:rFonts w:hint="default" w:ascii="Times New Roman" w:hAnsi="Times New Roman" w:eastAsia="宋体" w:cs="Times New Roman"/>
                <w:color w:val="000000" w:themeColor="text1"/>
                <w:kern w:val="0"/>
                <w:sz w:val="24"/>
                <w:szCs w:val="24"/>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/a。</w:t>
            </w:r>
          </w:p>
          <w:p w14:paraId="0ADFECB8">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B.颗粒物产排量</w:t>
            </w:r>
          </w:p>
          <w:p w14:paraId="019184E3">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参考《排放源统计调查产排污核算方法和系数手册》（生态环境部公告2021年第24号）中3089耐火陶瓷制品及其他耐火材料制造行业系数表</w:t>
            </w:r>
            <w:r>
              <w:rPr>
                <w:rFonts w:hint="eastAsia"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续4</w:t>
            </w:r>
            <w:r>
              <w:rPr>
                <w:rFonts w:hint="eastAsia" w:cs="Times New Roman"/>
                <w:color w:val="000000" w:themeColor="text1"/>
                <w:sz w:val="24"/>
                <w:highlight w:val="none"/>
                <w:lang w:val="en-US" w:eastAsia="zh-CN"/>
                <w14:textFill>
                  <w14:solidFill>
                    <w14:schemeClr w14:val="tx1"/>
                  </w14:solidFill>
                </w14:textFill>
              </w:rPr>
              <w:t>），颗粒物产污系数0.36千克/吨－产品，袋式除尘，末端治理平均去除效率99%，则</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本项目年产低温煅烧高岭土成品200000t，经计算颗粒物（烟尘）产生量为</w:t>
            </w:r>
            <w:r>
              <w:rPr>
                <w:rFonts w:hint="eastAsia" w:cs="Times New Roman"/>
                <w:color w:val="000000" w:themeColor="text1"/>
                <w:kern w:val="0"/>
                <w:sz w:val="24"/>
                <w:szCs w:val="24"/>
                <w:highlight w:val="none"/>
                <w:lang w:val="en-US" w:eastAsia="zh-CN" w:bidi="ar"/>
                <w14:textFill>
                  <w14:solidFill>
                    <w14:schemeClr w14:val="tx1"/>
                  </w14:solidFill>
                </w14:textFill>
              </w:rPr>
              <w:t>720</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t/a</w:t>
            </w:r>
            <w:r>
              <w:rPr>
                <w:rFonts w:hint="eastAsia" w:cs="Times New Roman"/>
                <w:color w:val="000000" w:themeColor="text1"/>
                <w:kern w:val="0"/>
                <w:sz w:val="24"/>
                <w:szCs w:val="24"/>
                <w:highlight w:val="none"/>
                <w:lang w:val="en-US" w:eastAsia="zh-CN" w:bidi="ar"/>
                <w14:textFill>
                  <w14:solidFill>
                    <w14:schemeClr w14:val="tx1"/>
                  </w14:solidFill>
                </w14:textFill>
              </w:rPr>
              <w:t>，排放量为7.2t/a。</w:t>
            </w:r>
          </w:p>
          <w:p w14:paraId="7A4485D1">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烟尘排放浓度=烟尘排放量÷废气量</w:t>
            </w:r>
          </w:p>
          <w:p w14:paraId="789CFD3A">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w:t>
            </w:r>
            <w:r>
              <w:rPr>
                <w:rFonts w:hint="eastAsia" w:cs="Times New Roman"/>
                <w:color w:val="000000" w:themeColor="text1"/>
                <w:kern w:val="0"/>
                <w:sz w:val="24"/>
                <w:szCs w:val="24"/>
                <w:highlight w:val="none"/>
                <w:lang w:val="en-US" w:eastAsia="zh-CN" w:bidi="ar"/>
                <w14:textFill>
                  <w14:solidFill>
                    <w14:schemeClr w14:val="tx1"/>
                  </w14:solidFill>
                </w14:textFill>
              </w:rPr>
              <w:t>7.2</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t/a÷1.0268×10</w:t>
            </w:r>
            <w:r>
              <w:rPr>
                <w:rFonts w:hint="default" w:ascii="Times New Roman" w:hAnsi="Times New Roman" w:eastAsia="宋体" w:cs="Times New Roman"/>
                <w:color w:val="000000" w:themeColor="text1"/>
                <w:kern w:val="0"/>
                <w:sz w:val="24"/>
                <w:szCs w:val="24"/>
                <w:highlight w:val="none"/>
                <w:vertAlign w:val="superscript"/>
                <w:lang w:val="en-US" w:eastAsia="zh-CN" w:bidi="ar"/>
                <w14:textFill>
                  <w14:solidFill>
                    <w14:schemeClr w14:val="tx1"/>
                  </w14:solidFill>
                </w14:textFill>
              </w:rPr>
              <w:t>9</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Nm</w:t>
            </w:r>
            <w:r>
              <w:rPr>
                <w:rFonts w:hint="default" w:ascii="Times New Roman" w:hAnsi="Times New Roman" w:eastAsia="宋体" w:cs="Times New Roman"/>
                <w:color w:val="000000" w:themeColor="text1"/>
                <w:kern w:val="0"/>
                <w:sz w:val="24"/>
                <w:szCs w:val="24"/>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/a=</w:t>
            </w:r>
            <w:r>
              <w:rPr>
                <w:rFonts w:hint="eastAsia" w:cs="Times New Roman"/>
                <w:color w:val="000000" w:themeColor="text1"/>
                <w:kern w:val="0"/>
                <w:sz w:val="24"/>
                <w:szCs w:val="24"/>
                <w:highlight w:val="none"/>
                <w:lang w:val="en-US" w:eastAsia="zh-CN" w:bidi="ar"/>
                <w14:textFill>
                  <w14:solidFill>
                    <w14:schemeClr w14:val="tx1"/>
                  </w14:solidFill>
                </w14:textFill>
              </w:rPr>
              <w:t>7.01</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mg/m</w:t>
            </w:r>
            <w:r>
              <w:rPr>
                <w:rFonts w:hint="default"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eastAsia" w:cs="Times New Roman"/>
                <w:color w:val="000000" w:themeColor="text1"/>
                <w:kern w:val="0"/>
                <w:sz w:val="24"/>
                <w:szCs w:val="24"/>
                <w:highlight w:val="none"/>
                <w:lang w:val="en-US" w:eastAsia="zh-CN" w:bidi="ar"/>
                <w14:textFill>
                  <w14:solidFill>
                    <w14:schemeClr w14:val="tx1"/>
                  </w14:solidFill>
                </w14:textFill>
              </w:rPr>
              <w:t>（1200℃＜t≤1700℃，由于项目烧成温度为1350℃，因此，达标限值20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mg/m</w:t>
            </w:r>
            <w:r>
              <w:rPr>
                <w:rFonts w:hint="default"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eastAsia" w:cs="Times New Roman"/>
                <w:color w:val="000000" w:themeColor="text1"/>
                <w:sz w:val="24"/>
                <w:szCs w:val="24"/>
                <w:highlight w:val="none"/>
                <w:vertAlign w:val="baseline"/>
                <w:lang w:val="en-US" w:eastAsia="zh-CN"/>
                <w14:textFill>
                  <w14:solidFill>
                    <w14:schemeClr w14:val="tx1"/>
                  </w14:solidFill>
                </w14:textFill>
              </w:rPr>
              <w:t>）</w:t>
            </w:r>
          </w:p>
          <w:p w14:paraId="22FF9624">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lang w:val="en-US"/>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C.二氧化硫产排量</w:t>
            </w:r>
          </w:p>
          <w:p w14:paraId="7C183E8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32"/>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煅烧</w:t>
            </w:r>
            <w:r>
              <w:rPr>
                <w:rFonts w:hint="default" w:ascii="Times New Roman" w:hAnsi="Times New Roman" w:cs="Times New Roman"/>
                <w:color w:val="000000" w:themeColor="text1"/>
                <w:sz w:val="24"/>
                <w:szCs w:val="32"/>
                <w:highlight w:val="none"/>
                <w14:textFill>
                  <w14:solidFill>
                    <w14:schemeClr w14:val="tx1"/>
                  </w14:solidFill>
                </w14:textFill>
              </w:rPr>
              <w:t>废气中的二氧化硫全部来自煅烧窑预热器废气，由煅烧过程中煅烧物料、燃料</w:t>
            </w:r>
            <w:r>
              <w:rPr>
                <w:rFonts w:hint="eastAsia" w:cs="Times New Roman"/>
                <w:color w:val="000000" w:themeColor="text1"/>
                <w:sz w:val="24"/>
                <w:szCs w:val="32"/>
                <w:highlight w:val="none"/>
                <w:lang w:eastAsia="zh-CN"/>
                <w14:textFill>
                  <w14:solidFill>
                    <w14:schemeClr w14:val="tx1"/>
                  </w14:solidFill>
                </w14:textFill>
              </w:rPr>
              <w:t>（</w:t>
            </w:r>
            <w:r>
              <w:rPr>
                <w:rFonts w:hint="default" w:ascii="Times New Roman" w:hAnsi="Times New Roman" w:cs="Times New Roman"/>
                <w:color w:val="000000" w:themeColor="text1"/>
                <w:sz w:val="24"/>
                <w:szCs w:val="32"/>
                <w:highlight w:val="none"/>
                <w14:textFill>
                  <w14:solidFill>
                    <w14:schemeClr w14:val="tx1"/>
                  </w14:solidFill>
                </w14:textFill>
              </w:rPr>
              <w:t>焦炉煤气</w:t>
            </w:r>
            <w:r>
              <w:rPr>
                <w:rFonts w:hint="eastAsia" w:cs="Times New Roman"/>
                <w:color w:val="000000" w:themeColor="text1"/>
                <w:sz w:val="24"/>
                <w:szCs w:val="32"/>
                <w:highlight w:val="none"/>
                <w:lang w:eastAsia="zh-CN"/>
                <w14:textFill>
                  <w14:solidFill>
                    <w14:schemeClr w14:val="tx1"/>
                  </w14:solidFill>
                </w14:textFill>
              </w:rPr>
              <w:t>）</w:t>
            </w:r>
            <w:r>
              <w:rPr>
                <w:rFonts w:hint="default" w:ascii="Times New Roman" w:hAnsi="Times New Roman" w:cs="Times New Roman"/>
                <w:color w:val="000000" w:themeColor="text1"/>
                <w:sz w:val="24"/>
                <w:szCs w:val="32"/>
                <w:highlight w:val="none"/>
                <w14:textFill>
                  <w14:solidFill>
                    <w14:schemeClr w14:val="tx1"/>
                  </w14:solidFill>
                </w14:textFill>
              </w:rPr>
              <w:t>中硫元素进入烟气中产生。</w:t>
            </w:r>
          </w:p>
          <w:p w14:paraId="23E63DB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32"/>
                <w:highlight w:val="none"/>
                <w14:textFill>
                  <w14:solidFill>
                    <w14:schemeClr w14:val="tx1"/>
                  </w14:solidFill>
                </w14:textFill>
              </w:rPr>
            </w:pPr>
            <w:r>
              <w:rPr>
                <w:rFonts w:hint="default" w:ascii="Times New Roman" w:hAnsi="Times New Roman" w:cs="Times New Roman"/>
                <w:color w:val="000000" w:themeColor="text1"/>
                <w:sz w:val="24"/>
                <w:szCs w:val="32"/>
                <w:highlight w:val="none"/>
                <w14:textFill>
                  <w14:solidFill>
                    <w14:schemeClr w14:val="tx1"/>
                  </w14:solidFill>
                </w14:textFill>
              </w:rPr>
              <w:t>本项目年消耗</w:t>
            </w:r>
            <w:r>
              <w:rPr>
                <w:rFonts w:hint="eastAsia" w:cs="Times New Roman"/>
                <w:color w:val="000000" w:themeColor="text1"/>
                <w:sz w:val="24"/>
                <w:szCs w:val="32"/>
                <w:highlight w:val="none"/>
                <w:lang w:val="en-US" w:eastAsia="zh-CN"/>
                <w14:textFill>
                  <w14:solidFill>
                    <w14:schemeClr w14:val="tx1"/>
                  </w14:solidFill>
                </w14:textFill>
              </w:rPr>
              <w:t>原料粉</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2</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44234</w:t>
            </w:r>
            <w:r>
              <w:rPr>
                <w:rFonts w:hint="default" w:ascii="Times New Roman" w:hAnsi="Times New Roman" w:cs="Times New Roman"/>
                <w:color w:val="000000" w:themeColor="text1"/>
                <w:sz w:val="24"/>
                <w:szCs w:val="32"/>
                <w:highlight w:val="none"/>
                <w14:textFill>
                  <w14:solidFill>
                    <w14:schemeClr w14:val="tx1"/>
                  </w14:solidFill>
                </w14:textFill>
              </w:rPr>
              <w:t>t/a，含硫量为0.</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08</w:t>
            </w:r>
            <w:r>
              <w:rPr>
                <w:rFonts w:hint="default" w:ascii="Times New Roman" w:hAnsi="Times New Roman" w:cs="Times New Roman"/>
                <w:color w:val="000000" w:themeColor="text1"/>
                <w:sz w:val="24"/>
                <w:szCs w:val="32"/>
                <w:highlight w:val="none"/>
                <w14:textFill>
                  <w14:solidFill>
                    <w14:schemeClr w14:val="tx1"/>
                  </w14:solidFill>
                </w14:textFill>
              </w:rPr>
              <w:t>%，煅烧过程中硫元素的转化率按照</w:t>
            </w:r>
            <w:r>
              <w:rPr>
                <w:rFonts w:hint="eastAsia" w:cs="Times New Roman"/>
                <w:color w:val="000000" w:themeColor="text1"/>
                <w:sz w:val="24"/>
                <w:szCs w:val="32"/>
                <w:highlight w:val="none"/>
                <w:lang w:val="en-US" w:eastAsia="zh-CN"/>
                <w14:textFill>
                  <w14:solidFill>
                    <w14:schemeClr w14:val="tx1"/>
                  </w14:solidFill>
                </w14:textFill>
              </w:rPr>
              <w:t>9</w:t>
            </w:r>
            <w:r>
              <w:rPr>
                <w:rFonts w:hint="default" w:ascii="Times New Roman" w:hAnsi="Times New Roman" w:cs="Times New Roman"/>
                <w:color w:val="000000" w:themeColor="text1"/>
                <w:sz w:val="24"/>
                <w:szCs w:val="32"/>
                <w:highlight w:val="none"/>
                <w14:textFill>
                  <w14:solidFill>
                    <w14:schemeClr w14:val="tx1"/>
                  </w14:solidFill>
                </w14:textFill>
              </w:rPr>
              <w:t>0%计算</w:t>
            </w:r>
            <w:r>
              <w:rPr>
                <w:rFonts w:hint="default" w:ascii="Times New Roman" w:hAnsi="Times New Roman" w:cs="Times New Roman"/>
                <w:color w:val="000000" w:themeColor="text1"/>
                <w:sz w:val="24"/>
                <w:szCs w:val="32"/>
                <w:highlight w:val="none"/>
                <w:lang w:eastAsia="zh-CN"/>
                <w14:textFill>
                  <w14:solidFill>
                    <w14:schemeClr w14:val="tx1"/>
                  </w14:solidFill>
                </w14:textFill>
              </w:rPr>
              <w:t>；</w:t>
            </w:r>
            <w:r>
              <w:rPr>
                <w:rFonts w:hint="default" w:ascii="Times New Roman" w:hAnsi="Times New Roman" w:cs="Times New Roman"/>
                <w:color w:val="000000" w:themeColor="text1"/>
                <w:sz w:val="24"/>
                <w:szCs w:val="32"/>
                <w:highlight w:val="none"/>
                <w14:textFill>
                  <w14:solidFill>
                    <w14:schemeClr w14:val="tx1"/>
                  </w14:solidFill>
                </w14:textFill>
              </w:rPr>
              <w:t>焦炉煤气消耗量为</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4403</w:t>
            </w:r>
            <w:r>
              <w:rPr>
                <w:rFonts w:hint="eastAsia" w:cs="Times New Roman"/>
                <w:color w:val="000000" w:themeColor="text1"/>
                <w:sz w:val="24"/>
                <w:szCs w:val="32"/>
                <w:highlight w:val="none"/>
                <w:lang w:val="en-US" w:eastAsia="zh-CN"/>
                <w14:textFill>
                  <w14:solidFill>
                    <w14:schemeClr w14:val="tx1"/>
                  </w14:solidFill>
                </w14:textFill>
              </w:rPr>
              <w:t>.</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7</w:t>
            </w:r>
            <w:r>
              <w:rPr>
                <w:rFonts w:hint="default" w:ascii="Times New Roman" w:hAnsi="Times New Roman" w:cs="Times New Roman"/>
                <w:color w:val="000000" w:themeColor="text1"/>
                <w:sz w:val="24"/>
                <w:szCs w:val="32"/>
                <w:highlight w:val="none"/>
                <w14:textFill>
                  <w14:solidFill>
                    <w14:schemeClr w14:val="tx1"/>
                  </w14:solidFill>
                </w14:textFill>
              </w:rPr>
              <w:t>万Nm</w:t>
            </w:r>
            <w:r>
              <w:rPr>
                <w:rFonts w:hint="default" w:ascii="Times New Roman" w:hAnsi="Times New Roman" w:cs="Times New Roman"/>
                <w:color w:val="000000" w:themeColor="text1"/>
                <w:sz w:val="24"/>
                <w:szCs w:val="32"/>
                <w:highlight w:val="none"/>
                <w:vertAlign w:val="superscript"/>
                <w14:textFill>
                  <w14:solidFill>
                    <w14:schemeClr w14:val="tx1"/>
                  </w14:solidFill>
                </w14:textFill>
              </w:rPr>
              <w:t>3</w:t>
            </w:r>
            <w:r>
              <w:rPr>
                <w:rFonts w:hint="default" w:ascii="Times New Roman" w:hAnsi="Times New Roman" w:cs="Times New Roman"/>
                <w:color w:val="000000" w:themeColor="text1"/>
                <w:sz w:val="24"/>
                <w:szCs w:val="32"/>
                <w:highlight w:val="none"/>
                <w14:textFill>
                  <w14:solidFill>
                    <w14:schemeClr w14:val="tx1"/>
                  </w14:solidFill>
                </w14:textFill>
              </w:rPr>
              <w:t>/a</w:t>
            </w:r>
            <w:r>
              <w:rPr>
                <w:rFonts w:hint="eastAsia" w:cs="Times New Roman"/>
                <w:color w:val="000000" w:themeColor="text1"/>
                <w:sz w:val="24"/>
                <w:szCs w:val="32"/>
                <w:highlight w:val="none"/>
                <w:lang w:eastAsia="zh-CN"/>
                <w14:textFill>
                  <w14:solidFill>
                    <w14:schemeClr w14:val="tx1"/>
                  </w14:solidFill>
                </w14:textFill>
              </w:rPr>
              <w:t>（</w:t>
            </w:r>
            <w:r>
              <w:rPr>
                <w:rFonts w:hint="default" w:ascii="Times New Roman" w:hAnsi="Times New Roman" w:cs="Times New Roman"/>
                <w:color w:val="000000" w:themeColor="text1"/>
                <w:sz w:val="24"/>
                <w:szCs w:val="32"/>
                <w:highlight w:val="none"/>
                <w14:textFill>
                  <w14:solidFill>
                    <w14:schemeClr w14:val="tx1"/>
                  </w14:solidFill>
                </w14:textFill>
              </w:rPr>
              <w:t>密度0.</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9</w:t>
            </w:r>
            <w:r>
              <w:rPr>
                <w:rFonts w:hint="default" w:ascii="Times New Roman" w:hAnsi="Times New Roman" w:cs="Times New Roman"/>
                <w:color w:val="000000" w:themeColor="text1"/>
                <w:sz w:val="24"/>
                <w:szCs w:val="32"/>
                <w:highlight w:val="none"/>
                <w14:textFill>
                  <w14:solidFill>
                    <w14:schemeClr w14:val="tx1"/>
                  </w14:solidFill>
                </w14:textFill>
              </w:rPr>
              <w:t>5kg/Nm</w:t>
            </w:r>
            <w:r>
              <w:rPr>
                <w:rFonts w:hint="default" w:ascii="Times New Roman" w:hAnsi="Times New Roman" w:cs="Times New Roman"/>
                <w:color w:val="000000" w:themeColor="text1"/>
                <w:sz w:val="24"/>
                <w:szCs w:val="32"/>
                <w:highlight w:val="none"/>
                <w:vertAlign w:val="superscript"/>
                <w14:textFill>
                  <w14:solidFill>
                    <w14:schemeClr w14:val="tx1"/>
                  </w14:solidFill>
                </w14:textFill>
              </w:rPr>
              <w:t>3</w:t>
            </w:r>
            <w:r>
              <w:rPr>
                <w:rFonts w:hint="eastAsia" w:cs="Times New Roman"/>
                <w:color w:val="000000" w:themeColor="text1"/>
                <w:sz w:val="24"/>
                <w:szCs w:val="32"/>
                <w:highlight w:val="none"/>
                <w:vertAlign w:val="baseline"/>
                <w:lang w:eastAsia="zh-CN"/>
                <w14:textFill>
                  <w14:solidFill>
                    <w14:schemeClr w14:val="tx1"/>
                  </w14:solidFill>
                </w14:textFill>
              </w:rPr>
              <w:t>）</w:t>
            </w:r>
            <w:r>
              <w:rPr>
                <w:rFonts w:hint="default" w:ascii="Times New Roman" w:hAnsi="Times New Roman" w:cs="Times New Roman"/>
                <w:color w:val="000000" w:themeColor="text1"/>
                <w:sz w:val="24"/>
                <w:szCs w:val="32"/>
                <w:highlight w:val="none"/>
                <w14:textFill>
                  <w14:solidFill>
                    <w14:schemeClr w14:val="tx1"/>
                  </w14:solidFill>
                </w14:textFill>
              </w:rPr>
              <w:t>，H</w:t>
            </w:r>
            <w:r>
              <w:rPr>
                <w:rFonts w:hint="default" w:ascii="Times New Roman" w:hAnsi="Times New Roman" w:cs="Times New Roman"/>
                <w:color w:val="000000" w:themeColor="text1"/>
                <w:sz w:val="24"/>
                <w:szCs w:val="32"/>
                <w:highlight w:val="none"/>
                <w:vertAlign w:val="subscript"/>
                <w14:textFill>
                  <w14:solidFill>
                    <w14:schemeClr w14:val="tx1"/>
                  </w14:solidFill>
                </w14:textFill>
              </w:rPr>
              <w:t>2</w:t>
            </w:r>
            <w:r>
              <w:rPr>
                <w:rFonts w:hint="default" w:ascii="Times New Roman" w:hAnsi="Times New Roman" w:cs="Times New Roman"/>
                <w:color w:val="000000" w:themeColor="text1"/>
                <w:sz w:val="24"/>
                <w:szCs w:val="32"/>
                <w:highlight w:val="none"/>
                <w14:textFill>
                  <w14:solidFill>
                    <w14:schemeClr w14:val="tx1"/>
                  </w14:solidFill>
                </w14:textFill>
              </w:rPr>
              <w:t>S含量为</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20</w:t>
            </w:r>
            <w:r>
              <w:rPr>
                <w:rFonts w:hint="default" w:ascii="Times New Roman" w:hAnsi="Times New Roman" w:cs="Times New Roman"/>
                <w:color w:val="000000" w:themeColor="text1"/>
                <w:sz w:val="24"/>
                <w:szCs w:val="32"/>
                <w:highlight w:val="none"/>
                <w14:textFill>
                  <w14:solidFill>
                    <w14:schemeClr w14:val="tx1"/>
                  </w14:solidFill>
                </w14:textFill>
              </w:rPr>
              <w:t>mg/</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m</w:t>
            </w:r>
            <w:r>
              <w:rPr>
                <w:rFonts w:hint="default" w:ascii="Times New Roman" w:hAnsi="Times New Roman" w:cs="Times New Roman"/>
                <w:color w:val="000000" w:themeColor="text1"/>
                <w:sz w:val="24"/>
                <w:szCs w:val="32"/>
                <w:highlight w:val="none"/>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szCs w:val="32"/>
                <w:highlight w:val="none"/>
                <w14:textFill>
                  <w14:solidFill>
                    <w14:schemeClr w14:val="tx1"/>
                  </w14:solidFill>
                </w14:textFill>
              </w:rPr>
              <w:t>，</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有机硫含量为30</w:t>
            </w:r>
            <w:r>
              <w:rPr>
                <w:rFonts w:hint="default" w:ascii="Times New Roman" w:hAnsi="Times New Roman" w:cs="Times New Roman"/>
                <w:color w:val="000000" w:themeColor="text1"/>
                <w:sz w:val="24"/>
                <w:szCs w:val="32"/>
                <w:highlight w:val="none"/>
                <w14:textFill>
                  <w14:solidFill>
                    <w14:schemeClr w14:val="tx1"/>
                  </w14:solidFill>
                </w14:textFill>
              </w:rPr>
              <w:t>mg/</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m</w:t>
            </w:r>
            <w:r>
              <w:rPr>
                <w:rFonts w:hint="default" w:ascii="Times New Roman" w:hAnsi="Times New Roman" w:cs="Times New Roman"/>
                <w:color w:val="000000" w:themeColor="text1"/>
                <w:sz w:val="24"/>
                <w:szCs w:val="32"/>
                <w:highlight w:val="none"/>
                <w:vertAlign w:val="superscript"/>
                <w:lang w:val="en-US" w:eastAsia="zh-CN"/>
                <w14:textFill>
                  <w14:solidFill>
                    <w14:schemeClr w14:val="tx1"/>
                  </w14:solidFill>
                </w14:textFill>
              </w:rPr>
              <w:t>3</w:t>
            </w:r>
            <w:r>
              <w:rPr>
                <w:rFonts w:hint="default" w:ascii="Times New Roman" w:hAnsi="Times New Roman" w:cs="Times New Roman"/>
                <w:color w:val="000000" w:themeColor="text1"/>
                <w:sz w:val="24"/>
                <w:szCs w:val="32"/>
                <w:highlight w:val="none"/>
                <w14:textFill>
                  <w14:solidFill>
                    <w14:schemeClr w14:val="tx1"/>
                  </w14:solidFill>
                </w14:textFill>
              </w:rPr>
              <w:t>，硫元素转化率按照100%计算</w:t>
            </w:r>
            <w:r>
              <w:rPr>
                <w:rFonts w:hint="default" w:ascii="Times New Roman" w:hAnsi="Times New Roman" w:cs="Times New Roman"/>
                <w:color w:val="000000" w:themeColor="text1"/>
                <w:sz w:val="24"/>
                <w:szCs w:val="32"/>
                <w:highlight w:val="none"/>
                <w:lang w:eastAsia="zh-CN"/>
                <w14:textFill>
                  <w14:solidFill>
                    <w14:schemeClr w14:val="tx1"/>
                  </w14:solidFill>
                </w14:textFill>
              </w:rPr>
              <w:t>（</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有机硫完全转化为二氧化硫的转化系数约1.5，</w:t>
            </w:r>
            <w:r>
              <w:rPr>
                <w:rFonts w:hint="default" w:ascii="Times New Roman" w:hAnsi="Times New Roman" w:cs="Times New Roman"/>
                <w:color w:val="000000" w:themeColor="text1"/>
                <w:sz w:val="24"/>
                <w:szCs w:val="32"/>
                <w:highlight w:val="none"/>
                <w:vertAlign w:val="baseline"/>
                <w:lang w:val="en-US" w:eastAsia="zh-CN"/>
                <w14:textFill>
                  <w14:solidFill>
                    <w14:schemeClr w14:val="tx1"/>
                  </w14:solidFill>
                </w14:textFill>
              </w:rPr>
              <w:t>硫化氢</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完全转化为二氧化硫的转化系数约</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1.</w:t>
            </w:r>
            <w:r>
              <w:rPr>
                <w:rFonts w:hint="default" w:ascii="Times New Roman" w:hAnsi="Times New Roman" w:cs="Times New Roman"/>
                <w:color w:val="000000" w:themeColor="text1"/>
                <w:sz w:val="24"/>
                <w:szCs w:val="32"/>
                <w:highlight w:val="none"/>
                <w:vertAlign w:val="baseline"/>
                <w:lang w:val="en-US" w:eastAsia="zh-CN"/>
                <w14:textFill>
                  <w14:solidFill>
                    <w14:schemeClr w14:val="tx1"/>
                  </w14:solidFill>
                </w14:textFill>
              </w:rPr>
              <w:t>88</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w:t>
            </w:r>
            <w:r>
              <w:rPr>
                <w:rFonts w:hint="default" w:ascii="Times New Roman" w:hAnsi="Times New Roman" w:cs="Times New Roman"/>
                <w:color w:val="000000" w:themeColor="text1"/>
                <w:sz w:val="24"/>
                <w:szCs w:val="32"/>
                <w:highlight w:val="none"/>
                <w14:textFill>
                  <w14:solidFill>
                    <w14:schemeClr w14:val="tx1"/>
                  </w14:solidFill>
                </w14:textFill>
              </w:rPr>
              <w:t>。</w:t>
            </w:r>
          </w:p>
          <w:p w14:paraId="11D5516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pPr>
            <w:r>
              <w:rPr>
                <w:rFonts w:hint="eastAsia" w:cs="Times New Roman"/>
                <w:color w:val="000000" w:themeColor="text1"/>
                <w:sz w:val="24"/>
                <w:szCs w:val="32"/>
                <w:highlight w:val="none"/>
                <w:vertAlign w:val="baseline"/>
                <w:lang w:val="en-US" w:eastAsia="zh-CN"/>
                <w14:textFill>
                  <w14:solidFill>
                    <w14:schemeClr w14:val="tx1"/>
                  </w14:solidFill>
                </w14:textFill>
              </w:rPr>
              <w:t>①原料粉</w:t>
            </w:r>
            <w:r>
              <w:rPr>
                <w:rFonts w:hint="default" w:ascii="Times New Roman" w:hAnsi="Times New Roman" w:cs="Times New Roman"/>
                <w:color w:val="000000" w:themeColor="text1"/>
                <w:sz w:val="24"/>
                <w:szCs w:val="32"/>
                <w:highlight w:val="none"/>
                <w:vertAlign w:val="baseline"/>
                <w:lang w:val="en-US" w:eastAsia="zh-CN"/>
                <w14:textFill>
                  <w14:solidFill>
                    <w14:schemeClr w14:val="tx1"/>
                  </w14:solidFill>
                </w14:textFill>
              </w:rPr>
              <w:t>残留硫</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产生的二氧化硫量</w:t>
            </w:r>
          </w:p>
          <w:p w14:paraId="776A0D0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32"/>
                <w:highlight w:val="none"/>
                <w:lang w:eastAsia="zh-CN"/>
                <w14:textFill>
                  <w14:solidFill>
                    <w14:schemeClr w14:val="tx1"/>
                  </w14:solidFill>
                </w14:textFill>
              </w:rPr>
            </w:pPr>
            <w:r>
              <w:rPr>
                <w:rFonts w:hint="default" w:ascii="Times New Roman" w:hAnsi="Times New Roman" w:cs="Times New Roman"/>
                <w:color w:val="000000" w:themeColor="text1"/>
                <w:sz w:val="24"/>
                <w:szCs w:val="32"/>
                <w:highlight w:val="none"/>
                <w14:textFill>
                  <w14:solidFill>
                    <w14:schemeClr w14:val="tx1"/>
                  </w14:solidFill>
                </w14:textFill>
              </w:rPr>
              <w:t>本项目年消耗</w:t>
            </w:r>
            <w:r>
              <w:rPr>
                <w:rFonts w:hint="eastAsia" w:cs="Times New Roman"/>
                <w:color w:val="000000" w:themeColor="text1"/>
                <w:sz w:val="24"/>
                <w:szCs w:val="32"/>
                <w:highlight w:val="none"/>
                <w:lang w:val="en-US" w:eastAsia="zh-CN"/>
                <w14:textFill>
                  <w14:solidFill>
                    <w14:schemeClr w14:val="tx1"/>
                  </w14:solidFill>
                </w14:textFill>
              </w:rPr>
              <w:t>原料粉</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2</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44234</w:t>
            </w:r>
            <w:r>
              <w:rPr>
                <w:rFonts w:hint="default" w:ascii="Times New Roman" w:hAnsi="Times New Roman" w:cs="Times New Roman"/>
                <w:color w:val="000000" w:themeColor="text1"/>
                <w:sz w:val="24"/>
                <w:szCs w:val="32"/>
                <w:highlight w:val="none"/>
                <w14:textFill>
                  <w14:solidFill>
                    <w14:schemeClr w14:val="tx1"/>
                  </w14:solidFill>
                </w14:textFill>
              </w:rPr>
              <w:t>t/a，含硫量为0.</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08</w:t>
            </w:r>
            <w:r>
              <w:rPr>
                <w:rFonts w:hint="default" w:ascii="Times New Roman" w:hAnsi="Times New Roman" w:cs="Times New Roman"/>
                <w:color w:val="000000" w:themeColor="text1"/>
                <w:sz w:val="24"/>
                <w:szCs w:val="32"/>
                <w:highlight w:val="none"/>
                <w14:textFill>
                  <w14:solidFill>
                    <w14:schemeClr w14:val="tx1"/>
                  </w14:solidFill>
                </w14:textFill>
              </w:rPr>
              <w:t>%，煅烧过程中硫元素的转化率按照90%计算</w:t>
            </w:r>
            <w:r>
              <w:rPr>
                <w:rFonts w:hint="default" w:ascii="Times New Roman" w:hAnsi="Times New Roman" w:cs="Times New Roman"/>
                <w:color w:val="000000" w:themeColor="text1"/>
                <w:sz w:val="24"/>
                <w:szCs w:val="32"/>
                <w:highlight w:val="none"/>
                <w:lang w:eastAsia="zh-CN"/>
                <w14:textFill>
                  <w14:solidFill>
                    <w14:schemeClr w14:val="tx1"/>
                  </w14:solidFill>
                </w14:textFill>
              </w:rPr>
              <w:t>；</w:t>
            </w:r>
          </w:p>
          <w:p w14:paraId="1EFD94C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color w:val="000000" w:themeColor="text1"/>
                <w:sz w:val="24"/>
                <w:szCs w:val="32"/>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则</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燃烧</w:t>
            </w:r>
            <w:r>
              <w:rPr>
                <w:rFonts w:hint="default" w:ascii="Times New Roman" w:hAnsi="Times New Roman" w:cs="Times New Roman"/>
                <w:color w:val="000000" w:themeColor="text1"/>
                <w:sz w:val="24"/>
                <w:szCs w:val="32"/>
                <w:highlight w:val="none"/>
                <w:vertAlign w:val="baseline"/>
                <w:lang w:val="en-US" w:eastAsia="zh-CN"/>
                <w14:textFill>
                  <w14:solidFill>
                    <w14:schemeClr w14:val="tx1"/>
                  </w14:solidFill>
                </w14:textFill>
              </w:rPr>
              <w:t>后</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SO₂产生</w:t>
            </w:r>
            <w:r>
              <w:rPr>
                <w:rFonts w:hint="default" w:ascii="Times New Roman" w:hAnsi="Times New Roman" w:cs="Times New Roman"/>
                <w:color w:val="000000" w:themeColor="text1"/>
                <w:sz w:val="24"/>
                <w:szCs w:val="32"/>
                <w:highlight w:val="none"/>
                <w:vertAlign w:val="baseline"/>
                <w:lang w:val="en-US" w:eastAsia="zh-CN"/>
                <w14:textFill>
                  <w14:solidFill>
                    <w14:schemeClr w14:val="tx1"/>
                  </w14:solidFill>
                </w14:textFill>
              </w:rPr>
              <w:t>量=(</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2</w:t>
            </w:r>
            <w:r>
              <w:rPr>
                <w:rFonts w:hint="eastAsia" w:ascii="Times New Roman" w:hAnsi="Times New Roman" w:cs="Times New Roman"/>
                <w:color w:val="000000" w:themeColor="text1"/>
                <w:sz w:val="24"/>
                <w:szCs w:val="32"/>
                <w:highlight w:val="none"/>
                <w:lang w:val="en-US" w:eastAsia="zh-CN"/>
                <w14:textFill>
                  <w14:solidFill>
                    <w14:schemeClr w14:val="tx1"/>
                  </w14:solidFill>
                </w14:textFill>
              </w:rPr>
              <w:t>44234</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w:t>
            </w:r>
            <w:r>
              <w:rPr>
                <w:rFonts w:hint="default" w:ascii="Times New Roman" w:hAnsi="Times New Roman" w:cs="Times New Roman"/>
                <w:color w:val="000000" w:themeColor="text1"/>
                <w:sz w:val="24"/>
                <w:szCs w:val="32"/>
                <w:highlight w:val="none"/>
                <w14:textFill>
                  <w14:solidFill>
                    <w14:schemeClr w14:val="tx1"/>
                  </w14:solidFill>
                </w14:textFill>
              </w:rPr>
              <w:t>0.</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08</w:t>
            </w:r>
            <w:r>
              <w:rPr>
                <w:rFonts w:hint="default" w:ascii="Times New Roman" w:hAnsi="Times New Roman" w:cs="Times New Roman"/>
                <w:color w:val="000000" w:themeColor="text1"/>
                <w:sz w:val="24"/>
                <w:szCs w:val="32"/>
                <w:highlight w:val="none"/>
                <w14:textFill>
                  <w14:solidFill>
                    <w14:schemeClr w14:val="tx1"/>
                  </w14:solidFill>
                </w14:textFill>
              </w:rPr>
              <w:t>%</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w:t>
            </w:r>
            <w:r>
              <w:rPr>
                <w:rFonts w:hint="eastAsia" w:cs="Times New Roman"/>
                <w:color w:val="000000" w:themeColor="text1"/>
                <w:sz w:val="24"/>
                <w:szCs w:val="32"/>
                <w:highlight w:val="none"/>
                <w:vertAlign w:val="baseline"/>
                <w:lang w:val="en-US" w:eastAsia="zh-CN"/>
                <w14:textFill>
                  <w14:solidFill>
                    <w14:schemeClr w14:val="tx1"/>
                  </w14:solidFill>
                </w14:textFill>
              </w:rPr>
              <w:t>10</w:t>
            </w:r>
            <w:r>
              <w:rPr>
                <w:rFonts w:hint="default" w:ascii="Times New Roman" w:hAnsi="Times New Roman" w:cs="Times New Roman"/>
                <w:color w:val="000000" w:themeColor="text1"/>
                <w:sz w:val="24"/>
                <w:szCs w:val="32"/>
                <w:highlight w:val="none"/>
                <w:vertAlign w:val="baseline"/>
                <w:lang w:val="en-US" w:eastAsia="zh-CN"/>
                <w14:textFill>
                  <w14:solidFill>
                    <w14:schemeClr w14:val="tx1"/>
                  </w14:solidFill>
                </w14:textFill>
              </w:rPr>
              <w:t>0%</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w:t>
            </w:r>
            <w:r>
              <w:rPr>
                <w:rFonts w:hint="eastAsia" w:cs="Times New Roman"/>
                <w:color w:val="000000" w:themeColor="text1"/>
                <w:sz w:val="24"/>
                <w:szCs w:val="32"/>
                <w:highlight w:val="none"/>
                <w:vertAlign w:val="baseline"/>
                <w:lang w:val="en-US" w:eastAsia="zh-CN"/>
                <w14:textFill>
                  <w14:solidFill>
                    <w14:schemeClr w14:val="tx1"/>
                  </w14:solidFill>
                </w14:textFill>
              </w:rPr>
              <w:t>2</w:t>
            </w:r>
            <w:r>
              <w:rPr>
                <w:rFonts w:hint="default" w:ascii="Times New Roman" w:hAnsi="Times New Roman" w:cs="Times New Roman"/>
                <w:color w:val="000000" w:themeColor="text1"/>
                <w:sz w:val="24"/>
                <w:szCs w:val="32"/>
                <w:highlight w:val="none"/>
                <w:vertAlign w:val="baseline"/>
                <w:lang w:val="en-US" w:eastAsia="zh-CN"/>
                <w14:textFill>
                  <w14:solidFill>
                    <w14:schemeClr w14:val="tx1"/>
                  </w14:solidFill>
                </w14:textFill>
              </w:rPr>
              <w:t>)</w:t>
            </w:r>
            <w:r>
              <w:rPr>
                <w:rFonts w:hint="default" w:ascii="Times New Roman" w:hAnsi="Times New Roman" w:cs="Times New Roman"/>
                <w:color w:val="000000" w:themeColor="text1"/>
                <w:sz w:val="24"/>
                <w:szCs w:val="32"/>
                <w:highlight w:val="none"/>
                <w14:textFill>
                  <w14:solidFill>
                    <w14:schemeClr w14:val="tx1"/>
                  </w14:solidFill>
                </w14:textFill>
              </w:rPr>
              <w:t>t/a</w:t>
            </w:r>
            <w:r>
              <w:rPr>
                <w:rFonts w:hint="default" w:ascii="Times New Roman" w:hAnsi="Times New Roman" w:cs="Times New Roman"/>
                <w:color w:val="000000" w:themeColor="text1"/>
                <w:sz w:val="24"/>
                <w:szCs w:val="32"/>
                <w:highlight w:val="none"/>
                <w:lang w:val="en-US" w:eastAsia="zh-CN"/>
                <w14:textFill>
                  <w14:solidFill>
                    <w14:schemeClr w14:val="tx1"/>
                  </w14:solidFill>
                </w14:textFill>
              </w:rPr>
              <w:t>=</w:t>
            </w:r>
            <w:r>
              <w:rPr>
                <w:rFonts w:hint="eastAsia" w:cs="Times New Roman"/>
                <w:color w:val="000000" w:themeColor="text1"/>
                <w:sz w:val="24"/>
                <w:szCs w:val="32"/>
                <w:highlight w:val="none"/>
                <w:lang w:val="en-US" w:eastAsia="zh-CN"/>
                <w14:textFill>
                  <w14:solidFill>
                    <w14:schemeClr w14:val="tx1"/>
                  </w14:solidFill>
                </w14:textFill>
              </w:rPr>
              <w:t>390.77</w:t>
            </w:r>
            <w:r>
              <w:rPr>
                <w:rFonts w:hint="default" w:ascii="Times New Roman" w:hAnsi="Times New Roman" w:cs="Times New Roman"/>
                <w:color w:val="000000" w:themeColor="text1"/>
                <w:sz w:val="24"/>
                <w:szCs w:val="32"/>
                <w:highlight w:val="none"/>
                <w14:textFill>
                  <w14:solidFill>
                    <w14:schemeClr w14:val="tx1"/>
                  </w14:solidFill>
                </w14:textFill>
              </w:rPr>
              <w:t>t/a</w:t>
            </w:r>
          </w:p>
          <w:p w14:paraId="09BBB84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pPr>
            <w:r>
              <w:rPr>
                <w:rFonts w:hint="eastAsia" w:cs="Times New Roman"/>
                <w:color w:val="000000" w:themeColor="text1"/>
                <w:sz w:val="24"/>
                <w:szCs w:val="32"/>
                <w:highlight w:val="none"/>
                <w:vertAlign w:val="baseline"/>
                <w:lang w:val="en-US" w:eastAsia="zh-CN"/>
                <w14:textFill>
                  <w14:solidFill>
                    <w14:schemeClr w14:val="tx1"/>
                  </w14:solidFill>
                </w14:textFill>
              </w:rPr>
              <w:t>②</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焦炉煤气产生的二氧化硫量</w:t>
            </w:r>
          </w:p>
          <w:p w14:paraId="49651F0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焦炉煤气中包含无机硫（H₂S）和有机硫，两者分别计算后相加。</w:t>
            </w:r>
          </w:p>
          <w:p w14:paraId="71CFE6E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焦炉煤气中硫化氢（H₂S）燃烧产生的SO₂</w:t>
            </w:r>
          </w:p>
          <w:p w14:paraId="6AA1649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计算公式：</w:t>
            </w:r>
            <w:r>
              <w:rPr>
                <w:rFonts w:hint="default" w:ascii="Times New Roman" w:hAnsi="Times New Roman" w:cs="Times New Roman"/>
                <w:color w:val="000000" w:themeColor="text1"/>
                <w:sz w:val="24"/>
                <w:szCs w:val="32"/>
                <w:highlight w:val="none"/>
                <w:vertAlign w:val="baseline"/>
                <w:lang w:val="en-US" w:eastAsia="zh-CN"/>
                <w14:textFill>
                  <w14:solidFill>
                    <w14:schemeClr w14:val="tx1"/>
                  </w14:solidFill>
                </w14:textFill>
              </w:rPr>
              <w:t>SO</w:t>
            </w:r>
            <w:r>
              <w:rPr>
                <w:rFonts w:hint="default" w:ascii="Times New Roman" w:hAnsi="Times New Roman" w:cs="Times New Roman"/>
                <w:color w:val="000000" w:themeColor="text1"/>
                <w:sz w:val="24"/>
                <w:szCs w:val="32"/>
                <w:highlight w:val="none"/>
                <w:vertAlign w:val="subscript"/>
                <w:lang w:eastAsia="zh-CN"/>
                <w14:textFill>
                  <w14:solidFill>
                    <w14:schemeClr w14:val="tx1"/>
                  </w14:solidFill>
                </w14:textFill>
              </w:rPr>
              <w:t>2</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(H</w:t>
            </w:r>
            <w:r>
              <w:rPr>
                <w:rFonts w:hint="default" w:ascii="Times New Roman" w:hAnsi="Times New Roman" w:cs="Times New Roman"/>
                <w:color w:val="000000" w:themeColor="text1"/>
                <w:sz w:val="24"/>
                <w:szCs w:val="32"/>
                <w:highlight w:val="none"/>
                <w:vertAlign w:val="subscript"/>
                <w:lang w:eastAsia="zh-CN"/>
                <w14:textFill>
                  <w14:solidFill>
                    <w14:schemeClr w14:val="tx1"/>
                  </w14:solidFill>
                </w14:textFill>
              </w:rPr>
              <w:t>2</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S)=煤气量×H</w:t>
            </w:r>
            <w:r>
              <w:rPr>
                <w:rFonts w:hint="default" w:ascii="Times New Roman" w:hAnsi="Times New Roman" w:cs="Times New Roman"/>
                <w:color w:val="000000" w:themeColor="text1"/>
                <w:sz w:val="24"/>
                <w:szCs w:val="32"/>
                <w:highlight w:val="none"/>
                <w:vertAlign w:val="subscript"/>
                <w:lang w:eastAsia="zh-CN"/>
                <w14:textFill>
                  <w14:solidFill>
                    <w14:schemeClr w14:val="tx1"/>
                  </w14:solidFill>
                </w14:textFill>
              </w:rPr>
              <w:t>2</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S含量×转化系数</w:t>
            </w:r>
          </w:p>
          <w:p w14:paraId="4EEE214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代入数值：4403.7×10</w:t>
            </w:r>
            <w:r>
              <w:rPr>
                <w:rFonts w:hint="default" w:ascii="Times New Roman" w:hAnsi="Times New Roman" w:cs="Times New Roman"/>
                <w:color w:val="000000" w:themeColor="text1"/>
                <w:sz w:val="24"/>
                <w:szCs w:val="32"/>
                <w:highlight w:val="none"/>
                <w:vertAlign w:val="superscript"/>
                <w:lang w:eastAsia="zh-CN"/>
                <w14:textFill>
                  <w14:solidFill>
                    <w14:schemeClr w14:val="tx1"/>
                  </w14:solidFill>
                </w14:textFill>
              </w:rPr>
              <w:t>4</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Nm</w:t>
            </w:r>
            <w:r>
              <w:rPr>
                <w:rFonts w:hint="default" w:ascii="Times New Roman" w:hAnsi="Times New Roman" w:cs="Times New Roman"/>
                <w:color w:val="000000" w:themeColor="text1"/>
                <w:sz w:val="24"/>
                <w:szCs w:val="32"/>
                <w:highlight w:val="none"/>
                <w:vertAlign w:val="superscript"/>
                <w:lang w:eastAsia="zh-CN"/>
                <w14:textFill>
                  <w14:solidFill>
                    <w14:schemeClr w14:val="tx1"/>
                  </w14:solidFill>
                </w14:textFill>
              </w:rPr>
              <w:t>3</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/a×20mg/Nm</w:t>
            </w:r>
            <w:r>
              <w:rPr>
                <w:rFonts w:hint="default" w:ascii="Times New Roman" w:hAnsi="Times New Roman" w:cs="Times New Roman"/>
                <w:color w:val="000000" w:themeColor="text1"/>
                <w:sz w:val="24"/>
                <w:szCs w:val="32"/>
                <w:highlight w:val="none"/>
                <w:vertAlign w:val="superscript"/>
                <w:lang w:eastAsia="zh-CN"/>
                <w14:textFill>
                  <w14:solidFill>
                    <w14:schemeClr w14:val="tx1"/>
                  </w14:solidFill>
                </w14:textFill>
              </w:rPr>
              <w:t>3</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×1.88</w:t>
            </w:r>
          </w:p>
          <w:p w14:paraId="1CECFA5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计算结果：=1</w:t>
            </w:r>
            <w:r>
              <w:rPr>
                <w:rFonts w:hint="eastAsia" w:cs="Times New Roman"/>
                <w:color w:val="000000" w:themeColor="text1"/>
                <w:sz w:val="24"/>
                <w:szCs w:val="32"/>
                <w:highlight w:val="none"/>
                <w:vertAlign w:val="baseline"/>
                <w:lang w:val="en-US" w:eastAsia="zh-CN"/>
                <w14:textFill>
                  <w14:solidFill>
                    <w14:schemeClr w14:val="tx1"/>
                  </w14:solidFill>
                </w14:textFill>
              </w:rPr>
              <w:t>.</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65吨/年</w:t>
            </w:r>
          </w:p>
          <w:p w14:paraId="318A49C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焦炉煤气中有机硫燃烧产生的SO₂</w:t>
            </w:r>
          </w:p>
          <w:p w14:paraId="5EE60D4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计算公式：焦炉煤气中有机硫（H₂S）燃烧产生的SO₂</w:t>
            </w:r>
          </w:p>
          <w:p w14:paraId="5EF1972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SO</w:t>
            </w:r>
            <w:r>
              <w:rPr>
                <w:rFonts w:hint="default" w:ascii="Times New Roman" w:hAnsi="Times New Roman" w:cs="Times New Roman"/>
                <w:color w:val="000000" w:themeColor="text1"/>
                <w:sz w:val="24"/>
                <w:szCs w:val="32"/>
                <w:highlight w:val="none"/>
                <w:vertAlign w:val="subscript"/>
                <w:lang w:eastAsia="zh-CN"/>
                <w14:textFill>
                  <w14:solidFill>
                    <w14:schemeClr w14:val="tx1"/>
                  </w14:solidFill>
                </w14:textFill>
              </w:rPr>
              <w:t>2</w:t>
            </w:r>
            <w:r>
              <w:rPr>
                <w:rFonts w:hint="eastAsia" w:cs="Times New Roman"/>
                <w:color w:val="000000" w:themeColor="text1"/>
                <w:sz w:val="24"/>
                <w:szCs w:val="32"/>
                <w:highlight w:val="none"/>
                <w:vertAlign w:val="subscript"/>
                <w:lang w:eastAsia="zh-CN"/>
                <w14:textFill>
                  <w14:solidFill>
                    <w14:schemeClr w14:val="tx1"/>
                  </w14:solidFill>
                </w14:textFill>
              </w:rPr>
              <w:t>（</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有机硫</w:t>
            </w:r>
            <w:r>
              <w:rPr>
                <w:rFonts w:hint="eastAsia" w:cs="Times New Roman"/>
                <w:color w:val="000000" w:themeColor="text1"/>
                <w:sz w:val="24"/>
                <w:szCs w:val="32"/>
                <w:highlight w:val="none"/>
                <w:vertAlign w:val="baseline"/>
                <w:lang w:eastAsia="zh-CN"/>
                <w14:textFill>
                  <w14:solidFill>
                    <w14:schemeClr w14:val="tx1"/>
                  </w14:solidFill>
                </w14:textFill>
              </w:rPr>
              <w:t>）</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=煤气量×有机硫含量×转化系数</w:t>
            </w:r>
          </w:p>
          <w:p w14:paraId="6D552D8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代入数值：4403.7×10</w:t>
            </w:r>
            <w:r>
              <w:rPr>
                <w:rFonts w:hint="default" w:ascii="Times New Roman" w:hAnsi="Times New Roman" w:cs="Times New Roman"/>
                <w:color w:val="000000" w:themeColor="text1"/>
                <w:sz w:val="24"/>
                <w:szCs w:val="32"/>
                <w:highlight w:val="none"/>
                <w:vertAlign w:val="superscript"/>
                <w:lang w:eastAsia="zh-CN"/>
                <w14:textFill>
                  <w14:solidFill>
                    <w14:schemeClr w14:val="tx1"/>
                  </w14:solidFill>
                </w14:textFill>
              </w:rPr>
              <w:t>4</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Nm</w:t>
            </w:r>
            <w:r>
              <w:rPr>
                <w:rFonts w:hint="default" w:ascii="Times New Roman" w:hAnsi="Times New Roman" w:cs="Times New Roman"/>
                <w:color w:val="000000" w:themeColor="text1"/>
                <w:sz w:val="24"/>
                <w:szCs w:val="32"/>
                <w:highlight w:val="none"/>
                <w:vertAlign w:val="superscript"/>
                <w:lang w:eastAsia="zh-CN"/>
                <w14:textFill>
                  <w14:solidFill>
                    <w14:schemeClr w14:val="tx1"/>
                  </w14:solidFill>
                </w14:textFill>
              </w:rPr>
              <w:t>3</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/a×30mg/Nm</w:t>
            </w:r>
            <w:r>
              <w:rPr>
                <w:rFonts w:hint="default" w:ascii="Times New Roman" w:hAnsi="Times New Roman" w:cs="Times New Roman"/>
                <w:color w:val="000000" w:themeColor="text1"/>
                <w:sz w:val="24"/>
                <w:szCs w:val="32"/>
                <w:highlight w:val="none"/>
                <w:vertAlign w:val="superscript"/>
                <w:lang w:eastAsia="zh-CN"/>
                <w14:textFill>
                  <w14:solidFill>
                    <w14:schemeClr w14:val="tx1"/>
                  </w14:solidFill>
                </w14:textFill>
              </w:rPr>
              <w:t>3</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×1.5</w:t>
            </w:r>
          </w:p>
          <w:p w14:paraId="0964128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计算结果=1</w:t>
            </w:r>
            <w:r>
              <w:rPr>
                <w:rFonts w:hint="eastAsia" w:cs="Times New Roman"/>
                <w:color w:val="000000" w:themeColor="text1"/>
                <w:sz w:val="24"/>
                <w:szCs w:val="32"/>
                <w:highlight w:val="none"/>
                <w:vertAlign w:val="baseline"/>
                <w:lang w:val="en-US" w:eastAsia="zh-CN"/>
                <w14:textFill>
                  <w14:solidFill>
                    <w14:schemeClr w14:val="tx1"/>
                  </w14:solidFill>
                </w14:textFill>
              </w:rPr>
              <w:t>.</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98吨/年</w:t>
            </w:r>
          </w:p>
          <w:p w14:paraId="5358666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焦炉煤气总SO₂产生量：1</w:t>
            </w:r>
            <w:r>
              <w:rPr>
                <w:rFonts w:hint="eastAsia" w:cs="Times New Roman"/>
                <w:color w:val="000000" w:themeColor="text1"/>
                <w:sz w:val="24"/>
                <w:szCs w:val="32"/>
                <w:highlight w:val="none"/>
                <w:vertAlign w:val="baseline"/>
                <w:lang w:val="en-US" w:eastAsia="zh-CN"/>
                <w14:textFill>
                  <w14:solidFill>
                    <w14:schemeClr w14:val="tx1"/>
                  </w14:solidFill>
                </w14:textFill>
              </w:rPr>
              <w:t>.</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65+1</w:t>
            </w:r>
            <w:r>
              <w:rPr>
                <w:rFonts w:hint="eastAsia" w:cs="Times New Roman"/>
                <w:color w:val="000000" w:themeColor="text1"/>
                <w:sz w:val="24"/>
                <w:szCs w:val="32"/>
                <w:highlight w:val="none"/>
                <w:vertAlign w:val="baseline"/>
                <w:lang w:val="en-US" w:eastAsia="zh-CN"/>
                <w14:textFill>
                  <w14:solidFill>
                    <w14:schemeClr w14:val="tx1"/>
                  </w14:solidFill>
                </w14:textFill>
              </w:rPr>
              <w:t>.</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98=3</w:t>
            </w:r>
            <w:r>
              <w:rPr>
                <w:rFonts w:hint="eastAsia" w:cs="Times New Roman"/>
                <w:color w:val="000000" w:themeColor="text1"/>
                <w:sz w:val="24"/>
                <w:szCs w:val="32"/>
                <w:highlight w:val="none"/>
                <w:vertAlign w:val="baseline"/>
                <w:lang w:val="en-US" w:eastAsia="zh-CN"/>
                <w14:textFill>
                  <w14:solidFill>
                    <w14:schemeClr w14:val="tx1"/>
                  </w14:solidFill>
                </w14:textFill>
              </w:rPr>
              <w:t>.</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6</w:t>
            </w:r>
            <w:r>
              <w:rPr>
                <w:rFonts w:hint="eastAsia" w:cs="Times New Roman"/>
                <w:color w:val="000000" w:themeColor="text1"/>
                <w:sz w:val="24"/>
                <w:szCs w:val="32"/>
                <w:highlight w:val="none"/>
                <w:vertAlign w:val="baseline"/>
                <w:lang w:val="en-US" w:eastAsia="zh-CN"/>
                <w14:textFill>
                  <w14:solidFill>
                    <w14:schemeClr w14:val="tx1"/>
                  </w14:solidFill>
                </w14:textFill>
              </w:rPr>
              <w:t>3</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吨/年</w:t>
            </w:r>
          </w:p>
          <w:p w14:paraId="498A7CA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pPr>
            <w:r>
              <w:rPr>
                <w:rFonts w:hint="eastAsia" w:cs="Times New Roman"/>
                <w:color w:val="000000" w:themeColor="text1"/>
                <w:sz w:val="24"/>
                <w:szCs w:val="32"/>
                <w:highlight w:val="none"/>
                <w:vertAlign w:val="baseline"/>
                <w:lang w:val="en-US" w:eastAsia="zh-CN"/>
                <w14:textFill>
                  <w14:solidFill>
                    <w14:schemeClr w14:val="tx1"/>
                  </w14:solidFill>
                </w14:textFill>
              </w:rPr>
              <w:t>③</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总二氧化硫产生量</w:t>
            </w:r>
          </w:p>
          <w:p w14:paraId="5453AEB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pP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将</w:t>
            </w:r>
            <w:r>
              <w:rPr>
                <w:rFonts w:hint="eastAsia" w:cs="Times New Roman"/>
                <w:color w:val="000000" w:themeColor="text1"/>
                <w:sz w:val="24"/>
                <w:szCs w:val="32"/>
                <w:highlight w:val="none"/>
                <w:vertAlign w:val="baseline"/>
                <w:lang w:val="en-US" w:eastAsia="zh-CN"/>
                <w14:textFill>
                  <w14:solidFill>
                    <w14:schemeClr w14:val="tx1"/>
                  </w14:solidFill>
                </w14:textFill>
              </w:rPr>
              <w:t>原料粉</w:t>
            </w:r>
            <w:r>
              <w:rPr>
                <w:rFonts w:hint="default" w:ascii="Times New Roman" w:hAnsi="Times New Roman" w:cs="Times New Roman"/>
                <w:color w:val="000000" w:themeColor="text1"/>
                <w:sz w:val="24"/>
                <w:szCs w:val="32"/>
                <w:highlight w:val="none"/>
                <w:vertAlign w:val="baseline"/>
                <w:lang w:val="en-US" w:eastAsia="zh-CN"/>
                <w14:textFill>
                  <w14:solidFill>
                    <w14:schemeClr w14:val="tx1"/>
                  </w14:solidFill>
                </w14:textFill>
              </w:rPr>
              <w:t>、</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焦炉</w:t>
            </w:r>
            <w:r>
              <w:rPr>
                <w:rFonts w:hint="eastAsia" w:cs="Times New Roman"/>
                <w:color w:val="000000" w:themeColor="text1"/>
                <w:sz w:val="24"/>
                <w:szCs w:val="32"/>
                <w:highlight w:val="none"/>
                <w:vertAlign w:val="baseline"/>
                <w:lang w:eastAsia="zh-CN"/>
                <w14:textFill>
                  <w14:solidFill>
                    <w14:schemeClr w14:val="tx1"/>
                  </w14:solidFill>
                </w14:textFill>
              </w:rPr>
              <w:t>煤气</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产生的二氧化硫相加：</w:t>
            </w:r>
          </w:p>
          <w:p w14:paraId="043BEB0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pPr>
            <w:r>
              <w:rPr>
                <w:rFonts w:hint="eastAsia" w:cs="Times New Roman"/>
                <w:color w:val="000000" w:themeColor="text1"/>
                <w:sz w:val="24"/>
                <w:szCs w:val="32"/>
                <w:highlight w:val="none"/>
                <w:lang w:val="en-US" w:eastAsia="zh-CN"/>
                <w14:textFill>
                  <w14:solidFill>
                    <w14:schemeClr w14:val="tx1"/>
                  </w14:solidFill>
                </w14:textFill>
              </w:rPr>
              <w:t>390.77</w:t>
            </w:r>
            <w:r>
              <w:rPr>
                <w:rFonts w:hint="default" w:ascii="Times New Roman" w:hAnsi="Times New Roman" w:cs="Times New Roman"/>
                <w:color w:val="000000" w:themeColor="text1"/>
                <w:sz w:val="24"/>
                <w:szCs w:val="32"/>
                <w:highlight w:val="none"/>
                <w:vertAlign w:val="baseline"/>
                <w:lang w:val="en-US" w:eastAsia="zh-CN"/>
                <w14:textFill>
                  <w14:solidFill>
                    <w14:schemeClr w14:val="tx1"/>
                  </w14:solidFill>
                </w14:textFill>
              </w:rPr>
              <w:t>t/a+</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3</w:t>
            </w:r>
            <w:r>
              <w:rPr>
                <w:rFonts w:hint="eastAsia" w:cs="Times New Roman"/>
                <w:color w:val="000000" w:themeColor="text1"/>
                <w:sz w:val="24"/>
                <w:szCs w:val="32"/>
                <w:highlight w:val="none"/>
                <w:vertAlign w:val="baseline"/>
                <w:lang w:val="en-US" w:eastAsia="zh-CN"/>
                <w14:textFill>
                  <w14:solidFill>
                    <w14:schemeClr w14:val="tx1"/>
                  </w14:solidFill>
                </w14:textFill>
              </w:rPr>
              <w:t>.</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63</w:t>
            </w:r>
            <w:r>
              <w:rPr>
                <w:rFonts w:hint="default" w:ascii="Times New Roman" w:hAnsi="Times New Roman" w:cs="Times New Roman"/>
                <w:color w:val="000000" w:themeColor="text1"/>
                <w:sz w:val="24"/>
                <w:szCs w:val="32"/>
                <w:highlight w:val="none"/>
                <w:vertAlign w:val="baseline"/>
                <w:lang w:val="en-US" w:eastAsia="zh-CN"/>
                <w14:textFill>
                  <w14:solidFill>
                    <w14:schemeClr w14:val="tx1"/>
                  </w14:solidFill>
                </w14:textFill>
              </w:rPr>
              <w:t>t/a</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w:t>
            </w:r>
            <w:r>
              <w:rPr>
                <w:rFonts w:hint="eastAsia" w:cs="Times New Roman"/>
                <w:color w:val="000000" w:themeColor="text1"/>
                <w:sz w:val="24"/>
                <w:szCs w:val="32"/>
                <w:highlight w:val="none"/>
                <w:vertAlign w:val="baseline"/>
                <w:lang w:val="en-US" w:eastAsia="zh-CN"/>
                <w14:textFill>
                  <w14:solidFill>
                    <w14:schemeClr w14:val="tx1"/>
                  </w14:solidFill>
                </w14:textFill>
              </w:rPr>
              <w:t>394.4</w:t>
            </w:r>
            <w:r>
              <w:rPr>
                <w:rFonts w:hint="default" w:ascii="Times New Roman" w:hAnsi="Times New Roman" w:cs="Times New Roman"/>
                <w:color w:val="000000" w:themeColor="text1"/>
                <w:sz w:val="24"/>
                <w:szCs w:val="32"/>
                <w:highlight w:val="none"/>
                <w:vertAlign w:val="baseline"/>
                <w:lang w:eastAsia="zh-CN"/>
                <w14:textFill>
                  <w14:solidFill>
                    <w14:schemeClr w14:val="tx1"/>
                  </w14:solidFill>
                </w14:textFill>
              </w:rPr>
              <w:t>吨/年</w:t>
            </w:r>
          </w:p>
          <w:p w14:paraId="150CAAF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32"/>
                <w:highlight w:val="none"/>
                <w:vertAlign w:val="baseline"/>
                <w:lang w:val="en-US" w:eastAsia="zh-CN"/>
                <w14:textFill>
                  <w14:solidFill>
                    <w14:schemeClr w14:val="tx1"/>
                  </w14:solidFill>
                </w14:textFill>
              </w:rPr>
            </w:pPr>
            <w:r>
              <w:rPr>
                <w:rFonts w:hint="eastAsia" w:cs="Times New Roman"/>
                <w:color w:val="000000" w:themeColor="text1"/>
                <w:sz w:val="24"/>
                <w:szCs w:val="32"/>
                <w:highlight w:val="none"/>
                <w:vertAlign w:val="baseline"/>
                <w:lang w:val="en-US" w:eastAsia="zh-CN"/>
                <w14:textFill>
                  <w14:solidFill>
                    <w14:schemeClr w14:val="tx1"/>
                  </w14:solidFill>
                </w14:textFill>
              </w:rPr>
              <w:t>⑤</w:t>
            </w:r>
            <w:r>
              <w:rPr>
                <w:rFonts w:hint="default" w:ascii="Times New Roman" w:hAnsi="Times New Roman" w:cs="Times New Roman"/>
                <w:color w:val="000000" w:themeColor="text1"/>
                <w:sz w:val="24"/>
                <w:szCs w:val="32"/>
                <w:highlight w:val="none"/>
                <w:vertAlign w:val="baseline"/>
                <w:lang w:val="en-US" w:eastAsia="zh-CN"/>
                <w14:textFill>
                  <w14:solidFill>
                    <w14:schemeClr w14:val="tx1"/>
                  </w14:solidFill>
                </w14:textFill>
              </w:rPr>
              <w:t>二氧化硫排放量</w:t>
            </w:r>
          </w:p>
          <w:p w14:paraId="21ACC062">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本项目脱硫工艺选取石灰石</w:t>
            </w:r>
            <w:r>
              <w:rPr>
                <w:rFonts w:hint="eastAsia" w:cs="Times New Roman"/>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石膏法，根据设计，去除效率可达到</w:t>
            </w:r>
            <w:r>
              <w:rPr>
                <w:rFonts w:hint="eastAsia" w:cs="Times New Roman"/>
                <w:color w:val="000000" w:themeColor="text1"/>
                <w:kern w:val="0"/>
                <w:sz w:val="24"/>
                <w:szCs w:val="24"/>
                <w:highlight w:val="none"/>
                <w:lang w:val="en-US" w:eastAsia="zh-CN" w:bidi="ar"/>
                <w14:textFill>
                  <w14:solidFill>
                    <w14:schemeClr w14:val="tx1"/>
                  </w14:solidFill>
                </w14:textFill>
              </w:rPr>
              <w:t>90</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%以上。</w:t>
            </w:r>
          </w:p>
          <w:p w14:paraId="03DBA774">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二氧化硫排放量=二氧化硫产生量×（1-去除效率）</w:t>
            </w:r>
          </w:p>
          <w:p w14:paraId="5869E520">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w:t>
            </w:r>
            <w:r>
              <w:rPr>
                <w:rFonts w:hint="eastAsia" w:cs="Times New Roman"/>
                <w:color w:val="000000" w:themeColor="text1"/>
                <w:kern w:val="0"/>
                <w:sz w:val="24"/>
                <w:szCs w:val="24"/>
                <w:highlight w:val="none"/>
                <w:lang w:val="en-US" w:eastAsia="zh-CN" w:bidi="ar"/>
                <w14:textFill>
                  <w14:solidFill>
                    <w14:schemeClr w14:val="tx1"/>
                  </w14:solidFill>
                </w14:textFill>
              </w:rPr>
              <w:t>394.4</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t/a×(1-</w:t>
            </w:r>
            <w:r>
              <w:rPr>
                <w:rFonts w:hint="eastAsia" w:cs="Times New Roman"/>
                <w:color w:val="000000" w:themeColor="text1"/>
                <w:kern w:val="0"/>
                <w:sz w:val="24"/>
                <w:szCs w:val="24"/>
                <w:highlight w:val="none"/>
                <w:lang w:val="en-US" w:eastAsia="zh-CN" w:bidi="ar"/>
                <w14:textFill>
                  <w14:solidFill>
                    <w14:schemeClr w14:val="tx1"/>
                  </w14:solidFill>
                </w14:textFill>
              </w:rPr>
              <w:t>90</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w:t>
            </w:r>
            <w:r>
              <w:rPr>
                <w:rFonts w:hint="eastAsia" w:cs="Times New Roman"/>
                <w:color w:val="000000" w:themeColor="text1"/>
                <w:kern w:val="0"/>
                <w:sz w:val="24"/>
                <w:szCs w:val="24"/>
                <w:highlight w:val="none"/>
                <w:lang w:val="en-US" w:eastAsia="zh-CN" w:bidi="ar"/>
                <w14:textFill>
                  <w14:solidFill>
                    <w14:schemeClr w14:val="tx1"/>
                  </w14:solidFill>
                </w14:textFill>
              </w:rPr>
              <w:t>39.44</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t/a</w:t>
            </w:r>
          </w:p>
          <w:p w14:paraId="64713CC6">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二氧化硫排放浓度=二氧化硫排放量÷废气量</w:t>
            </w:r>
          </w:p>
          <w:p w14:paraId="5B3858FE">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cs="Times New Roman"/>
                <w:color w:val="000000" w:themeColor="text1"/>
                <w:kern w:val="0"/>
                <w:sz w:val="24"/>
                <w:szCs w:val="24"/>
                <w:highlight w:val="none"/>
                <w:lang w:val="en-US" w:eastAsia="zh-CN" w:bidi="ar"/>
                <w14:textFill>
                  <w14:solidFill>
                    <w14:schemeClr w14:val="tx1"/>
                  </w14:solidFill>
                </w14:textFill>
              </w:rPr>
              <w:t>39.44</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t/a÷1.0268×10</w:t>
            </w:r>
            <w:r>
              <w:rPr>
                <w:rFonts w:hint="default" w:ascii="Times New Roman" w:hAnsi="Times New Roman" w:eastAsia="宋体" w:cs="Times New Roman"/>
                <w:color w:val="000000" w:themeColor="text1"/>
                <w:kern w:val="0"/>
                <w:sz w:val="24"/>
                <w:szCs w:val="24"/>
                <w:highlight w:val="none"/>
                <w:vertAlign w:val="superscript"/>
                <w:lang w:val="en-US" w:eastAsia="zh-CN" w:bidi="ar"/>
                <w14:textFill>
                  <w14:solidFill>
                    <w14:schemeClr w14:val="tx1"/>
                  </w14:solidFill>
                </w14:textFill>
              </w:rPr>
              <w:t>9</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Nm</w:t>
            </w:r>
            <w:r>
              <w:rPr>
                <w:rFonts w:hint="default" w:ascii="Times New Roman" w:hAnsi="Times New Roman" w:eastAsia="宋体" w:cs="Times New Roman"/>
                <w:color w:val="000000" w:themeColor="text1"/>
                <w:kern w:val="0"/>
                <w:sz w:val="24"/>
                <w:szCs w:val="24"/>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/a</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38.41</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mg/m</w:t>
            </w:r>
            <w:r>
              <w:rPr>
                <w:rFonts w:hint="default"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eastAsia" w:cs="Times New Roman"/>
                <w:color w:val="000000" w:themeColor="text1"/>
                <w:kern w:val="0"/>
                <w:sz w:val="24"/>
                <w:szCs w:val="24"/>
                <w:highlight w:val="none"/>
                <w:lang w:val="en-US" w:eastAsia="zh-CN" w:bidi="ar"/>
                <w14:textFill>
                  <w14:solidFill>
                    <w14:schemeClr w14:val="tx1"/>
                  </w14:solidFill>
                </w14:textFill>
              </w:rPr>
              <w:t>（1200℃＜t≤1700℃，由于项目烧成温度为1350℃，因此，达标限值50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mg/m</w:t>
            </w:r>
            <w:r>
              <w:rPr>
                <w:rFonts w:hint="default"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eastAsia" w:cs="Times New Roman"/>
                <w:color w:val="000000" w:themeColor="text1"/>
                <w:sz w:val="24"/>
                <w:szCs w:val="24"/>
                <w:highlight w:val="none"/>
                <w:vertAlign w:val="baseline"/>
                <w:lang w:val="en-US" w:eastAsia="zh-CN"/>
                <w14:textFill>
                  <w14:solidFill>
                    <w14:schemeClr w14:val="tx1"/>
                  </w14:solidFill>
                </w14:textFill>
              </w:rPr>
              <w:t>）</w:t>
            </w:r>
          </w:p>
          <w:p w14:paraId="37F8864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D.氮氧化物</w:t>
            </w:r>
            <w:r>
              <w:rPr>
                <w:rFonts w:hint="eastAsia" w:cs="Times New Roman"/>
                <w:color w:val="000000" w:themeColor="text1"/>
                <w:sz w:val="24"/>
                <w:highlight w:val="none"/>
                <w:lang w:val="en-US" w:eastAsia="zh-CN"/>
                <w14:textFill>
                  <w14:solidFill>
                    <w14:schemeClr w14:val="tx1"/>
                  </w14:solidFill>
                </w14:textFill>
              </w:rPr>
              <w:t>产</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排量</w:t>
            </w:r>
          </w:p>
          <w:p w14:paraId="631BE9C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参照《污染源源强核算技术指南准则》（HJ884）</w:t>
            </w:r>
            <w:r>
              <w:rPr>
                <w:rFonts w:hint="eastAsia"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《排放源统计调查产排污核算方法和系数手册》（生态环境部公告2021年第24号）中3089耐火陶瓷制品及其他耐火材料制造行业系数，具体产污系数见下表：</w:t>
            </w:r>
          </w:p>
          <w:p w14:paraId="2CAA1CD0">
            <w:pPr>
              <w:pStyle w:val="13"/>
              <w:keepNext w:val="0"/>
              <w:keepLines w:val="0"/>
              <w:pageBreakBefore w:val="0"/>
              <w:widowControl w:val="0"/>
              <w:kinsoku/>
              <w:wordWrap/>
              <w:overflowPunct/>
              <w:topLinePunct w:val="0"/>
              <w:autoSpaceDE/>
              <w:autoSpaceDN/>
              <w:bidi w:val="0"/>
              <w:adjustRightInd/>
              <w:snapToGrid w:val="0"/>
              <w:spacing w:before="0" w:after="0" w:line="240" w:lineRule="auto"/>
              <w:ind w:left="0" w:leftChars="0" w:right="0" w:firstLine="0" w:firstLineChars="0"/>
              <w:jc w:val="center"/>
              <w:textAlignment w:val="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
                <w:bCs/>
                <w:color w:val="000000" w:themeColor="text1"/>
                <w:spacing w:val="6"/>
                <w:sz w:val="24"/>
                <w:szCs w:val="28"/>
                <w:highlight w:val="none"/>
                <w14:textFill>
                  <w14:solidFill>
                    <w14:schemeClr w14:val="tx1"/>
                  </w14:solidFill>
                </w14:textFill>
              </w:rPr>
              <w:t>表</w:t>
            </w:r>
            <w:r>
              <w:rPr>
                <w:rFonts w:hint="default" w:ascii="Times New Roman" w:hAnsi="Times New Roman" w:cs="Times New Roman"/>
                <w:b/>
                <w:bCs/>
                <w:color w:val="000000" w:themeColor="text1"/>
                <w:spacing w:val="6"/>
                <w:sz w:val="24"/>
                <w:szCs w:val="28"/>
                <w:highlight w:val="none"/>
                <w:lang w:val="en-US" w:eastAsia="zh-CN"/>
                <w14:textFill>
                  <w14:solidFill>
                    <w14:schemeClr w14:val="tx1"/>
                  </w14:solidFill>
                </w14:textFill>
              </w:rPr>
              <w:t>4-4耐火陶瓷制品及其他耐火材料制造行业系数3089</w:t>
            </w:r>
          </w:p>
          <w:tbl>
            <w:tblPr>
              <w:tblStyle w:val="24"/>
              <w:tblW w:w="7938"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540"/>
              <w:gridCol w:w="578"/>
              <w:gridCol w:w="1180"/>
              <w:gridCol w:w="677"/>
              <w:gridCol w:w="844"/>
              <w:gridCol w:w="982"/>
              <w:gridCol w:w="732"/>
              <w:gridCol w:w="1638"/>
              <w:gridCol w:w="767"/>
            </w:tblGrid>
            <w:tr w14:paraId="72F5AA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540" w:type="dxa"/>
                  <w:tcBorders>
                    <w:top w:val="single" w:color="auto" w:sz="4" w:space="0"/>
                    <w:left w:val="single" w:color="auto" w:sz="4" w:space="0"/>
                    <w:bottom w:val="single" w:color="auto" w:sz="4" w:space="0"/>
                    <w:right w:val="single" w:color="auto" w:sz="4" w:space="0"/>
                  </w:tcBorders>
                  <w:noWrap w:val="0"/>
                  <w:vAlign w:val="center"/>
                </w:tcPr>
                <w:p w14:paraId="3A4E8BB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4"/>
                      <w:sz w:val="21"/>
                      <w:szCs w:val="21"/>
                      <w:highlight w:val="none"/>
                      <w14:textFill>
                        <w14:solidFill>
                          <w14:schemeClr w14:val="tx1"/>
                        </w14:solidFill>
                      </w14:textFill>
                    </w:rPr>
                    <w:t>产品</w:t>
                  </w:r>
                </w:p>
                <w:p w14:paraId="6BD627A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名称</w:t>
                  </w:r>
                </w:p>
              </w:tc>
              <w:tc>
                <w:tcPr>
                  <w:tcW w:w="578" w:type="dxa"/>
                  <w:tcBorders>
                    <w:top w:val="single" w:color="auto" w:sz="4" w:space="0"/>
                    <w:left w:val="single" w:color="auto" w:sz="4" w:space="0"/>
                    <w:bottom w:val="single" w:color="auto" w:sz="4" w:space="0"/>
                    <w:right w:val="single" w:color="auto" w:sz="4" w:space="0"/>
                  </w:tcBorders>
                  <w:noWrap w:val="0"/>
                  <w:vAlign w:val="center"/>
                </w:tcPr>
                <w:p w14:paraId="77F57E2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2"/>
                      <w:sz w:val="21"/>
                      <w:szCs w:val="21"/>
                      <w:highlight w:val="none"/>
                      <w14:textFill>
                        <w14:solidFill>
                          <w14:schemeClr w14:val="tx1"/>
                        </w14:solidFill>
                      </w14:textFill>
                    </w:rPr>
                    <w:t>原料</w:t>
                  </w:r>
                </w:p>
                <w:p w14:paraId="3BF6DFC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名称</w:t>
                  </w:r>
                </w:p>
              </w:tc>
              <w:tc>
                <w:tcPr>
                  <w:tcW w:w="1180" w:type="dxa"/>
                  <w:tcBorders>
                    <w:top w:val="single" w:color="auto" w:sz="4" w:space="0"/>
                    <w:left w:val="single" w:color="auto" w:sz="4" w:space="0"/>
                    <w:bottom w:val="single" w:color="auto" w:sz="4" w:space="0"/>
                    <w:right w:val="single" w:color="auto" w:sz="4" w:space="0"/>
                  </w:tcBorders>
                  <w:noWrap w:val="0"/>
                  <w:vAlign w:val="center"/>
                </w:tcPr>
                <w:p w14:paraId="792780E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pacing w:val="6"/>
                      <w:sz w:val="21"/>
                      <w:szCs w:val="21"/>
                      <w:highlight w:val="none"/>
                      <w14:textFill>
                        <w14:solidFill>
                          <w14:schemeClr w14:val="tx1"/>
                        </w14:solidFill>
                      </w14:textFill>
                    </w:rPr>
                  </w:pPr>
                  <w:r>
                    <w:rPr>
                      <w:rFonts w:hint="default" w:ascii="Times New Roman" w:hAnsi="Times New Roman" w:cs="Times New Roman"/>
                      <w:color w:val="000000" w:themeColor="text1"/>
                      <w:spacing w:val="6"/>
                      <w:sz w:val="21"/>
                      <w:szCs w:val="21"/>
                      <w:highlight w:val="none"/>
                      <w14:textFill>
                        <w14:solidFill>
                          <w14:schemeClr w14:val="tx1"/>
                        </w14:solidFill>
                      </w14:textFill>
                    </w:rPr>
                    <w:t>工艺</w:t>
                  </w:r>
                </w:p>
                <w:p w14:paraId="66ADF8A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6"/>
                      <w:sz w:val="21"/>
                      <w:szCs w:val="21"/>
                      <w:highlight w:val="none"/>
                      <w14:textFill>
                        <w14:solidFill>
                          <w14:schemeClr w14:val="tx1"/>
                        </w14:solidFill>
                      </w14:textFill>
                    </w:rPr>
                    <w:t>名称</w:t>
                  </w:r>
                </w:p>
              </w:tc>
              <w:tc>
                <w:tcPr>
                  <w:tcW w:w="677" w:type="dxa"/>
                  <w:tcBorders>
                    <w:top w:val="single" w:color="auto" w:sz="4" w:space="0"/>
                    <w:left w:val="single" w:color="auto" w:sz="4" w:space="0"/>
                    <w:bottom w:val="single" w:color="auto" w:sz="4" w:space="0"/>
                    <w:right w:val="single" w:color="auto" w:sz="4" w:space="0"/>
                  </w:tcBorders>
                  <w:noWrap w:val="0"/>
                  <w:vAlign w:val="center"/>
                </w:tcPr>
                <w:p w14:paraId="355E425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4"/>
                      <w:sz w:val="21"/>
                      <w:szCs w:val="21"/>
                      <w:highlight w:val="none"/>
                      <w14:textFill>
                        <w14:solidFill>
                          <w14:schemeClr w14:val="tx1"/>
                        </w14:solidFill>
                      </w14:textFill>
                    </w:rPr>
                    <w:t>规模</w:t>
                  </w:r>
                </w:p>
                <w:p w14:paraId="2753907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等级</w:t>
                  </w:r>
                </w:p>
              </w:tc>
              <w:tc>
                <w:tcPr>
                  <w:tcW w:w="844" w:type="dxa"/>
                  <w:tcBorders>
                    <w:top w:val="single" w:color="auto" w:sz="4" w:space="0"/>
                    <w:left w:val="single" w:color="auto" w:sz="4" w:space="0"/>
                    <w:bottom w:val="single" w:color="auto" w:sz="4" w:space="0"/>
                    <w:right w:val="single" w:color="auto" w:sz="4" w:space="0"/>
                  </w:tcBorders>
                  <w:noWrap w:val="0"/>
                  <w:vAlign w:val="center"/>
                </w:tcPr>
                <w:p w14:paraId="6766685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pacing w:val="7"/>
                      <w:sz w:val="21"/>
                      <w:szCs w:val="21"/>
                      <w:highlight w:val="none"/>
                      <w14:textFill>
                        <w14:solidFill>
                          <w14:schemeClr w14:val="tx1"/>
                        </w14:solidFill>
                      </w14:textFill>
                    </w:rPr>
                  </w:pPr>
                  <w:r>
                    <w:rPr>
                      <w:rFonts w:hint="default" w:ascii="Times New Roman" w:hAnsi="Times New Roman" w:cs="Times New Roman"/>
                      <w:color w:val="000000" w:themeColor="text1"/>
                      <w:spacing w:val="7"/>
                      <w:sz w:val="21"/>
                      <w:szCs w:val="21"/>
                      <w:highlight w:val="none"/>
                      <w14:textFill>
                        <w14:solidFill>
                          <w14:schemeClr w14:val="tx1"/>
                        </w14:solidFill>
                      </w14:textFill>
                    </w:rPr>
                    <w:t>污染物</w:t>
                  </w:r>
                </w:p>
                <w:p w14:paraId="70AAEA6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7"/>
                      <w:sz w:val="21"/>
                      <w:szCs w:val="21"/>
                      <w:highlight w:val="none"/>
                      <w14:textFill>
                        <w14:solidFill>
                          <w14:schemeClr w14:val="tx1"/>
                        </w14:solidFill>
                      </w14:textFill>
                    </w:rPr>
                    <w:t>指标</w:t>
                  </w:r>
                </w:p>
              </w:tc>
              <w:tc>
                <w:tcPr>
                  <w:tcW w:w="982" w:type="dxa"/>
                  <w:tcBorders>
                    <w:top w:val="single" w:color="auto" w:sz="4" w:space="0"/>
                    <w:left w:val="single" w:color="auto" w:sz="4" w:space="0"/>
                    <w:bottom w:val="single" w:color="auto" w:sz="4" w:space="0"/>
                    <w:right w:val="single" w:color="auto" w:sz="4" w:space="0"/>
                  </w:tcBorders>
                  <w:noWrap w:val="0"/>
                  <w:vAlign w:val="center"/>
                </w:tcPr>
                <w:p w14:paraId="678C824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单位</w:t>
                  </w:r>
                </w:p>
              </w:tc>
              <w:tc>
                <w:tcPr>
                  <w:tcW w:w="732" w:type="dxa"/>
                  <w:tcBorders>
                    <w:top w:val="single" w:color="auto" w:sz="4" w:space="0"/>
                    <w:left w:val="single" w:color="auto" w:sz="4" w:space="0"/>
                    <w:bottom w:val="single" w:color="auto" w:sz="4" w:space="0"/>
                    <w:right w:val="single" w:color="auto" w:sz="4" w:space="0"/>
                  </w:tcBorders>
                  <w:noWrap w:val="0"/>
                  <w:vAlign w:val="center"/>
                </w:tcPr>
                <w:p w14:paraId="3FE69BE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4"/>
                      <w:sz w:val="21"/>
                      <w:szCs w:val="21"/>
                      <w:highlight w:val="none"/>
                      <w14:textFill>
                        <w14:solidFill>
                          <w14:schemeClr w14:val="tx1"/>
                        </w14:solidFill>
                      </w14:textFill>
                    </w:rPr>
                    <w:t>产污</w:t>
                  </w:r>
                </w:p>
                <w:p w14:paraId="0FD9C17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2"/>
                      <w:sz w:val="21"/>
                      <w:szCs w:val="21"/>
                      <w:highlight w:val="none"/>
                      <w14:textFill>
                        <w14:solidFill>
                          <w14:schemeClr w14:val="tx1"/>
                        </w14:solidFill>
                      </w14:textFill>
                    </w:rPr>
                    <w:t>系数</w:t>
                  </w:r>
                </w:p>
              </w:tc>
              <w:tc>
                <w:tcPr>
                  <w:tcW w:w="1638" w:type="dxa"/>
                  <w:tcBorders>
                    <w:top w:val="single" w:color="auto" w:sz="4" w:space="0"/>
                    <w:left w:val="single" w:color="auto" w:sz="4" w:space="0"/>
                    <w:bottom w:val="single" w:color="auto" w:sz="4" w:space="0"/>
                    <w:right w:val="single" w:color="auto" w:sz="4" w:space="0"/>
                  </w:tcBorders>
                  <w:noWrap w:val="0"/>
                  <w:vAlign w:val="center"/>
                </w:tcPr>
                <w:p w14:paraId="56E01BF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7"/>
                      <w:sz w:val="21"/>
                      <w:szCs w:val="21"/>
                      <w:highlight w:val="none"/>
                      <w14:textFill>
                        <w14:solidFill>
                          <w14:schemeClr w14:val="tx1"/>
                        </w14:solidFill>
                      </w14:textFill>
                    </w:rPr>
                    <w:t>末端治理</w:t>
                  </w:r>
                </w:p>
                <w:p w14:paraId="7209CFF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7"/>
                      <w:sz w:val="21"/>
                      <w:szCs w:val="21"/>
                      <w:highlight w:val="none"/>
                      <w14:textFill>
                        <w14:solidFill>
                          <w14:schemeClr w14:val="tx1"/>
                        </w14:solidFill>
                      </w14:textFill>
                    </w:rPr>
                    <w:t>技术名称</w:t>
                  </w:r>
                </w:p>
              </w:tc>
              <w:tc>
                <w:tcPr>
                  <w:tcW w:w="767" w:type="dxa"/>
                  <w:tcBorders>
                    <w:top w:val="single" w:color="auto" w:sz="4" w:space="0"/>
                    <w:left w:val="single" w:color="auto" w:sz="4" w:space="0"/>
                    <w:bottom w:val="single" w:color="auto" w:sz="4" w:space="0"/>
                    <w:right w:val="single" w:color="auto" w:sz="4" w:space="0"/>
                  </w:tcBorders>
                  <w:noWrap w:val="0"/>
                  <w:vAlign w:val="center"/>
                </w:tcPr>
                <w:p w14:paraId="4216643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5"/>
                      <w:sz w:val="21"/>
                      <w:szCs w:val="21"/>
                      <w:highlight w:val="none"/>
                      <w14:textFill>
                        <w14:solidFill>
                          <w14:schemeClr w14:val="tx1"/>
                        </w14:solidFill>
                      </w14:textFill>
                    </w:rPr>
                    <w:t>去除效</w:t>
                  </w:r>
                  <w:r>
                    <w:rPr>
                      <w:rFonts w:hint="default" w:ascii="Times New Roman" w:hAnsi="Times New Roman" w:cs="Times New Roman"/>
                      <w:color w:val="000000" w:themeColor="text1"/>
                      <w:spacing w:val="4"/>
                      <w:sz w:val="21"/>
                      <w:szCs w:val="21"/>
                      <w:highlight w:val="none"/>
                      <w14:textFill>
                        <w14:solidFill>
                          <w14:schemeClr w14:val="tx1"/>
                        </w14:solidFill>
                      </w14:textFill>
                    </w:rPr>
                    <w:t>率</w:t>
                  </w:r>
                  <w:r>
                    <w:rPr>
                      <w:rFonts w:hint="default" w:ascii="Times New Roman" w:hAnsi="Times New Roman" w:eastAsia="Times New Roman" w:cs="Times New Roman"/>
                      <w:color w:val="000000" w:themeColor="text1"/>
                      <w:spacing w:val="4"/>
                      <w:sz w:val="21"/>
                      <w:szCs w:val="21"/>
                      <w:highlight w:val="none"/>
                      <w14:textFill>
                        <w14:solidFill>
                          <w14:schemeClr w14:val="tx1"/>
                        </w14:solidFill>
                      </w14:textFill>
                    </w:rPr>
                    <w:t>%</w:t>
                  </w:r>
                </w:p>
              </w:tc>
            </w:tr>
            <w:tr w14:paraId="298CF7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540" w:type="dxa"/>
                  <w:vMerge w:val="restart"/>
                  <w:tcBorders>
                    <w:top w:val="single" w:color="auto" w:sz="4" w:space="0"/>
                    <w:left w:val="single" w:color="auto" w:sz="4" w:space="0"/>
                    <w:bottom w:val="single" w:color="auto" w:sz="4" w:space="0"/>
                    <w:right w:val="single" w:color="auto" w:sz="4" w:space="0"/>
                  </w:tcBorders>
                  <w:noWrap w:val="0"/>
                  <w:vAlign w:val="center"/>
                </w:tcPr>
                <w:p w14:paraId="1EB401E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3"/>
                      <w:sz w:val="21"/>
                      <w:szCs w:val="21"/>
                      <w:highlight w:val="none"/>
                      <w:lang w:val="en-US" w:eastAsia="zh-CN"/>
                      <w14:textFill>
                        <w14:solidFill>
                          <w14:schemeClr w14:val="tx1"/>
                        </w14:solidFill>
                      </w14:textFill>
                    </w:rPr>
                    <w:t>原料烧制</w:t>
                  </w:r>
                </w:p>
              </w:tc>
              <w:tc>
                <w:tcPr>
                  <w:tcW w:w="578" w:type="dxa"/>
                  <w:vMerge w:val="restart"/>
                  <w:tcBorders>
                    <w:top w:val="single" w:color="auto" w:sz="4" w:space="0"/>
                    <w:left w:val="single" w:color="auto" w:sz="4" w:space="0"/>
                    <w:bottom w:val="single" w:color="auto" w:sz="4" w:space="0"/>
                    <w:right w:val="single" w:color="auto" w:sz="4" w:space="0"/>
                  </w:tcBorders>
                  <w:noWrap w:val="0"/>
                  <w:vAlign w:val="center"/>
                </w:tcPr>
                <w:p w14:paraId="6F54846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lang w:val="en-US"/>
                      <w14:textFill>
                        <w14:solidFill>
                          <w14:schemeClr w14:val="tx1"/>
                        </w14:solidFill>
                      </w14:textFill>
                    </w:rPr>
                  </w:pPr>
                  <w:r>
                    <w:rPr>
                      <w:rFonts w:hint="default" w:ascii="Times New Roman" w:hAnsi="Times New Roman" w:cs="Times New Roman"/>
                      <w:color w:val="000000" w:themeColor="text1"/>
                      <w:spacing w:val="2"/>
                      <w:sz w:val="21"/>
                      <w:szCs w:val="21"/>
                      <w:highlight w:val="none"/>
                      <w:lang w:val="en-US" w:eastAsia="zh-CN"/>
                      <w14:textFill>
                        <w14:solidFill>
                          <w14:schemeClr w14:val="tx1"/>
                        </w14:solidFill>
                      </w14:textFill>
                    </w:rPr>
                    <w:t>耐火原料、气体燃料</w:t>
                  </w:r>
                </w:p>
              </w:tc>
              <w:tc>
                <w:tcPr>
                  <w:tcW w:w="1180" w:type="dxa"/>
                  <w:vMerge w:val="restart"/>
                  <w:tcBorders>
                    <w:top w:val="single" w:color="auto" w:sz="4" w:space="0"/>
                    <w:left w:val="single" w:color="auto" w:sz="4" w:space="0"/>
                    <w:bottom w:val="single" w:color="auto" w:sz="4" w:space="0"/>
                    <w:right w:val="single" w:color="auto" w:sz="4" w:space="0"/>
                  </w:tcBorders>
                  <w:noWrap w:val="0"/>
                  <w:vAlign w:val="center"/>
                </w:tcPr>
                <w:p w14:paraId="36CC43C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pacing w:val="5"/>
                      <w:sz w:val="21"/>
                      <w:szCs w:val="21"/>
                      <w:highlight w:val="none"/>
                      <w14:textFill>
                        <w14:solidFill>
                          <w14:schemeClr w14:val="tx1"/>
                        </w14:solidFill>
                      </w14:textFill>
                    </w:rPr>
                  </w:pPr>
                  <w:r>
                    <w:rPr>
                      <w:rFonts w:hint="default" w:ascii="Times New Roman" w:hAnsi="Times New Roman" w:cs="Times New Roman"/>
                      <w:color w:val="000000" w:themeColor="text1"/>
                      <w:spacing w:val="5"/>
                      <w:sz w:val="21"/>
                      <w:szCs w:val="21"/>
                      <w:highlight w:val="none"/>
                      <w:lang w:val="en-US" w:eastAsia="zh-CN"/>
                      <w14:textFill>
                        <w14:solidFill>
                          <w14:schemeClr w14:val="tx1"/>
                        </w14:solidFill>
                      </w14:textFill>
                    </w:rPr>
                    <w:t>耐火材料</w:t>
                  </w:r>
                </w:p>
                <w:p w14:paraId="5513854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pacing w:val="5"/>
                      <w:sz w:val="21"/>
                      <w:szCs w:val="21"/>
                      <w:highlight w:val="none"/>
                      <w14:textFill>
                        <w14:solidFill>
                          <w14:schemeClr w14:val="tx1"/>
                        </w14:solidFill>
                      </w14:textFill>
                    </w:rPr>
                  </w:pPr>
                  <w:r>
                    <w:rPr>
                      <w:rFonts w:hint="default" w:ascii="Times New Roman" w:hAnsi="Times New Roman" w:cs="Times New Roman"/>
                      <w:color w:val="000000" w:themeColor="text1"/>
                      <w:spacing w:val="5"/>
                      <w:sz w:val="21"/>
                      <w:szCs w:val="21"/>
                      <w:highlight w:val="none"/>
                      <w:lang w:val="en-US" w:eastAsia="zh-CN"/>
                      <w14:textFill>
                        <w14:solidFill>
                          <w14:schemeClr w14:val="tx1"/>
                        </w14:solidFill>
                      </w14:textFill>
                    </w:rPr>
                    <w:t>用炉（煅</w:t>
                  </w:r>
                </w:p>
                <w:p w14:paraId="1A58C9A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pacing w:val="5"/>
                      <w:sz w:val="21"/>
                      <w:szCs w:val="21"/>
                      <w:highlight w:val="none"/>
                      <w14:textFill>
                        <w14:solidFill>
                          <w14:schemeClr w14:val="tx1"/>
                        </w14:solidFill>
                      </w14:textFill>
                    </w:rPr>
                  </w:pPr>
                  <w:r>
                    <w:rPr>
                      <w:rFonts w:hint="default" w:ascii="Times New Roman" w:hAnsi="Times New Roman" w:cs="Times New Roman"/>
                      <w:color w:val="000000" w:themeColor="text1"/>
                      <w:spacing w:val="5"/>
                      <w:sz w:val="21"/>
                      <w:szCs w:val="21"/>
                      <w:highlight w:val="none"/>
                      <w:lang w:val="en-US" w:eastAsia="zh-CN"/>
                      <w14:textFill>
                        <w14:solidFill>
                          <w14:schemeClr w14:val="tx1"/>
                        </w14:solidFill>
                      </w14:textFill>
                    </w:rPr>
                    <w:t>烧窑，包括隧道窑、回</w:t>
                  </w:r>
                </w:p>
                <w:p w14:paraId="54522CF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pacing w:val="5"/>
                      <w:sz w:val="21"/>
                      <w:szCs w:val="21"/>
                      <w:highlight w:val="none"/>
                      <w14:textFill>
                        <w14:solidFill>
                          <w14:schemeClr w14:val="tx1"/>
                        </w14:solidFill>
                      </w14:textFill>
                    </w:rPr>
                  </w:pPr>
                  <w:r>
                    <w:rPr>
                      <w:rFonts w:hint="default" w:ascii="Times New Roman" w:hAnsi="Times New Roman" w:cs="Times New Roman"/>
                      <w:color w:val="000000" w:themeColor="text1"/>
                      <w:spacing w:val="5"/>
                      <w:sz w:val="21"/>
                      <w:szCs w:val="21"/>
                      <w:highlight w:val="none"/>
                      <w:lang w:val="en-US" w:eastAsia="zh-CN"/>
                      <w14:textFill>
                        <w14:solidFill>
                          <w14:schemeClr w14:val="tx1"/>
                        </w14:solidFill>
                      </w14:textFill>
                    </w:rPr>
                    <w:t>转窑和竖</w:t>
                  </w:r>
                </w:p>
                <w:p w14:paraId="6C5AF91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pacing w:val="5"/>
                      <w:sz w:val="21"/>
                      <w:szCs w:val="21"/>
                      <w:highlight w:val="none"/>
                      <w14:textFill>
                        <w14:solidFill>
                          <w14:schemeClr w14:val="tx1"/>
                        </w14:solidFill>
                      </w14:textFill>
                    </w:rPr>
                  </w:pPr>
                  <w:r>
                    <w:rPr>
                      <w:rFonts w:hint="default" w:ascii="Times New Roman" w:hAnsi="Times New Roman" w:cs="Times New Roman"/>
                      <w:color w:val="000000" w:themeColor="text1"/>
                      <w:spacing w:val="5"/>
                      <w:sz w:val="21"/>
                      <w:szCs w:val="21"/>
                      <w:highlight w:val="none"/>
                      <w:lang w:val="en-US" w:eastAsia="zh-CN"/>
                      <w14:textFill>
                        <w14:solidFill>
                          <w14:schemeClr w14:val="tx1"/>
                        </w14:solidFill>
                      </w14:textFill>
                    </w:rPr>
                    <w:t>窑）</w:t>
                  </w:r>
                </w:p>
                <w:p w14:paraId="05110D5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677" w:type="dxa"/>
                  <w:vMerge w:val="restart"/>
                  <w:tcBorders>
                    <w:top w:val="single" w:color="auto" w:sz="4" w:space="0"/>
                    <w:left w:val="single" w:color="auto" w:sz="4" w:space="0"/>
                    <w:bottom w:val="single" w:color="auto" w:sz="4" w:space="0"/>
                    <w:right w:val="single" w:color="auto" w:sz="4" w:space="0"/>
                  </w:tcBorders>
                  <w:noWrap w:val="0"/>
                  <w:vAlign w:val="center"/>
                </w:tcPr>
                <w:p w14:paraId="7EBCCED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4"/>
                      <w:sz w:val="21"/>
                      <w:szCs w:val="21"/>
                      <w:highlight w:val="none"/>
                      <w14:textFill>
                        <w14:solidFill>
                          <w14:schemeClr w14:val="tx1"/>
                        </w14:solidFill>
                      </w14:textFill>
                    </w:rPr>
                    <w:t>所有</w:t>
                  </w:r>
                </w:p>
                <w:p w14:paraId="066461C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4"/>
                      <w:sz w:val="21"/>
                      <w:szCs w:val="21"/>
                      <w:highlight w:val="none"/>
                      <w14:textFill>
                        <w14:solidFill>
                          <w14:schemeClr w14:val="tx1"/>
                        </w14:solidFill>
                      </w14:textFill>
                    </w:rPr>
                    <w:t>规模</w:t>
                  </w:r>
                </w:p>
              </w:tc>
              <w:tc>
                <w:tcPr>
                  <w:tcW w:w="844" w:type="dxa"/>
                  <w:tcBorders>
                    <w:top w:val="single" w:color="auto" w:sz="4" w:space="0"/>
                    <w:left w:val="single" w:color="auto" w:sz="4" w:space="0"/>
                    <w:bottom w:val="single" w:color="auto" w:sz="4" w:space="0"/>
                    <w:right w:val="single" w:color="auto" w:sz="4" w:space="0"/>
                  </w:tcBorders>
                  <w:noWrap w:val="0"/>
                  <w:vAlign w:val="center"/>
                </w:tcPr>
                <w:p w14:paraId="26106BD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7"/>
                      <w:sz w:val="21"/>
                      <w:szCs w:val="21"/>
                      <w:highlight w:val="none"/>
                      <w14:textFill>
                        <w14:solidFill>
                          <w14:schemeClr w14:val="tx1"/>
                        </w14:solidFill>
                      </w14:textFill>
                    </w:rPr>
                    <w:t>工业废气量</w:t>
                  </w:r>
                </w:p>
              </w:tc>
              <w:tc>
                <w:tcPr>
                  <w:tcW w:w="982" w:type="dxa"/>
                  <w:tcBorders>
                    <w:top w:val="single" w:color="auto" w:sz="4" w:space="0"/>
                    <w:left w:val="single" w:color="auto" w:sz="4" w:space="0"/>
                    <w:bottom w:val="single" w:color="auto" w:sz="4" w:space="0"/>
                    <w:right w:val="single" w:color="auto" w:sz="4" w:space="0"/>
                  </w:tcBorders>
                  <w:noWrap w:val="0"/>
                  <w:vAlign w:val="center"/>
                </w:tcPr>
                <w:p w14:paraId="6F018FF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7"/>
                      <w:sz w:val="21"/>
                      <w:szCs w:val="21"/>
                      <w:highlight w:val="none"/>
                      <w14:textFill>
                        <w14:solidFill>
                          <w14:schemeClr w14:val="tx1"/>
                        </w14:solidFill>
                      </w14:textFill>
                    </w:rPr>
                    <w:t>标</w:t>
                  </w:r>
                  <w:r>
                    <w:rPr>
                      <w:rFonts w:hint="default" w:ascii="Times New Roman" w:hAnsi="Times New Roman" w:cs="Times New Roman"/>
                      <w:color w:val="000000" w:themeColor="text1"/>
                      <w:spacing w:val="7"/>
                      <w:sz w:val="21"/>
                      <w:szCs w:val="21"/>
                      <w:highlight w:val="none"/>
                      <w:lang w:eastAsia="zh-CN"/>
                      <w14:textFill>
                        <w14:solidFill>
                          <w14:schemeClr w14:val="tx1"/>
                        </w14:solidFill>
                      </w14:textFill>
                    </w:rPr>
                    <w:t>m</w:t>
                  </w:r>
                  <w:r>
                    <w:rPr>
                      <w:rFonts w:hint="default" w:ascii="Times New Roman" w:hAnsi="Times New Roman" w:cs="Times New Roman"/>
                      <w:color w:val="000000" w:themeColor="text1"/>
                      <w:spacing w:val="7"/>
                      <w:sz w:val="21"/>
                      <w:szCs w:val="21"/>
                      <w:highlight w:val="none"/>
                      <w:vertAlign w:val="superscript"/>
                      <w:lang w:val="en-US" w:eastAsia="zh-CN"/>
                      <w14:textFill>
                        <w14:solidFill>
                          <w14:schemeClr w14:val="tx1"/>
                        </w14:solidFill>
                      </w14:textFill>
                    </w:rPr>
                    <w:t>3</w:t>
                  </w:r>
                  <w:r>
                    <w:rPr>
                      <w:rFonts w:hint="default" w:ascii="Times New Roman" w:hAnsi="Times New Roman" w:eastAsia="Times New Roman" w:cs="Times New Roman"/>
                      <w:color w:val="000000" w:themeColor="text1"/>
                      <w:spacing w:val="7"/>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7"/>
                      <w:sz w:val="21"/>
                      <w:szCs w:val="21"/>
                      <w:highlight w:val="none"/>
                      <w:lang w:val="en-US" w:eastAsia="zh-CN"/>
                      <w14:textFill>
                        <w14:solidFill>
                          <w14:schemeClr w14:val="tx1"/>
                        </w14:solidFill>
                      </w14:textFill>
                    </w:rPr>
                    <w:t>吨－成品</w:t>
                  </w:r>
                </w:p>
              </w:tc>
              <w:tc>
                <w:tcPr>
                  <w:tcW w:w="732" w:type="dxa"/>
                  <w:tcBorders>
                    <w:top w:val="single" w:color="auto" w:sz="4" w:space="0"/>
                    <w:left w:val="single" w:color="auto" w:sz="4" w:space="0"/>
                    <w:bottom w:val="single" w:color="auto" w:sz="4" w:space="0"/>
                    <w:right w:val="single" w:color="auto" w:sz="4" w:space="0"/>
                  </w:tcBorders>
                  <w:noWrap w:val="0"/>
                  <w:vAlign w:val="center"/>
                </w:tcPr>
                <w:p w14:paraId="2C44BF3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5134</w:t>
                  </w:r>
                </w:p>
              </w:tc>
              <w:tc>
                <w:tcPr>
                  <w:tcW w:w="1638" w:type="dxa"/>
                  <w:tcBorders>
                    <w:top w:val="single" w:color="auto" w:sz="4" w:space="0"/>
                    <w:left w:val="single" w:color="auto" w:sz="4" w:space="0"/>
                    <w:bottom w:val="single" w:color="auto" w:sz="4" w:space="0"/>
                    <w:right w:val="single" w:color="auto" w:sz="4" w:space="0"/>
                  </w:tcBorders>
                  <w:noWrap w:val="0"/>
                  <w:vAlign w:val="center"/>
                </w:tcPr>
                <w:p w14:paraId="06B814F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Fonts w:hint="default" w:ascii="Times New Roman" w:hAnsi="Times New Roman" w:eastAsia="Times New Roman" w:cs="Times New Roman"/>
                      <w:color w:val="000000" w:themeColor="text1"/>
                      <w:spacing w:val="2"/>
                      <w:sz w:val="21"/>
                      <w:szCs w:val="21"/>
                      <w:highlight w:val="none"/>
                      <w14:textFill>
                        <w14:solidFill>
                          <w14:schemeClr w14:val="tx1"/>
                        </w14:solidFill>
                      </w14:textFill>
                    </w:rPr>
                    <w:t>/</w:t>
                  </w:r>
                </w:p>
              </w:tc>
              <w:tc>
                <w:tcPr>
                  <w:tcW w:w="767" w:type="dxa"/>
                  <w:tcBorders>
                    <w:top w:val="single" w:color="auto" w:sz="4" w:space="0"/>
                    <w:left w:val="single" w:color="auto" w:sz="4" w:space="0"/>
                    <w:bottom w:val="single" w:color="auto" w:sz="4" w:space="0"/>
                    <w:right w:val="single" w:color="auto" w:sz="4" w:space="0"/>
                  </w:tcBorders>
                  <w:noWrap w:val="0"/>
                  <w:vAlign w:val="center"/>
                </w:tcPr>
                <w:p w14:paraId="3D7BB4B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Fonts w:hint="default" w:ascii="Times New Roman" w:hAnsi="Times New Roman" w:eastAsia="Times New Roman" w:cs="Times New Roman"/>
                      <w:color w:val="000000" w:themeColor="text1"/>
                      <w:sz w:val="21"/>
                      <w:szCs w:val="21"/>
                      <w:highlight w:val="none"/>
                      <w14:textFill>
                        <w14:solidFill>
                          <w14:schemeClr w14:val="tx1"/>
                        </w14:solidFill>
                      </w14:textFill>
                    </w:rPr>
                    <w:t>0</w:t>
                  </w:r>
                </w:p>
              </w:tc>
            </w:tr>
            <w:tr w14:paraId="309A6CA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540" w:type="dxa"/>
                  <w:vMerge w:val="continue"/>
                  <w:tcBorders>
                    <w:top w:val="single" w:color="auto" w:sz="4" w:space="0"/>
                    <w:left w:val="single" w:color="auto" w:sz="4" w:space="0"/>
                    <w:bottom w:val="single" w:color="auto" w:sz="4" w:space="0"/>
                    <w:right w:val="single" w:color="auto" w:sz="4" w:space="0"/>
                  </w:tcBorders>
                  <w:noWrap w:val="0"/>
                  <w:vAlign w:val="center"/>
                </w:tcPr>
                <w:p w14:paraId="799D4A1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578" w:type="dxa"/>
                  <w:vMerge w:val="continue"/>
                  <w:tcBorders>
                    <w:top w:val="single" w:color="auto" w:sz="4" w:space="0"/>
                    <w:left w:val="single" w:color="auto" w:sz="4" w:space="0"/>
                    <w:bottom w:val="single" w:color="auto" w:sz="4" w:space="0"/>
                    <w:right w:val="single" w:color="auto" w:sz="4" w:space="0"/>
                  </w:tcBorders>
                  <w:noWrap w:val="0"/>
                  <w:vAlign w:val="center"/>
                </w:tcPr>
                <w:p w14:paraId="36573BB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1180" w:type="dxa"/>
                  <w:vMerge w:val="continue"/>
                  <w:tcBorders>
                    <w:top w:val="single" w:color="auto" w:sz="4" w:space="0"/>
                    <w:left w:val="single" w:color="auto" w:sz="4" w:space="0"/>
                    <w:bottom w:val="single" w:color="auto" w:sz="4" w:space="0"/>
                    <w:right w:val="single" w:color="auto" w:sz="4" w:space="0"/>
                  </w:tcBorders>
                  <w:noWrap w:val="0"/>
                  <w:vAlign w:val="center"/>
                </w:tcPr>
                <w:p w14:paraId="2EDCC4F9">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677" w:type="dxa"/>
                  <w:vMerge w:val="continue"/>
                  <w:tcBorders>
                    <w:top w:val="single" w:color="auto" w:sz="4" w:space="0"/>
                    <w:left w:val="single" w:color="auto" w:sz="4" w:space="0"/>
                    <w:bottom w:val="single" w:color="auto" w:sz="4" w:space="0"/>
                    <w:right w:val="single" w:color="auto" w:sz="4" w:space="0"/>
                  </w:tcBorders>
                  <w:noWrap w:val="0"/>
                  <w:vAlign w:val="center"/>
                </w:tcPr>
                <w:p w14:paraId="6373B7F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844" w:type="dxa"/>
                  <w:tcBorders>
                    <w:top w:val="single" w:color="auto" w:sz="4" w:space="0"/>
                    <w:left w:val="single" w:color="auto" w:sz="4" w:space="0"/>
                    <w:bottom w:val="single" w:color="auto" w:sz="4" w:space="0"/>
                    <w:right w:val="single" w:color="auto" w:sz="4" w:space="0"/>
                  </w:tcBorders>
                  <w:noWrap w:val="0"/>
                  <w:vAlign w:val="center"/>
                </w:tcPr>
                <w:p w14:paraId="6FC90B2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颗粒物</w:t>
                  </w:r>
                </w:p>
              </w:tc>
              <w:tc>
                <w:tcPr>
                  <w:tcW w:w="982" w:type="dxa"/>
                  <w:tcBorders>
                    <w:top w:val="single" w:color="auto" w:sz="4" w:space="0"/>
                    <w:left w:val="single" w:color="auto" w:sz="4" w:space="0"/>
                    <w:bottom w:val="single" w:color="auto" w:sz="4" w:space="0"/>
                    <w:right w:val="single" w:color="auto" w:sz="4" w:space="0"/>
                  </w:tcBorders>
                  <w:noWrap w:val="0"/>
                  <w:vAlign w:val="center"/>
                </w:tcPr>
                <w:p w14:paraId="5862F28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7"/>
                      <w:sz w:val="21"/>
                      <w:szCs w:val="21"/>
                      <w:highlight w:val="none"/>
                      <w14:textFill>
                        <w14:solidFill>
                          <w14:schemeClr w14:val="tx1"/>
                        </w14:solidFill>
                      </w14:textFill>
                    </w:rPr>
                    <w:t>千克</w:t>
                  </w:r>
                  <w:r>
                    <w:rPr>
                      <w:rFonts w:hint="default" w:ascii="Times New Roman" w:hAnsi="Times New Roman" w:eastAsia="Times New Roman" w:cs="Times New Roman"/>
                      <w:color w:val="000000" w:themeColor="text1"/>
                      <w:spacing w:val="7"/>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7"/>
                      <w:sz w:val="21"/>
                      <w:szCs w:val="21"/>
                      <w:highlight w:val="none"/>
                      <w:lang w:val="en-US" w:eastAsia="zh-CN"/>
                      <w14:textFill>
                        <w14:solidFill>
                          <w14:schemeClr w14:val="tx1"/>
                        </w14:solidFill>
                      </w14:textFill>
                    </w:rPr>
                    <w:t>吨－成品</w:t>
                  </w:r>
                </w:p>
              </w:tc>
              <w:tc>
                <w:tcPr>
                  <w:tcW w:w="732" w:type="dxa"/>
                  <w:tcBorders>
                    <w:top w:val="single" w:color="auto" w:sz="4" w:space="0"/>
                    <w:left w:val="single" w:color="auto" w:sz="4" w:space="0"/>
                    <w:bottom w:val="single" w:color="auto" w:sz="4" w:space="0"/>
                    <w:right w:val="single" w:color="auto" w:sz="4" w:space="0"/>
                  </w:tcBorders>
                  <w:noWrap w:val="0"/>
                  <w:vAlign w:val="center"/>
                </w:tcPr>
                <w:p w14:paraId="3479E0A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Times New Roman"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0.36</w:t>
                  </w:r>
                </w:p>
              </w:tc>
              <w:tc>
                <w:tcPr>
                  <w:tcW w:w="1638" w:type="dxa"/>
                  <w:tcBorders>
                    <w:top w:val="single" w:color="auto" w:sz="4" w:space="0"/>
                    <w:left w:val="single" w:color="auto" w:sz="4" w:space="0"/>
                    <w:bottom w:val="single" w:color="auto" w:sz="4" w:space="0"/>
                    <w:right w:val="single" w:color="auto" w:sz="4" w:space="0"/>
                  </w:tcBorders>
                  <w:noWrap w:val="0"/>
                  <w:vAlign w:val="center"/>
                </w:tcPr>
                <w:p w14:paraId="08729DF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袋式除尘器</w:t>
                  </w:r>
                </w:p>
              </w:tc>
              <w:tc>
                <w:tcPr>
                  <w:tcW w:w="767" w:type="dxa"/>
                  <w:tcBorders>
                    <w:top w:val="single" w:color="auto" w:sz="4" w:space="0"/>
                    <w:left w:val="single" w:color="auto" w:sz="4" w:space="0"/>
                    <w:bottom w:val="single" w:color="auto" w:sz="4" w:space="0"/>
                    <w:right w:val="single" w:color="auto" w:sz="4" w:space="0"/>
                  </w:tcBorders>
                  <w:noWrap w:val="0"/>
                  <w:vAlign w:val="center"/>
                </w:tcPr>
                <w:p w14:paraId="1C745EE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99</w:t>
                  </w:r>
                </w:p>
              </w:tc>
            </w:tr>
            <w:tr w14:paraId="347130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540" w:type="dxa"/>
                  <w:vMerge w:val="continue"/>
                  <w:tcBorders>
                    <w:top w:val="single" w:color="auto" w:sz="4" w:space="0"/>
                    <w:left w:val="single" w:color="auto" w:sz="4" w:space="0"/>
                    <w:bottom w:val="single" w:color="auto" w:sz="4" w:space="0"/>
                    <w:right w:val="single" w:color="auto" w:sz="4" w:space="0"/>
                  </w:tcBorders>
                  <w:noWrap w:val="0"/>
                  <w:vAlign w:val="center"/>
                </w:tcPr>
                <w:p w14:paraId="7DAB095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578" w:type="dxa"/>
                  <w:vMerge w:val="continue"/>
                  <w:tcBorders>
                    <w:top w:val="single" w:color="auto" w:sz="4" w:space="0"/>
                    <w:left w:val="single" w:color="auto" w:sz="4" w:space="0"/>
                    <w:bottom w:val="single" w:color="auto" w:sz="4" w:space="0"/>
                    <w:right w:val="single" w:color="auto" w:sz="4" w:space="0"/>
                  </w:tcBorders>
                  <w:noWrap w:val="0"/>
                  <w:vAlign w:val="center"/>
                </w:tcPr>
                <w:p w14:paraId="151EBA7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1180" w:type="dxa"/>
                  <w:vMerge w:val="continue"/>
                  <w:tcBorders>
                    <w:top w:val="single" w:color="auto" w:sz="4" w:space="0"/>
                    <w:left w:val="single" w:color="auto" w:sz="4" w:space="0"/>
                    <w:bottom w:val="single" w:color="auto" w:sz="4" w:space="0"/>
                    <w:right w:val="single" w:color="auto" w:sz="4" w:space="0"/>
                  </w:tcBorders>
                  <w:noWrap w:val="0"/>
                  <w:vAlign w:val="center"/>
                </w:tcPr>
                <w:p w14:paraId="23F4D5D5">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677" w:type="dxa"/>
                  <w:vMerge w:val="continue"/>
                  <w:tcBorders>
                    <w:top w:val="single" w:color="auto" w:sz="4" w:space="0"/>
                    <w:left w:val="single" w:color="auto" w:sz="4" w:space="0"/>
                    <w:bottom w:val="single" w:color="auto" w:sz="4" w:space="0"/>
                    <w:right w:val="single" w:color="auto" w:sz="4" w:space="0"/>
                  </w:tcBorders>
                  <w:noWrap w:val="0"/>
                  <w:vAlign w:val="center"/>
                </w:tcPr>
                <w:p w14:paraId="3DBA45B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844" w:type="dxa"/>
                  <w:tcBorders>
                    <w:top w:val="single" w:color="auto" w:sz="4" w:space="0"/>
                    <w:left w:val="single" w:color="auto" w:sz="4" w:space="0"/>
                    <w:bottom w:val="single" w:color="auto" w:sz="4" w:space="0"/>
                    <w:right w:val="single" w:color="auto" w:sz="4" w:space="0"/>
                  </w:tcBorders>
                  <w:noWrap w:val="0"/>
                  <w:vAlign w:val="center"/>
                </w:tcPr>
                <w:p w14:paraId="00D5AC4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pacing w:val="6"/>
                      <w:sz w:val="21"/>
                      <w:szCs w:val="21"/>
                      <w:highlight w:val="none"/>
                      <w14:textFill>
                        <w14:solidFill>
                          <w14:schemeClr w14:val="tx1"/>
                        </w14:solidFill>
                      </w14:textFill>
                    </w:rPr>
                  </w:pPr>
                  <w:r>
                    <w:rPr>
                      <w:rFonts w:hint="default" w:ascii="Times New Roman" w:hAnsi="Times New Roman" w:cs="Times New Roman"/>
                      <w:color w:val="000000" w:themeColor="text1"/>
                      <w:spacing w:val="6"/>
                      <w:sz w:val="21"/>
                      <w:szCs w:val="21"/>
                      <w:highlight w:val="none"/>
                      <w14:textFill>
                        <w14:solidFill>
                          <w14:schemeClr w14:val="tx1"/>
                        </w14:solidFill>
                      </w14:textFill>
                    </w:rPr>
                    <w:t>二氧</w:t>
                  </w:r>
                </w:p>
                <w:p w14:paraId="5C9AD9D1">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pacing w:val="6"/>
                      <w:sz w:val="21"/>
                      <w:szCs w:val="21"/>
                      <w:highlight w:val="none"/>
                      <w14:textFill>
                        <w14:solidFill>
                          <w14:schemeClr w14:val="tx1"/>
                        </w14:solidFill>
                      </w14:textFill>
                    </w:rPr>
                    <w:t>化硫</w:t>
                  </w:r>
                </w:p>
              </w:tc>
              <w:tc>
                <w:tcPr>
                  <w:tcW w:w="982" w:type="dxa"/>
                  <w:tcBorders>
                    <w:top w:val="single" w:color="auto" w:sz="4" w:space="0"/>
                    <w:left w:val="single" w:color="auto" w:sz="4" w:space="0"/>
                    <w:bottom w:val="single" w:color="auto" w:sz="4" w:space="0"/>
                    <w:right w:val="single" w:color="auto" w:sz="4" w:space="0"/>
                  </w:tcBorders>
                  <w:noWrap w:val="0"/>
                  <w:vAlign w:val="center"/>
                </w:tcPr>
                <w:p w14:paraId="492D3804">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pacing w:val="7"/>
                      <w:sz w:val="21"/>
                      <w:szCs w:val="21"/>
                      <w:highlight w:val="none"/>
                      <w14:textFill>
                        <w14:solidFill>
                          <w14:schemeClr w14:val="tx1"/>
                        </w14:solidFill>
                      </w14:textFill>
                    </w:rPr>
                    <w:t>千克</w:t>
                  </w:r>
                  <w:r>
                    <w:rPr>
                      <w:rFonts w:hint="default" w:ascii="Times New Roman" w:hAnsi="Times New Roman" w:eastAsia="Times New Roman" w:cs="Times New Roman"/>
                      <w:color w:val="000000" w:themeColor="text1"/>
                      <w:spacing w:val="7"/>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7"/>
                      <w:sz w:val="21"/>
                      <w:szCs w:val="21"/>
                      <w:highlight w:val="none"/>
                      <w:lang w:val="en-US" w:eastAsia="zh-CN"/>
                      <w14:textFill>
                        <w14:solidFill>
                          <w14:schemeClr w14:val="tx1"/>
                        </w14:solidFill>
                      </w14:textFill>
                    </w:rPr>
                    <w:t>吨－成品</w:t>
                  </w:r>
                </w:p>
              </w:tc>
              <w:tc>
                <w:tcPr>
                  <w:tcW w:w="732" w:type="dxa"/>
                  <w:tcBorders>
                    <w:top w:val="single" w:color="auto" w:sz="4" w:space="0"/>
                    <w:left w:val="single" w:color="auto" w:sz="4" w:space="0"/>
                    <w:bottom w:val="single" w:color="auto" w:sz="4" w:space="0"/>
                    <w:right w:val="single" w:color="auto" w:sz="4" w:space="0"/>
                  </w:tcBorders>
                  <w:noWrap w:val="0"/>
                  <w:vAlign w:val="center"/>
                </w:tcPr>
                <w:p w14:paraId="2AFB8AD7">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lang w:val="en-US" w:eastAsia="zh-CN"/>
                      <w14:textFill>
                        <w14:solidFill>
                          <w14:schemeClr w14:val="tx1"/>
                        </w14:solidFill>
                      </w14:textFill>
                    </w:rPr>
                    <w:t>2.21</w:t>
                  </w:r>
                </w:p>
              </w:tc>
              <w:tc>
                <w:tcPr>
                  <w:tcW w:w="1638" w:type="dxa"/>
                  <w:tcBorders>
                    <w:top w:val="single" w:color="auto" w:sz="4" w:space="0"/>
                    <w:left w:val="single" w:color="auto" w:sz="4" w:space="0"/>
                    <w:bottom w:val="single" w:color="auto" w:sz="4" w:space="0"/>
                    <w:right w:val="single" w:color="auto" w:sz="4" w:space="0"/>
                  </w:tcBorders>
                  <w:noWrap w:val="0"/>
                  <w:vAlign w:val="center"/>
                </w:tcPr>
                <w:p w14:paraId="071F554D">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石灰石</w:t>
                  </w:r>
                  <w:r>
                    <w:rPr>
                      <w:rFonts w:hint="eastAsia" w:cs="Times New Roman"/>
                      <w:color w:val="000000" w:themeColor="text1"/>
                      <w:spacing w:val="2"/>
                      <w:sz w:val="21"/>
                      <w:szCs w:val="2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石膏法</w:t>
                  </w:r>
                </w:p>
              </w:tc>
              <w:tc>
                <w:tcPr>
                  <w:tcW w:w="767" w:type="dxa"/>
                  <w:tcBorders>
                    <w:top w:val="single" w:color="auto" w:sz="4" w:space="0"/>
                    <w:left w:val="single" w:color="auto" w:sz="4" w:space="0"/>
                    <w:bottom w:val="single" w:color="auto" w:sz="4" w:space="0"/>
                    <w:right w:val="single" w:color="auto" w:sz="4" w:space="0"/>
                  </w:tcBorders>
                  <w:noWrap w:val="0"/>
                  <w:vAlign w:val="center"/>
                </w:tcPr>
                <w:p w14:paraId="4E81930A">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85</w:t>
                  </w:r>
                </w:p>
              </w:tc>
            </w:tr>
            <w:tr w14:paraId="61A528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540" w:type="dxa"/>
                  <w:vMerge w:val="continue"/>
                  <w:tcBorders>
                    <w:top w:val="single" w:color="auto" w:sz="4" w:space="0"/>
                    <w:left w:val="single" w:color="auto" w:sz="4" w:space="0"/>
                    <w:bottom w:val="single" w:color="auto" w:sz="4" w:space="0"/>
                    <w:right w:val="single" w:color="auto" w:sz="4" w:space="0"/>
                  </w:tcBorders>
                  <w:noWrap w:val="0"/>
                  <w:vAlign w:val="center"/>
                </w:tcPr>
                <w:p w14:paraId="1AA2200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578" w:type="dxa"/>
                  <w:vMerge w:val="continue"/>
                  <w:tcBorders>
                    <w:top w:val="single" w:color="auto" w:sz="4" w:space="0"/>
                    <w:left w:val="single" w:color="auto" w:sz="4" w:space="0"/>
                    <w:bottom w:val="single" w:color="auto" w:sz="4" w:space="0"/>
                    <w:right w:val="single" w:color="auto" w:sz="4" w:space="0"/>
                  </w:tcBorders>
                  <w:noWrap w:val="0"/>
                  <w:vAlign w:val="center"/>
                </w:tcPr>
                <w:p w14:paraId="4DEE34A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1180" w:type="dxa"/>
                  <w:vMerge w:val="continue"/>
                  <w:tcBorders>
                    <w:top w:val="single" w:color="auto" w:sz="4" w:space="0"/>
                    <w:left w:val="single" w:color="auto" w:sz="4" w:space="0"/>
                    <w:bottom w:val="single" w:color="auto" w:sz="4" w:space="0"/>
                    <w:right w:val="single" w:color="auto" w:sz="4" w:space="0"/>
                  </w:tcBorders>
                  <w:noWrap w:val="0"/>
                  <w:vAlign w:val="center"/>
                </w:tcPr>
                <w:p w14:paraId="14F2DF3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677" w:type="dxa"/>
                  <w:vMerge w:val="continue"/>
                  <w:tcBorders>
                    <w:top w:val="single" w:color="auto" w:sz="4" w:space="0"/>
                    <w:left w:val="single" w:color="auto" w:sz="4" w:space="0"/>
                    <w:bottom w:val="single" w:color="auto" w:sz="4" w:space="0"/>
                    <w:right w:val="single" w:color="auto" w:sz="4" w:space="0"/>
                  </w:tcBorders>
                  <w:noWrap w:val="0"/>
                  <w:vAlign w:val="center"/>
                </w:tcPr>
                <w:p w14:paraId="051E096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p>
              </w:tc>
              <w:tc>
                <w:tcPr>
                  <w:tcW w:w="844" w:type="dxa"/>
                  <w:tcBorders>
                    <w:top w:val="single" w:color="auto" w:sz="4" w:space="0"/>
                    <w:left w:val="single" w:color="auto" w:sz="4" w:space="0"/>
                    <w:bottom w:val="single" w:color="auto" w:sz="4" w:space="0"/>
                    <w:right w:val="single" w:color="auto" w:sz="4" w:space="0"/>
                  </w:tcBorders>
                  <w:noWrap w:val="0"/>
                  <w:vAlign w:val="center"/>
                </w:tcPr>
                <w:p w14:paraId="1E7A7B4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000000" w:themeColor="text1"/>
                      <w:spacing w:val="7"/>
                      <w:sz w:val="21"/>
                      <w:szCs w:val="21"/>
                      <w:highlight w:val="none"/>
                      <w14:textFill>
                        <w14:solidFill>
                          <w14:schemeClr w14:val="tx1"/>
                        </w14:solidFill>
                      </w14:textFill>
                    </w:rPr>
                  </w:pPr>
                  <w:r>
                    <w:rPr>
                      <w:rFonts w:hint="default" w:ascii="Times New Roman" w:hAnsi="Times New Roman" w:cs="Times New Roman"/>
                      <w:color w:val="000000" w:themeColor="text1"/>
                      <w:spacing w:val="7"/>
                      <w:sz w:val="21"/>
                      <w:szCs w:val="21"/>
                      <w:highlight w:val="none"/>
                      <w14:textFill>
                        <w14:solidFill>
                          <w14:schemeClr w14:val="tx1"/>
                        </w14:solidFill>
                      </w14:textFill>
                    </w:rPr>
                    <w:t>氮氧</w:t>
                  </w:r>
                </w:p>
                <w:p w14:paraId="08957E7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7"/>
                      <w:sz w:val="21"/>
                      <w:szCs w:val="21"/>
                      <w:highlight w:val="none"/>
                      <w14:textFill>
                        <w14:solidFill>
                          <w14:schemeClr w14:val="tx1"/>
                        </w14:solidFill>
                      </w14:textFill>
                    </w:rPr>
                    <w:t>化物</w:t>
                  </w:r>
                </w:p>
              </w:tc>
              <w:tc>
                <w:tcPr>
                  <w:tcW w:w="982" w:type="dxa"/>
                  <w:tcBorders>
                    <w:top w:val="single" w:color="auto" w:sz="4" w:space="0"/>
                    <w:left w:val="single" w:color="auto" w:sz="4" w:space="0"/>
                    <w:bottom w:val="single" w:color="auto" w:sz="4" w:space="0"/>
                    <w:right w:val="single" w:color="auto" w:sz="4" w:space="0"/>
                  </w:tcBorders>
                  <w:noWrap w:val="0"/>
                  <w:vAlign w:val="center"/>
                </w:tcPr>
                <w:p w14:paraId="16D09E8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7"/>
                      <w:sz w:val="21"/>
                      <w:szCs w:val="21"/>
                      <w:highlight w:val="none"/>
                      <w14:textFill>
                        <w14:solidFill>
                          <w14:schemeClr w14:val="tx1"/>
                        </w14:solidFill>
                      </w14:textFill>
                    </w:rPr>
                    <w:t>千克</w:t>
                  </w:r>
                  <w:r>
                    <w:rPr>
                      <w:rFonts w:hint="default" w:ascii="Times New Roman" w:hAnsi="Times New Roman" w:eastAsia="Times New Roman" w:cs="Times New Roman"/>
                      <w:color w:val="000000" w:themeColor="text1"/>
                      <w:spacing w:val="7"/>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7"/>
                      <w:sz w:val="21"/>
                      <w:szCs w:val="21"/>
                      <w:highlight w:val="none"/>
                      <w:lang w:val="en-US" w:eastAsia="zh-CN"/>
                      <w14:textFill>
                        <w14:solidFill>
                          <w14:schemeClr w14:val="tx1"/>
                        </w14:solidFill>
                      </w14:textFill>
                    </w:rPr>
                    <w:t>吨－成品</w:t>
                  </w:r>
                </w:p>
              </w:tc>
              <w:tc>
                <w:tcPr>
                  <w:tcW w:w="732" w:type="dxa"/>
                  <w:tcBorders>
                    <w:top w:val="single" w:color="auto" w:sz="4" w:space="0"/>
                    <w:left w:val="single" w:color="auto" w:sz="4" w:space="0"/>
                    <w:bottom w:val="single" w:color="auto" w:sz="4" w:space="0"/>
                    <w:right w:val="single" w:color="auto" w:sz="4" w:space="0"/>
                  </w:tcBorders>
                  <w:noWrap w:val="0"/>
                  <w:vAlign w:val="center"/>
                </w:tcPr>
                <w:p w14:paraId="26DCAD7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1.88</w:t>
                  </w:r>
                </w:p>
              </w:tc>
              <w:tc>
                <w:tcPr>
                  <w:tcW w:w="1638" w:type="dxa"/>
                  <w:tcBorders>
                    <w:top w:val="single" w:color="auto" w:sz="4" w:space="0"/>
                    <w:left w:val="single" w:color="auto" w:sz="4" w:space="0"/>
                    <w:bottom w:val="single" w:color="auto" w:sz="4" w:space="0"/>
                    <w:right w:val="single" w:color="auto" w:sz="4" w:space="0"/>
                  </w:tcBorders>
                  <w:noWrap w:val="0"/>
                  <w:vAlign w:val="center"/>
                </w:tcPr>
                <w:p w14:paraId="6AE21A1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选择性非催化还原法（SNCR）</w:t>
                  </w:r>
                </w:p>
              </w:tc>
              <w:tc>
                <w:tcPr>
                  <w:tcW w:w="767" w:type="dxa"/>
                  <w:tcBorders>
                    <w:top w:val="single" w:color="auto" w:sz="4" w:space="0"/>
                    <w:left w:val="single" w:color="auto" w:sz="4" w:space="0"/>
                    <w:bottom w:val="single" w:color="auto" w:sz="4" w:space="0"/>
                    <w:right w:val="single" w:color="auto" w:sz="4" w:space="0"/>
                  </w:tcBorders>
                  <w:noWrap w:val="0"/>
                  <w:vAlign w:val="center"/>
                </w:tcPr>
                <w:p w14:paraId="2ABC516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50</w:t>
                  </w:r>
                </w:p>
              </w:tc>
            </w:tr>
          </w:tbl>
          <w:p w14:paraId="720F2AD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NOx排放量=NOx排放系数×原料量</w:t>
            </w:r>
          </w:p>
          <w:p w14:paraId="78B4F06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=1.88kg/吨×</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20万吨</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p>
          <w:p w14:paraId="60AF226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=376t/a</w:t>
            </w:r>
          </w:p>
          <w:p w14:paraId="194F692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由于项目采用低氮燃烧技术，</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低氮燃</w:t>
            </w:r>
            <w:r>
              <w:rPr>
                <w:rFonts w:hint="eastAsia" w:cs="Times New Roman"/>
                <w:color w:val="000000" w:themeColor="text1"/>
                <w:kern w:val="0"/>
                <w:sz w:val="24"/>
                <w:szCs w:val="24"/>
                <w:highlight w:val="none"/>
                <w:lang w:val="en-US" w:eastAsia="zh-CN" w:bidi="ar"/>
                <w14:textFill>
                  <w14:solidFill>
                    <w14:schemeClr w14:val="tx1"/>
                  </w14:solidFill>
                </w14:textFill>
              </w:rPr>
              <w:t>烧（分级燃烧+缺氧燃烧+烟气再循环（FGR））</w:t>
            </w:r>
            <w:r>
              <w:rPr>
                <w:rFonts w:hint="eastAsia"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脱硝技术</w:t>
            </w:r>
            <w:r>
              <w:rPr>
                <w:rFonts w:hint="eastAsia" w:cs="Times New Roman"/>
                <w:color w:val="000000" w:themeColor="text1"/>
                <w:kern w:val="0"/>
                <w:sz w:val="24"/>
                <w:szCs w:val="24"/>
                <w:highlight w:val="none"/>
                <w:lang w:val="en-US" w:eastAsia="zh-CN" w:bidi="ar"/>
                <w14:textFill>
                  <w14:solidFill>
                    <w14:schemeClr w14:val="tx1"/>
                  </w14:solidFill>
                </w14:textFill>
              </w:rPr>
              <w:t>的</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氮氧化物去除效率为</w:t>
            </w:r>
            <w:r>
              <w:rPr>
                <w:rFonts w:hint="eastAsia" w:cs="Times New Roman"/>
                <w:color w:val="000000" w:themeColor="text1"/>
                <w:kern w:val="0"/>
                <w:sz w:val="24"/>
                <w:szCs w:val="24"/>
                <w:highlight w:val="none"/>
                <w:lang w:val="en-US" w:eastAsia="zh-CN" w:bidi="ar"/>
                <w14:textFill>
                  <w14:solidFill>
                    <w14:schemeClr w14:val="tx1"/>
                  </w14:solidFill>
                </w14:textFill>
              </w:rPr>
              <w:t>50%以上，取值5</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0%</w:t>
            </w:r>
            <w:r>
              <w:rPr>
                <w:rFonts w:hint="eastAsia" w:cs="Times New Roman"/>
                <w:color w:val="000000" w:themeColor="text1"/>
                <w:kern w:val="0"/>
                <w:sz w:val="24"/>
                <w:szCs w:val="24"/>
                <w:highlight w:val="none"/>
                <w:lang w:val="en-US" w:eastAsia="zh-CN" w:bidi="ar"/>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因此，实际产生量为（376</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0.5）t/a，</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则氮氧化物产生量为</w:t>
            </w:r>
            <w:r>
              <w:rPr>
                <w:rFonts w:hint="eastAsia" w:cs="Times New Roman"/>
                <w:color w:val="000000" w:themeColor="text1"/>
                <w:sz w:val="24"/>
                <w:highlight w:val="none"/>
                <w:lang w:val="en-US" w:eastAsia="zh-CN"/>
                <w14:textFill>
                  <w14:solidFill>
                    <w14:schemeClr w14:val="tx1"/>
                  </w14:solidFill>
                </w14:textFill>
              </w:rPr>
              <w:t>188</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t/a。</w:t>
            </w:r>
          </w:p>
          <w:p w14:paraId="0B1DECA2">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本项目脱硝工艺选取</w:t>
            </w:r>
            <w:r>
              <w:rPr>
                <w:rFonts w:hint="eastAsia" w:cs="Times New Roman"/>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SNCR</w:t>
            </w:r>
            <w:r>
              <w:rPr>
                <w:rFonts w:hint="eastAsia" w:cs="Times New Roman"/>
                <w:b w:val="0"/>
                <w:bCs w:val="0"/>
                <w:color w:val="000000" w:themeColor="text1"/>
                <w:kern w:val="0"/>
                <w:sz w:val="24"/>
                <w:szCs w:val="24"/>
                <w:highlight w:val="none"/>
                <w:lang w:val="en-US" w:eastAsia="zh-CN" w:bidi="ar"/>
                <w14:textFill>
                  <w14:solidFill>
                    <w14:schemeClr w14:val="tx1"/>
                  </w14:solidFill>
                </w14:textFill>
              </w:rPr>
              <w:t>”联合</w:t>
            </w:r>
            <w:r>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脱硝</w:t>
            </w:r>
            <w:r>
              <w:rPr>
                <w:rFonts w:hint="eastAsia" w:cs="Times New Roman"/>
                <w:b w:val="0"/>
                <w:bCs w:val="0"/>
                <w:color w:val="000000" w:themeColor="text1"/>
                <w:kern w:val="0"/>
                <w:sz w:val="24"/>
                <w:szCs w:val="24"/>
                <w:highlight w:val="none"/>
                <w:lang w:val="en-US" w:eastAsia="zh-CN" w:bidi="ar"/>
                <w14:textFill>
                  <w14:solidFill>
                    <w14:schemeClr w14:val="tx1"/>
                  </w14:solidFill>
                </w14:textFill>
              </w:rPr>
              <w:t>工艺</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SNCR</w:t>
            </w:r>
            <w:r>
              <w:rPr>
                <w:rFonts w:hint="eastAsia" w:ascii="Times New Roman" w:hAnsi="Times New Roman" w:eastAsia="宋体" w:cs="Times New Roman"/>
                <w:b w:val="0"/>
                <w:bCs w:val="0"/>
                <w:color w:val="000000" w:themeColor="text1"/>
                <w:kern w:val="0"/>
                <w:sz w:val="24"/>
                <w:szCs w:val="24"/>
                <w:highlight w:val="none"/>
                <w:lang w:val="en-US" w:eastAsia="zh-CN" w:bidi="ar"/>
                <w14:textFill>
                  <w14:solidFill>
                    <w14:schemeClr w14:val="tx1"/>
                  </w14:solidFill>
                </w14:textFill>
              </w:rPr>
              <w:t>脱硝技术</w:t>
            </w:r>
            <w:r>
              <w:rPr>
                <w:rFonts w:hint="eastAsia" w:cs="Times New Roman"/>
                <w:color w:val="000000" w:themeColor="text1"/>
                <w:kern w:val="0"/>
                <w:sz w:val="24"/>
                <w:szCs w:val="24"/>
                <w:highlight w:val="none"/>
                <w:lang w:val="en-US" w:eastAsia="zh-CN" w:bidi="ar"/>
                <w14:textFill>
                  <w14:solidFill>
                    <w14:schemeClr w14:val="tx1"/>
                  </w14:solidFill>
                </w14:textFill>
              </w:rPr>
              <w:t>的</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氮氧化物去除效率为</w:t>
            </w:r>
            <w:r>
              <w:rPr>
                <w:rFonts w:hint="eastAsia" w:cs="Times New Roman"/>
                <w:color w:val="000000" w:themeColor="text1"/>
                <w:kern w:val="0"/>
                <w:sz w:val="24"/>
                <w:szCs w:val="24"/>
                <w:highlight w:val="none"/>
                <w:lang w:val="en-US" w:eastAsia="zh-CN" w:bidi="ar"/>
                <w14:textFill>
                  <w14:solidFill>
                    <w14:schemeClr w14:val="tx1"/>
                  </w14:solidFill>
                </w14:textFill>
              </w:rPr>
              <w:t>40%～60%</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以上</w:t>
            </w:r>
            <w:r>
              <w:rPr>
                <w:rFonts w:hint="eastAsia" w:cs="Times New Roman"/>
                <w:color w:val="000000" w:themeColor="text1"/>
                <w:kern w:val="0"/>
                <w:sz w:val="24"/>
                <w:szCs w:val="24"/>
                <w:highlight w:val="none"/>
                <w:lang w:val="en-US" w:eastAsia="zh-CN" w:bidi="ar"/>
                <w14:textFill>
                  <w14:solidFill>
                    <w14:schemeClr w14:val="tx1"/>
                  </w14:solidFill>
                </w14:textFill>
              </w:rPr>
              <w:t>，取值50%</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w:t>
            </w:r>
          </w:p>
          <w:p w14:paraId="02156F0E">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氮氧化物</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排放量=</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氮氧化物</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产生量×（1-去除效率）</w:t>
            </w:r>
          </w:p>
          <w:p w14:paraId="448BA07B">
            <w:pPr>
              <w:keepNext w:val="0"/>
              <w:keepLines w:val="0"/>
              <w:pageBreakBefore w:val="0"/>
              <w:widowControl w:val="0"/>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w:t>
            </w:r>
            <w:r>
              <w:rPr>
                <w:rFonts w:hint="eastAsia" w:cs="Times New Roman"/>
                <w:color w:val="000000" w:themeColor="text1"/>
                <w:kern w:val="0"/>
                <w:sz w:val="24"/>
                <w:szCs w:val="24"/>
                <w:highlight w:val="none"/>
                <w:lang w:val="en-US" w:eastAsia="zh-CN" w:bidi="ar"/>
                <w14:textFill>
                  <w14:solidFill>
                    <w14:schemeClr w14:val="tx1"/>
                  </w14:solidFill>
                </w14:textFill>
              </w:rPr>
              <w:t>188</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t/a×(1-</w:t>
            </w:r>
            <w:r>
              <w:rPr>
                <w:rFonts w:hint="eastAsia" w:cs="Times New Roman"/>
                <w:color w:val="000000" w:themeColor="text1"/>
                <w:kern w:val="0"/>
                <w:sz w:val="24"/>
                <w:szCs w:val="24"/>
                <w:highlight w:val="none"/>
                <w:lang w:val="en-US" w:eastAsia="zh-CN" w:bidi="ar"/>
                <w14:textFill>
                  <w14:solidFill>
                    <w14:schemeClr w14:val="tx1"/>
                  </w14:solidFill>
                </w14:textFill>
              </w:rPr>
              <w:t>50</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w:t>
            </w:r>
            <w:r>
              <w:rPr>
                <w:rFonts w:hint="eastAsia" w:cs="Times New Roman"/>
                <w:color w:val="000000" w:themeColor="text1"/>
                <w:kern w:val="0"/>
                <w:sz w:val="24"/>
                <w:szCs w:val="24"/>
                <w:highlight w:val="none"/>
                <w:lang w:val="en-US" w:eastAsia="zh-CN" w:bidi="ar"/>
                <w14:textFill>
                  <w14:solidFill>
                    <w14:schemeClr w14:val="tx1"/>
                  </w14:solidFill>
                </w14:textFill>
              </w:rPr>
              <w:t>94</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t/a</w:t>
            </w:r>
          </w:p>
          <w:p w14:paraId="16983CE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氮氧化物排放浓度=氮氧化物排放量÷废气量</w:t>
            </w:r>
          </w:p>
          <w:p w14:paraId="0C5214D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94</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t/a÷</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1.0268×10</w:t>
            </w:r>
            <w:r>
              <w:rPr>
                <w:rFonts w:hint="default" w:ascii="Times New Roman" w:hAnsi="Times New Roman" w:eastAsia="宋体" w:cs="Times New Roman"/>
                <w:color w:val="000000" w:themeColor="text1"/>
                <w:kern w:val="0"/>
                <w:sz w:val="24"/>
                <w:szCs w:val="24"/>
                <w:highlight w:val="none"/>
                <w:vertAlign w:val="superscript"/>
                <w:lang w:val="en-US" w:eastAsia="zh-CN" w:bidi="ar"/>
                <w14:textFill>
                  <w14:solidFill>
                    <w14:schemeClr w14:val="tx1"/>
                  </w14:solidFill>
                </w14:textFill>
              </w:rPr>
              <w:t>9</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Nm</w:t>
            </w:r>
            <w:r>
              <w:rPr>
                <w:rFonts w:hint="default" w:ascii="Times New Roman" w:hAnsi="Times New Roman" w:eastAsia="宋体" w:cs="Times New Roman"/>
                <w:color w:val="000000" w:themeColor="text1"/>
                <w:kern w:val="0"/>
                <w:sz w:val="24"/>
                <w:szCs w:val="24"/>
                <w:highlight w:val="none"/>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/a</w:t>
            </w:r>
          </w:p>
          <w:p w14:paraId="07B1618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91.55</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mg/m</w:t>
            </w:r>
            <w:r>
              <w:rPr>
                <w:rFonts w:hint="default"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eastAsia" w:cs="Times New Roman"/>
                <w:color w:val="000000" w:themeColor="text1"/>
                <w:kern w:val="0"/>
                <w:sz w:val="24"/>
                <w:szCs w:val="24"/>
                <w:highlight w:val="none"/>
                <w:lang w:val="en-US" w:eastAsia="zh-CN" w:bidi="ar"/>
                <w14:textFill>
                  <w14:solidFill>
                    <w14:schemeClr w14:val="tx1"/>
                  </w14:solidFill>
                </w14:textFill>
              </w:rPr>
              <w:t>（1200℃＜t≤1700℃，由于项目烧成温度为1350℃，因此，达标限值100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mg/m</w:t>
            </w:r>
            <w:r>
              <w:rPr>
                <w:rFonts w:hint="default"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eastAsia" w:cs="Times New Roman"/>
                <w:color w:val="000000" w:themeColor="text1"/>
                <w:sz w:val="24"/>
                <w:szCs w:val="24"/>
                <w:highlight w:val="none"/>
                <w:vertAlign w:val="baseline"/>
                <w:lang w:val="en-US" w:eastAsia="zh-CN"/>
                <w14:textFill>
                  <w14:solidFill>
                    <w14:schemeClr w14:val="tx1"/>
                  </w14:solidFill>
                </w14:textFill>
              </w:rPr>
              <w:t>）</w:t>
            </w:r>
          </w:p>
          <w:p w14:paraId="495D07B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cs="Times New Roman"/>
                <w:b w:val="0"/>
                <w:bCs w:val="0"/>
                <w:color w:val="000000" w:themeColor="text1"/>
                <w:sz w:val="24"/>
                <w:highlight w:val="none"/>
                <w:lang w:val="en-US" w:eastAsia="zh-CN"/>
                <w14:textFill>
                  <w14:solidFill>
                    <w14:schemeClr w14:val="tx1"/>
                  </w14:solidFill>
                </w14:textFill>
              </w:rPr>
            </w:pPr>
            <w:r>
              <w:rPr>
                <w:rFonts w:hint="eastAsia" w:cs="Times New Roman"/>
                <w:b w:val="0"/>
                <w:bCs w:val="0"/>
                <w:color w:val="000000" w:themeColor="text1"/>
                <w:sz w:val="24"/>
                <w:highlight w:val="none"/>
                <w:lang w:val="en-US" w:eastAsia="zh-CN"/>
                <w14:textFill>
                  <w14:solidFill>
                    <w14:schemeClr w14:val="tx1"/>
                  </w14:solidFill>
                </w14:textFill>
              </w:rPr>
              <w:t>E.氨气的产排量</w:t>
            </w:r>
          </w:p>
          <w:p w14:paraId="64E0616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根据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《耐火材料工业大气污染物排放标准》（GB46790-2025）</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中要求：脱硝系统氨逃逸浓度应控制在8mg/m</w:t>
            </w:r>
            <w:r>
              <w:rPr>
                <w:rFonts w:hint="eastAsia"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以下。本项目脱硝系统设计氨逃逸浓度小于7.0mg/m³，产生量为7.19t/a，产生效率为1kg/h。</w:t>
            </w:r>
          </w:p>
          <w:p w14:paraId="21AE1C6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项目锅炉脱硝设施使用氨水作为脱硝剂，脱硝剂在使用时会有微量氨气未进行反应而通过高42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m</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烟囱逃逸至大气环境。SNCR脱硝后的氨气经过</w:t>
            </w:r>
            <w:r>
              <w:rPr>
                <w:rFonts w:ascii="宋体" w:hAnsi="宋体" w:eastAsia="宋体" w:cs="宋体"/>
                <w:color w:val="000000" w:themeColor="text1"/>
                <w:sz w:val="24"/>
                <w:szCs w:val="24"/>
                <w:highlight w:val="none"/>
                <w14:textFill>
                  <w14:solidFill>
                    <w14:schemeClr w14:val="tx1"/>
                  </w14:solidFill>
                </w14:textFill>
              </w:rPr>
              <w:t>湿法脱硫（石灰石-石膏法）</w:t>
            </w:r>
            <w:r>
              <w:rPr>
                <w:rFonts w:hint="eastAsia" w:ascii="宋体" w:hAnsi="宋体" w:eastAsia="宋体" w:cs="宋体"/>
                <w:color w:val="000000" w:themeColor="text1"/>
                <w:sz w:val="24"/>
                <w:szCs w:val="24"/>
                <w:highlight w:val="none"/>
                <w:lang w:val="en-US" w:eastAsia="zh-CN"/>
                <w14:textFill>
                  <w14:solidFill>
                    <w14:schemeClr w14:val="tx1"/>
                  </w14:solidFill>
                </w14:textFill>
              </w:rPr>
              <w:t>装置</w:t>
            </w:r>
            <w:r>
              <w:rPr>
                <w:rFonts w:hint="eastAsia" w:ascii="宋体" w:hAnsi="宋体" w:eastAsia="宋体" w:cs="宋体"/>
                <w:color w:val="000000" w:themeColor="text1"/>
                <w:sz w:val="24"/>
                <w:szCs w:val="24"/>
                <w:highlight w:val="none"/>
                <w:lang w:eastAsia="zh-CN"/>
                <w14:textFill>
                  <w14:solidFill>
                    <w14:schemeClr w14:val="tx1"/>
                  </w14:solidFill>
                </w14:textFill>
              </w:rPr>
              <w:t>，</w:t>
            </w:r>
            <w:r>
              <w:rPr>
                <w:rFonts w:hint="eastAsia" w:ascii="宋体" w:hAnsi="宋体" w:eastAsia="宋体" w:cs="宋体"/>
                <w:color w:val="000000" w:themeColor="text1"/>
                <w:sz w:val="24"/>
                <w:szCs w:val="24"/>
                <w:highlight w:val="none"/>
                <w:lang w:val="en-US" w:eastAsia="zh-CN"/>
                <w14:textFill>
                  <w14:solidFill>
                    <w14:schemeClr w14:val="tx1"/>
                  </w14:solidFill>
                </w14:textFill>
              </w:rPr>
              <w:t>由于</w:t>
            </w:r>
            <w:r>
              <w:rPr>
                <w:rFonts w:ascii="宋体" w:hAnsi="宋体" w:eastAsia="宋体" w:cs="宋体"/>
                <w:color w:val="000000" w:themeColor="text1"/>
                <w:sz w:val="24"/>
                <w:szCs w:val="24"/>
                <w:highlight w:val="none"/>
                <w14:textFill>
                  <w14:solidFill>
                    <w14:schemeClr w14:val="tx1"/>
                  </w14:solidFill>
                </w14:textFill>
              </w:rPr>
              <w:t>氨是碱性气体，浆液呈弱碱性/近中性，但因为极易溶于水+发生反应，</w:t>
            </w:r>
            <w:r>
              <w:rPr>
                <w:rFonts w:hint="eastAsia" w:ascii="宋体" w:hAnsi="宋体" w:eastAsia="宋体" w:cs="宋体"/>
                <w:color w:val="000000" w:themeColor="text1"/>
                <w:sz w:val="24"/>
                <w:szCs w:val="24"/>
                <w:highlight w:val="none"/>
                <w:lang w:val="en-US" w:eastAsia="zh-CN"/>
                <w14:textFill>
                  <w14:solidFill>
                    <w14:schemeClr w14:val="tx1"/>
                  </w14:solidFill>
                </w14:textFill>
              </w:rPr>
              <w:t>与浆液</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中SO₂、HSO₃</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、SO₄²⁻反应生成铵盐，最终进入脱硫浆液/石膏</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最终氨逃逸浓度为</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3.5</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mg/m</w:t>
            </w:r>
            <w:r>
              <w:rPr>
                <w:rFonts w:hint="default"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，排放速率</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0.5</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kg/h</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，排放量为3.6t/a，氨排放浓度满足</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《耐火材料工业大气污染物排放标准》（GB46790-2025）表1大气污染物排放限值</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，排放</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速率能够满足《恶臭污染物排放标准》（</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GB14554-93</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）中表</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中相应标准限值。</w:t>
            </w:r>
          </w:p>
          <w:p w14:paraId="69B64F1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6）</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分选（打散、粉磨）废气（G1-</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7、</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G1-</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8</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w:t>
            </w:r>
          </w:p>
          <w:p w14:paraId="48D904B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打散过程废气</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粉尘参照《3021、3022、3029水泥制品制造行业系数手册（含3022砼结构构件、3029其他水泥类似制品制造）行业》中混凝土制品的物料混合搅拌源强产污系数为0.13kg/t-产品，本项目输送皮带封闭处理，合计颗粒物产生量26t/a。</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打散机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进入</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个收尘器后接</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个风机；</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除尘器风量为10000Nm</w:t>
            </w:r>
            <w:r>
              <w:rPr>
                <w:rFonts w:hint="default" w:ascii="Times New Roman" w:hAnsi="Times New Roman" w:eastAsia="宋体" w:cs="Times New Roman"/>
                <w:b w:val="0"/>
                <w:bCs w:val="0"/>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/h，除尘效率为99%，年运行时间2400h。</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袋式除尘器的除尘效率为99%，</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排放量为2t/a，排放浓度为9.09mg/Nm</w:t>
            </w:r>
            <w:r>
              <w:rPr>
                <w:rFonts w:hint="default" w:ascii="Times New Roman" w:hAnsi="Times New Roman" w:eastAsia="宋体" w:cs="Times New Roman"/>
                <w:b w:val="0"/>
                <w:bCs w:val="0"/>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w:t>
            </w:r>
          </w:p>
          <w:p w14:paraId="79AAB2AE">
            <w:pPr>
              <w:keepNext w:val="0"/>
              <w:keepLines w:val="0"/>
              <w:pageBreakBefore w:val="0"/>
              <w:widowControl w:val="0"/>
              <w:kinsoku/>
              <w:wordWrap/>
              <w:overflowPunct/>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仿宋" w:cs="Times New Roman"/>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14:textFill>
                  <w14:solidFill>
                    <w14:schemeClr w14:val="tx1"/>
                  </w14:solidFill>
                </w14:textFill>
              </w:rPr>
              <w:t>表</w:t>
            </w:r>
            <w:r>
              <w:rPr>
                <w:rFonts w:hint="default" w:ascii="Times New Roman" w:hAnsi="Times New Roman" w:eastAsia="宋体" w:cs="Times New Roman"/>
                <w:b/>
                <w:bCs/>
                <w:color w:val="000000" w:themeColor="text1"/>
                <w:kern w:val="2"/>
                <w:sz w:val="24"/>
                <w:szCs w:val="24"/>
                <w:highlight w:val="none"/>
                <w:lang w:val="en-US" w:eastAsia="zh-CN"/>
                <w14:textFill>
                  <w14:solidFill>
                    <w14:schemeClr w14:val="tx1"/>
                  </w14:solidFill>
                </w14:textFill>
              </w:rPr>
              <w:t>4-</w:t>
            </w:r>
            <w:r>
              <w:rPr>
                <w:rFonts w:hint="default" w:ascii="Times New Roman" w:hAnsi="Times New Roman" w:cs="Times New Roman"/>
                <w:b/>
                <w:bCs/>
                <w:color w:val="000000" w:themeColor="text1"/>
                <w:kern w:val="2"/>
                <w:sz w:val="24"/>
                <w:szCs w:val="24"/>
                <w:highlight w:val="none"/>
                <w:lang w:val="en-US" w:eastAsia="zh-CN"/>
                <w14:textFill>
                  <w14:solidFill>
                    <w14:schemeClr w14:val="tx1"/>
                  </w14:solidFill>
                </w14:textFill>
              </w:rPr>
              <w:t>5废气</w:t>
            </w:r>
            <w:r>
              <w:rPr>
                <w:rFonts w:hint="default" w:ascii="Times New Roman" w:hAnsi="Times New Roman" w:cs="Times New Roman"/>
                <w:b/>
                <w:bCs/>
                <w:color w:val="000000" w:themeColor="text1"/>
                <w:kern w:val="2"/>
                <w:sz w:val="24"/>
                <w:szCs w:val="24"/>
                <w:highlight w:val="none"/>
                <w14:textFill>
                  <w14:solidFill>
                    <w14:schemeClr w14:val="tx1"/>
                  </w14:solidFill>
                </w14:textFill>
              </w:rPr>
              <w:t>粉尘产排情况一览表</w:t>
            </w:r>
          </w:p>
          <w:tbl>
            <w:tblPr>
              <w:tblStyle w:val="24"/>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66"/>
              <w:gridCol w:w="850"/>
              <w:gridCol w:w="745"/>
              <w:gridCol w:w="934"/>
              <w:gridCol w:w="1072"/>
              <w:gridCol w:w="616"/>
              <w:gridCol w:w="1261"/>
              <w:gridCol w:w="1015"/>
              <w:gridCol w:w="881"/>
            </w:tblGrid>
            <w:tr w14:paraId="15DB7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2" w:hRule="atLeast"/>
              </w:trPr>
              <w:tc>
                <w:tcPr>
                  <w:tcW w:w="356" w:type="pct"/>
                  <w:vMerge w:val="restart"/>
                  <w:noWrap w:val="0"/>
                  <w:vAlign w:val="center"/>
                </w:tcPr>
                <w:p w14:paraId="49C4F043">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装置</w:t>
                  </w:r>
                </w:p>
              </w:tc>
              <w:tc>
                <w:tcPr>
                  <w:tcW w:w="535" w:type="pct"/>
                  <w:vMerge w:val="restart"/>
                  <w:noWrap w:val="0"/>
                  <w:vAlign w:val="center"/>
                </w:tcPr>
                <w:p w14:paraId="25A4EA57">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污染源</w:t>
                  </w:r>
                </w:p>
              </w:tc>
              <w:tc>
                <w:tcPr>
                  <w:tcW w:w="469" w:type="pct"/>
                  <w:vMerge w:val="restart"/>
                  <w:noWrap w:val="0"/>
                  <w:vAlign w:val="center"/>
                </w:tcPr>
                <w:p w14:paraId="7A1C5563">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w:t>
                  </w:r>
                </w:p>
              </w:tc>
              <w:tc>
                <w:tcPr>
                  <w:tcW w:w="588" w:type="pct"/>
                  <w:vMerge w:val="restart"/>
                  <w:noWrap w:val="0"/>
                  <w:vAlign w:val="center"/>
                </w:tcPr>
                <w:p w14:paraId="44812BC0">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风机</w:t>
                  </w:r>
                </w:p>
                <w:p w14:paraId="5DB9803D">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风量</w:t>
                  </w:r>
                </w:p>
                <w:p w14:paraId="19B64B48">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lang w:eastAsia="zh-CN"/>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/h</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p>
              </w:tc>
              <w:tc>
                <w:tcPr>
                  <w:tcW w:w="675" w:type="pct"/>
                  <w:vMerge w:val="restart"/>
                  <w:noWrap w:val="0"/>
                  <w:vAlign w:val="center"/>
                </w:tcPr>
                <w:p w14:paraId="2CD12D39">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w:t>
                  </w:r>
                </w:p>
                <w:p w14:paraId="4F3921A4">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产生</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量</w:t>
                  </w:r>
                </w:p>
                <w:p w14:paraId="2781F074">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p>
              </w:tc>
              <w:tc>
                <w:tcPr>
                  <w:tcW w:w="386" w:type="pct"/>
                  <w:vMerge w:val="restart"/>
                  <w:noWrap w:val="0"/>
                  <w:vAlign w:val="center"/>
                </w:tcPr>
                <w:p w14:paraId="54B6BE08">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处理</w:t>
                  </w:r>
                </w:p>
                <w:p w14:paraId="437619FA">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效率</w:t>
                  </w:r>
                </w:p>
                <w:p w14:paraId="09545957">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1433" w:type="pct"/>
                  <w:gridSpan w:val="2"/>
                  <w:noWrap w:val="0"/>
                  <w:vAlign w:val="center"/>
                </w:tcPr>
                <w:p w14:paraId="2B73266D">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污染物排放</w:t>
                  </w:r>
                </w:p>
              </w:tc>
              <w:tc>
                <w:tcPr>
                  <w:tcW w:w="554" w:type="pct"/>
                  <w:vMerge w:val="restart"/>
                  <w:noWrap w:val="0"/>
                  <w:vAlign w:val="center"/>
                </w:tcPr>
                <w:p w14:paraId="408B985E">
                  <w:pPr>
                    <w:pStyle w:val="85"/>
                    <w:kinsoku w:val="0"/>
                    <w:overflowPunct w:val="0"/>
                    <w:snapToGrid w:val="0"/>
                    <w:jc w:val="cente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p>
                <w:p w14:paraId="4F413B15">
                  <w:pPr>
                    <w:pStyle w:val="85"/>
                    <w:kinsoku w:val="0"/>
                    <w:overflowPunct w:val="0"/>
                    <w:snapToGrid w:val="0"/>
                    <w:jc w:val="cente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高度</w:t>
                  </w:r>
                </w:p>
                <w:p w14:paraId="03118B7C">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（m）</w:t>
                  </w:r>
                </w:p>
              </w:tc>
            </w:tr>
            <w:tr w14:paraId="5CBCB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9" w:hRule="atLeast"/>
              </w:trPr>
              <w:tc>
                <w:tcPr>
                  <w:tcW w:w="356" w:type="pct"/>
                  <w:vMerge w:val="continue"/>
                  <w:noWrap w:val="0"/>
                  <w:vAlign w:val="center"/>
                </w:tcPr>
                <w:p w14:paraId="5D5A032F">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35" w:type="pct"/>
                  <w:vMerge w:val="continue"/>
                  <w:noWrap w:val="0"/>
                  <w:vAlign w:val="center"/>
                </w:tcPr>
                <w:p w14:paraId="5D42DED3">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69" w:type="pct"/>
                  <w:vMerge w:val="continue"/>
                  <w:noWrap w:val="0"/>
                  <w:vAlign w:val="center"/>
                </w:tcPr>
                <w:p w14:paraId="04337ADF">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88" w:type="pct"/>
                  <w:vMerge w:val="continue"/>
                  <w:noWrap w:val="0"/>
                  <w:vAlign w:val="center"/>
                </w:tcPr>
                <w:p w14:paraId="2C8FBF2E">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75" w:type="pct"/>
                  <w:vMerge w:val="continue"/>
                  <w:noWrap w:val="0"/>
                  <w:vAlign w:val="center"/>
                </w:tcPr>
                <w:p w14:paraId="5BA1A189">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386" w:type="pct"/>
                  <w:vMerge w:val="continue"/>
                  <w:noWrap w:val="0"/>
                  <w:vAlign w:val="center"/>
                </w:tcPr>
                <w:p w14:paraId="090BC729">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794" w:type="pct"/>
                  <w:noWrap w:val="0"/>
                  <w:vAlign w:val="center"/>
                </w:tcPr>
                <w:p w14:paraId="406CB14D">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排放浓度</w:t>
                  </w:r>
                </w:p>
                <w:p w14:paraId="38D004B9">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mg/</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lang w:eastAsia="zh-CN"/>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vertAlign w:val="baseline"/>
                      <w:lang w:eastAsia="zh-CN"/>
                      <w14:textFill>
                        <w14:solidFill>
                          <w14:schemeClr w14:val="tx1"/>
                        </w14:solidFill>
                      </w14:textFill>
                    </w:rPr>
                    <w:t>)</w:t>
                  </w:r>
                </w:p>
              </w:tc>
              <w:tc>
                <w:tcPr>
                  <w:tcW w:w="639" w:type="pct"/>
                  <w:noWrap w:val="0"/>
                  <w:vAlign w:val="center"/>
                </w:tcPr>
                <w:p w14:paraId="391C831C">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排放量</w:t>
                  </w:r>
                </w:p>
                <w:p w14:paraId="185E4F61">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p>
              </w:tc>
              <w:tc>
                <w:tcPr>
                  <w:tcW w:w="554" w:type="pct"/>
                  <w:vMerge w:val="continue"/>
                  <w:noWrap w:val="0"/>
                  <w:vAlign w:val="center"/>
                </w:tcPr>
                <w:p w14:paraId="4A553CFD">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p>
              </w:tc>
            </w:tr>
            <w:tr w14:paraId="66274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68" w:hRule="atLeast"/>
              </w:trPr>
              <w:tc>
                <w:tcPr>
                  <w:tcW w:w="356" w:type="pct"/>
                  <w:noWrap w:val="0"/>
                  <w:vAlign w:val="center"/>
                </w:tcPr>
                <w:p w14:paraId="6928C9B1">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打散</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机</w:t>
                  </w:r>
                </w:p>
              </w:tc>
              <w:tc>
                <w:tcPr>
                  <w:tcW w:w="535" w:type="pct"/>
                  <w:noWrap w:val="0"/>
                  <w:vAlign w:val="center"/>
                </w:tcPr>
                <w:p w14:paraId="1DE929F4">
                  <w:pPr>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DA00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7</w:t>
                  </w:r>
                </w:p>
              </w:tc>
              <w:tc>
                <w:tcPr>
                  <w:tcW w:w="469" w:type="pct"/>
                  <w:noWrap w:val="0"/>
                  <w:vAlign w:val="center"/>
                </w:tcPr>
                <w:p w14:paraId="422E81CD">
                  <w:pPr>
                    <w:pStyle w:val="85"/>
                    <w:kinsoku w:val="0"/>
                    <w:overflowPunct w:val="0"/>
                    <w:snapToGrid w:val="0"/>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颗粒物</w:t>
                  </w:r>
                </w:p>
              </w:tc>
              <w:tc>
                <w:tcPr>
                  <w:tcW w:w="588" w:type="pct"/>
                  <w:noWrap w:val="0"/>
                  <w:vAlign w:val="center"/>
                </w:tcPr>
                <w:p w14:paraId="18B69AA2">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10000</w:t>
                  </w:r>
                </w:p>
              </w:tc>
              <w:tc>
                <w:tcPr>
                  <w:tcW w:w="675" w:type="pct"/>
                  <w:noWrap w:val="0"/>
                  <w:vAlign w:val="center"/>
                </w:tcPr>
                <w:p w14:paraId="48CBACF1">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26</w:t>
                  </w:r>
                </w:p>
              </w:tc>
              <w:tc>
                <w:tcPr>
                  <w:tcW w:w="386" w:type="pct"/>
                  <w:noWrap w:val="0"/>
                  <w:vAlign w:val="center"/>
                </w:tcPr>
                <w:p w14:paraId="3974B37C">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99</w:t>
                  </w:r>
                </w:p>
              </w:tc>
              <w:tc>
                <w:tcPr>
                  <w:tcW w:w="794" w:type="pct"/>
                  <w:noWrap w:val="0"/>
                  <w:vAlign w:val="center"/>
                </w:tcPr>
                <w:p w14:paraId="27C27CBC">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10.8</w:t>
                  </w:r>
                </w:p>
              </w:tc>
              <w:tc>
                <w:tcPr>
                  <w:tcW w:w="639" w:type="pct"/>
                  <w:noWrap w:val="0"/>
                  <w:vAlign w:val="center"/>
                </w:tcPr>
                <w:p w14:paraId="06D58943">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0.26</w:t>
                  </w:r>
                </w:p>
              </w:tc>
              <w:tc>
                <w:tcPr>
                  <w:tcW w:w="554" w:type="pct"/>
                  <w:noWrap w:val="0"/>
                  <w:vAlign w:val="center"/>
                </w:tcPr>
                <w:p w14:paraId="758C5D82">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30</w:t>
                  </w:r>
                </w:p>
              </w:tc>
            </w:tr>
            <w:tr w14:paraId="32D90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5" w:hRule="atLeast"/>
              </w:trPr>
              <w:tc>
                <w:tcPr>
                  <w:tcW w:w="3011" w:type="pct"/>
                  <w:gridSpan w:val="6"/>
                  <w:noWrap w:val="0"/>
                  <w:vAlign w:val="center"/>
                </w:tcPr>
                <w:p w14:paraId="24C920BB">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排放</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限值</w:t>
                  </w:r>
                </w:p>
              </w:tc>
              <w:tc>
                <w:tcPr>
                  <w:tcW w:w="794" w:type="pct"/>
                  <w:noWrap w:val="0"/>
                  <w:vAlign w:val="center"/>
                </w:tcPr>
                <w:p w14:paraId="7E4AD105">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20</w:t>
                  </w:r>
                </w:p>
              </w:tc>
              <w:tc>
                <w:tcPr>
                  <w:tcW w:w="639" w:type="pct"/>
                  <w:noWrap w:val="0"/>
                  <w:vAlign w:val="center"/>
                </w:tcPr>
                <w:p w14:paraId="46D16B94">
                  <w:pPr>
                    <w:pStyle w:val="85"/>
                    <w:kinsoku w:val="0"/>
                    <w:overflowPunct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554" w:type="pct"/>
                  <w:noWrap w:val="0"/>
                  <w:vAlign w:val="center"/>
                </w:tcPr>
                <w:p w14:paraId="36286D8E">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r>
            <w:tr w14:paraId="58BCE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5" w:hRule="atLeast"/>
              </w:trPr>
              <w:tc>
                <w:tcPr>
                  <w:tcW w:w="3011" w:type="pct"/>
                  <w:gridSpan w:val="6"/>
                  <w:noWrap w:val="0"/>
                  <w:vAlign w:val="center"/>
                </w:tcPr>
                <w:p w14:paraId="4D748369">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达标情况</w:t>
                  </w:r>
                </w:p>
              </w:tc>
              <w:tc>
                <w:tcPr>
                  <w:tcW w:w="794" w:type="pct"/>
                  <w:noWrap w:val="0"/>
                  <w:vAlign w:val="center"/>
                </w:tcPr>
                <w:p w14:paraId="56F090BF">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达标</w:t>
                  </w:r>
                </w:p>
              </w:tc>
              <w:tc>
                <w:tcPr>
                  <w:tcW w:w="639" w:type="pct"/>
                  <w:noWrap w:val="0"/>
                  <w:vAlign w:val="center"/>
                </w:tcPr>
                <w:p w14:paraId="2949A43E">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554" w:type="pct"/>
                  <w:noWrap w:val="0"/>
                  <w:vAlign w:val="center"/>
                </w:tcPr>
                <w:p w14:paraId="4E28F3FC">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r>
          </w:tbl>
          <w:p w14:paraId="219188C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粉磨粉尘产生量参照《3099其他非金属矿物制品制造行业系数表（续1）》粉磨系数，废气产生系数为276标立方米/吨</w:t>
            </w:r>
            <w:r>
              <w:rPr>
                <w:rFonts w:hint="eastAsia" w:cs="Times New Roman"/>
                <w:b w:val="0"/>
                <w:bCs w:val="0"/>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产品，废气产生量为5520万标立方米/年（11500</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lang w:eastAsia="zh-CN"/>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/h</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）；颗粒物产污系数</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1.19kg/t-产品，则</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产品分选废气中的产生量为2</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38</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t/a，打散和粉磨装置分别</w:t>
            </w:r>
            <w:r>
              <w:rPr>
                <w:rFonts w:hint="eastAsia" w:cs="Times New Roman"/>
                <w:b w:val="0"/>
                <w:bCs w:val="0"/>
                <w:color w:val="000000" w:themeColor="text1"/>
                <w:sz w:val="24"/>
                <w:highlight w:val="none"/>
                <w:lang w:val="en-US" w:eastAsia="zh-CN"/>
                <w14:textFill>
                  <w14:solidFill>
                    <w14:schemeClr w14:val="tx1"/>
                  </w14:solidFill>
                </w14:textFill>
              </w:rPr>
              <w:t>设置</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1台袋式除尘器，除尘器风量为1</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15</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00Nm</w:t>
            </w:r>
            <w:r>
              <w:rPr>
                <w:rFonts w:hint="default" w:ascii="Times New Roman" w:hAnsi="Times New Roman" w:eastAsia="宋体" w:cs="Times New Roman"/>
                <w:b w:val="0"/>
                <w:bCs w:val="0"/>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/h，除尘效率为99%，年运行时间</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48</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00h。</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袋式除尘器的除尘效率为99%，</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排放量为2</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.38</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t/a，排放浓度为</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86.22</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mg/Nm</w:t>
            </w:r>
            <w:r>
              <w:rPr>
                <w:rFonts w:hint="default" w:ascii="Times New Roman" w:hAnsi="Times New Roman" w:eastAsia="宋体" w:cs="Times New Roman"/>
                <w:b w:val="0"/>
                <w:bCs w:val="0"/>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w:t>
            </w:r>
          </w:p>
          <w:p w14:paraId="2E6A46D1">
            <w:pPr>
              <w:keepNext w:val="0"/>
              <w:keepLines w:val="0"/>
              <w:pageBreakBefore w:val="0"/>
              <w:widowControl w:val="0"/>
              <w:kinsoku/>
              <w:wordWrap/>
              <w:overflowPunct/>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仿宋" w:cs="Times New Roman"/>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14:textFill>
                  <w14:solidFill>
                    <w14:schemeClr w14:val="tx1"/>
                  </w14:solidFill>
                </w14:textFill>
              </w:rPr>
              <w:t>表</w:t>
            </w:r>
            <w:r>
              <w:rPr>
                <w:rFonts w:hint="default" w:ascii="Times New Roman" w:hAnsi="Times New Roman" w:eastAsia="宋体" w:cs="Times New Roman"/>
                <w:b/>
                <w:bCs/>
                <w:color w:val="000000" w:themeColor="text1"/>
                <w:kern w:val="2"/>
                <w:sz w:val="24"/>
                <w:szCs w:val="24"/>
                <w:highlight w:val="none"/>
                <w:lang w:val="en-US" w:eastAsia="zh-CN"/>
                <w14:textFill>
                  <w14:solidFill>
                    <w14:schemeClr w14:val="tx1"/>
                  </w14:solidFill>
                </w14:textFill>
              </w:rPr>
              <w:t>4-6</w:t>
            </w:r>
            <w:r>
              <w:rPr>
                <w:rFonts w:hint="default" w:ascii="Times New Roman" w:hAnsi="Times New Roman" w:cs="Times New Roman"/>
                <w:b/>
                <w:bCs/>
                <w:color w:val="000000" w:themeColor="text1"/>
                <w:kern w:val="2"/>
                <w:sz w:val="24"/>
                <w:szCs w:val="24"/>
                <w:highlight w:val="none"/>
                <w:lang w:val="en-US" w:eastAsia="zh-CN"/>
                <w14:textFill>
                  <w14:solidFill>
                    <w14:schemeClr w14:val="tx1"/>
                  </w14:solidFill>
                </w14:textFill>
              </w:rPr>
              <w:t>废气</w:t>
            </w:r>
            <w:r>
              <w:rPr>
                <w:rFonts w:hint="default" w:ascii="Times New Roman" w:hAnsi="Times New Roman" w:cs="Times New Roman"/>
                <w:b/>
                <w:bCs/>
                <w:color w:val="000000" w:themeColor="text1"/>
                <w:kern w:val="2"/>
                <w:sz w:val="24"/>
                <w:szCs w:val="24"/>
                <w:highlight w:val="none"/>
                <w14:textFill>
                  <w14:solidFill>
                    <w14:schemeClr w14:val="tx1"/>
                  </w14:solidFill>
                </w14:textFill>
              </w:rPr>
              <w:t>粉尘产排情况一览表</w:t>
            </w:r>
          </w:p>
          <w:tbl>
            <w:tblPr>
              <w:tblStyle w:val="24"/>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626"/>
              <w:gridCol w:w="923"/>
              <w:gridCol w:w="817"/>
              <w:gridCol w:w="1015"/>
              <w:gridCol w:w="1007"/>
              <w:gridCol w:w="809"/>
              <w:gridCol w:w="1164"/>
              <w:gridCol w:w="699"/>
              <w:gridCol w:w="880"/>
            </w:tblGrid>
            <w:tr w14:paraId="1655D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2" w:hRule="atLeast"/>
              </w:trPr>
              <w:tc>
                <w:tcPr>
                  <w:tcW w:w="394" w:type="pct"/>
                  <w:vMerge w:val="restart"/>
                  <w:noWrap w:val="0"/>
                  <w:vAlign w:val="center"/>
                </w:tcPr>
                <w:p w14:paraId="091A9DA0">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装置</w:t>
                  </w:r>
                </w:p>
              </w:tc>
              <w:tc>
                <w:tcPr>
                  <w:tcW w:w="581" w:type="pct"/>
                  <w:vMerge w:val="restart"/>
                  <w:noWrap w:val="0"/>
                  <w:vAlign w:val="center"/>
                </w:tcPr>
                <w:p w14:paraId="5254770E">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污染源</w:t>
                  </w:r>
                </w:p>
              </w:tc>
              <w:tc>
                <w:tcPr>
                  <w:tcW w:w="514" w:type="pct"/>
                  <w:vMerge w:val="restart"/>
                  <w:noWrap w:val="0"/>
                  <w:vAlign w:val="center"/>
                </w:tcPr>
                <w:p w14:paraId="157658FC">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w:t>
                  </w:r>
                </w:p>
              </w:tc>
              <w:tc>
                <w:tcPr>
                  <w:tcW w:w="639" w:type="pct"/>
                  <w:vMerge w:val="restart"/>
                  <w:noWrap w:val="0"/>
                  <w:vAlign w:val="center"/>
                </w:tcPr>
                <w:p w14:paraId="2D2FBEA4">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风机</w:t>
                  </w:r>
                </w:p>
                <w:p w14:paraId="484467B4">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风量</w:t>
                  </w:r>
                </w:p>
                <w:p w14:paraId="11DCC362">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lang w:eastAsia="zh-CN"/>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/h</w:t>
                  </w: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p>
              </w:tc>
              <w:tc>
                <w:tcPr>
                  <w:tcW w:w="634" w:type="pct"/>
                  <w:vMerge w:val="restart"/>
                  <w:noWrap w:val="0"/>
                  <w:vAlign w:val="center"/>
                </w:tcPr>
                <w:p w14:paraId="1C0F1AB5">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w:t>
                  </w:r>
                </w:p>
                <w:p w14:paraId="1EB8AB79">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产生</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量</w:t>
                  </w:r>
                </w:p>
                <w:p w14:paraId="209C3B64">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c>
                <w:tcPr>
                  <w:tcW w:w="506" w:type="pct"/>
                  <w:vMerge w:val="restart"/>
                  <w:noWrap w:val="0"/>
                  <w:vAlign w:val="center"/>
                </w:tcPr>
                <w:p w14:paraId="0C23E24E">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处理</w:t>
                  </w:r>
                </w:p>
                <w:p w14:paraId="5953C2E0">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效率</w:t>
                  </w:r>
                </w:p>
                <w:p w14:paraId="4BA17A4E">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1173" w:type="pct"/>
                  <w:gridSpan w:val="2"/>
                  <w:noWrap w:val="0"/>
                  <w:vAlign w:val="center"/>
                </w:tcPr>
                <w:p w14:paraId="57583565">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污染物排放</w:t>
                  </w:r>
                </w:p>
              </w:tc>
              <w:tc>
                <w:tcPr>
                  <w:tcW w:w="554" w:type="pct"/>
                  <w:vMerge w:val="restart"/>
                  <w:noWrap w:val="0"/>
                  <w:vAlign w:val="center"/>
                </w:tcPr>
                <w:p w14:paraId="669FF634">
                  <w:pPr>
                    <w:pStyle w:val="85"/>
                    <w:kinsoku w:val="0"/>
                    <w:overflowPunct w:val="0"/>
                    <w:snapToGrid w:val="0"/>
                    <w:jc w:val="cente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高度</w:t>
                  </w:r>
                </w:p>
                <w:p w14:paraId="1CC598D1">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(m)</w:t>
                  </w:r>
                </w:p>
              </w:tc>
            </w:tr>
            <w:tr w14:paraId="22544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9" w:hRule="atLeast"/>
              </w:trPr>
              <w:tc>
                <w:tcPr>
                  <w:tcW w:w="394" w:type="pct"/>
                  <w:vMerge w:val="continue"/>
                  <w:noWrap w:val="0"/>
                  <w:vAlign w:val="center"/>
                </w:tcPr>
                <w:p w14:paraId="33DE470C">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81" w:type="pct"/>
                  <w:vMerge w:val="continue"/>
                  <w:noWrap w:val="0"/>
                  <w:vAlign w:val="center"/>
                </w:tcPr>
                <w:p w14:paraId="6D054B1D">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14" w:type="pct"/>
                  <w:vMerge w:val="continue"/>
                  <w:noWrap w:val="0"/>
                  <w:vAlign w:val="center"/>
                </w:tcPr>
                <w:p w14:paraId="1E1DEF0C">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39" w:type="pct"/>
                  <w:vMerge w:val="continue"/>
                  <w:noWrap w:val="0"/>
                  <w:vAlign w:val="center"/>
                </w:tcPr>
                <w:p w14:paraId="14BE9130">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34" w:type="pct"/>
                  <w:vMerge w:val="continue"/>
                  <w:noWrap w:val="0"/>
                  <w:vAlign w:val="center"/>
                </w:tcPr>
                <w:p w14:paraId="681192FD">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06" w:type="pct"/>
                  <w:vMerge w:val="continue"/>
                  <w:noWrap w:val="0"/>
                  <w:vAlign w:val="center"/>
                </w:tcPr>
                <w:p w14:paraId="7558857F">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733" w:type="pct"/>
                  <w:noWrap w:val="0"/>
                  <w:vAlign w:val="center"/>
                </w:tcPr>
                <w:p w14:paraId="128F4A74">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排放浓度</w:t>
                  </w:r>
                </w:p>
                <w:p w14:paraId="4705A37B">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mg/</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lang w:eastAsia="zh-CN"/>
                      <w14:textFill>
                        <w14:solidFill>
                          <w14:schemeClr w14:val="tx1"/>
                        </w14:solidFill>
                      </w14:textFill>
                    </w:rPr>
                    <w:t>3</w:t>
                  </w:r>
                  <w:r>
                    <w:rPr>
                      <w:rFonts w:hint="eastAsia" w:ascii="Times New Roman" w:hAnsi="Times New Roman" w:cs="Times New Roman"/>
                      <w:b w:val="0"/>
                      <w:bCs w:val="0"/>
                      <w:color w:val="000000" w:themeColor="text1"/>
                      <w:sz w:val="21"/>
                      <w:szCs w:val="21"/>
                      <w:highlight w:val="none"/>
                      <w:vertAlign w:val="baseline"/>
                      <w:lang w:eastAsia="zh-CN"/>
                      <w14:textFill>
                        <w14:solidFill>
                          <w14:schemeClr w14:val="tx1"/>
                        </w14:solidFill>
                      </w14:textFill>
                    </w:rPr>
                    <w:t>)</w:t>
                  </w:r>
                </w:p>
              </w:tc>
              <w:tc>
                <w:tcPr>
                  <w:tcW w:w="440" w:type="pct"/>
                  <w:noWrap w:val="0"/>
                  <w:vAlign w:val="center"/>
                </w:tcPr>
                <w:p w14:paraId="08721BDD">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排放量</w:t>
                  </w:r>
                </w:p>
                <w:p w14:paraId="62808D7A">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c>
                <w:tcPr>
                  <w:tcW w:w="554" w:type="pct"/>
                  <w:vMerge w:val="continue"/>
                  <w:noWrap w:val="0"/>
                  <w:vAlign w:val="center"/>
                </w:tcPr>
                <w:p w14:paraId="3BDDE712">
                  <w:pPr>
                    <w:pStyle w:val="85"/>
                    <w:kinsoku w:val="0"/>
                    <w:overflowPunct w:val="0"/>
                    <w:snapToGrid w:val="0"/>
                    <w:jc w:val="cente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pPr>
                </w:p>
              </w:tc>
            </w:tr>
            <w:tr w14:paraId="1261A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trPr>
              <w:tc>
                <w:tcPr>
                  <w:tcW w:w="394" w:type="pct"/>
                  <w:noWrap w:val="0"/>
                  <w:vAlign w:val="center"/>
                </w:tcPr>
                <w:p w14:paraId="5B5B56CE">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粉磨</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机</w:t>
                  </w:r>
                </w:p>
              </w:tc>
              <w:tc>
                <w:tcPr>
                  <w:tcW w:w="581" w:type="pct"/>
                  <w:noWrap w:val="0"/>
                  <w:vAlign w:val="center"/>
                </w:tcPr>
                <w:p w14:paraId="5D3F2085">
                  <w:pPr>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DA00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8</w:t>
                  </w:r>
                </w:p>
              </w:tc>
              <w:tc>
                <w:tcPr>
                  <w:tcW w:w="514" w:type="pct"/>
                  <w:noWrap w:val="0"/>
                  <w:vAlign w:val="center"/>
                </w:tcPr>
                <w:p w14:paraId="33B03FD0">
                  <w:pPr>
                    <w:pStyle w:val="85"/>
                    <w:kinsoku w:val="0"/>
                    <w:overflowPunct w:val="0"/>
                    <w:snapToGrid w:val="0"/>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颗粒物</w:t>
                  </w:r>
                </w:p>
              </w:tc>
              <w:tc>
                <w:tcPr>
                  <w:tcW w:w="639" w:type="pct"/>
                  <w:noWrap w:val="0"/>
                  <w:vAlign w:val="center"/>
                </w:tcPr>
                <w:p w14:paraId="67DF9AAA">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115</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w:t>
                  </w:r>
                </w:p>
              </w:tc>
              <w:tc>
                <w:tcPr>
                  <w:tcW w:w="634" w:type="pct"/>
                  <w:noWrap w:val="0"/>
                  <w:vAlign w:val="center"/>
                </w:tcPr>
                <w:p w14:paraId="2D002EEB">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238</w:t>
                  </w:r>
                </w:p>
              </w:tc>
              <w:tc>
                <w:tcPr>
                  <w:tcW w:w="506" w:type="pct"/>
                  <w:noWrap w:val="0"/>
                  <w:vAlign w:val="center"/>
                </w:tcPr>
                <w:p w14:paraId="34DF6F2B">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99</w:t>
                  </w:r>
                </w:p>
              </w:tc>
              <w:tc>
                <w:tcPr>
                  <w:tcW w:w="733" w:type="pct"/>
                  <w:noWrap w:val="0"/>
                  <w:vAlign w:val="center"/>
                </w:tcPr>
                <w:p w14:paraId="47AE02E0">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4.31</w:t>
                  </w:r>
                </w:p>
              </w:tc>
              <w:tc>
                <w:tcPr>
                  <w:tcW w:w="440" w:type="pct"/>
                  <w:noWrap w:val="0"/>
                  <w:vAlign w:val="center"/>
                </w:tcPr>
                <w:p w14:paraId="6786AEBB">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i w:val="0"/>
                      <w:color w:val="000000" w:themeColor="text1"/>
                      <w:kern w:val="0"/>
                      <w:sz w:val="21"/>
                      <w:szCs w:val="21"/>
                      <w:highlight w:val="none"/>
                      <w:u w:val="none"/>
                      <w:lang w:val="en-US" w:eastAsia="zh-CN" w:bidi="ar"/>
                      <w14:textFill>
                        <w14:solidFill>
                          <w14:schemeClr w14:val="tx1"/>
                        </w14:solidFill>
                      </w14:textFill>
                    </w:rPr>
                    <w:t>2.38</w:t>
                  </w:r>
                </w:p>
              </w:tc>
              <w:tc>
                <w:tcPr>
                  <w:tcW w:w="554" w:type="pct"/>
                  <w:noWrap w:val="0"/>
                  <w:vAlign w:val="center"/>
                </w:tcPr>
                <w:p w14:paraId="7B7F67F7">
                  <w:pPr>
                    <w:keepNext w:val="0"/>
                    <w:keepLines w:val="0"/>
                    <w:widowControl/>
                    <w:suppressLineNumbers w:val="0"/>
                    <w:jc w:val="center"/>
                    <w:textAlignment w:val="center"/>
                    <w:rPr>
                      <w:rFonts w:hint="default" w:ascii="Times New Roman" w:hAnsi="Times New Roman"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30</w:t>
                  </w:r>
                </w:p>
              </w:tc>
            </w:tr>
            <w:tr w14:paraId="5CE717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5" w:hRule="atLeast"/>
              </w:trPr>
              <w:tc>
                <w:tcPr>
                  <w:tcW w:w="3271" w:type="pct"/>
                  <w:gridSpan w:val="6"/>
                  <w:noWrap w:val="0"/>
                  <w:vAlign w:val="center"/>
                </w:tcPr>
                <w:p w14:paraId="00B43D90">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排放</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限值</w:t>
                  </w:r>
                </w:p>
              </w:tc>
              <w:tc>
                <w:tcPr>
                  <w:tcW w:w="733" w:type="pct"/>
                  <w:noWrap w:val="0"/>
                  <w:vAlign w:val="center"/>
                </w:tcPr>
                <w:p w14:paraId="0E202B45">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20</w:t>
                  </w:r>
                </w:p>
              </w:tc>
              <w:tc>
                <w:tcPr>
                  <w:tcW w:w="440" w:type="pct"/>
                  <w:noWrap w:val="0"/>
                  <w:vAlign w:val="center"/>
                </w:tcPr>
                <w:p w14:paraId="2EDD7A21">
                  <w:pPr>
                    <w:pStyle w:val="85"/>
                    <w:kinsoku w:val="0"/>
                    <w:overflowPunct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554" w:type="pct"/>
                  <w:noWrap w:val="0"/>
                  <w:vAlign w:val="center"/>
                </w:tcPr>
                <w:p w14:paraId="40586F26">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r>
            <w:tr w14:paraId="71CF2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5" w:hRule="atLeast"/>
              </w:trPr>
              <w:tc>
                <w:tcPr>
                  <w:tcW w:w="3271" w:type="pct"/>
                  <w:gridSpan w:val="6"/>
                  <w:noWrap w:val="0"/>
                  <w:vAlign w:val="center"/>
                </w:tcPr>
                <w:p w14:paraId="317EE754">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达标情况</w:t>
                  </w:r>
                </w:p>
              </w:tc>
              <w:tc>
                <w:tcPr>
                  <w:tcW w:w="733" w:type="pct"/>
                  <w:noWrap w:val="0"/>
                  <w:vAlign w:val="center"/>
                </w:tcPr>
                <w:p w14:paraId="16C99736">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达标</w:t>
                  </w:r>
                </w:p>
              </w:tc>
              <w:tc>
                <w:tcPr>
                  <w:tcW w:w="440" w:type="pct"/>
                  <w:noWrap w:val="0"/>
                  <w:vAlign w:val="center"/>
                </w:tcPr>
                <w:p w14:paraId="3CE38457">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554" w:type="pct"/>
                  <w:noWrap w:val="0"/>
                  <w:vAlign w:val="center"/>
                </w:tcPr>
                <w:p w14:paraId="1B7D9E9D">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r>
          </w:tbl>
          <w:p w14:paraId="45904FF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仿宋" w:cs="Times New Roman"/>
                <w:color w:val="000000" w:themeColor="text1"/>
                <w:sz w:val="24"/>
                <w:highlight w:val="none"/>
                <w:lang w:val="en-US" w:eastAsia="zh-CN"/>
                <w14:textFill>
                  <w14:solidFill>
                    <w14:schemeClr w14:val="tx1"/>
                  </w14:solidFill>
                </w14:textFill>
              </w:rPr>
              <w:t>7</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）成品输送</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储存</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废气</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（G1-</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10</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、G1-</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11</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、G1-</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12</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和不合格品（黄料）输送</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储存</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废气</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（G1-</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9</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w:t>
            </w:r>
          </w:p>
          <w:p w14:paraId="27F209F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成品输送</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存储</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粉尘</w:t>
            </w:r>
            <w:r>
              <w:rPr>
                <w:rFonts w:hint="eastAsia" w:cs="Times New Roman"/>
                <w:color w:val="000000" w:themeColor="text1"/>
                <w:sz w:val="24"/>
                <w:highlight w:val="none"/>
                <w:lang w:val="en-US" w:eastAsia="zh-CN"/>
                <w14:textFill>
                  <w14:solidFill>
                    <w14:schemeClr w14:val="tx1"/>
                  </w14:solidFill>
                </w14:textFill>
              </w:rPr>
              <w:t>和不合格品存储粉尘</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参照《3021、3022、3029水泥制品制造行业系数手册（含3022砼结构构件、3029其他水泥类似制品制造）行业》中混凝土制品</w:t>
            </w:r>
            <w:r>
              <w:rPr>
                <w:rFonts w:hint="eastAsia" w:cs="Times New Roman"/>
                <w:color w:val="000000" w:themeColor="text1"/>
                <w:sz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的物料输送储存源强产污系数为0.12kg/t-产品，本项目输送皮带封闭处理，合计颗粒物产生量24t/a。粉尘配置1台袋式除尘器，除尘器风量为1000</w:t>
            </w:r>
            <w:r>
              <w:rPr>
                <w:rFonts w:hint="eastAsia" w:cs="Times New Roman"/>
                <w:color w:val="000000" w:themeColor="text1"/>
                <w:sz w:val="24"/>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Nm</w:t>
            </w:r>
            <w:r>
              <w:rPr>
                <w:rFonts w:hint="default"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/h，除尘效率为99%，年运行时间为2400h。大、小包装工序设置集气罩收集，排气进入成品库库顶除尘装置，由成品料顶的3个收尘器排气筒排出。</w:t>
            </w:r>
          </w:p>
          <w:p w14:paraId="6395945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cs="Times New Roman"/>
                <w:color w:val="000000" w:themeColor="text1"/>
                <w:sz w:val="24"/>
                <w:highlight w:val="none"/>
                <w:lang w:val="en-US" w:eastAsia="zh-CN"/>
                <w14:textFill>
                  <w14:solidFill>
                    <w14:schemeClr w14:val="tx1"/>
                  </w14:solidFill>
                </w14:textFill>
              </w:rPr>
              <w:t>2个</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成品筒仓</w:t>
            </w:r>
            <w:r>
              <w:rPr>
                <w:rFonts w:hint="default" w:ascii="Times New Roman" w:hAnsi="Times New Roman" w:cs="Times New Roman"/>
                <w:color w:val="000000" w:themeColor="text1"/>
                <w:sz w:val="24"/>
                <w:highlight w:val="none"/>
                <w:lang w:val="en-US" w:eastAsia="zh-CN"/>
                <w14:textFill>
                  <w14:solidFill>
                    <w14:schemeClr w14:val="tx1"/>
                  </w14:solidFill>
                </w14:textFill>
              </w:rPr>
              <w:t>1组，单独一个</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成品筒仓</w:t>
            </w:r>
            <w:r>
              <w:rPr>
                <w:rFonts w:hint="default" w:ascii="Times New Roman" w:hAnsi="Times New Roman" w:cs="Times New Roman"/>
                <w:color w:val="000000" w:themeColor="text1"/>
                <w:sz w:val="24"/>
                <w:highlight w:val="none"/>
                <w:lang w:val="en-US" w:eastAsia="zh-CN"/>
                <w14:textFill>
                  <w14:solidFill>
                    <w14:schemeClr w14:val="tx1"/>
                  </w14:solidFill>
                </w14:textFill>
              </w:rPr>
              <w:t>1组</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和2个黄料筒仓粉尘分别配置1台袋式除尘器，除尘器风量为10000Nm</w:t>
            </w:r>
            <w:r>
              <w:rPr>
                <w:rFonts w:hint="default"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/h，除尘效率为99%，年运行时间为2400h。</w:t>
            </w:r>
          </w:p>
          <w:p w14:paraId="675B135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cs="Times New Roman"/>
                <w:color w:val="000000" w:themeColor="text1"/>
                <w:sz w:val="24"/>
                <w:highlight w:val="none"/>
                <w:lang w:val="en-US" w:eastAsia="zh-CN"/>
                <w14:textFill>
                  <w14:solidFill>
                    <w14:schemeClr w14:val="tx1"/>
                  </w14:solidFill>
                </w14:textFill>
              </w:rPr>
              <w:t>2个</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成品筒仓</w:t>
            </w:r>
            <w:r>
              <w:rPr>
                <w:rFonts w:hint="default" w:ascii="Times New Roman" w:hAnsi="Times New Roman" w:cs="Times New Roman"/>
                <w:color w:val="000000" w:themeColor="text1"/>
                <w:sz w:val="24"/>
                <w:highlight w:val="none"/>
                <w:lang w:val="en-US" w:eastAsia="zh-CN"/>
                <w14:textFill>
                  <w14:solidFill>
                    <w14:schemeClr w14:val="tx1"/>
                  </w14:solidFill>
                </w14:textFill>
              </w:rPr>
              <w:t>1组，单独一个</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成品筒仓</w:t>
            </w:r>
            <w:r>
              <w:rPr>
                <w:rFonts w:hint="default" w:ascii="Times New Roman" w:hAnsi="Times New Roman" w:cs="Times New Roman"/>
                <w:color w:val="000000" w:themeColor="text1"/>
                <w:sz w:val="24"/>
                <w:highlight w:val="none"/>
                <w:lang w:val="en-US" w:eastAsia="zh-CN"/>
                <w14:textFill>
                  <w14:solidFill>
                    <w14:schemeClr w14:val="tx1"/>
                  </w14:solidFill>
                </w14:textFill>
              </w:rPr>
              <w:t>1组</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和2个黄料筒仓粉尘中颗粒物产生量为</w:t>
            </w:r>
            <w:r>
              <w:rPr>
                <w:rFonts w:hint="default" w:ascii="Times New Roman" w:hAnsi="Times New Roman" w:cs="Times New Roman"/>
                <w:color w:val="000000" w:themeColor="text1"/>
                <w:sz w:val="24"/>
                <w:highlight w:val="none"/>
                <w:lang w:val="en-US" w:eastAsia="zh-CN"/>
                <w14:textFill>
                  <w14:solidFill>
                    <w14:schemeClr w14:val="tx1"/>
                  </w14:solidFill>
                </w14:textFill>
              </w:rPr>
              <w:t>19.2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t/a和</w:t>
            </w:r>
            <w:r>
              <w:rPr>
                <w:rFonts w:hint="eastAsia" w:cs="Times New Roman"/>
                <w:color w:val="000000" w:themeColor="text1"/>
                <w:sz w:val="24"/>
                <w:highlight w:val="none"/>
                <w:lang w:val="en-US" w:eastAsia="zh-CN"/>
                <w14:textFill>
                  <w14:solidFill>
                    <w14:schemeClr w14:val="tx1"/>
                  </w14:solidFill>
                </w14:textFill>
              </w:rPr>
              <w:t>1.26</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t/a，袋式除尘器的除尘效率为99%，则排放量为0.</w:t>
            </w:r>
            <w:r>
              <w:rPr>
                <w:rFonts w:hint="default" w:ascii="Times New Roman" w:hAnsi="Times New Roman" w:cs="Times New Roman"/>
                <w:color w:val="000000" w:themeColor="text1"/>
                <w:sz w:val="24"/>
                <w:highlight w:val="none"/>
                <w:lang w:val="en-US" w:eastAsia="zh-CN"/>
                <w14:textFill>
                  <w14:solidFill>
                    <w14:schemeClr w14:val="tx1"/>
                  </w14:solidFill>
                </w14:textFill>
              </w:rPr>
              <w:t>096</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t/a</w:t>
            </w:r>
            <w:r>
              <w:rPr>
                <w:rFonts w:hint="default" w:ascii="Times New Roman" w:hAnsi="Times New Roman"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0.</w:t>
            </w:r>
            <w:r>
              <w:rPr>
                <w:rFonts w:hint="default" w:ascii="Times New Roman" w:hAnsi="Times New Roman" w:cs="Times New Roman"/>
                <w:color w:val="000000" w:themeColor="text1"/>
                <w:sz w:val="24"/>
                <w:highlight w:val="none"/>
                <w:lang w:val="en-US" w:eastAsia="zh-CN"/>
                <w14:textFill>
                  <w14:solidFill>
                    <w14:schemeClr w14:val="tx1"/>
                  </w14:solidFill>
                </w14:textFill>
              </w:rPr>
              <w:t>096</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t/a和0.0</w:t>
            </w:r>
            <w:r>
              <w:rPr>
                <w:rFonts w:hint="default" w:ascii="Times New Roman" w:hAnsi="Times New Roman" w:cs="Times New Roman"/>
                <w:color w:val="000000" w:themeColor="text1"/>
                <w:sz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t/a。</w:t>
            </w:r>
          </w:p>
          <w:p w14:paraId="55329A23">
            <w:pPr>
              <w:keepNext w:val="0"/>
              <w:keepLines w:val="0"/>
              <w:pageBreakBefore w:val="0"/>
              <w:widowControl w:val="0"/>
              <w:kinsoku/>
              <w:wordWrap/>
              <w:overflowPunct/>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仿宋" w:cs="Times New Roman"/>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14:textFill>
                  <w14:solidFill>
                    <w14:schemeClr w14:val="tx1"/>
                  </w14:solidFill>
                </w14:textFill>
              </w:rPr>
              <w:t>表</w:t>
            </w:r>
            <w:r>
              <w:rPr>
                <w:rFonts w:hint="default" w:ascii="Times New Roman" w:hAnsi="Times New Roman" w:eastAsia="宋体" w:cs="Times New Roman"/>
                <w:b/>
                <w:bCs/>
                <w:color w:val="000000" w:themeColor="text1"/>
                <w:kern w:val="2"/>
                <w:sz w:val="24"/>
                <w:szCs w:val="24"/>
                <w:highlight w:val="none"/>
                <w:lang w:val="en-US" w:eastAsia="zh-CN"/>
                <w14:textFill>
                  <w14:solidFill>
                    <w14:schemeClr w14:val="tx1"/>
                  </w14:solidFill>
                </w14:textFill>
              </w:rPr>
              <w:t>4-7成品仓</w:t>
            </w:r>
            <w:r>
              <w:rPr>
                <w:rFonts w:hint="default" w:ascii="Times New Roman" w:hAnsi="Times New Roman" w:cs="Times New Roman"/>
                <w:b/>
                <w:bCs/>
                <w:color w:val="000000" w:themeColor="text1"/>
                <w:kern w:val="2"/>
                <w:sz w:val="24"/>
                <w:szCs w:val="24"/>
                <w:highlight w:val="none"/>
                <w:lang w:val="en-US" w:eastAsia="zh-CN"/>
                <w14:textFill>
                  <w14:solidFill>
                    <w14:schemeClr w14:val="tx1"/>
                  </w14:solidFill>
                </w14:textFill>
              </w:rPr>
              <w:t>废气</w:t>
            </w:r>
            <w:r>
              <w:rPr>
                <w:rFonts w:hint="default" w:ascii="Times New Roman" w:hAnsi="Times New Roman" w:cs="Times New Roman"/>
                <w:b/>
                <w:bCs/>
                <w:color w:val="000000" w:themeColor="text1"/>
                <w:kern w:val="2"/>
                <w:sz w:val="24"/>
                <w:szCs w:val="24"/>
                <w:highlight w:val="none"/>
                <w14:textFill>
                  <w14:solidFill>
                    <w14:schemeClr w14:val="tx1"/>
                  </w14:solidFill>
                </w14:textFill>
              </w:rPr>
              <w:t>粉尘产排情况一览表</w:t>
            </w:r>
          </w:p>
          <w:tbl>
            <w:tblPr>
              <w:tblStyle w:val="24"/>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044"/>
              <w:gridCol w:w="799"/>
              <w:gridCol w:w="799"/>
              <w:gridCol w:w="1045"/>
              <w:gridCol w:w="799"/>
              <w:gridCol w:w="564"/>
              <w:gridCol w:w="1290"/>
              <w:gridCol w:w="799"/>
              <w:gridCol w:w="801"/>
            </w:tblGrid>
            <w:tr w14:paraId="3CEB4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658" w:type="pct"/>
                  <w:vMerge w:val="restart"/>
                  <w:noWrap w:val="0"/>
                  <w:vAlign w:val="center"/>
                </w:tcPr>
                <w:p w14:paraId="791BC98C">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装置</w:t>
                  </w:r>
                </w:p>
              </w:tc>
              <w:tc>
                <w:tcPr>
                  <w:tcW w:w="503" w:type="pct"/>
                  <w:vMerge w:val="restart"/>
                  <w:noWrap w:val="0"/>
                  <w:vAlign w:val="center"/>
                </w:tcPr>
                <w:p w14:paraId="24751459">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污染源</w:t>
                  </w:r>
                </w:p>
              </w:tc>
              <w:tc>
                <w:tcPr>
                  <w:tcW w:w="503" w:type="pct"/>
                  <w:vMerge w:val="restart"/>
                  <w:noWrap w:val="0"/>
                  <w:vAlign w:val="center"/>
                </w:tcPr>
                <w:p w14:paraId="5D09AF48">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w:t>
                  </w:r>
                </w:p>
              </w:tc>
              <w:tc>
                <w:tcPr>
                  <w:tcW w:w="658" w:type="pct"/>
                  <w:vMerge w:val="restart"/>
                  <w:noWrap w:val="0"/>
                  <w:vAlign w:val="center"/>
                </w:tcPr>
                <w:p w14:paraId="46443672">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风机风量</w:t>
                  </w:r>
                </w:p>
                <w:p w14:paraId="532DB116">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lang w:eastAsia="zh-CN"/>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/h</w:t>
                  </w: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p>
              </w:tc>
              <w:tc>
                <w:tcPr>
                  <w:tcW w:w="503" w:type="pct"/>
                  <w:vMerge w:val="restart"/>
                  <w:noWrap w:val="0"/>
                  <w:vAlign w:val="center"/>
                </w:tcPr>
                <w:p w14:paraId="33989D8B">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w:t>
                  </w:r>
                </w:p>
                <w:p w14:paraId="7CB8993F">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产生</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量</w:t>
                  </w:r>
                </w:p>
                <w:p w14:paraId="5778CEFB">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c>
                <w:tcPr>
                  <w:tcW w:w="353" w:type="pct"/>
                  <w:vMerge w:val="restart"/>
                  <w:noWrap w:val="0"/>
                  <w:vAlign w:val="center"/>
                </w:tcPr>
                <w:p w14:paraId="731B917C">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处理</w:t>
                  </w:r>
                </w:p>
                <w:p w14:paraId="432C1E97">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效率</w:t>
                  </w:r>
                </w:p>
                <w:p w14:paraId="6B6A33B5">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1315" w:type="pct"/>
                  <w:gridSpan w:val="2"/>
                  <w:noWrap w:val="0"/>
                  <w:vAlign w:val="center"/>
                </w:tcPr>
                <w:p w14:paraId="234D88A5">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污染物排放</w:t>
                  </w:r>
                </w:p>
              </w:tc>
              <w:tc>
                <w:tcPr>
                  <w:tcW w:w="504" w:type="pct"/>
                  <w:vMerge w:val="restart"/>
                  <w:noWrap w:val="0"/>
                  <w:vAlign w:val="center"/>
                </w:tcPr>
                <w:p w14:paraId="6736D6AC">
                  <w:pPr>
                    <w:pStyle w:val="85"/>
                    <w:kinsoku w:val="0"/>
                    <w:overflowPunct w:val="0"/>
                    <w:snapToGrid w:val="0"/>
                    <w:jc w:val="cente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高度</w:t>
                  </w:r>
                </w:p>
                <w:p w14:paraId="04349AC7">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(m)</w:t>
                  </w:r>
                </w:p>
              </w:tc>
            </w:tr>
            <w:tr w14:paraId="76982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658" w:type="pct"/>
                  <w:vMerge w:val="continue"/>
                  <w:noWrap w:val="0"/>
                  <w:vAlign w:val="center"/>
                </w:tcPr>
                <w:p w14:paraId="2A1B033E">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03" w:type="pct"/>
                  <w:vMerge w:val="continue"/>
                  <w:noWrap w:val="0"/>
                  <w:vAlign w:val="center"/>
                </w:tcPr>
                <w:p w14:paraId="0F229DE6">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03" w:type="pct"/>
                  <w:vMerge w:val="continue"/>
                  <w:noWrap w:val="0"/>
                  <w:vAlign w:val="center"/>
                </w:tcPr>
                <w:p w14:paraId="17F1EA9F">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58" w:type="pct"/>
                  <w:vMerge w:val="continue"/>
                  <w:noWrap w:val="0"/>
                  <w:vAlign w:val="center"/>
                </w:tcPr>
                <w:p w14:paraId="78AD8490">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03" w:type="pct"/>
                  <w:vMerge w:val="continue"/>
                  <w:noWrap w:val="0"/>
                  <w:vAlign w:val="center"/>
                </w:tcPr>
                <w:p w14:paraId="4613D25A">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353" w:type="pct"/>
                  <w:vMerge w:val="continue"/>
                  <w:noWrap w:val="0"/>
                  <w:vAlign w:val="center"/>
                </w:tcPr>
                <w:p w14:paraId="1C4BCBD8">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812" w:type="pct"/>
                  <w:noWrap w:val="0"/>
                  <w:vAlign w:val="center"/>
                </w:tcPr>
                <w:p w14:paraId="3909085A">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排放浓度</w:t>
                  </w:r>
                </w:p>
                <w:p w14:paraId="74CDA024">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mg/</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lang w:eastAsia="zh-CN"/>
                      <w14:textFill>
                        <w14:solidFill>
                          <w14:schemeClr w14:val="tx1"/>
                        </w14:solidFill>
                      </w14:textFill>
                    </w:rPr>
                    <w:t>3</w:t>
                  </w:r>
                  <w:r>
                    <w:rPr>
                      <w:rFonts w:hint="eastAsia" w:ascii="Times New Roman" w:hAnsi="Times New Roman" w:cs="Times New Roman"/>
                      <w:b w:val="0"/>
                      <w:bCs w:val="0"/>
                      <w:color w:val="000000" w:themeColor="text1"/>
                      <w:sz w:val="21"/>
                      <w:szCs w:val="21"/>
                      <w:highlight w:val="none"/>
                      <w:vertAlign w:val="baseline"/>
                      <w:lang w:eastAsia="zh-CN"/>
                      <w14:textFill>
                        <w14:solidFill>
                          <w14:schemeClr w14:val="tx1"/>
                        </w14:solidFill>
                      </w14:textFill>
                    </w:rPr>
                    <w:t>)</w:t>
                  </w:r>
                </w:p>
              </w:tc>
              <w:tc>
                <w:tcPr>
                  <w:tcW w:w="503" w:type="pct"/>
                  <w:noWrap w:val="0"/>
                  <w:vAlign w:val="center"/>
                </w:tcPr>
                <w:p w14:paraId="0B22F883">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排放量</w:t>
                  </w:r>
                </w:p>
                <w:p w14:paraId="35E4EB5F">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c>
                <w:tcPr>
                  <w:tcW w:w="504" w:type="pct"/>
                  <w:vMerge w:val="continue"/>
                  <w:noWrap w:val="0"/>
                  <w:vAlign w:val="center"/>
                </w:tcPr>
                <w:p w14:paraId="653672C7">
                  <w:pPr>
                    <w:pStyle w:val="85"/>
                    <w:kinsoku w:val="0"/>
                    <w:overflowPunct w:val="0"/>
                    <w:snapToGrid w:val="0"/>
                    <w:jc w:val="cente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pPr>
                </w:p>
              </w:tc>
            </w:tr>
            <w:tr w14:paraId="347B0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658" w:type="pct"/>
                  <w:noWrap w:val="0"/>
                  <w:vAlign w:val="center"/>
                </w:tcPr>
                <w:p w14:paraId="0BF384AC">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成品仓顶</w:t>
                  </w:r>
                </w:p>
              </w:tc>
              <w:tc>
                <w:tcPr>
                  <w:tcW w:w="503" w:type="pct"/>
                  <w:noWrap w:val="0"/>
                  <w:vAlign w:val="center"/>
                </w:tcPr>
                <w:p w14:paraId="28E9C925">
                  <w:pPr>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DA00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9</w:t>
                  </w:r>
                </w:p>
              </w:tc>
              <w:tc>
                <w:tcPr>
                  <w:tcW w:w="503" w:type="pct"/>
                  <w:noWrap w:val="0"/>
                  <w:vAlign w:val="center"/>
                </w:tcPr>
                <w:p w14:paraId="647675DF">
                  <w:pPr>
                    <w:pStyle w:val="85"/>
                    <w:kinsoku w:val="0"/>
                    <w:overflowPunct w:val="0"/>
                    <w:snapToGrid w:val="0"/>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颗粒物</w:t>
                  </w:r>
                </w:p>
              </w:tc>
              <w:tc>
                <w:tcPr>
                  <w:tcW w:w="658" w:type="pct"/>
                  <w:noWrap w:val="0"/>
                  <w:vAlign w:val="center"/>
                </w:tcPr>
                <w:p w14:paraId="76970E6C">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10000</w:t>
                  </w:r>
                </w:p>
              </w:tc>
              <w:tc>
                <w:tcPr>
                  <w:tcW w:w="503" w:type="pct"/>
                  <w:noWrap w:val="0"/>
                  <w:vAlign w:val="center"/>
                </w:tcPr>
                <w:p w14:paraId="3D1AD91B">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9.6</w:t>
                  </w:r>
                </w:p>
              </w:tc>
              <w:tc>
                <w:tcPr>
                  <w:tcW w:w="353" w:type="pct"/>
                  <w:noWrap w:val="0"/>
                  <w:vAlign w:val="center"/>
                </w:tcPr>
                <w:p w14:paraId="182E8963">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99</w:t>
                  </w:r>
                </w:p>
              </w:tc>
              <w:tc>
                <w:tcPr>
                  <w:tcW w:w="812" w:type="pct"/>
                  <w:noWrap w:val="0"/>
                  <w:vAlign w:val="center"/>
                </w:tcPr>
                <w:p w14:paraId="6694E3D6">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4</w:t>
                  </w:r>
                </w:p>
              </w:tc>
              <w:tc>
                <w:tcPr>
                  <w:tcW w:w="503" w:type="pct"/>
                  <w:noWrap w:val="0"/>
                  <w:vAlign w:val="center"/>
                </w:tcPr>
                <w:p w14:paraId="21534DA5">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w:t>
                  </w:r>
                  <w:r>
                    <w:rPr>
                      <w:rFonts w:hint="default" w:ascii="Times New Roman" w:hAnsi="Times New Roman" w:cs="Times New Roman"/>
                      <w:i w:val="0"/>
                      <w:color w:val="000000" w:themeColor="text1"/>
                      <w:kern w:val="0"/>
                      <w:sz w:val="21"/>
                      <w:szCs w:val="21"/>
                      <w:highlight w:val="none"/>
                      <w:u w:val="none"/>
                      <w:lang w:val="en-US" w:eastAsia="zh-CN" w:bidi="ar"/>
                      <w14:textFill>
                        <w14:solidFill>
                          <w14:schemeClr w14:val="tx1"/>
                        </w14:solidFill>
                      </w14:textFill>
                    </w:rPr>
                    <w:t>096</w:t>
                  </w:r>
                </w:p>
              </w:tc>
              <w:tc>
                <w:tcPr>
                  <w:tcW w:w="504" w:type="pct"/>
                  <w:noWrap w:val="0"/>
                  <w:vAlign w:val="center"/>
                </w:tcPr>
                <w:p w14:paraId="7DA15F2A">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50</w:t>
                  </w:r>
                </w:p>
              </w:tc>
            </w:tr>
            <w:tr w14:paraId="7DF29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658" w:type="pct"/>
                  <w:noWrap w:val="0"/>
                  <w:vAlign w:val="center"/>
                </w:tcPr>
                <w:p w14:paraId="4C057958">
                  <w:pPr>
                    <w:pStyle w:val="85"/>
                    <w:kinsoku w:val="0"/>
                    <w:overflowPunct w:val="0"/>
                    <w:snapToGrid w:val="0"/>
                    <w:ind w:firstLine="0" w:firstLineChars="0"/>
                    <w:jc w:val="center"/>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成品仓顶</w:t>
                  </w:r>
                </w:p>
              </w:tc>
              <w:tc>
                <w:tcPr>
                  <w:tcW w:w="503" w:type="pct"/>
                  <w:noWrap w:val="0"/>
                  <w:vAlign w:val="center"/>
                </w:tcPr>
                <w:p w14:paraId="16A2F1D2">
                  <w:pPr>
                    <w:kinsoku w:val="0"/>
                    <w:overflowPunct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DA0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10</w:t>
                  </w:r>
                </w:p>
              </w:tc>
              <w:tc>
                <w:tcPr>
                  <w:tcW w:w="503" w:type="pct"/>
                  <w:noWrap w:val="0"/>
                  <w:vAlign w:val="center"/>
                </w:tcPr>
                <w:p w14:paraId="19D6265A">
                  <w:pPr>
                    <w:pStyle w:val="85"/>
                    <w:kinsoku w:val="0"/>
                    <w:overflowPunct w:val="0"/>
                    <w:snapToGrid w:val="0"/>
                    <w:ind w:firstLine="0" w:firstLineChars="0"/>
                    <w:jc w:val="both"/>
                    <w:rPr>
                      <w:rFonts w:hint="default" w:ascii="Times New Roman" w:hAnsi="Times New Roman" w:eastAsia="宋体" w:cs="Times New Roman"/>
                      <w:color w:val="000000" w:themeColor="text1"/>
                      <w:kern w:val="0"/>
                      <w:sz w:val="21"/>
                      <w:szCs w:val="21"/>
                      <w:highlight w:val="none"/>
                      <w:lang w:val="en-US" w:eastAsia="en-US"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颗粒物</w:t>
                  </w:r>
                </w:p>
              </w:tc>
              <w:tc>
                <w:tcPr>
                  <w:tcW w:w="658" w:type="pct"/>
                  <w:noWrap w:val="0"/>
                  <w:vAlign w:val="center"/>
                </w:tcPr>
                <w:p w14:paraId="00CD4457">
                  <w:pPr>
                    <w:pStyle w:val="85"/>
                    <w:kinsoku w:val="0"/>
                    <w:overflowPunct w:val="0"/>
                    <w:snapToGrid w:val="0"/>
                    <w:ind w:firstLine="0" w:firstLineChars="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10000</w:t>
                  </w:r>
                </w:p>
              </w:tc>
              <w:tc>
                <w:tcPr>
                  <w:tcW w:w="503" w:type="pct"/>
                  <w:noWrap w:val="0"/>
                  <w:vAlign w:val="center"/>
                </w:tcPr>
                <w:p w14:paraId="4B0B4E5F">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9.6</w:t>
                  </w:r>
                </w:p>
              </w:tc>
              <w:tc>
                <w:tcPr>
                  <w:tcW w:w="353" w:type="pct"/>
                  <w:noWrap w:val="0"/>
                  <w:vAlign w:val="center"/>
                </w:tcPr>
                <w:p w14:paraId="16CAE47B">
                  <w:pPr>
                    <w:kinsoku w:val="0"/>
                    <w:overflowPunct w:val="0"/>
                    <w:snapToGrid w:val="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99</w:t>
                  </w:r>
                </w:p>
              </w:tc>
              <w:tc>
                <w:tcPr>
                  <w:tcW w:w="812" w:type="pct"/>
                  <w:noWrap w:val="0"/>
                  <w:vAlign w:val="center"/>
                </w:tcPr>
                <w:p w14:paraId="3D0EEFC8">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4</w:t>
                  </w:r>
                </w:p>
              </w:tc>
              <w:tc>
                <w:tcPr>
                  <w:tcW w:w="503" w:type="pct"/>
                  <w:noWrap w:val="0"/>
                  <w:vAlign w:val="center"/>
                </w:tcPr>
                <w:p w14:paraId="4240F9C3">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w:t>
                  </w:r>
                  <w:r>
                    <w:rPr>
                      <w:rFonts w:hint="default" w:ascii="Times New Roman" w:hAnsi="Times New Roman" w:cs="Times New Roman"/>
                      <w:i w:val="0"/>
                      <w:color w:val="000000" w:themeColor="text1"/>
                      <w:kern w:val="0"/>
                      <w:sz w:val="21"/>
                      <w:szCs w:val="21"/>
                      <w:highlight w:val="none"/>
                      <w:u w:val="none"/>
                      <w:lang w:val="en-US" w:eastAsia="zh-CN" w:bidi="ar"/>
                      <w14:textFill>
                        <w14:solidFill>
                          <w14:schemeClr w14:val="tx1"/>
                        </w14:solidFill>
                      </w14:textFill>
                    </w:rPr>
                    <w:t>096</w:t>
                  </w:r>
                </w:p>
              </w:tc>
              <w:tc>
                <w:tcPr>
                  <w:tcW w:w="504" w:type="pct"/>
                  <w:noWrap w:val="0"/>
                  <w:vAlign w:val="center"/>
                </w:tcPr>
                <w:p w14:paraId="67B71E4B">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50</w:t>
                  </w:r>
                </w:p>
              </w:tc>
            </w:tr>
            <w:tr w14:paraId="0E994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3180" w:type="pct"/>
                  <w:gridSpan w:val="6"/>
                  <w:shd w:val="clear" w:color="auto" w:fill="auto"/>
                  <w:noWrap w:val="0"/>
                  <w:vAlign w:val="center"/>
                </w:tcPr>
                <w:p w14:paraId="17C65A59">
                  <w:pPr>
                    <w:pStyle w:val="85"/>
                    <w:kinsoku w:val="0"/>
                    <w:overflowPunct w:val="0"/>
                    <w:snapToGrid w:val="0"/>
                    <w:ind w:firstLine="0" w:firstLineChars="0"/>
                    <w:jc w:val="center"/>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排放</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限值</w:t>
                  </w:r>
                </w:p>
              </w:tc>
              <w:tc>
                <w:tcPr>
                  <w:tcW w:w="812" w:type="pct"/>
                  <w:shd w:val="clear" w:color="auto" w:fill="auto"/>
                  <w:noWrap w:val="0"/>
                  <w:vAlign w:val="center"/>
                </w:tcPr>
                <w:p w14:paraId="34E197B6">
                  <w:pPr>
                    <w:pStyle w:val="85"/>
                    <w:kinsoku w:val="0"/>
                    <w:overflowPunct w:val="0"/>
                    <w:snapToGrid w:val="0"/>
                    <w:ind w:firstLine="0" w:firstLineChars="0"/>
                    <w:jc w:val="center"/>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20</w:t>
                  </w:r>
                </w:p>
              </w:tc>
              <w:tc>
                <w:tcPr>
                  <w:tcW w:w="503" w:type="pct"/>
                  <w:noWrap w:val="0"/>
                  <w:vAlign w:val="center"/>
                </w:tcPr>
                <w:p w14:paraId="2118813C">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w:t>
                  </w:r>
                </w:p>
              </w:tc>
              <w:tc>
                <w:tcPr>
                  <w:tcW w:w="504" w:type="pct"/>
                  <w:noWrap w:val="0"/>
                  <w:vAlign w:val="center"/>
                </w:tcPr>
                <w:p w14:paraId="555E85A0">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w:t>
                  </w:r>
                </w:p>
              </w:tc>
            </w:tr>
            <w:tr w14:paraId="42878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658" w:type="pct"/>
                  <w:noWrap w:val="0"/>
                  <w:vAlign w:val="center"/>
                </w:tcPr>
                <w:p w14:paraId="2F5E4178">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成品仓</w:t>
                  </w:r>
                </w:p>
              </w:tc>
              <w:tc>
                <w:tcPr>
                  <w:tcW w:w="503" w:type="pct"/>
                  <w:shd w:val="clear" w:color="auto" w:fill="auto"/>
                  <w:noWrap w:val="0"/>
                  <w:vAlign w:val="center"/>
                </w:tcPr>
                <w:p w14:paraId="5E8DE729">
                  <w:pPr>
                    <w:kinsoku w:val="0"/>
                    <w:overflowPunct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DA0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w:t>
                  </w:r>
                  <w:r>
                    <w:rPr>
                      <w:rFonts w:hint="eastAsia" w:cs="Times New Roman"/>
                      <w:color w:val="000000" w:themeColor="text1"/>
                      <w:sz w:val="21"/>
                      <w:szCs w:val="21"/>
                      <w:highlight w:val="none"/>
                      <w:lang w:val="en-US" w:eastAsia="zh-CN"/>
                      <w14:textFill>
                        <w14:solidFill>
                          <w14:schemeClr w14:val="tx1"/>
                        </w14:solidFill>
                      </w14:textFill>
                    </w:rPr>
                    <w:t>2</w:t>
                  </w:r>
                </w:p>
              </w:tc>
              <w:tc>
                <w:tcPr>
                  <w:tcW w:w="503" w:type="pct"/>
                  <w:shd w:val="clear" w:color="auto" w:fill="auto"/>
                  <w:noWrap w:val="0"/>
                  <w:vAlign w:val="center"/>
                </w:tcPr>
                <w:p w14:paraId="0A8F7EA0">
                  <w:pPr>
                    <w:pStyle w:val="85"/>
                    <w:kinsoku w:val="0"/>
                    <w:overflowPunct w:val="0"/>
                    <w:snapToGrid w:val="0"/>
                    <w:ind w:firstLine="0" w:firstLineChars="0"/>
                    <w:jc w:val="both"/>
                    <w:rPr>
                      <w:rFonts w:hint="default" w:ascii="Times New Roman" w:hAnsi="Times New Roman" w:eastAsia="宋体" w:cs="Times New Roman"/>
                      <w:color w:val="000000" w:themeColor="text1"/>
                      <w:kern w:val="0"/>
                      <w:sz w:val="21"/>
                      <w:szCs w:val="21"/>
                      <w:highlight w:val="none"/>
                      <w:lang w:val="en-US" w:eastAsia="en-US"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颗粒物</w:t>
                  </w:r>
                </w:p>
              </w:tc>
              <w:tc>
                <w:tcPr>
                  <w:tcW w:w="658" w:type="pct"/>
                  <w:shd w:val="clear" w:color="auto" w:fill="auto"/>
                  <w:noWrap w:val="0"/>
                  <w:vAlign w:val="center"/>
                </w:tcPr>
                <w:p w14:paraId="6C8BEB80">
                  <w:pPr>
                    <w:pStyle w:val="85"/>
                    <w:kinsoku w:val="0"/>
                    <w:overflowPunct w:val="0"/>
                    <w:snapToGrid w:val="0"/>
                    <w:ind w:firstLine="0" w:firstLineChars="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10000</w:t>
                  </w:r>
                </w:p>
              </w:tc>
              <w:tc>
                <w:tcPr>
                  <w:tcW w:w="503" w:type="pct"/>
                  <w:noWrap w:val="0"/>
                  <w:vAlign w:val="center"/>
                </w:tcPr>
                <w:p w14:paraId="6B6D0918">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4.8</w:t>
                  </w:r>
                </w:p>
              </w:tc>
              <w:tc>
                <w:tcPr>
                  <w:tcW w:w="353" w:type="pct"/>
                  <w:noWrap w:val="0"/>
                  <w:vAlign w:val="center"/>
                </w:tcPr>
                <w:p w14:paraId="327D9770">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99</w:t>
                  </w:r>
                </w:p>
              </w:tc>
              <w:tc>
                <w:tcPr>
                  <w:tcW w:w="812" w:type="pct"/>
                  <w:noWrap w:val="0"/>
                  <w:vAlign w:val="center"/>
                </w:tcPr>
                <w:p w14:paraId="07B33D6C">
                  <w:pPr>
                    <w:keepNext w:val="0"/>
                    <w:keepLines w:val="0"/>
                    <w:widowControl/>
                    <w:suppressLineNumbers w:val="0"/>
                    <w:jc w:val="center"/>
                    <w:textAlignment w:val="center"/>
                    <w:rPr>
                      <w:rFonts w:hint="default" w:ascii="Times New Roman" w:hAnsi="Times New Roman"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2</w:t>
                  </w:r>
                </w:p>
              </w:tc>
              <w:tc>
                <w:tcPr>
                  <w:tcW w:w="503" w:type="pct"/>
                  <w:noWrap w:val="0"/>
                  <w:vAlign w:val="center"/>
                </w:tcPr>
                <w:p w14:paraId="12538602">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i w:val="0"/>
                      <w:color w:val="000000" w:themeColor="text1"/>
                      <w:kern w:val="0"/>
                      <w:sz w:val="21"/>
                      <w:szCs w:val="21"/>
                      <w:highlight w:val="none"/>
                      <w:u w:val="none"/>
                      <w:lang w:val="en-US" w:eastAsia="zh-CN" w:bidi="ar"/>
                      <w14:textFill>
                        <w14:solidFill>
                          <w14:schemeClr w14:val="tx1"/>
                        </w14:solidFill>
                      </w14:textFill>
                    </w:rPr>
                    <w:t>0.048</w:t>
                  </w:r>
                </w:p>
              </w:tc>
              <w:tc>
                <w:tcPr>
                  <w:tcW w:w="504" w:type="pct"/>
                  <w:noWrap w:val="0"/>
                  <w:vAlign w:val="center"/>
                </w:tcPr>
                <w:p w14:paraId="69CFD778">
                  <w:pPr>
                    <w:keepNext w:val="0"/>
                    <w:keepLines w:val="0"/>
                    <w:widowControl/>
                    <w:suppressLineNumbers w:val="0"/>
                    <w:jc w:val="center"/>
                    <w:textAlignment w:val="center"/>
                    <w:rPr>
                      <w:rFonts w:hint="default" w:ascii="Times New Roman" w:hAnsi="Times New Roman"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30</w:t>
                  </w:r>
                </w:p>
              </w:tc>
            </w:tr>
            <w:tr w14:paraId="3FD08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3180" w:type="pct"/>
                  <w:gridSpan w:val="6"/>
                  <w:noWrap w:val="0"/>
                  <w:vAlign w:val="center"/>
                </w:tcPr>
                <w:p w14:paraId="41E62AFA">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排放</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限值</w:t>
                  </w:r>
                </w:p>
              </w:tc>
              <w:tc>
                <w:tcPr>
                  <w:tcW w:w="812" w:type="pct"/>
                  <w:noWrap w:val="0"/>
                  <w:vAlign w:val="center"/>
                </w:tcPr>
                <w:p w14:paraId="5AAA3DC1">
                  <w:pPr>
                    <w:keepNext w:val="0"/>
                    <w:keepLines w:val="0"/>
                    <w:widowControl/>
                    <w:suppressLineNumbers w:val="0"/>
                    <w:jc w:val="center"/>
                    <w:textAlignment w:val="center"/>
                    <w:rPr>
                      <w:rFonts w:hint="default" w:ascii="Times New Roman" w:hAnsi="Times New Roman"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20</w:t>
                  </w:r>
                </w:p>
              </w:tc>
              <w:tc>
                <w:tcPr>
                  <w:tcW w:w="503" w:type="pct"/>
                  <w:noWrap w:val="0"/>
                  <w:vAlign w:val="center"/>
                </w:tcPr>
                <w:p w14:paraId="21E11D76">
                  <w:pPr>
                    <w:keepNext w:val="0"/>
                    <w:keepLines w:val="0"/>
                    <w:widowControl/>
                    <w:suppressLineNumbers w:val="0"/>
                    <w:jc w:val="center"/>
                    <w:textAlignment w:val="center"/>
                    <w:rPr>
                      <w:rFonts w:hint="default" w:ascii="Times New Roman" w:hAnsi="Times New Roman"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w:t>
                  </w:r>
                </w:p>
              </w:tc>
              <w:tc>
                <w:tcPr>
                  <w:tcW w:w="504" w:type="pct"/>
                  <w:noWrap w:val="0"/>
                  <w:vAlign w:val="center"/>
                </w:tcPr>
                <w:p w14:paraId="6CD1C197">
                  <w:pPr>
                    <w:keepNext w:val="0"/>
                    <w:keepLines w:val="0"/>
                    <w:widowControl/>
                    <w:suppressLineNumbers w:val="0"/>
                    <w:jc w:val="center"/>
                    <w:textAlignment w:val="center"/>
                    <w:rPr>
                      <w:rFonts w:hint="default" w:ascii="Times New Roman" w:hAnsi="Times New Roman"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w:t>
                  </w:r>
                </w:p>
              </w:tc>
            </w:tr>
            <w:tr w14:paraId="60328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658" w:type="pct"/>
                  <w:noWrap w:val="0"/>
                  <w:vAlign w:val="center"/>
                </w:tcPr>
                <w:p w14:paraId="540F46F7">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黄料仓</w:t>
                  </w:r>
                </w:p>
              </w:tc>
              <w:tc>
                <w:tcPr>
                  <w:tcW w:w="503" w:type="pct"/>
                  <w:noWrap w:val="0"/>
                  <w:vAlign w:val="center"/>
                </w:tcPr>
                <w:p w14:paraId="5CE606D1">
                  <w:pPr>
                    <w:kinsoku w:val="0"/>
                    <w:overflowPunct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DA0</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14</w:t>
                  </w:r>
                </w:p>
              </w:tc>
              <w:tc>
                <w:tcPr>
                  <w:tcW w:w="503" w:type="pct"/>
                  <w:noWrap w:val="0"/>
                  <w:vAlign w:val="center"/>
                </w:tcPr>
                <w:p w14:paraId="60A7D02C">
                  <w:pPr>
                    <w:pStyle w:val="85"/>
                    <w:kinsoku w:val="0"/>
                    <w:overflowPunct w:val="0"/>
                    <w:snapToGrid w:val="0"/>
                    <w:ind w:firstLine="0" w:firstLineChars="0"/>
                    <w:jc w:val="both"/>
                    <w:rPr>
                      <w:rFonts w:hint="default" w:ascii="Times New Roman" w:hAnsi="Times New Roman" w:eastAsia="宋体" w:cs="Times New Roman"/>
                      <w:color w:val="000000" w:themeColor="text1"/>
                      <w:kern w:val="0"/>
                      <w:sz w:val="21"/>
                      <w:szCs w:val="21"/>
                      <w:highlight w:val="none"/>
                      <w:lang w:val="en-US" w:eastAsia="en-US"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颗粒物</w:t>
                  </w:r>
                </w:p>
              </w:tc>
              <w:tc>
                <w:tcPr>
                  <w:tcW w:w="658" w:type="pct"/>
                  <w:noWrap w:val="0"/>
                  <w:vAlign w:val="center"/>
                </w:tcPr>
                <w:p w14:paraId="582C69A5">
                  <w:pPr>
                    <w:pStyle w:val="85"/>
                    <w:kinsoku w:val="0"/>
                    <w:overflowPunct w:val="0"/>
                    <w:snapToGrid w:val="0"/>
                    <w:ind w:firstLine="0" w:firstLineChars="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10000</w:t>
                  </w:r>
                </w:p>
              </w:tc>
              <w:tc>
                <w:tcPr>
                  <w:tcW w:w="503" w:type="pct"/>
                  <w:noWrap w:val="0"/>
                  <w:vAlign w:val="center"/>
                </w:tcPr>
                <w:p w14:paraId="67266852">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1.26</w:t>
                  </w:r>
                </w:p>
              </w:tc>
              <w:tc>
                <w:tcPr>
                  <w:tcW w:w="353" w:type="pct"/>
                  <w:noWrap w:val="0"/>
                  <w:vAlign w:val="center"/>
                </w:tcPr>
                <w:p w14:paraId="077EADA9">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99</w:t>
                  </w:r>
                </w:p>
              </w:tc>
              <w:tc>
                <w:tcPr>
                  <w:tcW w:w="812" w:type="pct"/>
                  <w:noWrap w:val="0"/>
                  <w:vAlign w:val="center"/>
                </w:tcPr>
                <w:p w14:paraId="4A891B3F">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0.4</w:t>
                  </w:r>
                </w:p>
              </w:tc>
              <w:tc>
                <w:tcPr>
                  <w:tcW w:w="503" w:type="pct"/>
                  <w:noWrap w:val="0"/>
                  <w:vAlign w:val="center"/>
                </w:tcPr>
                <w:p w14:paraId="230B033A">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w:t>
                  </w:r>
                  <w:r>
                    <w:rPr>
                      <w:rFonts w:hint="default" w:ascii="Times New Roman" w:hAnsi="Times New Roman" w:cs="Times New Roman"/>
                      <w:i w:val="0"/>
                      <w:color w:val="000000" w:themeColor="text1"/>
                      <w:kern w:val="0"/>
                      <w:sz w:val="21"/>
                      <w:szCs w:val="21"/>
                      <w:highlight w:val="none"/>
                      <w:u w:val="none"/>
                      <w:lang w:val="en-US" w:eastAsia="zh-CN" w:bidi="ar"/>
                      <w14:textFill>
                        <w14:solidFill>
                          <w14:schemeClr w14:val="tx1"/>
                        </w14:solidFill>
                      </w14:textFill>
                    </w:rPr>
                    <w:t>0</w:t>
                  </w: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1</w:t>
                  </w:r>
                </w:p>
              </w:tc>
              <w:tc>
                <w:tcPr>
                  <w:tcW w:w="504" w:type="pct"/>
                  <w:noWrap w:val="0"/>
                  <w:vAlign w:val="center"/>
                </w:tcPr>
                <w:p w14:paraId="0CBA01C9">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15</w:t>
                  </w:r>
                </w:p>
              </w:tc>
            </w:tr>
            <w:tr w14:paraId="2442E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3180" w:type="pct"/>
                  <w:gridSpan w:val="6"/>
                  <w:noWrap w:val="0"/>
                  <w:vAlign w:val="center"/>
                </w:tcPr>
                <w:p w14:paraId="3D6D4286">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排放</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限值</w:t>
                  </w:r>
                </w:p>
              </w:tc>
              <w:tc>
                <w:tcPr>
                  <w:tcW w:w="812" w:type="pct"/>
                  <w:noWrap w:val="0"/>
                  <w:vAlign w:val="center"/>
                </w:tcPr>
                <w:p w14:paraId="34368FC7">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20</w:t>
                  </w:r>
                </w:p>
              </w:tc>
              <w:tc>
                <w:tcPr>
                  <w:tcW w:w="503" w:type="pct"/>
                  <w:noWrap w:val="0"/>
                  <w:vAlign w:val="center"/>
                </w:tcPr>
                <w:p w14:paraId="0EE5F2A7">
                  <w:pPr>
                    <w:pStyle w:val="85"/>
                    <w:kinsoku w:val="0"/>
                    <w:overflowPunct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504" w:type="pct"/>
                  <w:noWrap w:val="0"/>
                  <w:vAlign w:val="center"/>
                </w:tcPr>
                <w:p w14:paraId="5B83ABC1">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r>
            <w:tr w14:paraId="36552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3180" w:type="pct"/>
                  <w:gridSpan w:val="6"/>
                  <w:noWrap w:val="0"/>
                  <w:vAlign w:val="center"/>
                </w:tcPr>
                <w:p w14:paraId="3F032D89">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达标情况</w:t>
                  </w:r>
                </w:p>
              </w:tc>
              <w:tc>
                <w:tcPr>
                  <w:tcW w:w="812" w:type="pct"/>
                  <w:noWrap w:val="0"/>
                  <w:vAlign w:val="center"/>
                </w:tcPr>
                <w:p w14:paraId="71A5D9F8">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达标</w:t>
                  </w:r>
                </w:p>
              </w:tc>
              <w:tc>
                <w:tcPr>
                  <w:tcW w:w="503" w:type="pct"/>
                  <w:noWrap w:val="0"/>
                  <w:vAlign w:val="center"/>
                </w:tcPr>
                <w:p w14:paraId="5A8D307A">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504" w:type="pct"/>
                  <w:noWrap w:val="0"/>
                  <w:vAlign w:val="center"/>
                </w:tcPr>
                <w:p w14:paraId="50548F17">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r>
          </w:tbl>
          <w:p w14:paraId="574EE92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r>
              <w:rPr>
                <w:rFonts w:hint="eastAsia" w:cs="Times New Roman"/>
                <w:b w:val="0"/>
                <w:bCs w:val="0"/>
                <w:color w:val="000000" w:themeColor="text1"/>
                <w:sz w:val="24"/>
                <w:highlight w:val="none"/>
                <w:lang w:val="en-US" w:eastAsia="zh-CN"/>
                <w14:textFill>
                  <w14:solidFill>
                    <w14:schemeClr w14:val="tx1"/>
                  </w14:solidFill>
                </w14:textFill>
              </w:rPr>
              <w:t>8</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）包装粉尘（G1-1</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、G1-1</w:t>
            </w:r>
            <w:r>
              <w:rPr>
                <w:rFonts w:hint="default" w:ascii="Times New Roman" w:hAnsi="Times New Roman" w:cs="Times New Roman"/>
                <w:b w:val="0"/>
                <w:bCs w:val="0"/>
                <w:color w:val="000000" w:themeColor="text1"/>
                <w:sz w:val="24"/>
                <w:highlight w:val="none"/>
                <w:lang w:val="en-US" w:eastAsia="zh-CN"/>
                <w14:textFill>
                  <w14:solidFill>
                    <w14:schemeClr w14:val="tx1"/>
                  </w14:solidFill>
                </w14:textFill>
              </w:rPr>
              <w:t>4</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w:t>
            </w:r>
          </w:p>
          <w:p w14:paraId="78BB31B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产品高岭土标准化原料包装过程中会产生包装粉尘，产品高岭土标准化原料</w:t>
            </w:r>
            <w:r>
              <w:rPr>
                <w:rFonts w:hint="eastAsia" w:cs="Times New Roman"/>
                <w:color w:val="000000" w:themeColor="text1"/>
                <w:sz w:val="24"/>
                <w:highlight w:val="none"/>
                <w:lang w:val="en-US" w:eastAsia="zh-CN"/>
                <w14:textFill>
                  <w14:solidFill>
                    <w14:schemeClr w14:val="tx1"/>
                  </w14:solidFill>
                </w14:textFill>
              </w:rPr>
              <w:t>及</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包装粉尘经全密封出料口完成（产品高岭土标准化原料直接在出料口用内含塑料膜的吨袋包装），参照《逸散性工业粉尘控制技术》（奥里蒙等编著，中国环境科学出版社，1989）中水泥厂的逸散尘排放因子，转运和输送排放因子为0.1～0.2kg/t（搬运料），水泥装载排放因子为0.118kg/t（装料），水泥装袋排放因子为0.005kg/t（搬运料），本项目输送皮带封闭处理，本次评价袋包装逸散尘排放因子取值0.223kg/t（搬运料）。</w:t>
            </w:r>
          </w:p>
          <w:p w14:paraId="442D9DA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大吨袋包、小袋包装粉尘分别配置1台袋式除尘器，除尘器风量为1000Nm</w:t>
            </w:r>
            <w:r>
              <w:rPr>
                <w:rFonts w:hint="default"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/h，除尘效率为99%，年运行时间为</w:t>
            </w:r>
            <w:r>
              <w:rPr>
                <w:rFonts w:hint="default" w:ascii="Times New Roman" w:hAnsi="Times New Roman" w:cs="Times New Roman"/>
                <w:color w:val="000000" w:themeColor="text1"/>
                <w:sz w:val="24"/>
                <w:highlight w:val="none"/>
                <w:lang w:val="en-US" w:eastAsia="zh-CN"/>
                <w14:textFill>
                  <w14:solidFill>
                    <w14:schemeClr w14:val="tx1"/>
                  </w14:solidFill>
                </w14:textFill>
              </w:rPr>
              <w:t>72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00h。</w:t>
            </w:r>
          </w:p>
          <w:p w14:paraId="1FBF17C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大吨袋包、小袋包装颗粒物产生量为</w:t>
            </w:r>
            <w:r>
              <w:rPr>
                <w:rFonts w:hint="default" w:ascii="Times New Roman" w:hAnsi="Times New Roman" w:cs="Times New Roman"/>
                <w:color w:val="000000" w:themeColor="text1"/>
                <w:sz w:val="24"/>
                <w:highlight w:val="none"/>
                <w:lang w:val="en-US" w:eastAsia="zh-CN"/>
                <w14:textFill>
                  <w14:solidFill>
                    <w14:schemeClr w14:val="tx1"/>
                  </w14:solidFill>
                </w14:textFill>
              </w:rPr>
              <w:t>2.2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t/a和</w:t>
            </w:r>
            <w:r>
              <w:rPr>
                <w:rFonts w:hint="default" w:ascii="Times New Roman" w:hAnsi="Times New Roman" w:cs="Times New Roman"/>
                <w:color w:val="000000" w:themeColor="text1"/>
                <w:sz w:val="24"/>
                <w:highlight w:val="none"/>
                <w:lang w:val="en-US" w:eastAsia="zh-CN"/>
                <w14:textFill>
                  <w14:solidFill>
                    <w14:schemeClr w14:val="tx1"/>
                  </w14:solidFill>
                </w14:textFill>
              </w:rPr>
              <w:t>2.2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t/a，袋式除尘器的除尘效率为99%，则排放量为0.</w:t>
            </w:r>
            <w:r>
              <w:rPr>
                <w:rFonts w:hint="default" w:ascii="Times New Roman" w:hAnsi="Times New Roman" w:cs="Times New Roman"/>
                <w:color w:val="000000" w:themeColor="text1"/>
                <w:sz w:val="24"/>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2t/a和0.0</w:t>
            </w:r>
            <w:r>
              <w:rPr>
                <w:rFonts w:hint="default" w:ascii="Times New Roman" w:hAnsi="Times New Roman" w:cs="Times New Roman"/>
                <w:color w:val="000000" w:themeColor="text1"/>
                <w:sz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t/a。</w:t>
            </w:r>
          </w:p>
          <w:p w14:paraId="04B21318">
            <w:pPr>
              <w:keepNext w:val="0"/>
              <w:keepLines w:val="0"/>
              <w:pageBreakBefore w:val="0"/>
              <w:widowControl w:val="0"/>
              <w:kinsoku/>
              <w:wordWrap/>
              <w:overflowPunct/>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仿宋" w:cs="Times New Roman"/>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14:textFill>
                  <w14:solidFill>
                    <w14:schemeClr w14:val="tx1"/>
                  </w14:solidFill>
                </w14:textFill>
              </w:rPr>
              <w:t>表</w:t>
            </w:r>
            <w:r>
              <w:rPr>
                <w:rFonts w:hint="default" w:ascii="Times New Roman" w:hAnsi="Times New Roman" w:eastAsia="宋体" w:cs="Times New Roman"/>
                <w:b/>
                <w:bCs/>
                <w:color w:val="000000" w:themeColor="text1"/>
                <w:kern w:val="2"/>
                <w:sz w:val="24"/>
                <w:szCs w:val="24"/>
                <w:highlight w:val="none"/>
                <w:lang w:val="en-US" w:eastAsia="zh-CN"/>
                <w14:textFill>
                  <w14:solidFill>
                    <w14:schemeClr w14:val="tx1"/>
                  </w14:solidFill>
                </w14:textFill>
              </w:rPr>
              <w:t>4-8成品包装</w:t>
            </w:r>
            <w:r>
              <w:rPr>
                <w:rFonts w:hint="default" w:ascii="Times New Roman" w:hAnsi="Times New Roman" w:cs="Times New Roman"/>
                <w:b/>
                <w:bCs/>
                <w:color w:val="000000" w:themeColor="text1"/>
                <w:kern w:val="2"/>
                <w:sz w:val="24"/>
                <w:szCs w:val="24"/>
                <w:highlight w:val="none"/>
                <w:lang w:val="en-US" w:eastAsia="zh-CN"/>
                <w14:textFill>
                  <w14:solidFill>
                    <w14:schemeClr w14:val="tx1"/>
                  </w14:solidFill>
                </w14:textFill>
              </w:rPr>
              <w:t>废气</w:t>
            </w:r>
            <w:r>
              <w:rPr>
                <w:rFonts w:hint="default" w:ascii="Times New Roman" w:hAnsi="Times New Roman" w:cs="Times New Roman"/>
                <w:b/>
                <w:bCs/>
                <w:color w:val="000000" w:themeColor="text1"/>
                <w:kern w:val="2"/>
                <w:sz w:val="24"/>
                <w:szCs w:val="24"/>
                <w:highlight w:val="none"/>
                <w14:textFill>
                  <w14:solidFill>
                    <w14:schemeClr w14:val="tx1"/>
                  </w14:solidFill>
                </w14:textFill>
              </w:rPr>
              <w:t>粉尘产排情况一览表</w:t>
            </w:r>
          </w:p>
          <w:tbl>
            <w:tblPr>
              <w:tblStyle w:val="24"/>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308"/>
              <w:gridCol w:w="811"/>
              <w:gridCol w:w="812"/>
              <w:gridCol w:w="699"/>
              <w:gridCol w:w="812"/>
              <w:gridCol w:w="565"/>
              <w:gridCol w:w="1309"/>
              <w:gridCol w:w="812"/>
              <w:gridCol w:w="812"/>
            </w:tblGrid>
            <w:tr w14:paraId="61FDA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0" w:hRule="atLeast"/>
                <w:jc w:val="center"/>
              </w:trPr>
              <w:tc>
                <w:tcPr>
                  <w:tcW w:w="824" w:type="pct"/>
                  <w:vMerge w:val="restart"/>
                  <w:noWrap w:val="0"/>
                  <w:vAlign w:val="center"/>
                </w:tcPr>
                <w:p w14:paraId="3F4592E6">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装置</w:t>
                  </w:r>
                </w:p>
              </w:tc>
              <w:tc>
                <w:tcPr>
                  <w:tcW w:w="511" w:type="pct"/>
                  <w:vMerge w:val="restart"/>
                  <w:noWrap w:val="0"/>
                  <w:vAlign w:val="center"/>
                </w:tcPr>
                <w:p w14:paraId="489C7725">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污染源</w:t>
                  </w:r>
                </w:p>
              </w:tc>
              <w:tc>
                <w:tcPr>
                  <w:tcW w:w="511" w:type="pct"/>
                  <w:vMerge w:val="restart"/>
                  <w:noWrap w:val="0"/>
                  <w:vAlign w:val="center"/>
                </w:tcPr>
                <w:p w14:paraId="1226D500">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w:t>
                  </w:r>
                </w:p>
              </w:tc>
              <w:tc>
                <w:tcPr>
                  <w:tcW w:w="440" w:type="pct"/>
                  <w:vMerge w:val="restart"/>
                  <w:noWrap w:val="0"/>
                  <w:vAlign w:val="center"/>
                </w:tcPr>
                <w:p w14:paraId="1077970E">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风机</w:t>
                  </w:r>
                </w:p>
                <w:p w14:paraId="48F51B48">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风量</w:t>
                  </w:r>
                </w:p>
                <w:p w14:paraId="67CCD6C2">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lang w:eastAsia="zh-CN"/>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/h</w:t>
                  </w: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p>
              </w:tc>
              <w:tc>
                <w:tcPr>
                  <w:tcW w:w="511" w:type="pct"/>
                  <w:vMerge w:val="restart"/>
                  <w:noWrap w:val="0"/>
                  <w:vAlign w:val="center"/>
                </w:tcPr>
                <w:p w14:paraId="0FABE8D9">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w:t>
                  </w:r>
                </w:p>
                <w:p w14:paraId="1213A5AB">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产生</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量</w:t>
                  </w:r>
                </w:p>
                <w:p w14:paraId="0FBCCC51">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c>
                <w:tcPr>
                  <w:tcW w:w="355" w:type="pct"/>
                  <w:vMerge w:val="restart"/>
                  <w:noWrap w:val="0"/>
                  <w:vAlign w:val="center"/>
                </w:tcPr>
                <w:p w14:paraId="68B376FF">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处理</w:t>
                  </w:r>
                </w:p>
                <w:p w14:paraId="1C5EF820">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效率</w:t>
                  </w:r>
                </w:p>
                <w:p w14:paraId="7806013F">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1335" w:type="pct"/>
                  <w:gridSpan w:val="2"/>
                  <w:noWrap w:val="0"/>
                  <w:vAlign w:val="center"/>
                </w:tcPr>
                <w:p w14:paraId="3BEA9A0D">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污染物排放</w:t>
                  </w:r>
                </w:p>
              </w:tc>
              <w:tc>
                <w:tcPr>
                  <w:tcW w:w="511" w:type="pct"/>
                  <w:vMerge w:val="restart"/>
                  <w:noWrap w:val="0"/>
                  <w:vAlign w:val="center"/>
                </w:tcPr>
                <w:p w14:paraId="6686BEE6">
                  <w:pPr>
                    <w:pStyle w:val="85"/>
                    <w:kinsoku w:val="0"/>
                    <w:overflowPunct w:val="0"/>
                    <w:snapToGrid w:val="0"/>
                    <w:jc w:val="cente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p>
                <w:p w14:paraId="464F3ABC">
                  <w:pPr>
                    <w:pStyle w:val="85"/>
                    <w:kinsoku w:val="0"/>
                    <w:overflowPunct w:val="0"/>
                    <w:snapToGrid w:val="0"/>
                    <w:jc w:val="cente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高度</w:t>
                  </w:r>
                </w:p>
                <w:p w14:paraId="52C7D342">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(m)</w:t>
                  </w:r>
                </w:p>
              </w:tc>
            </w:tr>
            <w:tr w14:paraId="5310C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824" w:type="pct"/>
                  <w:vMerge w:val="continue"/>
                  <w:noWrap w:val="0"/>
                  <w:vAlign w:val="center"/>
                </w:tcPr>
                <w:p w14:paraId="05453519">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11" w:type="pct"/>
                  <w:vMerge w:val="continue"/>
                  <w:noWrap w:val="0"/>
                  <w:vAlign w:val="center"/>
                </w:tcPr>
                <w:p w14:paraId="1C446DF3">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11" w:type="pct"/>
                  <w:vMerge w:val="continue"/>
                  <w:noWrap w:val="0"/>
                  <w:vAlign w:val="center"/>
                </w:tcPr>
                <w:p w14:paraId="61C47BE0">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40" w:type="pct"/>
                  <w:vMerge w:val="continue"/>
                  <w:noWrap w:val="0"/>
                  <w:vAlign w:val="center"/>
                </w:tcPr>
                <w:p w14:paraId="76231F2A">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11" w:type="pct"/>
                  <w:vMerge w:val="continue"/>
                  <w:noWrap w:val="0"/>
                  <w:vAlign w:val="center"/>
                </w:tcPr>
                <w:p w14:paraId="6C915135">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355" w:type="pct"/>
                  <w:vMerge w:val="continue"/>
                  <w:noWrap w:val="0"/>
                  <w:vAlign w:val="center"/>
                </w:tcPr>
                <w:p w14:paraId="260318E8">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824" w:type="pct"/>
                  <w:noWrap w:val="0"/>
                  <w:vAlign w:val="center"/>
                </w:tcPr>
                <w:p w14:paraId="6D5E77D0">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排放浓度</w:t>
                  </w:r>
                </w:p>
                <w:p w14:paraId="174195A0">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mg/</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lang w:eastAsia="zh-CN"/>
                      <w14:textFill>
                        <w14:solidFill>
                          <w14:schemeClr w14:val="tx1"/>
                        </w14:solidFill>
                      </w14:textFill>
                    </w:rPr>
                    <w:t>3</w:t>
                  </w:r>
                  <w:r>
                    <w:rPr>
                      <w:rFonts w:hint="eastAsia" w:ascii="Times New Roman" w:hAnsi="Times New Roman" w:cs="Times New Roman"/>
                      <w:b w:val="0"/>
                      <w:bCs w:val="0"/>
                      <w:color w:val="000000" w:themeColor="text1"/>
                      <w:sz w:val="21"/>
                      <w:szCs w:val="21"/>
                      <w:highlight w:val="none"/>
                      <w:vertAlign w:val="superscript"/>
                      <w:lang w:eastAsia="zh-CN"/>
                      <w14:textFill>
                        <w14:solidFill>
                          <w14:schemeClr w14:val="tx1"/>
                        </w14:solidFill>
                      </w14:textFill>
                    </w:rPr>
                    <w:t>)</w:t>
                  </w:r>
                </w:p>
              </w:tc>
              <w:tc>
                <w:tcPr>
                  <w:tcW w:w="511" w:type="pct"/>
                  <w:noWrap w:val="0"/>
                  <w:vAlign w:val="center"/>
                </w:tcPr>
                <w:p w14:paraId="5CCF92A0">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排放量</w:t>
                  </w:r>
                </w:p>
                <w:p w14:paraId="5DC2BDFB">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c>
                <w:tcPr>
                  <w:tcW w:w="511" w:type="pct"/>
                  <w:vMerge w:val="continue"/>
                  <w:noWrap w:val="0"/>
                  <w:vAlign w:val="center"/>
                </w:tcPr>
                <w:p w14:paraId="4274A2D0">
                  <w:pPr>
                    <w:pStyle w:val="85"/>
                    <w:kinsoku w:val="0"/>
                    <w:overflowPunct w:val="0"/>
                    <w:snapToGrid w:val="0"/>
                    <w:jc w:val="cente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pPr>
                </w:p>
              </w:tc>
            </w:tr>
            <w:tr w14:paraId="6A21D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0" w:hRule="atLeast"/>
                <w:jc w:val="center"/>
              </w:trPr>
              <w:tc>
                <w:tcPr>
                  <w:tcW w:w="824" w:type="pct"/>
                  <w:noWrap w:val="0"/>
                  <w:vAlign w:val="center"/>
                </w:tcPr>
                <w:p w14:paraId="4D720A08">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大</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成品包装</w:t>
                  </w:r>
                </w:p>
              </w:tc>
              <w:tc>
                <w:tcPr>
                  <w:tcW w:w="511" w:type="pct"/>
                  <w:noWrap w:val="0"/>
                  <w:vAlign w:val="center"/>
                </w:tcPr>
                <w:p w14:paraId="0206EA44">
                  <w:pPr>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DA01</w:t>
                  </w:r>
                  <w:r>
                    <w:rPr>
                      <w:rFonts w:hint="eastAsia" w:cs="Times New Roman"/>
                      <w:color w:val="000000" w:themeColor="text1"/>
                      <w:sz w:val="21"/>
                      <w:szCs w:val="21"/>
                      <w:highlight w:val="none"/>
                      <w:lang w:val="en-US" w:eastAsia="zh-CN"/>
                      <w14:textFill>
                        <w14:solidFill>
                          <w14:schemeClr w14:val="tx1"/>
                        </w14:solidFill>
                      </w14:textFill>
                    </w:rPr>
                    <w:t>1</w:t>
                  </w:r>
                </w:p>
              </w:tc>
              <w:tc>
                <w:tcPr>
                  <w:tcW w:w="511" w:type="pct"/>
                  <w:noWrap w:val="0"/>
                  <w:vAlign w:val="center"/>
                </w:tcPr>
                <w:p w14:paraId="7E85F8FB">
                  <w:pPr>
                    <w:pStyle w:val="85"/>
                    <w:kinsoku w:val="0"/>
                    <w:overflowPunct w:val="0"/>
                    <w:snapToGrid w:val="0"/>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颗粒物</w:t>
                  </w:r>
                </w:p>
              </w:tc>
              <w:tc>
                <w:tcPr>
                  <w:tcW w:w="440" w:type="pct"/>
                  <w:noWrap w:val="0"/>
                  <w:vAlign w:val="center"/>
                </w:tcPr>
                <w:p w14:paraId="663A71D2">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100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w:t>
                  </w:r>
                </w:p>
              </w:tc>
              <w:tc>
                <w:tcPr>
                  <w:tcW w:w="511" w:type="pct"/>
                  <w:noWrap w:val="0"/>
                  <w:vAlign w:val="center"/>
                </w:tcPr>
                <w:p w14:paraId="3D5648C1">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p>
              </w:tc>
              <w:tc>
                <w:tcPr>
                  <w:tcW w:w="355" w:type="pct"/>
                  <w:noWrap w:val="0"/>
                  <w:vAlign w:val="center"/>
                </w:tcPr>
                <w:p w14:paraId="48EE8D36">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99</w:t>
                  </w:r>
                </w:p>
              </w:tc>
              <w:tc>
                <w:tcPr>
                  <w:tcW w:w="824" w:type="pct"/>
                  <w:noWrap w:val="0"/>
                  <w:vAlign w:val="center"/>
                </w:tcPr>
                <w:p w14:paraId="3476FF86">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i w:val="0"/>
                      <w:color w:val="000000" w:themeColor="text1"/>
                      <w:kern w:val="0"/>
                      <w:sz w:val="21"/>
                      <w:szCs w:val="21"/>
                      <w:highlight w:val="none"/>
                      <w:u w:val="none"/>
                      <w:lang w:val="en-US" w:eastAsia="zh-CN" w:bidi="ar"/>
                      <w14:textFill>
                        <w14:solidFill>
                          <w14:schemeClr w14:val="tx1"/>
                        </w14:solidFill>
                      </w14:textFill>
                    </w:rPr>
                    <w:t>2</w:t>
                  </w:r>
                </w:p>
              </w:tc>
              <w:tc>
                <w:tcPr>
                  <w:tcW w:w="511" w:type="pct"/>
                  <w:noWrap w:val="0"/>
                  <w:vAlign w:val="center"/>
                </w:tcPr>
                <w:p w14:paraId="53D6CA02">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w:t>
                  </w:r>
                  <w:r>
                    <w:rPr>
                      <w:rFonts w:hint="default" w:ascii="Times New Roman" w:hAnsi="Times New Roman" w:cs="Times New Roman"/>
                      <w:i w:val="0"/>
                      <w:color w:val="000000" w:themeColor="text1"/>
                      <w:kern w:val="0"/>
                      <w:sz w:val="21"/>
                      <w:szCs w:val="21"/>
                      <w:highlight w:val="none"/>
                      <w:u w:val="none"/>
                      <w:lang w:val="en-US" w:eastAsia="zh-CN" w:bidi="ar"/>
                      <w14:textFill>
                        <w14:solidFill>
                          <w14:schemeClr w14:val="tx1"/>
                        </w14:solidFill>
                      </w14:textFill>
                    </w:rPr>
                    <w:t>0</w:t>
                  </w: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2</w:t>
                  </w:r>
                </w:p>
              </w:tc>
              <w:tc>
                <w:tcPr>
                  <w:tcW w:w="511" w:type="pct"/>
                  <w:noWrap w:val="0"/>
                  <w:vAlign w:val="center"/>
                </w:tcPr>
                <w:p w14:paraId="68965F4A">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30</w:t>
                  </w:r>
                </w:p>
              </w:tc>
            </w:tr>
            <w:tr w14:paraId="4E0A4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824" w:type="pct"/>
                  <w:noWrap w:val="0"/>
                  <w:vAlign w:val="center"/>
                </w:tcPr>
                <w:p w14:paraId="2F6802D7">
                  <w:pPr>
                    <w:pStyle w:val="85"/>
                    <w:kinsoku w:val="0"/>
                    <w:overflowPunct w:val="0"/>
                    <w:snapToGrid w:val="0"/>
                    <w:ind w:firstLine="0" w:firstLineChars="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小成品包装</w:t>
                  </w:r>
                </w:p>
              </w:tc>
              <w:tc>
                <w:tcPr>
                  <w:tcW w:w="511" w:type="pct"/>
                  <w:noWrap w:val="0"/>
                  <w:vAlign w:val="center"/>
                </w:tcPr>
                <w:p w14:paraId="1448C25C">
                  <w:pPr>
                    <w:kinsoku w:val="0"/>
                    <w:overflowPunct w:val="0"/>
                    <w:snapToGrid w:val="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DA01</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w:t>
                  </w:r>
                </w:p>
              </w:tc>
              <w:tc>
                <w:tcPr>
                  <w:tcW w:w="511" w:type="pct"/>
                  <w:noWrap w:val="0"/>
                  <w:vAlign w:val="center"/>
                </w:tcPr>
                <w:p w14:paraId="491B6537">
                  <w:pPr>
                    <w:pStyle w:val="85"/>
                    <w:kinsoku w:val="0"/>
                    <w:overflowPunct w:val="0"/>
                    <w:snapToGrid w:val="0"/>
                    <w:ind w:firstLine="0" w:firstLineChars="0"/>
                    <w:jc w:val="center"/>
                    <w:rPr>
                      <w:rFonts w:hint="default" w:ascii="Times New Roman" w:hAnsi="Times New Roman" w:eastAsia="宋体" w:cs="Times New Roman"/>
                      <w:color w:val="000000" w:themeColor="text1"/>
                      <w:kern w:val="0"/>
                      <w:sz w:val="21"/>
                      <w:szCs w:val="21"/>
                      <w:highlight w:val="none"/>
                      <w:lang w:val="en-US" w:eastAsia="en-US"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颗粒物</w:t>
                  </w:r>
                </w:p>
              </w:tc>
              <w:tc>
                <w:tcPr>
                  <w:tcW w:w="440" w:type="pct"/>
                  <w:noWrap w:val="0"/>
                  <w:vAlign w:val="center"/>
                </w:tcPr>
                <w:p w14:paraId="4740DED3">
                  <w:pPr>
                    <w:pStyle w:val="85"/>
                    <w:kinsoku w:val="0"/>
                    <w:overflowPunct w:val="0"/>
                    <w:snapToGrid w:val="0"/>
                    <w:ind w:firstLine="0" w:firstLineChars="0"/>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10</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w:t>
                  </w:r>
                </w:p>
              </w:tc>
              <w:tc>
                <w:tcPr>
                  <w:tcW w:w="511" w:type="pct"/>
                  <w:noWrap w:val="0"/>
                  <w:vAlign w:val="center"/>
                </w:tcPr>
                <w:p w14:paraId="61E2F64C">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p>
              </w:tc>
              <w:tc>
                <w:tcPr>
                  <w:tcW w:w="355" w:type="pct"/>
                  <w:noWrap w:val="0"/>
                  <w:vAlign w:val="center"/>
                </w:tcPr>
                <w:p w14:paraId="5AF0C475">
                  <w:pPr>
                    <w:kinsoku w:val="0"/>
                    <w:overflowPunct w:val="0"/>
                    <w:snapToGrid w:val="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99</w:t>
                  </w:r>
                </w:p>
              </w:tc>
              <w:tc>
                <w:tcPr>
                  <w:tcW w:w="824" w:type="pct"/>
                  <w:noWrap w:val="0"/>
                  <w:vAlign w:val="center"/>
                </w:tcPr>
                <w:p w14:paraId="6C965008">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i w:val="0"/>
                      <w:color w:val="000000" w:themeColor="text1"/>
                      <w:kern w:val="0"/>
                      <w:sz w:val="21"/>
                      <w:szCs w:val="21"/>
                      <w:highlight w:val="none"/>
                      <w:u w:val="none"/>
                      <w:lang w:val="en-US" w:eastAsia="zh-CN" w:bidi="ar"/>
                      <w14:textFill>
                        <w14:solidFill>
                          <w14:schemeClr w14:val="tx1"/>
                        </w14:solidFill>
                      </w14:textFill>
                    </w:rPr>
                    <w:t>2</w:t>
                  </w:r>
                </w:p>
              </w:tc>
              <w:tc>
                <w:tcPr>
                  <w:tcW w:w="511" w:type="pct"/>
                  <w:noWrap w:val="0"/>
                  <w:vAlign w:val="center"/>
                </w:tcPr>
                <w:p w14:paraId="569DC001">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w:t>
                  </w:r>
                  <w:r>
                    <w:rPr>
                      <w:rFonts w:hint="default" w:ascii="Times New Roman" w:hAnsi="Times New Roman" w:cs="Times New Roman"/>
                      <w:i w:val="0"/>
                      <w:color w:val="000000" w:themeColor="text1"/>
                      <w:kern w:val="0"/>
                      <w:sz w:val="21"/>
                      <w:szCs w:val="21"/>
                      <w:highlight w:val="none"/>
                      <w:u w:val="none"/>
                      <w:lang w:val="en-US" w:eastAsia="zh-CN" w:bidi="ar"/>
                      <w14:textFill>
                        <w14:solidFill>
                          <w14:schemeClr w14:val="tx1"/>
                        </w14:solidFill>
                      </w14:textFill>
                    </w:rPr>
                    <w:t>02</w:t>
                  </w:r>
                </w:p>
              </w:tc>
              <w:tc>
                <w:tcPr>
                  <w:tcW w:w="511" w:type="pct"/>
                  <w:noWrap w:val="0"/>
                  <w:vAlign w:val="center"/>
                </w:tcPr>
                <w:p w14:paraId="4F8D56C2">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20</w:t>
                  </w:r>
                </w:p>
              </w:tc>
            </w:tr>
            <w:tr w14:paraId="68743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3153" w:type="pct"/>
                  <w:gridSpan w:val="6"/>
                  <w:noWrap w:val="0"/>
                  <w:vAlign w:val="center"/>
                </w:tcPr>
                <w:p w14:paraId="0BCACE7B">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排放</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限值</w:t>
                  </w:r>
                </w:p>
              </w:tc>
              <w:tc>
                <w:tcPr>
                  <w:tcW w:w="824" w:type="pct"/>
                  <w:noWrap w:val="0"/>
                  <w:vAlign w:val="center"/>
                </w:tcPr>
                <w:p w14:paraId="52B14FB1">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20</w:t>
                  </w:r>
                </w:p>
              </w:tc>
              <w:tc>
                <w:tcPr>
                  <w:tcW w:w="511" w:type="pct"/>
                  <w:noWrap w:val="0"/>
                  <w:vAlign w:val="center"/>
                </w:tcPr>
                <w:p w14:paraId="3B709086">
                  <w:pPr>
                    <w:pStyle w:val="85"/>
                    <w:kinsoku w:val="0"/>
                    <w:overflowPunct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511" w:type="pct"/>
                  <w:noWrap w:val="0"/>
                  <w:vAlign w:val="center"/>
                </w:tcPr>
                <w:p w14:paraId="3F70D2D9">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r>
            <w:tr w14:paraId="21FE1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3153" w:type="pct"/>
                  <w:gridSpan w:val="6"/>
                  <w:noWrap w:val="0"/>
                  <w:vAlign w:val="center"/>
                </w:tcPr>
                <w:p w14:paraId="36AC91FB">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达标情况</w:t>
                  </w:r>
                </w:p>
              </w:tc>
              <w:tc>
                <w:tcPr>
                  <w:tcW w:w="824" w:type="pct"/>
                  <w:noWrap w:val="0"/>
                  <w:vAlign w:val="center"/>
                </w:tcPr>
                <w:p w14:paraId="22A231E8">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达标</w:t>
                  </w:r>
                </w:p>
              </w:tc>
              <w:tc>
                <w:tcPr>
                  <w:tcW w:w="511" w:type="pct"/>
                  <w:noWrap w:val="0"/>
                  <w:vAlign w:val="center"/>
                </w:tcPr>
                <w:p w14:paraId="617A9B09">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511" w:type="pct"/>
                  <w:noWrap w:val="0"/>
                  <w:vAlign w:val="center"/>
                </w:tcPr>
                <w:p w14:paraId="648C6D07">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r>
          </w:tbl>
          <w:p w14:paraId="7964DE9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r>
              <w:rPr>
                <w:rFonts w:hint="eastAsia" w:cs="Times New Roman"/>
                <w:b w:val="0"/>
                <w:bCs w:val="0"/>
                <w:color w:val="000000" w:themeColor="text1"/>
                <w:sz w:val="24"/>
                <w:highlight w:val="none"/>
                <w:lang w:val="en-US" w:eastAsia="zh-CN"/>
                <w14:textFill>
                  <w14:solidFill>
                    <w14:schemeClr w14:val="tx1"/>
                  </w14:solidFill>
                </w14:textFill>
              </w:rPr>
              <w:t>9</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w:t>
            </w:r>
            <w:r>
              <w:rPr>
                <w:rFonts w:hint="eastAsia" w:cs="Times New Roman"/>
                <w:b w:val="0"/>
                <w:bCs w:val="0"/>
                <w:color w:val="000000" w:themeColor="text1"/>
                <w:sz w:val="24"/>
                <w:highlight w:val="none"/>
                <w:lang w:val="en-US" w:eastAsia="zh-CN"/>
                <w14:textFill>
                  <w14:solidFill>
                    <w14:schemeClr w14:val="tx1"/>
                  </w14:solidFill>
                </w14:textFill>
              </w:rPr>
              <w:t>石灰石粉仓</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粉尘（G1-1</w:t>
            </w:r>
            <w:r>
              <w:rPr>
                <w:rFonts w:hint="eastAsia" w:cs="Times New Roman"/>
                <w:b w:val="0"/>
                <w:bCs w:val="0"/>
                <w:color w:val="000000" w:themeColor="text1"/>
                <w:sz w:val="24"/>
                <w:highlight w:val="none"/>
                <w:lang w:val="en-US" w:eastAsia="zh-CN"/>
                <w14:textFill>
                  <w14:solidFill>
                    <w14:schemeClr w14:val="tx1"/>
                  </w14:solidFill>
                </w14:textFill>
              </w:rPr>
              <w:t>5</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w:t>
            </w:r>
          </w:p>
          <w:p w14:paraId="18AAC14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石灰石气力输送至筒仓</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过程中会产生粉尘，参照《逸散性工业粉尘控制技术》（奥里蒙等编著，中国环境科学出版社，1989）中水泥厂的逸散尘排放因子，转运和输送排放因子为0.1～0.2kg/t（搬运料），水泥装载排放因子为0.118kg/t（装料），水泥装袋排放因子为0.005kg/t（搬运料），本项目输送封闭处理，本次评价逸散尘排放因子取值0.2kg/t（搬运料）。</w:t>
            </w:r>
          </w:p>
          <w:p w14:paraId="604C917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石灰石</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筒仓配备布袋除尘器</w:t>
            </w:r>
            <w:r>
              <w:rPr>
                <w:rFonts w:hint="eastAsia"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除尘器风量为10</w:t>
            </w:r>
            <w:r>
              <w:rPr>
                <w:rFonts w:hint="eastAsia" w:cs="Times New Roman"/>
                <w:color w:val="000000" w:themeColor="text1"/>
                <w:sz w:val="24"/>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00Nm</w:t>
            </w:r>
            <w:r>
              <w:rPr>
                <w:rFonts w:hint="default"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/h，除尘效率为99%，年运行时间为7200h。</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筒仓</w:t>
            </w:r>
            <w:r>
              <w:rPr>
                <w:rFonts w:hint="eastAsia" w:cs="Times New Roman"/>
                <w:color w:val="000000" w:themeColor="text1"/>
                <w:sz w:val="24"/>
                <w:highlight w:val="none"/>
                <w:lang w:val="en-US" w:eastAsia="zh-CN"/>
                <w14:textFill>
                  <w14:solidFill>
                    <w14:schemeClr w14:val="tx1"/>
                  </w14:solidFill>
                </w14:textFill>
              </w:rPr>
              <w:t>粉尘</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产生量为</w:t>
            </w:r>
            <w:r>
              <w:rPr>
                <w:rFonts w:hint="eastAsia" w:cs="Times New Roman"/>
                <w:color w:val="000000" w:themeColor="text1"/>
                <w:sz w:val="24"/>
                <w:highlight w:val="none"/>
                <w:lang w:val="en-US" w:eastAsia="zh-CN"/>
                <w14:textFill>
                  <w14:solidFill>
                    <w14:schemeClr w14:val="tx1"/>
                  </w14:solidFill>
                </w14:textFill>
              </w:rPr>
              <w:t>0.24t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/a，袋式除尘器的除尘效率为99%，则排放量为0.</w:t>
            </w:r>
            <w:r>
              <w:rPr>
                <w:rFonts w:hint="default" w:ascii="Times New Roman" w:hAnsi="Times New Roman" w:cs="Times New Roman"/>
                <w:color w:val="000000" w:themeColor="text1"/>
                <w:sz w:val="24"/>
                <w:highlight w:val="none"/>
                <w:lang w:val="en-US" w:eastAsia="zh-CN"/>
                <w14:textFill>
                  <w14:solidFill>
                    <w14:schemeClr w14:val="tx1"/>
                  </w14:solidFill>
                </w14:textFill>
              </w:rPr>
              <w:t>0</w:t>
            </w:r>
            <w:r>
              <w:rPr>
                <w:rFonts w:hint="eastAsia" w:cs="Times New Roman"/>
                <w:color w:val="000000" w:themeColor="text1"/>
                <w:sz w:val="24"/>
                <w:highlight w:val="none"/>
                <w:lang w:val="en-US" w:eastAsia="zh-CN"/>
                <w14:textFill>
                  <w14:solidFill>
                    <w14:schemeClr w14:val="tx1"/>
                  </w14:solidFill>
                </w14:textFill>
              </w:rPr>
              <w:t>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2t/a。</w:t>
            </w:r>
          </w:p>
          <w:p w14:paraId="39A6D25A">
            <w:pPr>
              <w:keepNext w:val="0"/>
              <w:keepLines w:val="0"/>
              <w:pageBreakBefore w:val="0"/>
              <w:widowControl w:val="0"/>
              <w:kinsoku/>
              <w:wordWrap/>
              <w:overflowPunct/>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仿宋" w:cs="Times New Roman"/>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14:textFill>
                  <w14:solidFill>
                    <w14:schemeClr w14:val="tx1"/>
                  </w14:solidFill>
                </w14:textFill>
              </w:rPr>
              <w:t>表</w:t>
            </w:r>
            <w:r>
              <w:rPr>
                <w:rFonts w:hint="default" w:ascii="Times New Roman" w:hAnsi="Times New Roman" w:eastAsia="宋体" w:cs="Times New Roman"/>
                <w:b/>
                <w:bCs/>
                <w:color w:val="000000" w:themeColor="text1"/>
                <w:kern w:val="2"/>
                <w:sz w:val="24"/>
                <w:szCs w:val="24"/>
                <w:highlight w:val="none"/>
                <w:lang w:val="en-US" w:eastAsia="zh-CN"/>
                <w14:textFill>
                  <w14:solidFill>
                    <w14:schemeClr w14:val="tx1"/>
                  </w14:solidFill>
                </w14:textFill>
              </w:rPr>
              <w:t>4-</w:t>
            </w:r>
            <w:r>
              <w:rPr>
                <w:rFonts w:hint="eastAsia" w:cs="Times New Roman"/>
                <w:b/>
                <w:bCs/>
                <w:color w:val="000000" w:themeColor="text1"/>
                <w:kern w:val="2"/>
                <w:sz w:val="24"/>
                <w:szCs w:val="24"/>
                <w:highlight w:val="none"/>
                <w:lang w:val="en-US" w:eastAsia="zh-CN"/>
                <w14:textFill>
                  <w14:solidFill>
                    <w14:schemeClr w14:val="tx1"/>
                  </w14:solidFill>
                </w14:textFill>
              </w:rPr>
              <w:t>9</w:t>
            </w:r>
            <w:r>
              <w:rPr>
                <w:rFonts w:hint="default" w:ascii="Times New Roman" w:hAnsi="Times New Roman" w:cs="Times New Roman"/>
                <w:b/>
                <w:bCs/>
                <w:color w:val="000000" w:themeColor="text1"/>
                <w:kern w:val="2"/>
                <w:sz w:val="24"/>
                <w:szCs w:val="24"/>
                <w:highlight w:val="none"/>
                <w:lang w:val="en-US" w:eastAsia="zh-CN"/>
                <w14:textFill>
                  <w14:solidFill>
                    <w14:schemeClr w14:val="tx1"/>
                  </w14:solidFill>
                </w14:textFill>
              </w:rPr>
              <w:t>废气</w:t>
            </w:r>
            <w:r>
              <w:rPr>
                <w:rFonts w:hint="default" w:ascii="Times New Roman" w:hAnsi="Times New Roman" w:cs="Times New Roman"/>
                <w:b/>
                <w:bCs/>
                <w:color w:val="000000" w:themeColor="text1"/>
                <w:kern w:val="2"/>
                <w:sz w:val="24"/>
                <w:szCs w:val="24"/>
                <w:highlight w:val="none"/>
                <w14:textFill>
                  <w14:solidFill>
                    <w14:schemeClr w14:val="tx1"/>
                  </w14:solidFill>
                </w14:textFill>
              </w:rPr>
              <w:t>粉尘产排情况一览表</w:t>
            </w:r>
          </w:p>
          <w:tbl>
            <w:tblPr>
              <w:tblStyle w:val="24"/>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94"/>
              <w:gridCol w:w="874"/>
              <w:gridCol w:w="777"/>
              <w:gridCol w:w="966"/>
              <w:gridCol w:w="961"/>
              <w:gridCol w:w="769"/>
              <w:gridCol w:w="1107"/>
              <w:gridCol w:w="893"/>
              <w:gridCol w:w="999"/>
            </w:tblGrid>
            <w:tr w14:paraId="3FB24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2" w:hRule="atLeast"/>
              </w:trPr>
              <w:tc>
                <w:tcPr>
                  <w:tcW w:w="374" w:type="pct"/>
                  <w:vMerge w:val="restart"/>
                  <w:noWrap w:val="0"/>
                  <w:vAlign w:val="center"/>
                </w:tcPr>
                <w:p w14:paraId="063D207F">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装置</w:t>
                  </w:r>
                </w:p>
              </w:tc>
              <w:tc>
                <w:tcPr>
                  <w:tcW w:w="550" w:type="pct"/>
                  <w:vMerge w:val="restart"/>
                  <w:noWrap w:val="0"/>
                  <w:vAlign w:val="center"/>
                </w:tcPr>
                <w:p w14:paraId="42C030DA">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污染源</w:t>
                  </w:r>
                </w:p>
              </w:tc>
              <w:tc>
                <w:tcPr>
                  <w:tcW w:w="489" w:type="pct"/>
                  <w:vMerge w:val="restart"/>
                  <w:noWrap w:val="0"/>
                  <w:vAlign w:val="center"/>
                </w:tcPr>
                <w:p w14:paraId="01FDB18C">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w:t>
                  </w:r>
                </w:p>
              </w:tc>
              <w:tc>
                <w:tcPr>
                  <w:tcW w:w="608" w:type="pct"/>
                  <w:vMerge w:val="restart"/>
                  <w:noWrap w:val="0"/>
                  <w:vAlign w:val="center"/>
                </w:tcPr>
                <w:p w14:paraId="053CD66D">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风机</w:t>
                  </w:r>
                </w:p>
                <w:p w14:paraId="2DEB149F">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风量</w:t>
                  </w:r>
                </w:p>
                <w:p w14:paraId="282D6DDF">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lang w:eastAsia="zh-CN"/>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/h</w:t>
                  </w: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p>
              </w:tc>
              <w:tc>
                <w:tcPr>
                  <w:tcW w:w="605" w:type="pct"/>
                  <w:vMerge w:val="restart"/>
                  <w:noWrap w:val="0"/>
                  <w:vAlign w:val="center"/>
                </w:tcPr>
                <w:p w14:paraId="26832EE9">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w:t>
                  </w:r>
                </w:p>
                <w:p w14:paraId="1D665F6D">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产生</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量</w:t>
                  </w:r>
                </w:p>
                <w:p w14:paraId="6A6BFBC6">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c>
                <w:tcPr>
                  <w:tcW w:w="482" w:type="pct"/>
                  <w:vMerge w:val="restart"/>
                  <w:noWrap w:val="0"/>
                  <w:vAlign w:val="center"/>
                </w:tcPr>
                <w:p w14:paraId="6189B930">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处理</w:t>
                  </w:r>
                </w:p>
                <w:p w14:paraId="0805E424">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效率</w:t>
                  </w:r>
                </w:p>
                <w:p w14:paraId="42A90BB1">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p>
              </w:tc>
              <w:tc>
                <w:tcPr>
                  <w:tcW w:w="1259" w:type="pct"/>
                  <w:gridSpan w:val="2"/>
                  <w:noWrap w:val="0"/>
                  <w:vAlign w:val="center"/>
                </w:tcPr>
                <w:p w14:paraId="4E6F612D">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污染物排放</w:t>
                  </w:r>
                </w:p>
              </w:tc>
              <w:tc>
                <w:tcPr>
                  <w:tcW w:w="629" w:type="pct"/>
                  <w:vMerge w:val="restart"/>
                  <w:noWrap w:val="0"/>
                  <w:vAlign w:val="center"/>
                </w:tcPr>
                <w:p w14:paraId="16F5D5A2">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高度（m）</w:t>
                  </w:r>
                </w:p>
              </w:tc>
            </w:tr>
            <w:tr w14:paraId="4B5F9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9" w:hRule="atLeast"/>
              </w:trPr>
              <w:tc>
                <w:tcPr>
                  <w:tcW w:w="374" w:type="pct"/>
                  <w:vMerge w:val="continue"/>
                  <w:noWrap w:val="0"/>
                  <w:vAlign w:val="center"/>
                </w:tcPr>
                <w:p w14:paraId="0FA5DAC4">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550" w:type="pct"/>
                  <w:vMerge w:val="continue"/>
                  <w:noWrap w:val="0"/>
                  <w:vAlign w:val="center"/>
                </w:tcPr>
                <w:p w14:paraId="3B25847B">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89" w:type="pct"/>
                  <w:vMerge w:val="continue"/>
                  <w:noWrap w:val="0"/>
                  <w:vAlign w:val="center"/>
                </w:tcPr>
                <w:p w14:paraId="705708B6">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08" w:type="pct"/>
                  <w:vMerge w:val="continue"/>
                  <w:noWrap w:val="0"/>
                  <w:vAlign w:val="center"/>
                </w:tcPr>
                <w:p w14:paraId="39000551">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05" w:type="pct"/>
                  <w:vMerge w:val="continue"/>
                  <w:noWrap w:val="0"/>
                  <w:vAlign w:val="center"/>
                </w:tcPr>
                <w:p w14:paraId="4CFC97F6">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482" w:type="pct"/>
                  <w:vMerge w:val="continue"/>
                  <w:noWrap w:val="0"/>
                  <w:vAlign w:val="center"/>
                </w:tcPr>
                <w:p w14:paraId="7F16BB82">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697" w:type="pct"/>
                  <w:noWrap w:val="0"/>
                  <w:vAlign w:val="center"/>
                </w:tcPr>
                <w:p w14:paraId="4E3D405C">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排放浓度</w:t>
                  </w:r>
                </w:p>
                <w:p w14:paraId="19B58392">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mg/</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lang w:eastAsia="zh-CN"/>
                      <w14:textFill>
                        <w14:solidFill>
                          <w14:schemeClr w14:val="tx1"/>
                        </w14:solidFill>
                      </w14:textFill>
                    </w:rPr>
                    <w:t>3</w:t>
                  </w:r>
                  <w:r>
                    <w:rPr>
                      <w:rFonts w:hint="eastAsia" w:ascii="Times New Roman" w:hAnsi="Times New Roman" w:cs="Times New Roman"/>
                      <w:b w:val="0"/>
                      <w:bCs w:val="0"/>
                      <w:color w:val="000000" w:themeColor="text1"/>
                      <w:sz w:val="21"/>
                      <w:szCs w:val="21"/>
                      <w:highlight w:val="none"/>
                      <w:vertAlign w:val="baseline"/>
                      <w:lang w:eastAsia="zh-CN"/>
                      <w14:textFill>
                        <w14:solidFill>
                          <w14:schemeClr w14:val="tx1"/>
                        </w14:solidFill>
                      </w14:textFill>
                    </w:rPr>
                    <w:t>)</w:t>
                  </w:r>
                </w:p>
              </w:tc>
              <w:tc>
                <w:tcPr>
                  <w:tcW w:w="562" w:type="pct"/>
                  <w:noWrap w:val="0"/>
                  <w:vAlign w:val="center"/>
                </w:tcPr>
                <w:p w14:paraId="5CF69833">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排放量</w:t>
                  </w:r>
                </w:p>
                <w:p w14:paraId="09F4CBDD">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c>
                <w:tcPr>
                  <w:tcW w:w="629" w:type="pct"/>
                  <w:vMerge w:val="continue"/>
                  <w:noWrap w:val="0"/>
                  <w:vAlign w:val="center"/>
                </w:tcPr>
                <w:p w14:paraId="7ACAEA25">
                  <w:pPr>
                    <w:pStyle w:val="85"/>
                    <w:kinsoku w:val="0"/>
                    <w:overflowPunct w:val="0"/>
                    <w:snapToGrid w:val="0"/>
                    <w:jc w:val="cente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pPr>
                </w:p>
              </w:tc>
            </w:tr>
            <w:tr w14:paraId="2EF5D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trPr>
              <w:tc>
                <w:tcPr>
                  <w:tcW w:w="374" w:type="pct"/>
                  <w:noWrap w:val="0"/>
                  <w:vAlign w:val="center"/>
                </w:tcPr>
                <w:p w14:paraId="79B50C1E">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石灰石筒仓</w:t>
                  </w:r>
                </w:p>
              </w:tc>
              <w:tc>
                <w:tcPr>
                  <w:tcW w:w="550" w:type="pct"/>
                  <w:noWrap w:val="0"/>
                  <w:vAlign w:val="center"/>
                </w:tcPr>
                <w:p w14:paraId="2FDF2006">
                  <w:pPr>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DA0</w:t>
                  </w:r>
                  <w:r>
                    <w:rPr>
                      <w:rFonts w:hint="eastAsia" w:cs="Times New Roman"/>
                      <w:color w:val="000000" w:themeColor="text1"/>
                      <w:sz w:val="21"/>
                      <w:szCs w:val="21"/>
                      <w:highlight w:val="none"/>
                      <w:lang w:val="en-US" w:eastAsia="zh-CN"/>
                      <w14:textFill>
                        <w14:solidFill>
                          <w14:schemeClr w14:val="tx1"/>
                        </w14:solidFill>
                      </w14:textFill>
                    </w:rPr>
                    <w:t>15</w:t>
                  </w:r>
                </w:p>
              </w:tc>
              <w:tc>
                <w:tcPr>
                  <w:tcW w:w="489" w:type="pct"/>
                  <w:noWrap w:val="0"/>
                  <w:vAlign w:val="center"/>
                </w:tcPr>
                <w:p w14:paraId="7D6492D2">
                  <w:pPr>
                    <w:pStyle w:val="85"/>
                    <w:kinsoku w:val="0"/>
                    <w:overflowPunct w:val="0"/>
                    <w:snapToGrid w:val="0"/>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颗粒物</w:t>
                  </w:r>
                </w:p>
              </w:tc>
              <w:tc>
                <w:tcPr>
                  <w:tcW w:w="608" w:type="pct"/>
                  <w:noWrap w:val="0"/>
                  <w:vAlign w:val="center"/>
                </w:tcPr>
                <w:p w14:paraId="2B53AAA9">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1</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00</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w:t>
                  </w:r>
                </w:p>
              </w:tc>
              <w:tc>
                <w:tcPr>
                  <w:tcW w:w="605" w:type="pct"/>
                  <w:noWrap w:val="0"/>
                  <w:vAlign w:val="center"/>
                </w:tcPr>
                <w:p w14:paraId="3C6C584E">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0.24</w:t>
                  </w:r>
                </w:p>
              </w:tc>
              <w:tc>
                <w:tcPr>
                  <w:tcW w:w="482" w:type="pct"/>
                  <w:noWrap w:val="0"/>
                  <w:vAlign w:val="center"/>
                </w:tcPr>
                <w:p w14:paraId="32334F5A">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99</w:t>
                  </w:r>
                </w:p>
              </w:tc>
              <w:tc>
                <w:tcPr>
                  <w:tcW w:w="697" w:type="pct"/>
                  <w:noWrap w:val="0"/>
                  <w:vAlign w:val="center"/>
                </w:tcPr>
                <w:p w14:paraId="05C0BD8C">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4.31</w:t>
                  </w:r>
                </w:p>
              </w:tc>
              <w:tc>
                <w:tcPr>
                  <w:tcW w:w="562" w:type="pct"/>
                  <w:noWrap w:val="0"/>
                  <w:vAlign w:val="center"/>
                </w:tcPr>
                <w:p w14:paraId="3EA73186">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0.002</w:t>
                  </w:r>
                </w:p>
              </w:tc>
              <w:tc>
                <w:tcPr>
                  <w:tcW w:w="629" w:type="pct"/>
                  <w:noWrap w:val="0"/>
                  <w:vAlign w:val="center"/>
                </w:tcPr>
                <w:p w14:paraId="3198F699">
                  <w:pPr>
                    <w:keepNext w:val="0"/>
                    <w:keepLines w:val="0"/>
                    <w:widowControl/>
                    <w:suppressLineNumbers w:val="0"/>
                    <w:jc w:val="center"/>
                    <w:textAlignment w:val="center"/>
                    <w:rPr>
                      <w:rFonts w:hint="default" w:ascii="Times New Roman" w:hAnsi="Times New Roman"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18</w:t>
                  </w:r>
                </w:p>
              </w:tc>
            </w:tr>
            <w:tr w14:paraId="3839C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5" w:hRule="atLeast"/>
              </w:trPr>
              <w:tc>
                <w:tcPr>
                  <w:tcW w:w="3110" w:type="pct"/>
                  <w:gridSpan w:val="6"/>
                  <w:noWrap w:val="0"/>
                  <w:vAlign w:val="center"/>
                </w:tcPr>
                <w:p w14:paraId="076FC4C1">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排放</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限值</w:t>
                  </w:r>
                </w:p>
              </w:tc>
              <w:tc>
                <w:tcPr>
                  <w:tcW w:w="697" w:type="pct"/>
                  <w:noWrap w:val="0"/>
                  <w:vAlign w:val="center"/>
                </w:tcPr>
                <w:p w14:paraId="28DCFF83">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20</w:t>
                  </w:r>
                </w:p>
              </w:tc>
              <w:tc>
                <w:tcPr>
                  <w:tcW w:w="562" w:type="pct"/>
                  <w:noWrap w:val="0"/>
                  <w:vAlign w:val="center"/>
                </w:tcPr>
                <w:p w14:paraId="67DCFC28">
                  <w:pPr>
                    <w:pStyle w:val="85"/>
                    <w:kinsoku w:val="0"/>
                    <w:overflowPunct w:val="0"/>
                    <w:snapToGrid w:val="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629" w:type="pct"/>
                  <w:noWrap w:val="0"/>
                  <w:vAlign w:val="center"/>
                </w:tcPr>
                <w:p w14:paraId="2BB0A857">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r>
            <w:tr w14:paraId="7D8F2C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95" w:hRule="atLeast"/>
              </w:trPr>
              <w:tc>
                <w:tcPr>
                  <w:tcW w:w="3110" w:type="pct"/>
                  <w:gridSpan w:val="6"/>
                  <w:noWrap w:val="0"/>
                  <w:vAlign w:val="center"/>
                </w:tcPr>
                <w:p w14:paraId="559F7BA0">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达标情况</w:t>
                  </w:r>
                </w:p>
              </w:tc>
              <w:tc>
                <w:tcPr>
                  <w:tcW w:w="697" w:type="pct"/>
                  <w:noWrap w:val="0"/>
                  <w:vAlign w:val="center"/>
                </w:tcPr>
                <w:p w14:paraId="20C0471E">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达标</w:t>
                  </w:r>
                </w:p>
              </w:tc>
              <w:tc>
                <w:tcPr>
                  <w:tcW w:w="562" w:type="pct"/>
                  <w:noWrap w:val="0"/>
                  <w:vAlign w:val="center"/>
                </w:tcPr>
                <w:p w14:paraId="4BB31FED">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w:t>
                  </w:r>
                </w:p>
              </w:tc>
              <w:tc>
                <w:tcPr>
                  <w:tcW w:w="629" w:type="pct"/>
                  <w:noWrap w:val="0"/>
                  <w:vAlign w:val="center"/>
                </w:tcPr>
                <w:p w14:paraId="14703CDA">
                  <w:pPr>
                    <w:pStyle w:val="85"/>
                    <w:kinsoku w:val="0"/>
                    <w:overflowPunct w:val="0"/>
                    <w:snapToGrid w:val="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r>
          </w:tbl>
          <w:p w14:paraId="0FD70A60">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本项目废气排放情况见下表。</w:t>
            </w:r>
          </w:p>
          <w:p w14:paraId="662A8C0D">
            <w:pPr>
              <w:keepNext w:val="0"/>
              <w:keepLines w:val="0"/>
              <w:pageBreakBefore w:val="0"/>
              <w:widowControl w:val="0"/>
              <w:kinsoku/>
              <w:wordWrap/>
              <w:overflowPunct/>
              <w:topLinePunct w:val="0"/>
              <w:autoSpaceDE/>
              <w:autoSpaceDN/>
              <w:bidi w:val="0"/>
              <w:adjustRightInd/>
              <w:snapToGrid w:val="0"/>
              <w:spacing w:line="240" w:lineRule="auto"/>
              <w:ind w:firstLine="482" w:firstLineChars="200"/>
              <w:jc w:val="center"/>
              <w:textAlignment w:val="auto"/>
              <w:rPr>
                <w:rFonts w:hint="default" w:ascii="Times New Roman" w:hAnsi="Times New Roman" w:eastAsia="仿宋" w:cs="Times New Roman"/>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kern w:val="2"/>
                <w:sz w:val="24"/>
                <w:szCs w:val="24"/>
                <w:highlight w:val="none"/>
                <w:lang w:eastAsia="zh-CN"/>
                <w14:textFill>
                  <w14:solidFill>
                    <w14:schemeClr w14:val="tx1"/>
                  </w14:solidFill>
                </w14:textFill>
              </w:rPr>
              <w:t>表</w:t>
            </w:r>
            <w:r>
              <w:rPr>
                <w:rFonts w:hint="default" w:ascii="Times New Roman" w:hAnsi="Times New Roman" w:eastAsia="宋体" w:cs="Times New Roman"/>
                <w:b/>
                <w:bCs/>
                <w:color w:val="000000" w:themeColor="text1"/>
                <w:kern w:val="2"/>
                <w:sz w:val="24"/>
                <w:szCs w:val="24"/>
                <w:highlight w:val="none"/>
                <w:lang w:val="en-US" w:eastAsia="zh-CN"/>
                <w14:textFill>
                  <w14:solidFill>
                    <w14:schemeClr w14:val="tx1"/>
                  </w14:solidFill>
                </w14:textFill>
              </w:rPr>
              <w:t>4-</w:t>
            </w:r>
            <w:r>
              <w:rPr>
                <w:rFonts w:hint="eastAsia" w:cs="Times New Roman"/>
                <w:b/>
                <w:bCs/>
                <w:color w:val="000000" w:themeColor="text1"/>
                <w:kern w:val="2"/>
                <w:sz w:val="24"/>
                <w:szCs w:val="24"/>
                <w:highlight w:val="none"/>
                <w:lang w:val="en-US" w:eastAsia="zh-CN"/>
                <w14:textFill>
                  <w14:solidFill>
                    <w14:schemeClr w14:val="tx1"/>
                  </w14:solidFill>
                </w14:textFill>
              </w:rPr>
              <w:t>10</w:t>
            </w:r>
            <w:r>
              <w:rPr>
                <w:rFonts w:hint="default" w:ascii="Times New Roman" w:hAnsi="Times New Roman" w:eastAsia="宋体" w:cs="Times New Roman"/>
                <w:b/>
                <w:bCs/>
                <w:color w:val="000000" w:themeColor="text1"/>
                <w:kern w:val="2"/>
                <w:sz w:val="24"/>
                <w:szCs w:val="24"/>
                <w:highlight w:val="none"/>
                <w:lang w:eastAsia="zh-CN"/>
                <w14:textFill>
                  <w14:solidFill>
                    <w14:schemeClr w14:val="tx1"/>
                  </w14:solidFill>
                </w14:textFill>
              </w:rPr>
              <w:t>本项</w:t>
            </w:r>
            <w:r>
              <w:rPr>
                <w:rFonts w:hint="default" w:ascii="Times New Roman" w:hAnsi="Times New Roman" w:cs="Times New Roman"/>
                <w:b/>
                <w:bCs/>
                <w:color w:val="000000" w:themeColor="text1"/>
                <w:kern w:val="2"/>
                <w:sz w:val="24"/>
                <w:szCs w:val="24"/>
                <w:highlight w:val="none"/>
                <w:lang w:eastAsia="zh-CN"/>
                <w14:textFill>
                  <w14:solidFill>
                    <w14:schemeClr w14:val="tx1"/>
                  </w14:solidFill>
                </w14:textFill>
              </w:rPr>
              <w:t>目废气</w:t>
            </w:r>
            <w:r>
              <w:rPr>
                <w:rFonts w:hint="default" w:ascii="Times New Roman" w:hAnsi="Times New Roman" w:cs="Times New Roman"/>
                <w:b/>
                <w:bCs/>
                <w:color w:val="000000" w:themeColor="text1"/>
                <w:kern w:val="2"/>
                <w:sz w:val="24"/>
                <w:szCs w:val="24"/>
                <w:highlight w:val="none"/>
                <w14:textFill>
                  <w14:solidFill>
                    <w14:schemeClr w14:val="tx1"/>
                  </w14:solidFill>
                </w14:textFill>
              </w:rPr>
              <w:t>产排情况一览表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237"/>
              <w:gridCol w:w="1300"/>
              <w:gridCol w:w="1346"/>
              <w:gridCol w:w="1273"/>
              <w:gridCol w:w="1301"/>
              <w:gridCol w:w="1486"/>
            </w:tblGrid>
            <w:tr w14:paraId="2CA37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0" w:hRule="atLeast"/>
                <w:jc w:val="center"/>
              </w:trPr>
              <w:tc>
                <w:tcPr>
                  <w:tcW w:w="779" w:type="pct"/>
                  <w:vMerge w:val="restart"/>
                  <w:noWrap w:val="0"/>
                  <w:vAlign w:val="center"/>
                </w:tcPr>
                <w:p w14:paraId="68CB3298">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污染源</w:t>
                  </w:r>
                </w:p>
              </w:tc>
              <w:tc>
                <w:tcPr>
                  <w:tcW w:w="818" w:type="pct"/>
                  <w:vMerge w:val="restart"/>
                  <w:noWrap w:val="0"/>
                  <w:vAlign w:val="center"/>
                </w:tcPr>
                <w:p w14:paraId="3514B652">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w:t>
                  </w:r>
                </w:p>
              </w:tc>
              <w:tc>
                <w:tcPr>
                  <w:tcW w:w="847" w:type="pct"/>
                  <w:vMerge w:val="restart"/>
                  <w:noWrap w:val="0"/>
                  <w:vAlign w:val="center"/>
                </w:tcPr>
                <w:p w14:paraId="7DF45FBD">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w:t>
                  </w:r>
                </w:p>
                <w:p w14:paraId="1E30F080">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产生</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量</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c>
                <w:tcPr>
                  <w:tcW w:w="801" w:type="pct"/>
                  <w:vMerge w:val="restart"/>
                  <w:noWrap w:val="0"/>
                  <w:vAlign w:val="center"/>
                </w:tcPr>
                <w:p w14:paraId="4F3F82E7">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处理</w:t>
                  </w:r>
                </w:p>
                <w:p w14:paraId="286A0CA9">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效率</w:t>
                  </w: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w:t>
                  </w:r>
                </w:p>
              </w:tc>
              <w:tc>
                <w:tcPr>
                  <w:tcW w:w="1754" w:type="pct"/>
                  <w:gridSpan w:val="2"/>
                  <w:noWrap w:val="0"/>
                  <w:vAlign w:val="center"/>
                </w:tcPr>
                <w:p w14:paraId="2BE1B025">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污染物排放</w:t>
                  </w:r>
                </w:p>
              </w:tc>
            </w:tr>
            <w:tr w14:paraId="2C750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779" w:type="pct"/>
                  <w:vMerge w:val="continue"/>
                  <w:noWrap w:val="0"/>
                  <w:vAlign w:val="center"/>
                </w:tcPr>
                <w:p w14:paraId="35F03A0E">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818" w:type="pct"/>
                  <w:vMerge w:val="continue"/>
                  <w:noWrap w:val="0"/>
                  <w:vAlign w:val="center"/>
                </w:tcPr>
                <w:p w14:paraId="53D8B745">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847" w:type="pct"/>
                  <w:vMerge w:val="continue"/>
                  <w:noWrap w:val="0"/>
                  <w:vAlign w:val="center"/>
                </w:tcPr>
                <w:p w14:paraId="06BE1091">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801" w:type="pct"/>
                  <w:vMerge w:val="continue"/>
                  <w:noWrap w:val="0"/>
                  <w:vAlign w:val="center"/>
                </w:tcPr>
                <w:p w14:paraId="27849BB0">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819" w:type="pct"/>
                  <w:noWrap w:val="0"/>
                  <w:vAlign w:val="center"/>
                </w:tcPr>
                <w:p w14:paraId="15CFFD70">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排放浓度</w:t>
                  </w:r>
                </w:p>
                <w:p w14:paraId="17B4501D">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mg/</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m</w:t>
                  </w:r>
                  <w:r>
                    <w:rPr>
                      <w:rFonts w:hint="default" w:ascii="Times New Roman" w:hAnsi="Times New Roman" w:eastAsia="宋体" w:cs="Times New Roman"/>
                      <w:b w:val="0"/>
                      <w:bCs w:val="0"/>
                      <w:color w:val="000000" w:themeColor="text1"/>
                      <w:sz w:val="21"/>
                      <w:szCs w:val="21"/>
                      <w:highlight w:val="none"/>
                      <w:vertAlign w:val="superscript"/>
                      <w:lang w:eastAsia="zh-CN"/>
                      <w14:textFill>
                        <w14:solidFill>
                          <w14:schemeClr w14:val="tx1"/>
                        </w14:solidFill>
                      </w14:textFill>
                    </w:rPr>
                    <w:t>3</w:t>
                  </w:r>
                  <w:r>
                    <w:rPr>
                      <w:rFonts w:hint="eastAsia" w:ascii="Times New Roman" w:hAnsi="Times New Roman" w:cs="Times New Roman"/>
                      <w:b w:val="0"/>
                      <w:bCs w:val="0"/>
                      <w:color w:val="000000" w:themeColor="text1"/>
                      <w:sz w:val="21"/>
                      <w:szCs w:val="21"/>
                      <w:highlight w:val="none"/>
                      <w:vertAlign w:val="baseline"/>
                      <w:lang w:eastAsia="zh-CN"/>
                      <w14:textFill>
                        <w14:solidFill>
                          <w14:schemeClr w14:val="tx1"/>
                        </w14:solidFill>
                      </w14:textFill>
                    </w:rPr>
                    <w:t>)</w:t>
                  </w:r>
                </w:p>
              </w:tc>
              <w:tc>
                <w:tcPr>
                  <w:tcW w:w="934" w:type="pct"/>
                  <w:noWrap w:val="0"/>
                  <w:vAlign w:val="center"/>
                </w:tcPr>
                <w:p w14:paraId="1E7847B5">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排放量</w:t>
                  </w:r>
                </w:p>
                <w:p w14:paraId="584B26EC">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a</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r>
            <w:tr w14:paraId="3AE5E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779" w:type="pct"/>
                  <w:noWrap w:val="0"/>
                  <w:vAlign w:val="center"/>
                </w:tcPr>
                <w:p w14:paraId="13B1971D">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DA001</w:t>
                  </w:r>
                </w:p>
              </w:tc>
              <w:tc>
                <w:tcPr>
                  <w:tcW w:w="818" w:type="pct"/>
                  <w:noWrap w:val="0"/>
                  <w:vAlign w:val="center"/>
                </w:tcPr>
                <w:p w14:paraId="60B41B63">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颗粒物</w:t>
                  </w:r>
                </w:p>
              </w:tc>
              <w:tc>
                <w:tcPr>
                  <w:tcW w:w="847" w:type="pct"/>
                  <w:noWrap w:val="0"/>
                  <w:vAlign w:val="center"/>
                </w:tcPr>
                <w:p w14:paraId="22040B16">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w:t>
                  </w:r>
                </w:p>
              </w:tc>
              <w:tc>
                <w:tcPr>
                  <w:tcW w:w="801" w:type="pct"/>
                  <w:noWrap w:val="0"/>
                  <w:vAlign w:val="center"/>
                </w:tcPr>
                <w:p w14:paraId="4E26BFC2">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99</w:t>
                  </w:r>
                </w:p>
              </w:tc>
              <w:tc>
                <w:tcPr>
                  <w:tcW w:w="819" w:type="pct"/>
                  <w:noWrap w:val="0"/>
                  <w:vAlign w:val="center"/>
                </w:tcPr>
                <w:p w14:paraId="29FF669E">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5</w:t>
                  </w:r>
                </w:p>
              </w:tc>
              <w:tc>
                <w:tcPr>
                  <w:tcW w:w="934" w:type="pct"/>
                  <w:noWrap w:val="0"/>
                  <w:vAlign w:val="center"/>
                </w:tcPr>
                <w:p w14:paraId="008339D2">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0.12</w:t>
                  </w:r>
                </w:p>
              </w:tc>
            </w:tr>
            <w:tr w14:paraId="4DDB3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779" w:type="pct"/>
                  <w:noWrap w:val="0"/>
                  <w:vAlign w:val="center"/>
                </w:tcPr>
                <w:p w14:paraId="3BB2349A">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DA002</w:t>
                  </w:r>
                </w:p>
              </w:tc>
              <w:tc>
                <w:tcPr>
                  <w:tcW w:w="818" w:type="pct"/>
                  <w:noWrap w:val="0"/>
                  <w:vAlign w:val="center"/>
                </w:tcPr>
                <w:p w14:paraId="550E2BD7">
                  <w:pPr>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颗粒物</w:t>
                  </w:r>
                </w:p>
              </w:tc>
              <w:tc>
                <w:tcPr>
                  <w:tcW w:w="847" w:type="pct"/>
                  <w:noWrap w:val="0"/>
                  <w:vAlign w:val="center"/>
                </w:tcPr>
                <w:p w14:paraId="2583FFD5">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12</w:t>
                  </w:r>
                </w:p>
              </w:tc>
              <w:tc>
                <w:tcPr>
                  <w:tcW w:w="801" w:type="pct"/>
                  <w:noWrap w:val="0"/>
                  <w:vAlign w:val="center"/>
                </w:tcPr>
                <w:p w14:paraId="581C56EA">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99</w:t>
                  </w:r>
                </w:p>
              </w:tc>
              <w:tc>
                <w:tcPr>
                  <w:tcW w:w="819" w:type="pct"/>
                  <w:noWrap w:val="0"/>
                  <w:vAlign w:val="center"/>
                </w:tcPr>
                <w:p w14:paraId="43383BF0">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5</w:t>
                  </w:r>
                </w:p>
              </w:tc>
              <w:tc>
                <w:tcPr>
                  <w:tcW w:w="934" w:type="pct"/>
                  <w:noWrap w:val="0"/>
                  <w:vAlign w:val="center"/>
                </w:tcPr>
                <w:p w14:paraId="0743B09E">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0.12</w:t>
                  </w:r>
                </w:p>
              </w:tc>
            </w:tr>
            <w:tr w14:paraId="549DF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779" w:type="pct"/>
                  <w:noWrap w:val="0"/>
                  <w:vAlign w:val="center"/>
                </w:tcPr>
                <w:p w14:paraId="3DA1B468">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DA003</w:t>
                  </w:r>
                </w:p>
              </w:tc>
              <w:tc>
                <w:tcPr>
                  <w:tcW w:w="818" w:type="pct"/>
                  <w:noWrap w:val="0"/>
                  <w:vAlign w:val="center"/>
                </w:tcPr>
                <w:p w14:paraId="5B367B18">
                  <w:pPr>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颗粒物</w:t>
                  </w:r>
                </w:p>
              </w:tc>
              <w:tc>
                <w:tcPr>
                  <w:tcW w:w="847" w:type="pct"/>
                  <w:noWrap w:val="0"/>
                  <w:vAlign w:val="center"/>
                </w:tcPr>
                <w:p w14:paraId="3FAFC5CD">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24</w:t>
                  </w:r>
                </w:p>
              </w:tc>
              <w:tc>
                <w:tcPr>
                  <w:tcW w:w="801" w:type="pct"/>
                  <w:noWrap w:val="0"/>
                  <w:vAlign w:val="center"/>
                </w:tcPr>
                <w:p w14:paraId="4ED1CFEA">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99</w:t>
                  </w:r>
                </w:p>
              </w:tc>
              <w:tc>
                <w:tcPr>
                  <w:tcW w:w="819" w:type="pct"/>
                  <w:noWrap w:val="0"/>
                  <w:vAlign w:val="center"/>
                </w:tcPr>
                <w:p w14:paraId="1EF885C1">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24</w:t>
                  </w:r>
                </w:p>
              </w:tc>
              <w:tc>
                <w:tcPr>
                  <w:tcW w:w="934" w:type="pct"/>
                  <w:noWrap w:val="0"/>
                  <w:vAlign w:val="center"/>
                </w:tcPr>
                <w:p w14:paraId="6F251ED7">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24</w:t>
                  </w:r>
                </w:p>
              </w:tc>
            </w:tr>
            <w:tr w14:paraId="34157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779" w:type="pct"/>
                  <w:noWrap w:val="0"/>
                  <w:vAlign w:val="center"/>
                </w:tcPr>
                <w:p w14:paraId="4936588B">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DA004</w:t>
                  </w:r>
                </w:p>
              </w:tc>
              <w:tc>
                <w:tcPr>
                  <w:tcW w:w="818" w:type="pct"/>
                  <w:noWrap w:val="0"/>
                  <w:vAlign w:val="center"/>
                </w:tcPr>
                <w:p w14:paraId="7F039FB0">
                  <w:pPr>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颗粒物</w:t>
                  </w:r>
                </w:p>
              </w:tc>
              <w:tc>
                <w:tcPr>
                  <w:tcW w:w="847" w:type="pct"/>
                  <w:noWrap w:val="0"/>
                  <w:vAlign w:val="center"/>
                </w:tcPr>
                <w:p w14:paraId="552B3D85">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4</w:t>
                  </w:r>
                </w:p>
              </w:tc>
              <w:tc>
                <w:tcPr>
                  <w:tcW w:w="801" w:type="pct"/>
                  <w:noWrap w:val="0"/>
                  <w:vAlign w:val="center"/>
                </w:tcPr>
                <w:p w14:paraId="28D9E02F">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99</w:t>
                  </w:r>
                </w:p>
              </w:tc>
              <w:tc>
                <w:tcPr>
                  <w:tcW w:w="819" w:type="pct"/>
                  <w:noWrap w:val="0"/>
                  <w:vAlign w:val="center"/>
                </w:tcPr>
                <w:p w14:paraId="322E3CE2">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24</w:t>
                  </w:r>
                </w:p>
              </w:tc>
              <w:tc>
                <w:tcPr>
                  <w:tcW w:w="934" w:type="pct"/>
                  <w:noWrap w:val="0"/>
                  <w:vAlign w:val="center"/>
                </w:tcPr>
                <w:p w14:paraId="5D0106C8">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0.2</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4</w:t>
                  </w:r>
                </w:p>
              </w:tc>
            </w:tr>
            <w:tr w14:paraId="71736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779" w:type="pct"/>
                  <w:noWrap w:val="0"/>
                  <w:vAlign w:val="center"/>
                </w:tcPr>
                <w:p w14:paraId="70EF3FD4">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DA00</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5</w:t>
                  </w:r>
                </w:p>
              </w:tc>
              <w:tc>
                <w:tcPr>
                  <w:tcW w:w="818" w:type="pct"/>
                  <w:shd w:val="clear" w:color="auto" w:fill="auto"/>
                  <w:noWrap w:val="0"/>
                  <w:vAlign w:val="center"/>
                </w:tcPr>
                <w:p w14:paraId="1C564649">
                  <w:pPr>
                    <w:pStyle w:val="85"/>
                    <w:kinsoku w:val="0"/>
                    <w:overflowPunct w:val="0"/>
                    <w:snapToGrid w:val="0"/>
                    <w:ind w:firstLine="0" w:firstLineChars="0"/>
                    <w:jc w:val="center"/>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颗粒物</w:t>
                  </w:r>
                </w:p>
              </w:tc>
              <w:tc>
                <w:tcPr>
                  <w:tcW w:w="847" w:type="pct"/>
                  <w:shd w:val="clear" w:color="auto" w:fill="auto"/>
                  <w:noWrap w:val="0"/>
                  <w:vAlign w:val="center"/>
                </w:tcPr>
                <w:p w14:paraId="74055CD6">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20</w:t>
                  </w:r>
                </w:p>
              </w:tc>
              <w:tc>
                <w:tcPr>
                  <w:tcW w:w="801" w:type="pct"/>
                  <w:shd w:val="clear" w:color="auto" w:fill="auto"/>
                  <w:noWrap w:val="0"/>
                  <w:vAlign w:val="center"/>
                </w:tcPr>
                <w:p w14:paraId="6E1FF3A3">
                  <w:pPr>
                    <w:kinsoku w:val="0"/>
                    <w:overflowPunct w:val="0"/>
                    <w:snapToGrid w:val="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99</w:t>
                  </w:r>
                </w:p>
              </w:tc>
              <w:tc>
                <w:tcPr>
                  <w:tcW w:w="819" w:type="pct"/>
                  <w:shd w:val="clear" w:color="auto" w:fill="auto"/>
                  <w:noWrap w:val="0"/>
                  <w:vAlign w:val="center"/>
                </w:tcPr>
                <w:p w14:paraId="40F13223">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8.33</w:t>
                  </w:r>
                </w:p>
              </w:tc>
              <w:tc>
                <w:tcPr>
                  <w:tcW w:w="934" w:type="pct"/>
                  <w:shd w:val="clear" w:color="auto" w:fill="auto"/>
                  <w:noWrap w:val="0"/>
                  <w:vAlign w:val="center"/>
                </w:tcPr>
                <w:p w14:paraId="0F613D43">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2</w:t>
                  </w:r>
                </w:p>
              </w:tc>
            </w:tr>
            <w:tr w14:paraId="07019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779" w:type="pct"/>
                  <w:vMerge w:val="restart"/>
                  <w:noWrap w:val="0"/>
                  <w:vAlign w:val="center"/>
                </w:tcPr>
                <w:p w14:paraId="3226EE9D">
                  <w:pPr>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DA00</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6</w:t>
                  </w:r>
                </w:p>
              </w:tc>
              <w:tc>
                <w:tcPr>
                  <w:tcW w:w="818" w:type="pct"/>
                  <w:noWrap w:val="0"/>
                  <w:vAlign w:val="center"/>
                </w:tcPr>
                <w:p w14:paraId="5C0D34EA">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颗粒物</w:t>
                  </w:r>
                </w:p>
              </w:tc>
              <w:tc>
                <w:tcPr>
                  <w:tcW w:w="847" w:type="pct"/>
                  <w:noWrap w:val="0"/>
                  <w:vAlign w:val="center"/>
                </w:tcPr>
                <w:p w14:paraId="309F7523">
                  <w:pPr>
                    <w:pStyle w:val="85"/>
                    <w:kinsoku w:val="0"/>
                    <w:overflowPunct w:val="0"/>
                    <w:snapToGrid w:val="0"/>
                    <w:ind w:firstLine="0" w:firstLineChars="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720</w:t>
                  </w:r>
                </w:p>
              </w:tc>
              <w:tc>
                <w:tcPr>
                  <w:tcW w:w="801" w:type="pct"/>
                  <w:noWrap w:val="0"/>
                  <w:vAlign w:val="center"/>
                </w:tcPr>
                <w:p w14:paraId="12C2CD6D">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99</w:t>
                  </w:r>
                </w:p>
              </w:tc>
              <w:tc>
                <w:tcPr>
                  <w:tcW w:w="819" w:type="pct"/>
                  <w:noWrap w:val="0"/>
                  <w:vAlign w:val="center"/>
                </w:tcPr>
                <w:p w14:paraId="624B4DC9">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i w:val="0"/>
                      <w:color w:val="000000" w:themeColor="text1"/>
                      <w:kern w:val="0"/>
                      <w:sz w:val="21"/>
                      <w:szCs w:val="21"/>
                      <w:highlight w:val="none"/>
                      <w:u w:val="none"/>
                      <w:lang w:val="en-US" w:eastAsia="zh-CN" w:bidi="ar"/>
                      <w14:textFill>
                        <w14:solidFill>
                          <w14:schemeClr w14:val="tx1"/>
                        </w14:solidFill>
                      </w14:textFill>
                    </w:rPr>
                    <w:t>7.01</w:t>
                  </w:r>
                </w:p>
              </w:tc>
              <w:tc>
                <w:tcPr>
                  <w:tcW w:w="934" w:type="pct"/>
                  <w:noWrap w:val="0"/>
                  <w:vAlign w:val="center"/>
                </w:tcPr>
                <w:p w14:paraId="35C9DCE3">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i w:val="0"/>
                      <w:color w:val="000000" w:themeColor="text1"/>
                      <w:kern w:val="0"/>
                      <w:sz w:val="21"/>
                      <w:szCs w:val="21"/>
                      <w:highlight w:val="none"/>
                      <w:u w:val="none"/>
                      <w:lang w:val="en-US" w:eastAsia="zh-CN" w:bidi="ar"/>
                      <w14:textFill>
                        <w14:solidFill>
                          <w14:schemeClr w14:val="tx1"/>
                        </w14:solidFill>
                      </w14:textFill>
                    </w:rPr>
                    <w:t>7.2</w:t>
                  </w:r>
                </w:p>
              </w:tc>
            </w:tr>
            <w:tr w14:paraId="4F2C8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779" w:type="pct"/>
                  <w:vMerge w:val="continue"/>
                  <w:noWrap w:val="0"/>
                  <w:vAlign w:val="center"/>
                </w:tcPr>
                <w:p w14:paraId="0F05E4D6">
                  <w:pPr>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818" w:type="pct"/>
                  <w:noWrap w:val="0"/>
                  <w:vAlign w:val="center"/>
                </w:tcPr>
                <w:p w14:paraId="354D2BD9">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二氧化硫</w:t>
                  </w:r>
                </w:p>
              </w:tc>
              <w:tc>
                <w:tcPr>
                  <w:tcW w:w="847" w:type="pct"/>
                  <w:noWrap w:val="0"/>
                  <w:vAlign w:val="center"/>
                </w:tcPr>
                <w:p w14:paraId="41C6687F">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394.4</w:t>
                  </w:r>
                </w:p>
              </w:tc>
              <w:tc>
                <w:tcPr>
                  <w:tcW w:w="801" w:type="pct"/>
                  <w:noWrap w:val="0"/>
                  <w:vAlign w:val="center"/>
                </w:tcPr>
                <w:p w14:paraId="1E2F798D">
                  <w:pPr>
                    <w:pStyle w:val="85"/>
                    <w:kinsoku w:val="0"/>
                    <w:overflowPunct w:val="0"/>
                    <w:snapToGrid w:val="0"/>
                    <w:ind w:firstLine="0" w:firstLineChars="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90</w:t>
                  </w:r>
                </w:p>
              </w:tc>
              <w:tc>
                <w:tcPr>
                  <w:tcW w:w="819" w:type="pct"/>
                  <w:noWrap w:val="0"/>
                  <w:vAlign w:val="center"/>
                </w:tcPr>
                <w:p w14:paraId="42C35E12">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38.41</w:t>
                  </w:r>
                </w:p>
              </w:tc>
              <w:tc>
                <w:tcPr>
                  <w:tcW w:w="934" w:type="pct"/>
                  <w:noWrap w:val="0"/>
                  <w:vAlign w:val="center"/>
                </w:tcPr>
                <w:p w14:paraId="74189E36">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39.44</w:t>
                  </w:r>
                </w:p>
              </w:tc>
            </w:tr>
            <w:tr w14:paraId="5E4A30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779" w:type="pct"/>
                  <w:vMerge w:val="continue"/>
                  <w:noWrap w:val="0"/>
                  <w:vAlign w:val="center"/>
                </w:tcPr>
                <w:p w14:paraId="2625A7AD">
                  <w:pPr>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818" w:type="pct"/>
                  <w:noWrap w:val="0"/>
                  <w:vAlign w:val="center"/>
                </w:tcPr>
                <w:p w14:paraId="7284D341">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氮氧化物</w:t>
                  </w:r>
                </w:p>
              </w:tc>
              <w:tc>
                <w:tcPr>
                  <w:tcW w:w="847" w:type="pct"/>
                  <w:noWrap w:val="0"/>
                  <w:vAlign w:val="center"/>
                </w:tcPr>
                <w:p w14:paraId="0994D0B8">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188</w:t>
                  </w:r>
                </w:p>
              </w:tc>
              <w:tc>
                <w:tcPr>
                  <w:tcW w:w="801" w:type="pct"/>
                  <w:noWrap w:val="0"/>
                  <w:vAlign w:val="center"/>
                </w:tcPr>
                <w:p w14:paraId="19AFAF9F">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i w:val="0"/>
                      <w:color w:val="000000" w:themeColor="text1"/>
                      <w:kern w:val="0"/>
                      <w:sz w:val="21"/>
                      <w:szCs w:val="21"/>
                      <w:highlight w:val="none"/>
                      <w:u w:val="none"/>
                      <w:lang w:val="en-US" w:eastAsia="zh-CN" w:bidi="ar"/>
                      <w14:textFill>
                        <w14:solidFill>
                          <w14:schemeClr w14:val="tx1"/>
                        </w14:solidFill>
                      </w14:textFill>
                    </w:rPr>
                    <w:t>50</w:t>
                  </w:r>
                </w:p>
              </w:tc>
              <w:tc>
                <w:tcPr>
                  <w:tcW w:w="819" w:type="pct"/>
                  <w:noWrap w:val="0"/>
                  <w:vAlign w:val="center"/>
                </w:tcPr>
                <w:p w14:paraId="4FA14BE5">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i w:val="0"/>
                      <w:color w:val="000000" w:themeColor="text1"/>
                      <w:kern w:val="0"/>
                      <w:sz w:val="21"/>
                      <w:szCs w:val="21"/>
                      <w:highlight w:val="none"/>
                      <w:u w:val="none"/>
                      <w:lang w:val="en-US" w:eastAsia="zh-CN" w:bidi="ar"/>
                      <w14:textFill>
                        <w14:solidFill>
                          <w14:schemeClr w14:val="tx1"/>
                        </w14:solidFill>
                      </w14:textFill>
                    </w:rPr>
                    <w:t>91.55</w:t>
                  </w:r>
                </w:p>
              </w:tc>
              <w:tc>
                <w:tcPr>
                  <w:tcW w:w="934" w:type="pct"/>
                  <w:noWrap w:val="0"/>
                  <w:vAlign w:val="center"/>
                </w:tcPr>
                <w:p w14:paraId="4AB35992">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i w:val="0"/>
                      <w:color w:val="000000" w:themeColor="text1"/>
                      <w:kern w:val="0"/>
                      <w:sz w:val="21"/>
                      <w:szCs w:val="21"/>
                      <w:highlight w:val="none"/>
                      <w:u w:val="none"/>
                      <w:lang w:val="en-US" w:eastAsia="zh-CN" w:bidi="ar"/>
                      <w14:textFill>
                        <w14:solidFill>
                          <w14:schemeClr w14:val="tx1"/>
                        </w14:solidFill>
                      </w14:textFill>
                    </w:rPr>
                    <w:t>94</w:t>
                  </w:r>
                </w:p>
              </w:tc>
            </w:tr>
            <w:tr w14:paraId="66A63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779" w:type="pct"/>
                  <w:vMerge w:val="continue"/>
                  <w:noWrap w:val="0"/>
                  <w:vAlign w:val="center"/>
                </w:tcPr>
                <w:p w14:paraId="3E1506EB">
                  <w:pPr>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818" w:type="pct"/>
                  <w:noWrap w:val="0"/>
                  <w:vAlign w:val="center"/>
                </w:tcPr>
                <w:p w14:paraId="77C50CDE">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氨</w:t>
                  </w:r>
                </w:p>
              </w:tc>
              <w:tc>
                <w:tcPr>
                  <w:tcW w:w="847" w:type="pct"/>
                  <w:noWrap w:val="0"/>
                  <w:vAlign w:val="center"/>
                </w:tcPr>
                <w:p w14:paraId="3DC31AA1">
                  <w:pPr>
                    <w:keepNext w:val="0"/>
                    <w:keepLines w:val="0"/>
                    <w:widowControl/>
                    <w:suppressLineNumbers w:val="0"/>
                    <w:jc w:val="center"/>
                    <w:textAlignment w:val="center"/>
                    <w:rPr>
                      <w:rFonts w:hint="default"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7.19</w:t>
                  </w:r>
                </w:p>
              </w:tc>
              <w:tc>
                <w:tcPr>
                  <w:tcW w:w="801" w:type="pct"/>
                  <w:noWrap w:val="0"/>
                  <w:vAlign w:val="center"/>
                </w:tcPr>
                <w:p w14:paraId="0E56B431">
                  <w:pPr>
                    <w:pStyle w:val="85"/>
                    <w:kinsoku w:val="0"/>
                    <w:overflowPunct w:val="0"/>
                    <w:snapToGrid w:val="0"/>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50</w:t>
                  </w:r>
                </w:p>
              </w:tc>
              <w:tc>
                <w:tcPr>
                  <w:tcW w:w="819" w:type="pct"/>
                  <w:noWrap w:val="0"/>
                  <w:vAlign w:val="center"/>
                </w:tcPr>
                <w:p w14:paraId="135F8363">
                  <w:pPr>
                    <w:keepNext w:val="0"/>
                    <w:keepLines w:val="0"/>
                    <w:widowControl/>
                    <w:suppressLineNumbers w:val="0"/>
                    <w:jc w:val="center"/>
                    <w:textAlignment w:val="center"/>
                    <w:rPr>
                      <w:rFonts w:hint="default"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3.5</w:t>
                  </w:r>
                </w:p>
              </w:tc>
              <w:tc>
                <w:tcPr>
                  <w:tcW w:w="934" w:type="pct"/>
                  <w:noWrap w:val="0"/>
                  <w:vAlign w:val="center"/>
                </w:tcPr>
                <w:p w14:paraId="22587A9A">
                  <w:pPr>
                    <w:keepNext w:val="0"/>
                    <w:keepLines w:val="0"/>
                    <w:widowControl/>
                    <w:suppressLineNumbers w:val="0"/>
                    <w:jc w:val="center"/>
                    <w:textAlignment w:val="center"/>
                    <w:rPr>
                      <w:rFonts w:hint="default"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3.6</w:t>
                  </w:r>
                </w:p>
              </w:tc>
            </w:tr>
            <w:tr w14:paraId="4A2BF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779" w:type="pct"/>
                  <w:noWrap w:val="0"/>
                  <w:vAlign w:val="center"/>
                </w:tcPr>
                <w:p w14:paraId="61C0FF99">
                  <w:pPr>
                    <w:kinsoku w:val="0"/>
                    <w:overflowPunct w:val="0"/>
                    <w:snapToGrid w:val="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DA007</w:t>
                  </w:r>
                </w:p>
              </w:tc>
              <w:tc>
                <w:tcPr>
                  <w:tcW w:w="818" w:type="pct"/>
                  <w:noWrap w:val="0"/>
                  <w:vAlign w:val="center"/>
                </w:tcPr>
                <w:p w14:paraId="3F54A016">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颗粒物</w:t>
                  </w:r>
                </w:p>
              </w:tc>
              <w:tc>
                <w:tcPr>
                  <w:tcW w:w="847" w:type="pct"/>
                  <w:noWrap w:val="0"/>
                  <w:vAlign w:val="center"/>
                </w:tcPr>
                <w:p w14:paraId="10CFBF25">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6</w:t>
                  </w:r>
                </w:p>
              </w:tc>
              <w:tc>
                <w:tcPr>
                  <w:tcW w:w="801" w:type="pct"/>
                  <w:noWrap w:val="0"/>
                  <w:vAlign w:val="center"/>
                </w:tcPr>
                <w:p w14:paraId="2FE64EC6">
                  <w:pPr>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99</w:t>
                  </w:r>
                </w:p>
              </w:tc>
              <w:tc>
                <w:tcPr>
                  <w:tcW w:w="819" w:type="pct"/>
                  <w:noWrap w:val="0"/>
                  <w:vAlign w:val="center"/>
                </w:tcPr>
                <w:p w14:paraId="79265E26">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8.33</w:t>
                  </w:r>
                </w:p>
              </w:tc>
              <w:tc>
                <w:tcPr>
                  <w:tcW w:w="934" w:type="pct"/>
                  <w:noWrap w:val="0"/>
                  <w:vAlign w:val="center"/>
                </w:tcPr>
                <w:p w14:paraId="11BE94FE">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0.2</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6</w:t>
                  </w:r>
                </w:p>
              </w:tc>
            </w:tr>
            <w:tr w14:paraId="74950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779" w:type="pct"/>
                  <w:noWrap w:val="0"/>
                  <w:vAlign w:val="center"/>
                </w:tcPr>
                <w:p w14:paraId="2BC56CF3">
                  <w:pPr>
                    <w:kinsoku w:val="0"/>
                    <w:overflowPunct w:val="0"/>
                    <w:snapToGrid w:val="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DA008</w:t>
                  </w:r>
                </w:p>
              </w:tc>
              <w:tc>
                <w:tcPr>
                  <w:tcW w:w="818" w:type="pct"/>
                  <w:noWrap w:val="0"/>
                  <w:vAlign w:val="center"/>
                </w:tcPr>
                <w:p w14:paraId="0AB067F8">
                  <w:pPr>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颗粒物</w:t>
                  </w:r>
                </w:p>
              </w:tc>
              <w:tc>
                <w:tcPr>
                  <w:tcW w:w="847" w:type="pct"/>
                  <w:noWrap w:val="0"/>
                  <w:vAlign w:val="center"/>
                </w:tcPr>
                <w:p w14:paraId="7A93D1B1">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38</w:t>
                  </w:r>
                </w:p>
              </w:tc>
              <w:tc>
                <w:tcPr>
                  <w:tcW w:w="801" w:type="pct"/>
                  <w:noWrap w:val="0"/>
                  <w:vAlign w:val="center"/>
                </w:tcPr>
                <w:p w14:paraId="3E7FA9E6">
                  <w:pPr>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99</w:t>
                  </w:r>
                </w:p>
              </w:tc>
              <w:tc>
                <w:tcPr>
                  <w:tcW w:w="819" w:type="pct"/>
                  <w:noWrap w:val="0"/>
                  <w:vAlign w:val="center"/>
                </w:tcPr>
                <w:p w14:paraId="2D1DC0B4">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86.22</w:t>
                  </w:r>
                </w:p>
              </w:tc>
              <w:tc>
                <w:tcPr>
                  <w:tcW w:w="934" w:type="pct"/>
                  <w:noWrap w:val="0"/>
                  <w:vAlign w:val="center"/>
                </w:tcPr>
                <w:p w14:paraId="792FD378">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2.38</w:t>
                  </w:r>
                </w:p>
              </w:tc>
            </w:tr>
            <w:tr w14:paraId="60342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779" w:type="pct"/>
                  <w:noWrap w:val="0"/>
                  <w:vAlign w:val="center"/>
                </w:tcPr>
                <w:p w14:paraId="0A12FD55">
                  <w:pPr>
                    <w:kinsoku w:val="0"/>
                    <w:overflowPunct w:val="0"/>
                    <w:snapToGrid w:val="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DA009</w:t>
                  </w:r>
                </w:p>
              </w:tc>
              <w:tc>
                <w:tcPr>
                  <w:tcW w:w="818" w:type="pct"/>
                  <w:noWrap w:val="0"/>
                  <w:vAlign w:val="center"/>
                </w:tcPr>
                <w:p w14:paraId="5CE9F774">
                  <w:pPr>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颗粒物</w:t>
                  </w:r>
                </w:p>
              </w:tc>
              <w:tc>
                <w:tcPr>
                  <w:tcW w:w="847" w:type="pct"/>
                  <w:noWrap w:val="0"/>
                  <w:vAlign w:val="center"/>
                </w:tcPr>
                <w:p w14:paraId="4B57D45C">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9.6</w:t>
                  </w:r>
                </w:p>
              </w:tc>
              <w:tc>
                <w:tcPr>
                  <w:tcW w:w="801" w:type="pct"/>
                  <w:noWrap w:val="0"/>
                  <w:vAlign w:val="center"/>
                </w:tcPr>
                <w:p w14:paraId="07A69048">
                  <w:pPr>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99</w:t>
                  </w:r>
                </w:p>
              </w:tc>
              <w:tc>
                <w:tcPr>
                  <w:tcW w:w="819" w:type="pct"/>
                  <w:noWrap w:val="0"/>
                  <w:vAlign w:val="center"/>
                </w:tcPr>
                <w:p w14:paraId="1DAD30AE">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8.33</w:t>
                  </w:r>
                </w:p>
              </w:tc>
              <w:tc>
                <w:tcPr>
                  <w:tcW w:w="934" w:type="pct"/>
                  <w:noWrap w:val="0"/>
                  <w:vAlign w:val="center"/>
                </w:tcPr>
                <w:p w14:paraId="4C877232">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w:t>
                  </w:r>
                  <w:r>
                    <w:rPr>
                      <w:rFonts w:hint="default" w:ascii="Times New Roman" w:hAnsi="Times New Roman" w:cs="Times New Roman"/>
                      <w:i w:val="0"/>
                      <w:color w:val="000000" w:themeColor="text1"/>
                      <w:kern w:val="0"/>
                      <w:sz w:val="21"/>
                      <w:szCs w:val="21"/>
                      <w:highlight w:val="none"/>
                      <w:u w:val="none"/>
                      <w:lang w:val="en-US" w:eastAsia="zh-CN" w:bidi="ar"/>
                      <w14:textFill>
                        <w14:solidFill>
                          <w14:schemeClr w14:val="tx1"/>
                        </w14:solidFill>
                      </w14:textFill>
                    </w:rPr>
                    <w:t>096</w:t>
                  </w:r>
                </w:p>
              </w:tc>
            </w:tr>
            <w:tr w14:paraId="39E66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779" w:type="pct"/>
                  <w:noWrap w:val="0"/>
                  <w:vAlign w:val="center"/>
                </w:tcPr>
                <w:p w14:paraId="5495FF89">
                  <w:pPr>
                    <w:kinsoku w:val="0"/>
                    <w:overflowPunct w:val="0"/>
                    <w:snapToGrid w:val="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DA010</w:t>
                  </w:r>
                </w:p>
              </w:tc>
              <w:tc>
                <w:tcPr>
                  <w:tcW w:w="818" w:type="pct"/>
                  <w:noWrap w:val="0"/>
                  <w:vAlign w:val="center"/>
                </w:tcPr>
                <w:p w14:paraId="4892E916">
                  <w:pPr>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颗粒物</w:t>
                  </w:r>
                </w:p>
              </w:tc>
              <w:tc>
                <w:tcPr>
                  <w:tcW w:w="847" w:type="pct"/>
                  <w:noWrap w:val="0"/>
                  <w:vAlign w:val="center"/>
                </w:tcPr>
                <w:p w14:paraId="2489CE23">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kern w:val="2"/>
                      <w:sz w:val="21"/>
                      <w:szCs w:val="21"/>
                      <w:highlight w:val="none"/>
                      <w:lang w:val="en-US" w:eastAsia="zh-CN" w:bidi="ar-SA"/>
                      <w14:textFill>
                        <w14:solidFill>
                          <w14:schemeClr w14:val="tx1"/>
                        </w14:solidFill>
                      </w14:textFill>
                    </w:rPr>
                    <w:t>9.6</w:t>
                  </w:r>
                </w:p>
              </w:tc>
              <w:tc>
                <w:tcPr>
                  <w:tcW w:w="801" w:type="pct"/>
                  <w:noWrap w:val="0"/>
                  <w:vAlign w:val="center"/>
                </w:tcPr>
                <w:p w14:paraId="112EA2DE">
                  <w:pPr>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99</w:t>
                  </w:r>
                </w:p>
              </w:tc>
              <w:tc>
                <w:tcPr>
                  <w:tcW w:w="819" w:type="pct"/>
                  <w:noWrap w:val="0"/>
                  <w:vAlign w:val="center"/>
                </w:tcPr>
                <w:p w14:paraId="65875542">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8.33</w:t>
                  </w:r>
                </w:p>
              </w:tc>
              <w:tc>
                <w:tcPr>
                  <w:tcW w:w="934" w:type="pct"/>
                  <w:noWrap w:val="0"/>
                  <w:vAlign w:val="center"/>
                </w:tcPr>
                <w:p w14:paraId="3EB7D71D">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w:t>
                  </w:r>
                  <w:r>
                    <w:rPr>
                      <w:rFonts w:hint="default" w:ascii="Times New Roman" w:hAnsi="Times New Roman" w:cs="Times New Roman"/>
                      <w:i w:val="0"/>
                      <w:color w:val="000000" w:themeColor="text1"/>
                      <w:kern w:val="0"/>
                      <w:sz w:val="21"/>
                      <w:szCs w:val="21"/>
                      <w:highlight w:val="none"/>
                      <w:u w:val="none"/>
                      <w:lang w:val="en-US" w:eastAsia="zh-CN" w:bidi="ar"/>
                      <w14:textFill>
                        <w14:solidFill>
                          <w14:schemeClr w14:val="tx1"/>
                        </w14:solidFill>
                      </w14:textFill>
                    </w:rPr>
                    <w:t>096</w:t>
                  </w:r>
                </w:p>
              </w:tc>
            </w:tr>
            <w:tr w14:paraId="2F74B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779" w:type="pct"/>
                  <w:shd w:val="clear" w:color="auto" w:fill="auto"/>
                  <w:noWrap w:val="0"/>
                  <w:vAlign w:val="center"/>
                </w:tcPr>
                <w:p w14:paraId="007F9099">
                  <w:pPr>
                    <w:kinsoku w:val="0"/>
                    <w:overflowPunct w:val="0"/>
                    <w:snapToGrid w:val="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DA01</w:t>
                  </w:r>
                  <w:r>
                    <w:rPr>
                      <w:rFonts w:hint="eastAsia" w:cs="Times New Roman"/>
                      <w:b w:val="0"/>
                      <w:bCs w:val="0"/>
                      <w:color w:val="000000" w:themeColor="text1"/>
                      <w:sz w:val="21"/>
                      <w:szCs w:val="21"/>
                      <w:highlight w:val="none"/>
                      <w:lang w:val="en-US" w:eastAsia="zh-CN"/>
                      <w14:textFill>
                        <w14:solidFill>
                          <w14:schemeClr w14:val="tx1"/>
                        </w14:solidFill>
                      </w14:textFill>
                    </w:rPr>
                    <w:t>2</w:t>
                  </w:r>
                </w:p>
              </w:tc>
              <w:tc>
                <w:tcPr>
                  <w:tcW w:w="818" w:type="pct"/>
                  <w:noWrap w:val="0"/>
                  <w:vAlign w:val="center"/>
                </w:tcPr>
                <w:p w14:paraId="1A9CE174">
                  <w:pPr>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颗粒物</w:t>
                  </w:r>
                </w:p>
              </w:tc>
              <w:tc>
                <w:tcPr>
                  <w:tcW w:w="847" w:type="pct"/>
                  <w:noWrap w:val="0"/>
                  <w:vAlign w:val="center"/>
                </w:tcPr>
                <w:p w14:paraId="1E09E91B">
                  <w:pPr>
                    <w:keepNext w:val="0"/>
                    <w:keepLines w:val="0"/>
                    <w:widowControl/>
                    <w:suppressLineNumbers w:val="0"/>
                    <w:jc w:val="center"/>
                    <w:textAlignment w:val="center"/>
                    <w:rPr>
                      <w:rFonts w:hint="default" w:ascii="Times New Roman" w:hAnsi="Times New Roman"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kern w:val="2"/>
                      <w:sz w:val="21"/>
                      <w:szCs w:val="21"/>
                      <w:highlight w:val="none"/>
                      <w:lang w:val="en-US" w:eastAsia="zh-CN" w:bidi="ar-SA"/>
                      <w14:textFill>
                        <w14:solidFill>
                          <w14:schemeClr w14:val="tx1"/>
                        </w14:solidFill>
                      </w14:textFill>
                    </w:rPr>
                    <w:t>4.8</w:t>
                  </w:r>
                </w:p>
              </w:tc>
              <w:tc>
                <w:tcPr>
                  <w:tcW w:w="801" w:type="pct"/>
                  <w:noWrap w:val="0"/>
                  <w:vAlign w:val="center"/>
                </w:tcPr>
                <w:p w14:paraId="3D5BDB2B">
                  <w:pPr>
                    <w:pStyle w:val="85"/>
                    <w:kinsoku w:val="0"/>
                    <w:overflowPunct w:val="0"/>
                    <w:snapToGrid w:val="0"/>
                    <w:ind w:firstLine="0" w:firstLineChars="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99</w:t>
                  </w:r>
                </w:p>
              </w:tc>
              <w:tc>
                <w:tcPr>
                  <w:tcW w:w="819" w:type="pct"/>
                  <w:noWrap w:val="0"/>
                  <w:vAlign w:val="center"/>
                </w:tcPr>
                <w:p w14:paraId="51C0C666">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i w:val="0"/>
                      <w:color w:val="000000" w:themeColor="text1"/>
                      <w:kern w:val="0"/>
                      <w:sz w:val="21"/>
                      <w:szCs w:val="21"/>
                      <w:highlight w:val="none"/>
                      <w:u w:val="none"/>
                      <w:lang w:val="en-US" w:eastAsia="zh-CN" w:bidi="ar"/>
                      <w14:textFill>
                        <w14:solidFill>
                          <w14:schemeClr w14:val="tx1"/>
                        </w14:solidFill>
                      </w14:textFill>
                    </w:rPr>
                    <w:t>4.16</w:t>
                  </w:r>
                </w:p>
              </w:tc>
              <w:tc>
                <w:tcPr>
                  <w:tcW w:w="934" w:type="pct"/>
                  <w:noWrap w:val="0"/>
                  <w:vAlign w:val="center"/>
                </w:tcPr>
                <w:p w14:paraId="749A9AF7">
                  <w:pPr>
                    <w:keepNext w:val="0"/>
                    <w:keepLines w:val="0"/>
                    <w:widowControl/>
                    <w:suppressLineNumbers w:val="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cs="Times New Roman"/>
                      <w:i w:val="0"/>
                      <w:color w:val="000000" w:themeColor="text1"/>
                      <w:kern w:val="0"/>
                      <w:sz w:val="21"/>
                      <w:szCs w:val="21"/>
                      <w:highlight w:val="none"/>
                      <w:u w:val="none"/>
                      <w:lang w:val="en-US" w:eastAsia="zh-CN" w:bidi="ar"/>
                      <w14:textFill>
                        <w14:solidFill>
                          <w14:schemeClr w14:val="tx1"/>
                        </w14:solidFill>
                      </w14:textFill>
                    </w:rPr>
                    <w:t>0.048</w:t>
                  </w:r>
                </w:p>
              </w:tc>
            </w:tr>
            <w:tr w14:paraId="30C72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779" w:type="pct"/>
                  <w:shd w:val="clear" w:color="auto" w:fill="auto"/>
                  <w:noWrap w:val="0"/>
                  <w:vAlign w:val="center"/>
                </w:tcPr>
                <w:p w14:paraId="2586DF92">
                  <w:pPr>
                    <w:kinsoku w:val="0"/>
                    <w:overflowPunct w:val="0"/>
                    <w:snapToGrid w:val="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DA01</w:t>
                  </w:r>
                  <w:r>
                    <w:rPr>
                      <w:rFonts w:hint="eastAsia" w:cs="Times New Roman"/>
                      <w:b w:val="0"/>
                      <w:bCs w:val="0"/>
                      <w:color w:val="000000" w:themeColor="text1"/>
                      <w:sz w:val="21"/>
                      <w:szCs w:val="21"/>
                      <w:highlight w:val="none"/>
                      <w:lang w:val="en-US" w:eastAsia="zh-CN"/>
                      <w14:textFill>
                        <w14:solidFill>
                          <w14:schemeClr w14:val="tx1"/>
                        </w14:solidFill>
                      </w14:textFill>
                    </w:rPr>
                    <w:t>1</w:t>
                  </w:r>
                </w:p>
              </w:tc>
              <w:tc>
                <w:tcPr>
                  <w:tcW w:w="818" w:type="pct"/>
                  <w:noWrap w:val="0"/>
                  <w:vAlign w:val="center"/>
                </w:tcPr>
                <w:p w14:paraId="652DA386">
                  <w:pPr>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颗粒物</w:t>
                  </w:r>
                </w:p>
              </w:tc>
              <w:tc>
                <w:tcPr>
                  <w:tcW w:w="847" w:type="pct"/>
                  <w:noWrap w:val="0"/>
                  <w:vAlign w:val="center"/>
                </w:tcPr>
                <w:p w14:paraId="6480171B">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2.2</w:t>
                  </w:r>
                </w:p>
              </w:tc>
              <w:tc>
                <w:tcPr>
                  <w:tcW w:w="801" w:type="pct"/>
                  <w:noWrap w:val="0"/>
                  <w:vAlign w:val="center"/>
                </w:tcPr>
                <w:p w14:paraId="0657FE26">
                  <w:pPr>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99</w:t>
                  </w:r>
                </w:p>
              </w:tc>
              <w:tc>
                <w:tcPr>
                  <w:tcW w:w="819" w:type="pct"/>
                  <w:noWrap w:val="0"/>
                  <w:vAlign w:val="center"/>
                </w:tcPr>
                <w:p w14:paraId="7BBBC630">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20</w:t>
                  </w:r>
                </w:p>
              </w:tc>
              <w:tc>
                <w:tcPr>
                  <w:tcW w:w="934" w:type="pct"/>
                  <w:noWrap w:val="0"/>
                  <w:vAlign w:val="center"/>
                </w:tcPr>
                <w:p w14:paraId="0635E755">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02</w:t>
                  </w:r>
                </w:p>
              </w:tc>
            </w:tr>
            <w:tr w14:paraId="52D76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779" w:type="pct"/>
                  <w:noWrap w:val="0"/>
                  <w:vAlign w:val="center"/>
                </w:tcPr>
                <w:p w14:paraId="440DA7DC">
                  <w:pPr>
                    <w:kinsoku w:val="0"/>
                    <w:overflowPunct w:val="0"/>
                    <w:snapToGrid w:val="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DA01</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3</w:t>
                  </w:r>
                </w:p>
              </w:tc>
              <w:tc>
                <w:tcPr>
                  <w:tcW w:w="818" w:type="pct"/>
                  <w:noWrap w:val="0"/>
                  <w:vAlign w:val="center"/>
                </w:tcPr>
                <w:p w14:paraId="35D69A61">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颗粒物</w:t>
                  </w:r>
                </w:p>
              </w:tc>
              <w:tc>
                <w:tcPr>
                  <w:tcW w:w="847" w:type="pct"/>
                  <w:noWrap w:val="0"/>
                  <w:vAlign w:val="center"/>
                </w:tcPr>
                <w:p w14:paraId="418FE658">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r>
                    <w:rPr>
                      <w:rFonts w:hint="default" w:ascii="Times New Roman" w:hAnsi="Times New Roman" w:cs="Times New Roman"/>
                      <w:i w:val="0"/>
                      <w:iCs w:val="0"/>
                      <w:color w:val="000000" w:themeColor="text1"/>
                      <w:kern w:val="0"/>
                      <w:sz w:val="21"/>
                      <w:szCs w:val="21"/>
                      <w:highlight w:val="none"/>
                      <w:u w:val="none"/>
                      <w:lang w:val="en-US" w:eastAsia="zh-CN" w:bidi="ar"/>
                      <w14:textFill>
                        <w14:solidFill>
                          <w14:schemeClr w14:val="tx1"/>
                        </w14:solidFill>
                      </w14:textFill>
                    </w:rPr>
                    <w:t>.</w:t>
                  </w: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2</w:t>
                  </w:r>
                </w:p>
              </w:tc>
              <w:tc>
                <w:tcPr>
                  <w:tcW w:w="801" w:type="pct"/>
                  <w:noWrap w:val="0"/>
                  <w:vAlign w:val="center"/>
                </w:tcPr>
                <w:p w14:paraId="75D82EAD">
                  <w:pPr>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99</w:t>
                  </w:r>
                </w:p>
              </w:tc>
              <w:tc>
                <w:tcPr>
                  <w:tcW w:w="819" w:type="pct"/>
                  <w:noWrap w:val="0"/>
                  <w:vAlign w:val="center"/>
                </w:tcPr>
                <w:p w14:paraId="4C7F1564">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20</w:t>
                  </w:r>
                </w:p>
              </w:tc>
              <w:tc>
                <w:tcPr>
                  <w:tcW w:w="934" w:type="pct"/>
                  <w:noWrap w:val="0"/>
                  <w:vAlign w:val="center"/>
                </w:tcPr>
                <w:p w14:paraId="43403227">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0</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w:t>
                  </w:r>
                </w:p>
              </w:tc>
            </w:tr>
            <w:tr w14:paraId="2492F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779" w:type="pct"/>
                  <w:noWrap w:val="0"/>
                  <w:vAlign w:val="center"/>
                </w:tcPr>
                <w:p w14:paraId="00D9B6CC">
                  <w:pPr>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DA01</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4</w:t>
                  </w:r>
                </w:p>
              </w:tc>
              <w:tc>
                <w:tcPr>
                  <w:tcW w:w="818" w:type="pct"/>
                  <w:noWrap w:val="0"/>
                  <w:vAlign w:val="center"/>
                </w:tcPr>
                <w:p w14:paraId="68A07CC5">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颗粒物</w:t>
                  </w:r>
                </w:p>
              </w:tc>
              <w:tc>
                <w:tcPr>
                  <w:tcW w:w="847" w:type="pct"/>
                  <w:noWrap w:val="0"/>
                  <w:vAlign w:val="center"/>
                </w:tcPr>
                <w:p w14:paraId="54B0724E">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1.26</w:t>
                  </w:r>
                </w:p>
              </w:tc>
              <w:tc>
                <w:tcPr>
                  <w:tcW w:w="801" w:type="pct"/>
                  <w:noWrap w:val="0"/>
                  <w:vAlign w:val="center"/>
                </w:tcPr>
                <w:p w14:paraId="265971A6">
                  <w:pPr>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99</w:t>
                  </w:r>
                </w:p>
              </w:tc>
              <w:tc>
                <w:tcPr>
                  <w:tcW w:w="819" w:type="pct"/>
                  <w:noWrap w:val="0"/>
                  <w:vAlign w:val="center"/>
                </w:tcPr>
                <w:p w14:paraId="54648BAF">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0.4</w:t>
                  </w:r>
                </w:p>
              </w:tc>
              <w:tc>
                <w:tcPr>
                  <w:tcW w:w="934" w:type="pct"/>
                  <w:noWrap w:val="0"/>
                  <w:vAlign w:val="center"/>
                </w:tcPr>
                <w:p w14:paraId="2D5C9907">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w:t>
                  </w:r>
                  <w:r>
                    <w:rPr>
                      <w:rFonts w:hint="default" w:ascii="Times New Roman" w:hAnsi="Times New Roman" w:cs="Times New Roman"/>
                      <w:i w:val="0"/>
                      <w:color w:val="000000" w:themeColor="text1"/>
                      <w:kern w:val="0"/>
                      <w:sz w:val="21"/>
                      <w:szCs w:val="21"/>
                      <w:highlight w:val="none"/>
                      <w:u w:val="none"/>
                      <w:lang w:val="en-US" w:eastAsia="zh-CN" w:bidi="ar"/>
                      <w14:textFill>
                        <w14:solidFill>
                          <w14:schemeClr w14:val="tx1"/>
                        </w14:solidFill>
                      </w14:textFill>
                    </w:rPr>
                    <w:t>0</w:t>
                  </w: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1</w:t>
                  </w:r>
                </w:p>
              </w:tc>
            </w:tr>
            <w:tr w14:paraId="6A52A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779" w:type="pct"/>
                  <w:shd w:val="clear" w:color="auto" w:fill="auto"/>
                  <w:noWrap w:val="0"/>
                  <w:vAlign w:val="center"/>
                </w:tcPr>
                <w:p w14:paraId="5F3BBFC1">
                  <w:pPr>
                    <w:kinsoku w:val="0"/>
                    <w:overflowPunct w:val="0"/>
                    <w:snapToGrid w:val="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DA01</w:t>
                  </w:r>
                  <w:r>
                    <w:rPr>
                      <w:rFonts w:hint="eastAsia" w:cs="Times New Roman"/>
                      <w:b w:val="0"/>
                      <w:bCs w:val="0"/>
                      <w:color w:val="000000" w:themeColor="text1"/>
                      <w:sz w:val="21"/>
                      <w:szCs w:val="21"/>
                      <w:highlight w:val="none"/>
                      <w:lang w:val="en-US" w:eastAsia="zh-CN"/>
                      <w14:textFill>
                        <w14:solidFill>
                          <w14:schemeClr w14:val="tx1"/>
                        </w14:solidFill>
                      </w14:textFill>
                    </w:rPr>
                    <w:t>5</w:t>
                  </w:r>
                </w:p>
              </w:tc>
              <w:tc>
                <w:tcPr>
                  <w:tcW w:w="818" w:type="pct"/>
                  <w:shd w:val="clear" w:color="auto" w:fill="auto"/>
                  <w:noWrap w:val="0"/>
                  <w:vAlign w:val="center"/>
                </w:tcPr>
                <w:p w14:paraId="3BB17A5A">
                  <w:pPr>
                    <w:pStyle w:val="85"/>
                    <w:kinsoku w:val="0"/>
                    <w:overflowPunct w:val="0"/>
                    <w:snapToGrid w:val="0"/>
                    <w:ind w:firstLine="0" w:firstLineChars="0"/>
                    <w:jc w:val="center"/>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颗粒物</w:t>
                  </w:r>
                </w:p>
              </w:tc>
              <w:tc>
                <w:tcPr>
                  <w:tcW w:w="847" w:type="pct"/>
                  <w:shd w:val="clear" w:color="auto" w:fill="auto"/>
                  <w:noWrap w:val="0"/>
                  <w:vAlign w:val="center"/>
                </w:tcPr>
                <w:p w14:paraId="44E7AD79">
                  <w:pPr>
                    <w:keepNext w:val="0"/>
                    <w:keepLines w:val="0"/>
                    <w:widowControl/>
                    <w:suppressLineNumbers w:val="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0.24</w:t>
                  </w:r>
                </w:p>
              </w:tc>
              <w:tc>
                <w:tcPr>
                  <w:tcW w:w="801" w:type="pct"/>
                  <w:shd w:val="clear" w:color="auto" w:fill="auto"/>
                  <w:noWrap w:val="0"/>
                  <w:vAlign w:val="center"/>
                </w:tcPr>
                <w:p w14:paraId="6D78720E">
                  <w:pPr>
                    <w:kinsoku w:val="0"/>
                    <w:overflowPunct w:val="0"/>
                    <w:snapToGrid w:val="0"/>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99</w:t>
                  </w:r>
                </w:p>
              </w:tc>
              <w:tc>
                <w:tcPr>
                  <w:tcW w:w="819" w:type="pct"/>
                  <w:shd w:val="clear" w:color="auto" w:fill="auto"/>
                  <w:noWrap w:val="0"/>
                  <w:vAlign w:val="center"/>
                </w:tcPr>
                <w:p w14:paraId="4A461469">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w:t>
                  </w:r>
                </w:p>
              </w:tc>
              <w:tc>
                <w:tcPr>
                  <w:tcW w:w="934" w:type="pct"/>
                  <w:shd w:val="clear" w:color="auto" w:fill="auto"/>
                  <w:noWrap w:val="0"/>
                  <w:vAlign w:val="center"/>
                </w:tcPr>
                <w:p w14:paraId="67C2186C">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w:t>
                  </w:r>
                  <w:r>
                    <w:rPr>
                      <w:rFonts w:hint="default" w:ascii="Times New Roman" w:hAnsi="Times New Roman" w:cs="Times New Roman"/>
                      <w:i w:val="0"/>
                      <w:color w:val="000000" w:themeColor="text1"/>
                      <w:kern w:val="0"/>
                      <w:sz w:val="21"/>
                      <w:szCs w:val="21"/>
                      <w:highlight w:val="none"/>
                      <w:u w:val="none"/>
                      <w:lang w:val="en-US" w:eastAsia="zh-CN" w:bidi="ar"/>
                      <w14:textFill>
                        <w14:solidFill>
                          <w14:schemeClr w14:val="tx1"/>
                        </w14:solidFill>
                      </w14:textFill>
                    </w:rPr>
                    <w:t>0</w:t>
                  </w:r>
                  <w:r>
                    <w:rPr>
                      <w:rFonts w:hint="eastAsia" w:cs="Times New Roman"/>
                      <w:i w:val="0"/>
                      <w:color w:val="000000" w:themeColor="text1"/>
                      <w:kern w:val="0"/>
                      <w:sz w:val="21"/>
                      <w:szCs w:val="21"/>
                      <w:highlight w:val="none"/>
                      <w:u w:val="none"/>
                      <w:lang w:val="en-US" w:eastAsia="zh-CN" w:bidi="ar"/>
                      <w14:textFill>
                        <w14:solidFill>
                          <w14:schemeClr w14:val="tx1"/>
                        </w14:solidFill>
                      </w14:textFill>
                    </w:rPr>
                    <w:t>02</w:t>
                  </w:r>
                </w:p>
              </w:tc>
            </w:tr>
            <w:tr w14:paraId="29523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779" w:type="pct"/>
                  <w:vMerge w:val="restart"/>
                  <w:noWrap w:val="0"/>
                  <w:vAlign w:val="center"/>
                </w:tcPr>
                <w:p w14:paraId="2E0166BC">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合计</w:t>
                  </w:r>
                </w:p>
              </w:tc>
              <w:tc>
                <w:tcPr>
                  <w:tcW w:w="818" w:type="pct"/>
                  <w:noWrap w:val="0"/>
                  <w:vAlign w:val="center"/>
                </w:tcPr>
                <w:p w14:paraId="20B582F0">
                  <w:pPr>
                    <w:pStyle w:val="85"/>
                    <w:kinsoku w:val="0"/>
                    <w:overflowPunct w:val="0"/>
                    <w:snapToGrid w:val="0"/>
                    <w:ind w:firstLine="0" w:firstLineChars="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颗粒物</w:t>
                  </w:r>
                </w:p>
              </w:tc>
              <w:tc>
                <w:tcPr>
                  <w:tcW w:w="847" w:type="pct"/>
                  <w:noWrap w:val="0"/>
                  <w:vAlign w:val="center"/>
                </w:tcPr>
                <w:p w14:paraId="28DE3B8D">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1105.9</w:t>
                  </w:r>
                </w:p>
              </w:tc>
              <w:tc>
                <w:tcPr>
                  <w:tcW w:w="801" w:type="pct"/>
                  <w:noWrap w:val="0"/>
                  <w:vAlign w:val="center"/>
                </w:tcPr>
                <w:p w14:paraId="334A9DF9">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99</w:t>
                  </w:r>
                </w:p>
              </w:tc>
              <w:tc>
                <w:tcPr>
                  <w:tcW w:w="819" w:type="pct"/>
                  <w:noWrap w:val="0"/>
                  <w:vAlign w:val="center"/>
                </w:tcPr>
                <w:p w14:paraId="654B32AC">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b w:val="0"/>
                      <w:bCs w:val="0"/>
                      <w:i w:val="0"/>
                      <w:color w:val="000000" w:themeColor="text1"/>
                      <w:kern w:val="0"/>
                      <w:sz w:val="21"/>
                      <w:szCs w:val="21"/>
                      <w:highlight w:val="none"/>
                      <w:u w:val="none"/>
                      <w:lang w:val="en-US" w:eastAsia="zh-CN" w:bidi="ar"/>
                      <w14:textFill>
                        <w14:solidFill>
                          <w14:schemeClr w14:val="tx1"/>
                        </w14:solidFill>
                      </w14:textFill>
                    </w:rPr>
                    <w:t>/</w:t>
                  </w:r>
                </w:p>
              </w:tc>
              <w:tc>
                <w:tcPr>
                  <w:tcW w:w="934" w:type="pct"/>
                  <w:noWrap w:val="0"/>
                  <w:vAlign w:val="center"/>
                </w:tcPr>
                <w:p w14:paraId="59D243E4">
                  <w:pPr>
                    <w:keepNext w:val="0"/>
                    <w:keepLines w:val="0"/>
                    <w:widowControl/>
                    <w:suppressLineNumbers w:val="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b w:val="0"/>
                      <w:bCs w:val="0"/>
                      <w:i w:val="0"/>
                      <w:color w:val="000000" w:themeColor="text1"/>
                      <w:kern w:val="0"/>
                      <w:sz w:val="21"/>
                      <w:szCs w:val="21"/>
                      <w:highlight w:val="none"/>
                      <w:u w:val="none"/>
                      <w:lang w:val="en-US" w:eastAsia="zh-CN" w:bidi="ar"/>
                      <w14:textFill>
                        <w14:solidFill>
                          <w14:schemeClr w14:val="tx1"/>
                        </w14:solidFill>
                      </w14:textFill>
                    </w:rPr>
                    <w:t>11.052</w:t>
                  </w:r>
                </w:p>
              </w:tc>
            </w:tr>
            <w:tr w14:paraId="25B95D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3" w:hRule="atLeast"/>
                <w:jc w:val="center"/>
              </w:trPr>
              <w:tc>
                <w:tcPr>
                  <w:tcW w:w="779" w:type="pct"/>
                  <w:vMerge w:val="continue"/>
                  <w:noWrap w:val="0"/>
                  <w:vAlign w:val="center"/>
                </w:tcPr>
                <w:p w14:paraId="6999005B">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818" w:type="pct"/>
                  <w:noWrap w:val="0"/>
                  <w:vAlign w:val="center"/>
                </w:tcPr>
                <w:p w14:paraId="7250A925">
                  <w:pPr>
                    <w:pStyle w:val="85"/>
                    <w:kinsoku w:val="0"/>
                    <w:overflowPunct w:val="0"/>
                    <w:snapToGrid w:val="0"/>
                    <w:ind w:firstLine="0" w:firstLineChars="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二氧化硫</w:t>
                  </w:r>
                </w:p>
              </w:tc>
              <w:tc>
                <w:tcPr>
                  <w:tcW w:w="1346" w:type="dxa"/>
                  <w:shd w:val="clear" w:color="auto" w:fill="auto"/>
                  <w:noWrap w:val="0"/>
                  <w:vAlign w:val="center"/>
                </w:tcPr>
                <w:p w14:paraId="390344B2">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394.4</w:t>
                  </w:r>
                </w:p>
              </w:tc>
              <w:tc>
                <w:tcPr>
                  <w:tcW w:w="1273" w:type="dxa"/>
                  <w:shd w:val="clear" w:color="auto" w:fill="auto"/>
                  <w:noWrap w:val="0"/>
                  <w:vAlign w:val="center"/>
                </w:tcPr>
                <w:p w14:paraId="75DADB93">
                  <w:pPr>
                    <w:pStyle w:val="85"/>
                    <w:kinsoku w:val="0"/>
                    <w:overflowPunct w:val="0"/>
                    <w:snapToGrid w:val="0"/>
                    <w:ind w:firstLine="0" w:firstLineChars="0"/>
                    <w:jc w:val="center"/>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90</w:t>
                  </w:r>
                </w:p>
              </w:tc>
              <w:tc>
                <w:tcPr>
                  <w:tcW w:w="1301" w:type="dxa"/>
                  <w:shd w:val="clear" w:color="auto" w:fill="auto"/>
                  <w:noWrap w:val="0"/>
                  <w:vAlign w:val="center"/>
                </w:tcPr>
                <w:p w14:paraId="547211ED">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38.41</w:t>
                  </w:r>
                </w:p>
              </w:tc>
              <w:tc>
                <w:tcPr>
                  <w:tcW w:w="1486" w:type="dxa"/>
                  <w:shd w:val="clear" w:color="auto" w:fill="auto"/>
                  <w:noWrap w:val="0"/>
                  <w:vAlign w:val="center"/>
                </w:tcPr>
                <w:p w14:paraId="211DE7A5">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39.44</w:t>
                  </w:r>
                </w:p>
              </w:tc>
            </w:tr>
            <w:tr w14:paraId="63F1C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779" w:type="pct"/>
                  <w:vMerge w:val="continue"/>
                  <w:noWrap w:val="0"/>
                  <w:vAlign w:val="center"/>
                </w:tcPr>
                <w:p w14:paraId="34413E2A">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818" w:type="pct"/>
                  <w:noWrap w:val="0"/>
                  <w:vAlign w:val="center"/>
                </w:tcPr>
                <w:p w14:paraId="071C2432">
                  <w:pPr>
                    <w:pStyle w:val="85"/>
                    <w:kinsoku w:val="0"/>
                    <w:overflowPunct w:val="0"/>
                    <w:snapToGrid w:val="0"/>
                    <w:ind w:firstLine="0" w:firstLineChars="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氮氧化物</w:t>
                  </w:r>
                </w:p>
              </w:tc>
              <w:tc>
                <w:tcPr>
                  <w:tcW w:w="1346" w:type="dxa"/>
                  <w:shd w:val="clear" w:color="auto" w:fill="auto"/>
                  <w:noWrap w:val="0"/>
                  <w:vAlign w:val="center"/>
                </w:tcPr>
                <w:p w14:paraId="7EA808B8">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188</w:t>
                  </w:r>
                </w:p>
              </w:tc>
              <w:tc>
                <w:tcPr>
                  <w:tcW w:w="1273" w:type="dxa"/>
                  <w:shd w:val="clear" w:color="auto" w:fill="auto"/>
                  <w:noWrap w:val="0"/>
                  <w:vAlign w:val="center"/>
                </w:tcPr>
                <w:p w14:paraId="79F4AD0A">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eastAsia" w:cs="Times New Roman"/>
                      <w:b w:val="0"/>
                      <w:bCs w:val="0"/>
                      <w:i w:val="0"/>
                      <w:color w:val="000000" w:themeColor="text1"/>
                      <w:kern w:val="0"/>
                      <w:sz w:val="21"/>
                      <w:szCs w:val="21"/>
                      <w:highlight w:val="none"/>
                      <w:u w:val="none"/>
                      <w:lang w:val="en-US" w:eastAsia="zh-CN" w:bidi="ar"/>
                      <w14:textFill>
                        <w14:solidFill>
                          <w14:schemeClr w14:val="tx1"/>
                        </w14:solidFill>
                      </w14:textFill>
                    </w:rPr>
                    <w:t>50</w:t>
                  </w:r>
                </w:p>
              </w:tc>
              <w:tc>
                <w:tcPr>
                  <w:tcW w:w="1301" w:type="dxa"/>
                  <w:shd w:val="clear" w:color="auto" w:fill="auto"/>
                  <w:noWrap w:val="0"/>
                  <w:vAlign w:val="center"/>
                </w:tcPr>
                <w:p w14:paraId="6D35D160">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i w:val="0"/>
                      <w:color w:val="000000" w:themeColor="text1"/>
                      <w:kern w:val="0"/>
                      <w:sz w:val="21"/>
                      <w:szCs w:val="21"/>
                      <w:highlight w:val="none"/>
                      <w:u w:val="none"/>
                      <w:lang w:val="en-US" w:eastAsia="zh-CN" w:bidi="ar"/>
                      <w14:textFill>
                        <w14:solidFill>
                          <w14:schemeClr w14:val="tx1"/>
                        </w14:solidFill>
                      </w14:textFill>
                    </w:rPr>
                    <w:t>91.55</w:t>
                  </w:r>
                </w:p>
              </w:tc>
              <w:tc>
                <w:tcPr>
                  <w:tcW w:w="1486" w:type="dxa"/>
                  <w:shd w:val="clear" w:color="auto" w:fill="auto"/>
                  <w:noWrap w:val="0"/>
                  <w:vAlign w:val="center"/>
                </w:tcPr>
                <w:p w14:paraId="0B671225">
                  <w:pPr>
                    <w:keepNext w:val="0"/>
                    <w:keepLines w:val="0"/>
                    <w:widowControl/>
                    <w:suppressLineNumbers w:val="0"/>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i w:val="0"/>
                      <w:color w:val="000000" w:themeColor="text1"/>
                      <w:kern w:val="0"/>
                      <w:sz w:val="21"/>
                      <w:szCs w:val="21"/>
                      <w:highlight w:val="none"/>
                      <w:u w:val="none"/>
                      <w:lang w:val="en-US" w:eastAsia="zh-CN" w:bidi="ar"/>
                      <w14:textFill>
                        <w14:solidFill>
                          <w14:schemeClr w14:val="tx1"/>
                        </w14:solidFill>
                      </w14:textFill>
                    </w:rPr>
                    <w:t>94</w:t>
                  </w:r>
                </w:p>
              </w:tc>
            </w:tr>
            <w:tr w14:paraId="216F4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0" w:hRule="atLeast"/>
                <w:jc w:val="center"/>
              </w:trPr>
              <w:tc>
                <w:tcPr>
                  <w:tcW w:w="779" w:type="pct"/>
                  <w:vMerge w:val="continue"/>
                  <w:noWrap w:val="0"/>
                  <w:vAlign w:val="center"/>
                </w:tcPr>
                <w:p w14:paraId="0705009B">
                  <w:pPr>
                    <w:pStyle w:val="85"/>
                    <w:kinsoku w:val="0"/>
                    <w:overflowPunct w:val="0"/>
                    <w:snapToGrid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818" w:type="pct"/>
                  <w:noWrap w:val="0"/>
                  <w:vAlign w:val="center"/>
                </w:tcPr>
                <w:p w14:paraId="30243F73">
                  <w:pPr>
                    <w:pStyle w:val="85"/>
                    <w:kinsoku w:val="0"/>
                    <w:overflowPunct w:val="0"/>
                    <w:snapToGrid w:val="0"/>
                    <w:ind w:firstLine="0" w:firstLineChars="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氨气</w:t>
                  </w:r>
                </w:p>
              </w:tc>
              <w:tc>
                <w:tcPr>
                  <w:tcW w:w="847" w:type="pct"/>
                  <w:shd w:val="clear" w:color="auto" w:fill="auto"/>
                  <w:noWrap w:val="0"/>
                  <w:vAlign w:val="center"/>
                </w:tcPr>
                <w:p w14:paraId="45667E66">
                  <w:pPr>
                    <w:keepNext w:val="0"/>
                    <w:keepLines w:val="0"/>
                    <w:widowControl/>
                    <w:suppressLineNumbers w:val="0"/>
                    <w:jc w:val="center"/>
                    <w:textAlignment w:val="center"/>
                    <w:rPr>
                      <w:rFonts w:hint="eastAsia"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eastAsia" w:cs="Times New Roman"/>
                      <w:i w:val="0"/>
                      <w:iCs w:val="0"/>
                      <w:color w:val="000000" w:themeColor="text1"/>
                      <w:kern w:val="0"/>
                      <w:sz w:val="21"/>
                      <w:szCs w:val="21"/>
                      <w:highlight w:val="none"/>
                      <w:u w:val="none"/>
                      <w:lang w:val="en-US" w:eastAsia="zh-CN" w:bidi="ar"/>
                      <w14:textFill>
                        <w14:solidFill>
                          <w14:schemeClr w14:val="tx1"/>
                        </w14:solidFill>
                      </w14:textFill>
                    </w:rPr>
                    <w:t>7.19</w:t>
                  </w:r>
                </w:p>
              </w:tc>
              <w:tc>
                <w:tcPr>
                  <w:tcW w:w="801" w:type="pct"/>
                  <w:shd w:val="clear" w:color="auto" w:fill="auto"/>
                  <w:noWrap w:val="0"/>
                  <w:vAlign w:val="center"/>
                </w:tcPr>
                <w:p w14:paraId="4956AB82">
                  <w:pPr>
                    <w:pStyle w:val="85"/>
                    <w:kinsoku w:val="0"/>
                    <w:overflowPunct w:val="0"/>
                    <w:snapToGrid w:val="0"/>
                    <w:ind w:firstLine="0" w:firstLineChars="0"/>
                    <w:jc w:val="center"/>
                    <w:rPr>
                      <w:rFonts w:hint="eastAsia"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50</w:t>
                  </w:r>
                </w:p>
              </w:tc>
              <w:tc>
                <w:tcPr>
                  <w:tcW w:w="819" w:type="pct"/>
                  <w:shd w:val="clear" w:color="auto" w:fill="auto"/>
                  <w:noWrap w:val="0"/>
                  <w:vAlign w:val="center"/>
                </w:tcPr>
                <w:p w14:paraId="6B117569">
                  <w:pPr>
                    <w:keepNext w:val="0"/>
                    <w:keepLines w:val="0"/>
                    <w:widowControl/>
                    <w:suppressLineNumbers w:val="0"/>
                    <w:jc w:val="center"/>
                    <w:textAlignment w:val="cente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3.5</w:t>
                  </w:r>
                </w:p>
              </w:tc>
              <w:tc>
                <w:tcPr>
                  <w:tcW w:w="934" w:type="pct"/>
                  <w:shd w:val="clear" w:color="auto" w:fill="auto"/>
                  <w:noWrap w:val="0"/>
                  <w:vAlign w:val="center"/>
                </w:tcPr>
                <w:p w14:paraId="2332F9A0">
                  <w:pPr>
                    <w:keepNext w:val="0"/>
                    <w:keepLines w:val="0"/>
                    <w:widowControl/>
                    <w:suppressLineNumbers w:val="0"/>
                    <w:jc w:val="center"/>
                    <w:textAlignment w:val="center"/>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3.6</w:t>
                  </w:r>
                </w:p>
              </w:tc>
            </w:tr>
          </w:tbl>
          <w:p w14:paraId="762928D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w:t>
            </w:r>
            <w:r>
              <w:rPr>
                <w:rFonts w:hint="eastAsia" w:cs="Times New Roman"/>
                <w:b w:val="0"/>
                <w:bCs w:val="0"/>
                <w:color w:val="000000" w:themeColor="text1"/>
                <w:sz w:val="24"/>
                <w:highlight w:val="none"/>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）废气达标性分析</w:t>
            </w:r>
          </w:p>
          <w:p w14:paraId="1163540D">
            <w:pPr>
              <w:pStyle w:val="11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cente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根据上述源强分析，本项目运营期</w:t>
            </w:r>
            <w:r>
              <w:rPr>
                <w:rFonts w:hint="eastAsia" w:cs="Times New Roman"/>
                <w:color w:val="000000" w:themeColor="text1"/>
                <w:sz w:val="24"/>
                <w:highlight w:val="none"/>
                <w:lang w:val="en-US" w:eastAsia="zh-CN"/>
                <w14:textFill>
                  <w14:solidFill>
                    <w14:schemeClr w14:val="tx1"/>
                  </w14:solidFill>
                </w14:textFill>
              </w:rPr>
              <w:t>原料粉</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筒仓装卸呼吸废气（粉尘G1-1、G1-2）、物料转运仓储仓顶粉尘（G1-3）、</w:t>
            </w:r>
            <w:r>
              <w:rPr>
                <w:rFonts w:hint="eastAsia" w:cs="Times New Roman"/>
                <w:color w:val="000000" w:themeColor="text1"/>
                <w:sz w:val="24"/>
                <w:highlight w:val="none"/>
                <w:lang w:val="en-US" w:eastAsia="zh-CN"/>
                <w14:textFill>
                  <w14:solidFill>
                    <w14:schemeClr w14:val="tx1"/>
                  </w14:solidFill>
                </w14:textFill>
              </w:rPr>
              <w:t>窑尾喂料仓卸料</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粉尘（G1-4）和</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产品窑尾提升机卸料</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废气（G1-</w:t>
            </w:r>
            <w:r>
              <w:rPr>
                <w:rFonts w:hint="default" w:ascii="Times New Roman" w:hAnsi="Times New Roman" w:cs="Times New Roman"/>
                <w:color w:val="000000" w:themeColor="text1"/>
                <w:sz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）、回转窑</w:t>
            </w:r>
            <w:r>
              <w:rPr>
                <w:rFonts w:hint="default" w:ascii="Times New Roman" w:hAnsi="Times New Roman" w:cs="Times New Roman"/>
                <w:color w:val="000000" w:themeColor="text1"/>
                <w:sz w:val="24"/>
                <w:highlight w:val="none"/>
                <w:lang w:val="en-US" w:eastAsia="zh-CN"/>
                <w14:textFill>
                  <w14:solidFill>
                    <w14:schemeClr w14:val="tx1"/>
                  </w14:solidFill>
                </w14:textFill>
              </w:rPr>
              <w:t>及</w:t>
            </w:r>
            <w:r>
              <w:rPr>
                <w:rFonts w:hint="eastAsia" w:cs="Times New Roman"/>
                <w:color w:val="000000" w:themeColor="text1"/>
                <w:sz w:val="24"/>
                <w:highlight w:val="none"/>
                <w:lang w:val="en-US" w:eastAsia="zh-CN"/>
                <w14:textFill>
                  <w14:solidFill>
                    <w14:schemeClr w14:val="tx1"/>
                  </w14:solidFill>
                </w14:textFill>
              </w:rPr>
              <w:t>悬浮炉</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烟气（G1-</w:t>
            </w:r>
            <w:r>
              <w:rPr>
                <w:rFonts w:hint="default" w:ascii="Times New Roman" w:hAnsi="Times New Roman" w:cs="Times New Roman"/>
                <w:color w:val="000000" w:themeColor="text1"/>
                <w:sz w:val="24"/>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分选</w:t>
            </w:r>
            <w:r>
              <w:rPr>
                <w:rFonts w:hint="default" w:ascii="Times New Roman" w:hAnsi="Times New Roman" w:cs="Times New Roman"/>
                <w:color w:val="000000" w:themeColor="text1"/>
                <w:sz w:val="24"/>
                <w:highlight w:val="none"/>
                <w:lang w:val="en-US" w:eastAsia="zh-CN"/>
                <w14:textFill>
                  <w14:solidFill>
                    <w14:schemeClr w14:val="tx1"/>
                  </w14:solidFill>
                </w14:textFill>
              </w:rPr>
              <w:t>打散</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粉尘（G1-</w:t>
            </w:r>
            <w:r>
              <w:rPr>
                <w:rFonts w:hint="default" w:ascii="Times New Roman" w:hAnsi="Times New Roman" w:cs="Times New Roman"/>
                <w:color w:val="000000" w:themeColor="text1"/>
                <w:sz w:val="24"/>
                <w:highlight w:val="none"/>
                <w:lang w:val="en-US" w:eastAsia="zh-CN"/>
                <w14:textFill>
                  <w14:solidFill>
                    <w14:schemeClr w14:val="tx1"/>
                  </w14:solidFill>
                </w14:textFill>
              </w:rPr>
              <w:t>7</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default" w:ascii="Times New Roman" w:hAnsi="Times New Roman" w:cs="Times New Roman"/>
                <w:color w:val="000000" w:themeColor="text1"/>
                <w:sz w:val="24"/>
                <w:highlight w:val="none"/>
                <w:lang w:val="en-US" w:eastAsia="zh-CN"/>
                <w14:textFill>
                  <w14:solidFill>
                    <w14:schemeClr w14:val="tx1"/>
                  </w14:solidFill>
                </w14:textFill>
              </w:rPr>
              <w:t>分选粉磨粉尘</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（G1-</w:t>
            </w:r>
            <w:r>
              <w:rPr>
                <w:rFonts w:hint="default" w:ascii="Times New Roman" w:hAnsi="Times New Roman" w:cs="Times New Roman"/>
                <w:color w:val="000000" w:themeColor="text1"/>
                <w:sz w:val="24"/>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）、成品输送存储粉尘（G1-</w:t>
            </w:r>
            <w:r>
              <w:rPr>
                <w:rFonts w:hint="default" w:ascii="Times New Roman" w:hAnsi="Times New Roman" w:cs="Times New Roman"/>
                <w:color w:val="000000" w:themeColor="text1"/>
                <w:sz w:val="24"/>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、G1-</w:t>
            </w:r>
            <w:r>
              <w:rPr>
                <w:rFonts w:hint="default" w:ascii="Times New Roman" w:hAnsi="Times New Roman" w:cs="Times New Roman"/>
                <w:color w:val="000000" w:themeColor="text1"/>
                <w:sz w:val="24"/>
                <w:highlight w:val="none"/>
                <w:lang w:val="en-US" w:eastAsia="zh-CN"/>
                <w14:textFill>
                  <w14:solidFill>
                    <w14:schemeClr w14:val="tx1"/>
                  </w14:solidFill>
                </w14:textFill>
              </w:rPr>
              <w:t>11</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、G1-1</w:t>
            </w:r>
            <w:r>
              <w:rPr>
                <w:rFonts w:hint="default" w:ascii="Times New Roman" w:hAnsi="Times New Roman" w:cs="Times New Roman"/>
                <w:color w:val="000000" w:themeColor="text1"/>
                <w:sz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）以及黄料仓储粉尘（G1-</w:t>
            </w:r>
            <w:r>
              <w:rPr>
                <w:rFonts w:hint="default" w:ascii="Times New Roman" w:hAnsi="Times New Roman" w:cs="Times New Roman"/>
                <w:color w:val="000000" w:themeColor="text1"/>
                <w:sz w:val="24"/>
                <w:highlight w:val="none"/>
                <w:lang w:val="en-US" w:eastAsia="zh-CN"/>
                <w14:textFill>
                  <w14:solidFill>
                    <w14:schemeClr w14:val="tx1"/>
                  </w14:solidFill>
                </w14:textFill>
              </w:rPr>
              <w:t>9</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）、大包装和小包装废气（G1-1</w:t>
            </w:r>
            <w:r>
              <w:rPr>
                <w:rFonts w:hint="default" w:ascii="Times New Roman" w:hAnsi="Times New Roman" w:cs="Times New Roman"/>
                <w:color w:val="000000" w:themeColor="text1"/>
                <w:sz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、G1-1</w:t>
            </w:r>
            <w:r>
              <w:rPr>
                <w:rFonts w:hint="default" w:ascii="Times New Roman" w:hAnsi="Times New Roman" w:cs="Times New Roman"/>
                <w:color w:val="000000" w:themeColor="text1"/>
                <w:sz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、石灰石粉仓粉尘</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（G1-1</w:t>
            </w:r>
            <w:r>
              <w:rPr>
                <w:rFonts w:hint="eastAsia" w:cs="Times New Roman"/>
                <w:color w:val="000000" w:themeColor="text1"/>
                <w:sz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），在采取相应措施后排放</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浓度满足《耐火材料工业大气污染物排放标准》（GB46790—2025）</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表1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大气污染物排放限值</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；厂界颗粒物排放浓度满足《大气污染物综合排放标准》（GB16297-1996）表2无组织排放监控浓度限值</w:t>
            </w:r>
            <w:r>
              <w:rPr>
                <w:rFonts w:hint="eastAsia" w:cs="Times New Roman"/>
                <w:color w:val="000000" w:themeColor="text1"/>
                <w:sz w:val="24"/>
                <w:szCs w:val="24"/>
                <w:highlight w:val="none"/>
                <w:lang w:val="en-US" w:eastAsia="zh-CN"/>
                <w14:textFill>
                  <w14:solidFill>
                    <w14:schemeClr w14:val="tx1"/>
                  </w14:solidFill>
                </w14:textFill>
              </w:rPr>
              <w:t>；厂区内</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无组织粉尘</w:t>
            </w:r>
            <w:r>
              <w:rPr>
                <w:rFonts w:hint="eastAsia" w:cs="Times New Roman"/>
                <w:color w:val="000000" w:themeColor="text1"/>
                <w:sz w:val="24"/>
                <w:highlight w:val="none"/>
                <w:lang w:val="en-US" w:eastAsia="zh-CN"/>
                <w14:textFill>
                  <w14:solidFill>
                    <w14:schemeClr w14:val="tx1"/>
                  </w14:solidFill>
                </w14:textFill>
              </w:rPr>
              <w:t>浓度</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执行</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《耐火材料工业大气污染物排放标准》（GB46790-2025）表4厂区内</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无组织排放标准。厂界氨满足《恶臭污染物排放标准》(GB14554-93)表1无组织排放限值</w:t>
            </w:r>
            <w:r>
              <w:rPr>
                <w:rFonts w:hint="eastAsia" w:cs="Times New Roman"/>
                <w:color w:val="000000" w:themeColor="text1"/>
                <w:sz w:val="24"/>
                <w:highlight w:val="none"/>
                <w:lang w:val="en-US" w:eastAsia="zh-CN"/>
                <w14:textFill>
                  <w14:solidFill>
                    <w14:schemeClr w14:val="tx1"/>
                  </w14:solidFill>
                </w14:textFill>
              </w:rPr>
              <w:t>。</w:t>
            </w:r>
          </w:p>
          <w:p w14:paraId="0CE3A810">
            <w:pPr>
              <w:pStyle w:val="11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center"/>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本项目窑</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尾</w:t>
            </w:r>
            <w:r>
              <w:rPr>
                <w:rFonts w:hint="eastAsia" w:cs="Times New Roman"/>
                <w:color w:val="000000" w:themeColor="text1"/>
                <w:sz w:val="24"/>
                <w:highlight w:val="none"/>
                <w:lang w:val="en-US" w:eastAsia="zh-CN"/>
                <w14:textFill>
                  <w14:solidFill>
                    <w14:schemeClr w14:val="tx1"/>
                  </w14:solidFill>
                </w14:textFill>
              </w:rPr>
              <w:t>采用“</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分级燃烧+缺氧燃烧+烟气再循环（FGR）”组合</w:t>
            </w:r>
            <w:r>
              <w:rPr>
                <w:rFonts w:hint="eastAsia" w:cs="Times New Roman"/>
                <w:color w:val="000000" w:themeColor="text1"/>
                <w:sz w:val="24"/>
                <w:highlight w:val="none"/>
                <w:lang w:val="en-US" w:eastAsia="zh-CN"/>
                <w14:textFill>
                  <w14:solidFill>
                    <w14:schemeClr w14:val="tx1"/>
                  </w14:solidFill>
                </w14:textFill>
              </w:rPr>
              <w:t>低氮燃烧</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焙烧</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烟气经余热锅炉+脱硝（SNCR）装置</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脱硝效率</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50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布袋除</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尘器（覆膜袋式）</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除尘</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除尘效率99%</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+石灰石－石膏法装置脱硫后</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脱硫效率</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90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、除氨</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效率</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50%</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eastAsia" w:cs="Times New Roman"/>
                <w:color w:val="000000" w:themeColor="text1"/>
                <w:sz w:val="24"/>
                <w:szCs w:val="24"/>
                <w:highlight w:val="none"/>
                <w:lang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污染物</w:t>
            </w:r>
            <w:r>
              <w:rPr>
                <w:rFonts w:hint="eastAsia" w:cs="Times New Roman"/>
                <w:color w:val="000000" w:themeColor="text1"/>
                <w:sz w:val="24"/>
                <w:szCs w:val="24"/>
                <w:highlight w:val="none"/>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颗粒物</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SO</w:t>
            </w:r>
            <w:r>
              <w:rPr>
                <w:rFonts w:hint="default"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、NO</w:t>
            </w:r>
            <w:r>
              <w:rPr>
                <w:rFonts w:hint="default"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X</w:t>
            </w:r>
            <w:r>
              <w:rPr>
                <w:rFonts w:hint="eastAsia" w:cs="Times New Roman"/>
                <w:color w:val="000000" w:themeColor="text1"/>
                <w:sz w:val="24"/>
                <w:szCs w:val="24"/>
                <w:highlight w:val="none"/>
                <w:vertAlign w:val="baseli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vertAlign w:val="baseline"/>
                <w:lang w:val="en-US" w:eastAsia="zh-CN"/>
                <w14:textFill>
                  <w14:solidFill>
                    <w14:schemeClr w14:val="tx1"/>
                  </w14:solidFill>
                </w14:textFill>
              </w:rPr>
              <w:t>氨气</w:t>
            </w:r>
            <w:r>
              <w:rPr>
                <w:rFonts w:hint="eastAsia" w:cs="Times New Roman"/>
                <w:color w:val="000000" w:themeColor="text1"/>
                <w:sz w:val="24"/>
                <w:szCs w:val="24"/>
                <w:highlight w:val="none"/>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排放浓度</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执行《耐火材料工业大气污染物排放标准》（GB46790-2025）表1大气污染物排放限值（</w:t>
            </w:r>
            <w:r>
              <w:rPr>
                <w:rFonts w:hint="default" w:ascii="Times New Roman" w:hAnsi="Times New Roman" w:eastAsia="宋体" w:cs="Times New Roman"/>
                <w:color w:val="000000" w:themeColor="text1"/>
                <w:sz w:val="24"/>
                <w:szCs w:val="24"/>
                <w:highlight w:val="none"/>
                <w14:textFill>
                  <w14:solidFill>
                    <w14:schemeClr w14:val="tx1"/>
                  </w14:solidFill>
                </w14:textFill>
              </w:rPr>
              <w:t>粉尘</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24"/>
                <w:highlight w:val="none"/>
                <w14:textFill>
                  <w14:solidFill>
                    <w14:schemeClr w14:val="tx1"/>
                  </w14:solidFill>
                </w14:textFill>
              </w:rPr>
              <w:t>0mg/m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eastAsia" w:ascii="Times New Roman" w:hAnsi="Times New Roman" w:eastAsia="宋体" w:cs="Times New Roman"/>
                <w:color w:val="000000" w:themeColor="text1"/>
                <w:sz w:val="24"/>
                <w:szCs w:val="24"/>
                <w:highlight w:val="none"/>
                <w:vertAlign w:val="baseli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vertAlign w:val="baseline"/>
                <w:lang w:val="en-US" w:eastAsia="zh-CN"/>
                <w14:textFill>
                  <w14:solidFill>
                    <w14:schemeClr w14:val="tx1"/>
                  </w14:solidFill>
                </w14:textFill>
              </w:rPr>
              <w:t>氮氧化物</w:t>
            </w:r>
            <w:r>
              <w:rPr>
                <w:rFonts w:hint="eastAsia" w:ascii="Times New Roman" w:hAnsi="Times New Roman" w:eastAsia="宋体" w:cs="Times New Roman"/>
                <w:color w:val="000000" w:themeColor="text1"/>
                <w:sz w:val="24"/>
                <w:szCs w:val="24"/>
                <w:highlight w:val="none"/>
                <w:vertAlign w:val="baseline"/>
                <w:lang w:val="en-US" w:eastAsia="zh-CN"/>
                <w14:textFill>
                  <w14:solidFill>
                    <w14:schemeClr w14:val="tx1"/>
                  </w14:solidFill>
                </w14:textFill>
              </w:rPr>
              <w:t>100</w:t>
            </w:r>
            <w:r>
              <w:rPr>
                <w:rFonts w:hint="default" w:ascii="Times New Roman" w:hAnsi="Times New Roman" w:eastAsia="宋体" w:cs="Times New Roman"/>
                <w:color w:val="000000" w:themeColor="text1"/>
                <w:sz w:val="24"/>
                <w:szCs w:val="24"/>
                <w:highlight w:val="none"/>
                <w14:textFill>
                  <w14:solidFill>
                    <w14:schemeClr w14:val="tx1"/>
                  </w14:solidFill>
                </w14:textFill>
              </w:rPr>
              <w:t>mg/m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eastAsia" w:ascii="Times New Roman" w:hAnsi="Times New Roman" w:eastAsia="宋体" w:cs="Times New Roman"/>
                <w:color w:val="000000" w:themeColor="text1"/>
                <w:sz w:val="24"/>
                <w:szCs w:val="24"/>
                <w:highlight w:val="none"/>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vertAlign w:val="baseline"/>
                <w:lang w:val="en-US" w:eastAsia="zh-CN"/>
                <w14:textFill>
                  <w14:solidFill>
                    <w14:schemeClr w14:val="tx1"/>
                  </w14:solidFill>
                </w14:textFill>
              </w:rPr>
              <w:t>二氧化硫</w:t>
            </w:r>
            <w:r>
              <w:rPr>
                <w:rFonts w:hint="eastAsia" w:ascii="Times New Roman" w:hAnsi="Times New Roman" w:eastAsia="宋体" w:cs="Times New Roman"/>
                <w:color w:val="000000" w:themeColor="text1"/>
                <w:sz w:val="24"/>
                <w:szCs w:val="24"/>
                <w:highlight w:val="none"/>
                <w:vertAlign w:val="baseline"/>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highlight w:val="none"/>
                <w14:textFill>
                  <w14:solidFill>
                    <w14:schemeClr w14:val="tx1"/>
                  </w14:solidFill>
                </w14:textFill>
              </w:rPr>
              <w:t>0mg/m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eastAsia" w:ascii="Times New Roman" w:hAnsi="Times New Roman" w:eastAsia="宋体" w:cs="Times New Roman"/>
                <w:color w:val="000000" w:themeColor="text1"/>
                <w:sz w:val="24"/>
                <w:szCs w:val="24"/>
                <w:highlight w:val="none"/>
                <w:vertAlign w:val="baseline"/>
                <w:lang w:val="en-US" w:eastAsia="zh-CN"/>
                <w14:textFill>
                  <w14:solidFill>
                    <w14:schemeClr w14:val="tx1"/>
                  </w14:solidFill>
                </w14:textFill>
              </w:rPr>
              <w:t>；氨气8</w:t>
            </w:r>
            <w:r>
              <w:rPr>
                <w:rFonts w:hint="default" w:ascii="Times New Roman" w:hAnsi="Times New Roman" w:eastAsia="宋体" w:cs="Times New Roman"/>
                <w:color w:val="000000" w:themeColor="text1"/>
                <w:sz w:val="24"/>
                <w:szCs w:val="24"/>
                <w:highlight w:val="none"/>
                <w14:textFill>
                  <w14:solidFill>
                    <w14:schemeClr w14:val="tx1"/>
                  </w14:solidFill>
                </w14:textFill>
              </w:rPr>
              <w:t>mg/m</w:t>
            </w:r>
            <w:r>
              <w:rPr>
                <w:rFonts w:hint="default" w:ascii="Times New Roman" w:hAnsi="Times New Roman" w:eastAsia="宋体" w:cs="Times New Roman"/>
                <w:color w:val="000000" w:themeColor="text1"/>
                <w:sz w:val="24"/>
                <w:szCs w:val="24"/>
                <w:highlight w:val="none"/>
                <w:vertAlign w:val="superscript"/>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要求。</w:t>
            </w:r>
          </w:p>
          <w:p w14:paraId="11F3C7B4">
            <w:pPr>
              <w:pStyle w:val="97"/>
              <w:autoSpaceDE w:val="0"/>
              <w:spacing w:before="0" w:beforeAutospacing="0" w:after="0" w:afterAutospacing="0"/>
              <w:ind w:left="0"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原料粉</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仓、</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原料转运粉尘、喂料仓装卸粉尘、喂料提升机装卸粉尘、</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分选废气（打散分级机、粉磨机）、黄料筒仓废气、成品存储筒仓和包装</w:t>
            </w:r>
            <w:r>
              <w:rPr>
                <w:rFonts w:hint="default" w:ascii="Times New Roman" w:hAnsi="Times New Roman" w:eastAsia="宋体" w:cs="Times New Roman"/>
                <w:color w:val="000000" w:themeColor="text1"/>
                <w:sz w:val="24"/>
                <w:szCs w:val="24"/>
                <w:highlight w:val="none"/>
                <w14:textFill>
                  <w14:solidFill>
                    <w14:schemeClr w14:val="tx1"/>
                  </w14:solidFill>
                </w14:textFill>
              </w:rPr>
              <w:t>工序产生的粉尘经</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布袋除尘器（覆膜袋式）</w:t>
            </w:r>
            <w:r>
              <w:rPr>
                <w:rFonts w:hint="default" w:ascii="Times New Roman" w:hAnsi="Times New Roman" w:eastAsia="宋体" w:cs="Times New Roman"/>
                <w:color w:val="000000" w:themeColor="text1"/>
                <w:sz w:val="24"/>
                <w:szCs w:val="24"/>
                <w:highlight w:val="none"/>
                <w14:textFill>
                  <w14:solidFill>
                    <w14:schemeClr w14:val="tx1"/>
                  </w14:solidFill>
                </w14:textFill>
              </w:rPr>
              <w:t>处理后（除尘效率9</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9</w:t>
            </w:r>
            <w:r>
              <w:rPr>
                <w:rFonts w:hint="default" w:ascii="Times New Roman" w:hAnsi="Times New Roman" w:eastAsia="宋体" w:cs="Times New Roman"/>
                <w:color w:val="000000" w:themeColor="text1"/>
                <w:sz w:val="24"/>
                <w:szCs w:val="24"/>
                <w:highlight w:val="none"/>
                <w14:textFill>
                  <w14:solidFill>
                    <w14:schemeClr w14:val="tx1"/>
                  </w14:solidFill>
                </w14:textFill>
              </w:rPr>
              <w:t>%），满足</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《耐火材料工业大气污染物排放标准》（GB46790-2025）表1大气污染物排放限值</w:t>
            </w:r>
            <w:r>
              <w:rPr>
                <w:rFonts w:hint="default" w:ascii="Times New Roman" w:hAnsi="Times New Roman" w:eastAsia="宋体" w:cs="Times New Roman"/>
                <w:color w:val="000000" w:themeColor="text1"/>
                <w:sz w:val="24"/>
                <w:szCs w:val="24"/>
                <w:highlight w:val="none"/>
                <w14:textFill>
                  <w14:solidFill>
                    <w14:schemeClr w14:val="tx1"/>
                  </w14:solidFill>
                </w14:textFill>
              </w:rPr>
              <w:t>要求。</w:t>
            </w:r>
          </w:p>
          <w:p w14:paraId="0682AF30">
            <w:pPr>
              <w:pStyle w:val="8"/>
              <w:tabs>
                <w:tab w:val="left" w:pos="1180"/>
                <w:tab w:val="center" w:pos="4535"/>
              </w:tabs>
              <w:ind w:firstLineChars="200"/>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宋体" w:cs="Times New Roman"/>
                <w:b/>
                <w:color w:val="000000" w:themeColor="text1"/>
                <w:highlight w:val="none"/>
                <w:lang w:eastAsia="zh-CN"/>
                <w14:textFill>
                  <w14:solidFill>
                    <w14:schemeClr w14:val="tx1"/>
                  </w14:solidFill>
                </w14:textFill>
              </w:rPr>
              <w:t>表</w:t>
            </w:r>
            <w:r>
              <w:rPr>
                <w:rFonts w:hint="default" w:ascii="Times New Roman" w:hAnsi="Times New Roman" w:eastAsia="宋体" w:cs="Times New Roman"/>
                <w:b/>
                <w:color w:val="000000" w:themeColor="text1"/>
                <w:highlight w:val="none"/>
                <w:lang w:val="en-US" w:eastAsia="zh-CN"/>
                <w14:textFill>
                  <w14:solidFill>
                    <w14:schemeClr w14:val="tx1"/>
                  </w14:solidFill>
                </w14:textFill>
              </w:rPr>
              <w:t>4-1</w:t>
            </w:r>
            <w:r>
              <w:rPr>
                <w:rFonts w:hint="eastAsia" w:cs="Times New Roman"/>
                <w:b/>
                <w:color w:val="000000" w:themeColor="text1"/>
                <w:highlight w:val="none"/>
                <w:lang w:val="en-US" w:eastAsia="zh-CN"/>
                <w14:textFill>
                  <w14:solidFill>
                    <w14:schemeClr w14:val="tx1"/>
                  </w14:solidFill>
                </w14:textFill>
              </w:rPr>
              <w:t>1有组织</w:t>
            </w:r>
            <w:r>
              <w:rPr>
                <w:rFonts w:hint="default" w:ascii="Times New Roman" w:hAnsi="Times New Roman" w:eastAsia="宋体" w:cs="Times New Roman"/>
                <w:b/>
                <w:color w:val="000000" w:themeColor="text1"/>
                <w:highlight w:val="none"/>
                <w:lang w:eastAsia="zh-CN"/>
                <w14:textFill>
                  <w14:solidFill>
                    <w14:schemeClr w14:val="tx1"/>
                  </w14:solidFill>
                </w14:textFill>
              </w:rPr>
              <w:t>排</w:t>
            </w:r>
            <w:r>
              <w:rPr>
                <w:rFonts w:hint="default" w:ascii="Times New Roman" w:hAnsi="Times New Roman" w:cs="Times New Roman"/>
                <w:b/>
                <w:color w:val="000000" w:themeColor="text1"/>
                <w:highlight w:val="none"/>
                <w:lang w:eastAsia="zh-CN"/>
                <w14:textFill>
                  <w14:solidFill>
                    <w14:schemeClr w14:val="tx1"/>
                  </w14:solidFill>
                </w14:textFill>
              </w:rPr>
              <w:t>放口</w:t>
            </w:r>
            <w:r>
              <w:rPr>
                <w:rFonts w:hint="eastAsia" w:cs="Times New Roman"/>
                <w:b/>
                <w:color w:val="000000" w:themeColor="text1"/>
                <w:highlight w:val="none"/>
                <w:lang w:val="en-US" w:eastAsia="zh-CN"/>
                <w14:textFill>
                  <w14:solidFill>
                    <w14:schemeClr w14:val="tx1"/>
                  </w14:solidFill>
                </w14:textFill>
              </w:rPr>
              <w:t>达标</w:t>
            </w:r>
            <w:r>
              <w:rPr>
                <w:rFonts w:hint="default" w:ascii="Times New Roman" w:hAnsi="Times New Roman" w:cs="Times New Roman"/>
                <w:b/>
                <w:color w:val="000000" w:themeColor="text1"/>
                <w:highlight w:val="none"/>
                <w14:textFill>
                  <w14:solidFill>
                    <w14:schemeClr w14:val="tx1"/>
                  </w14:solidFill>
                </w14:textFill>
              </w:rPr>
              <w:t>情况</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4"/>
              <w:gridCol w:w="1989"/>
              <w:gridCol w:w="1516"/>
              <w:gridCol w:w="1429"/>
              <w:gridCol w:w="1435"/>
            </w:tblGrid>
            <w:tr w14:paraId="3A4C0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90" w:type="pct"/>
                  <w:noWrap w:val="0"/>
                  <w:vAlign w:val="center"/>
                </w:tcPr>
                <w:p w14:paraId="017D4AB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名称</w:t>
                  </w:r>
                </w:p>
              </w:tc>
              <w:tc>
                <w:tcPr>
                  <w:tcW w:w="1251" w:type="pct"/>
                  <w:noWrap w:val="0"/>
                  <w:vAlign w:val="center"/>
                </w:tcPr>
                <w:p w14:paraId="0344A30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污染物</w:t>
                  </w:r>
                </w:p>
                <w:p w14:paraId="2D0CDC6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种类</w:t>
                  </w:r>
                </w:p>
              </w:tc>
              <w:tc>
                <w:tcPr>
                  <w:tcW w:w="954" w:type="pct"/>
                  <w:noWrap w:val="0"/>
                  <w:vAlign w:val="center"/>
                </w:tcPr>
                <w:p w14:paraId="7BABA68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p>
                <w:p w14:paraId="2E0F4CD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高度</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m</w:t>
                  </w:r>
                </w:p>
              </w:tc>
              <w:tc>
                <w:tcPr>
                  <w:tcW w:w="899" w:type="pct"/>
                  <w:noWrap w:val="0"/>
                  <w:vAlign w:val="center"/>
                </w:tcPr>
                <w:p w14:paraId="4C93EF8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排放浓度mg/m</w:t>
                  </w:r>
                  <w:r>
                    <w:rPr>
                      <w:rFonts w:hint="eastAsia" w:cs="Times New Roman"/>
                      <w:b w:val="0"/>
                      <w:bCs w:val="0"/>
                      <w:color w:val="000000" w:themeColor="text1"/>
                      <w:sz w:val="21"/>
                      <w:szCs w:val="21"/>
                      <w:highlight w:val="none"/>
                      <w:vertAlign w:val="superscript"/>
                      <w:lang w:val="en-US" w:eastAsia="zh-CN"/>
                      <w14:textFill>
                        <w14:solidFill>
                          <w14:schemeClr w14:val="tx1"/>
                        </w14:solidFill>
                      </w14:textFill>
                    </w:rPr>
                    <w:t>3</w:t>
                  </w:r>
                </w:p>
              </w:tc>
              <w:tc>
                <w:tcPr>
                  <w:tcW w:w="903" w:type="pct"/>
                  <w:noWrap w:val="0"/>
                  <w:vAlign w:val="center"/>
                </w:tcPr>
                <w:p w14:paraId="0FCB0CF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排放浓度限值mg/m</w:t>
                  </w:r>
                  <w:r>
                    <w:rPr>
                      <w:rFonts w:hint="eastAsia" w:cs="Times New Roman"/>
                      <w:b w:val="0"/>
                      <w:bCs w:val="0"/>
                      <w:color w:val="000000" w:themeColor="text1"/>
                      <w:sz w:val="21"/>
                      <w:szCs w:val="21"/>
                      <w:highlight w:val="none"/>
                      <w:vertAlign w:val="superscript"/>
                      <w:lang w:val="en-US" w:eastAsia="zh-CN"/>
                      <w14:textFill>
                        <w14:solidFill>
                          <w14:schemeClr w14:val="tx1"/>
                        </w14:solidFill>
                      </w14:textFill>
                    </w:rPr>
                    <w:t>3</w:t>
                  </w:r>
                </w:p>
              </w:tc>
            </w:tr>
            <w:tr w14:paraId="75B35E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90" w:type="pct"/>
                  <w:noWrap w:val="0"/>
                  <w:vAlign w:val="center"/>
                </w:tcPr>
                <w:p w14:paraId="72B7DB02">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DA001</w:t>
                  </w:r>
                </w:p>
              </w:tc>
              <w:tc>
                <w:tcPr>
                  <w:tcW w:w="1251" w:type="pct"/>
                  <w:vMerge w:val="restart"/>
                  <w:noWrap w:val="0"/>
                  <w:vAlign w:val="center"/>
                </w:tcPr>
                <w:p w14:paraId="17C4B80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颗粒物</w:t>
                  </w:r>
                </w:p>
              </w:tc>
              <w:tc>
                <w:tcPr>
                  <w:tcW w:w="954" w:type="pct"/>
                  <w:noWrap w:val="0"/>
                  <w:vAlign w:val="center"/>
                </w:tcPr>
                <w:p w14:paraId="2F2BB3A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4</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2</w:t>
                  </w:r>
                </w:p>
              </w:tc>
              <w:tc>
                <w:tcPr>
                  <w:tcW w:w="899" w:type="pct"/>
                  <w:noWrap w:val="0"/>
                  <w:vAlign w:val="center"/>
                </w:tcPr>
                <w:p w14:paraId="5A3D9C36">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5</w:t>
                  </w:r>
                </w:p>
              </w:tc>
              <w:tc>
                <w:tcPr>
                  <w:tcW w:w="903" w:type="pct"/>
                  <w:noWrap w:val="0"/>
                  <w:vAlign w:val="center"/>
                </w:tcPr>
                <w:p w14:paraId="42A810C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20</w:t>
                  </w:r>
                </w:p>
              </w:tc>
            </w:tr>
            <w:tr w14:paraId="743491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90" w:type="pct"/>
                  <w:noWrap w:val="0"/>
                  <w:vAlign w:val="center"/>
                </w:tcPr>
                <w:p w14:paraId="48ECC9C5">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DA002</w:t>
                  </w:r>
                </w:p>
              </w:tc>
              <w:tc>
                <w:tcPr>
                  <w:tcW w:w="1251" w:type="pct"/>
                  <w:vMerge w:val="continue"/>
                  <w:noWrap w:val="0"/>
                  <w:vAlign w:val="center"/>
                </w:tcPr>
                <w:p w14:paraId="604EE86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954" w:type="pct"/>
                  <w:noWrap w:val="0"/>
                  <w:vAlign w:val="center"/>
                </w:tcPr>
                <w:p w14:paraId="13AC7DD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4</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2</w:t>
                  </w:r>
                </w:p>
              </w:tc>
              <w:tc>
                <w:tcPr>
                  <w:tcW w:w="899" w:type="pct"/>
                  <w:noWrap w:val="0"/>
                  <w:vAlign w:val="center"/>
                </w:tcPr>
                <w:p w14:paraId="01F656AD">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5</w:t>
                  </w:r>
                </w:p>
              </w:tc>
              <w:tc>
                <w:tcPr>
                  <w:tcW w:w="903" w:type="pct"/>
                  <w:noWrap w:val="0"/>
                  <w:vAlign w:val="center"/>
                </w:tcPr>
                <w:p w14:paraId="2AA075B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20</w:t>
                  </w:r>
                </w:p>
              </w:tc>
            </w:tr>
            <w:tr w14:paraId="4B3C2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90" w:type="pct"/>
                  <w:noWrap w:val="0"/>
                  <w:vAlign w:val="center"/>
                </w:tcPr>
                <w:p w14:paraId="4FCCB426">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cs="Times New Roman"/>
                      <w:b w:val="0"/>
                      <w:bCs w:val="0"/>
                      <w:color w:val="000000" w:themeColor="text1"/>
                      <w:kern w:val="0"/>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DA003</w:t>
                  </w:r>
                </w:p>
              </w:tc>
              <w:tc>
                <w:tcPr>
                  <w:tcW w:w="1251" w:type="pct"/>
                  <w:vMerge w:val="continue"/>
                  <w:noWrap w:val="0"/>
                  <w:vAlign w:val="center"/>
                </w:tcPr>
                <w:p w14:paraId="3E2C245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kern w:val="0"/>
                      <w:sz w:val="21"/>
                      <w:szCs w:val="21"/>
                      <w:highlight w:val="none"/>
                      <w14:textFill>
                        <w14:solidFill>
                          <w14:schemeClr w14:val="tx1"/>
                        </w14:solidFill>
                      </w14:textFill>
                    </w:rPr>
                  </w:pPr>
                </w:p>
              </w:tc>
              <w:tc>
                <w:tcPr>
                  <w:tcW w:w="954" w:type="pct"/>
                  <w:noWrap w:val="0"/>
                  <w:vAlign w:val="center"/>
                </w:tcPr>
                <w:p w14:paraId="2168C54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15</w:t>
                  </w:r>
                </w:p>
              </w:tc>
              <w:tc>
                <w:tcPr>
                  <w:tcW w:w="899" w:type="pct"/>
                  <w:noWrap w:val="0"/>
                  <w:vAlign w:val="center"/>
                </w:tcPr>
                <w:p w14:paraId="6A3D9BCF">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24</w:t>
                  </w:r>
                </w:p>
              </w:tc>
              <w:tc>
                <w:tcPr>
                  <w:tcW w:w="903" w:type="pct"/>
                  <w:noWrap w:val="0"/>
                  <w:vAlign w:val="center"/>
                </w:tcPr>
                <w:p w14:paraId="53410F2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kern w:val="0"/>
                      <w:sz w:val="21"/>
                      <w:szCs w:val="21"/>
                      <w:highlight w:val="none"/>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20</w:t>
                  </w:r>
                </w:p>
              </w:tc>
            </w:tr>
            <w:tr w14:paraId="55D2AA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90" w:type="pct"/>
                  <w:noWrap w:val="0"/>
                  <w:vAlign w:val="center"/>
                </w:tcPr>
                <w:p w14:paraId="5776B1E7">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DA004</w:t>
                  </w:r>
                </w:p>
              </w:tc>
              <w:tc>
                <w:tcPr>
                  <w:tcW w:w="1251" w:type="pct"/>
                  <w:noWrap w:val="0"/>
                  <w:vAlign w:val="center"/>
                </w:tcPr>
                <w:p w14:paraId="3820B34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颗粒物</w:t>
                  </w:r>
                </w:p>
              </w:tc>
              <w:tc>
                <w:tcPr>
                  <w:tcW w:w="954" w:type="pct"/>
                  <w:noWrap w:val="0"/>
                  <w:vAlign w:val="center"/>
                </w:tcPr>
                <w:p w14:paraId="4F43113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Cs w:val="21"/>
                      <w:highlight w:val="none"/>
                      <w:lang w:val="en-US" w:eastAsia="zh-CN"/>
                      <w14:textFill>
                        <w14:solidFill>
                          <w14:schemeClr w14:val="tx1"/>
                        </w14:solidFill>
                      </w14:textFill>
                    </w:rPr>
                  </w:pPr>
                  <w:r>
                    <w:rPr>
                      <w:rFonts w:hint="eastAsia" w:cs="Times New Roman"/>
                      <w:b w:val="0"/>
                      <w:bCs w:val="0"/>
                      <w:color w:val="000000" w:themeColor="text1"/>
                      <w:szCs w:val="21"/>
                      <w:highlight w:val="none"/>
                      <w:lang w:val="en-US" w:eastAsia="zh-CN"/>
                      <w14:textFill>
                        <w14:solidFill>
                          <w14:schemeClr w14:val="tx1"/>
                        </w14:solidFill>
                      </w14:textFill>
                    </w:rPr>
                    <w:t>3</w:t>
                  </w:r>
                  <w:r>
                    <w:rPr>
                      <w:rFonts w:hint="default" w:ascii="Times New Roman" w:hAnsi="Times New Roman" w:cs="Times New Roman"/>
                      <w:b w:val="0"/>
                      <w:bCs w:val="0"/>
                      <w:color w:val="000000" w:themeColor="text1"/>
                      <w:szCs w:val="21"/>
                      <w:highlight w:val="none"/>
                      <w:lang w:val="en-US" w:eastAsia="zh-CN"/>
                      <w14:textFill>
                        <w14:solidFill>
                          <w14:schemeClr w14:val="tx1"/>
                        </w14:solidFill>
                      </w14:textFill>
                    </w:rPr>
                    <w:t>0</w:t>
                  </w:r>
                </w:p>
              </w:tc>
              <w:tc>
                <w:tcPr>
                  <w:tcW w:w="899" w:type="pct"/>
                  <w:noWrap w:val="0"/>
                  <w:vAlign w:val="center"/>
                </w:tcPr>
                <w:p w14:paraId="25C18303">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24</w:t>
                  </w:r>
                </w:p>
              </w:tc>
              <w:tc>
                <w:tcPr>
                  <w:tcW w:w="903" w:type="pct"/>
                  <w:noWrap w:val="0"/>
                  <w:vAlign w:val="center"/>
                </w:tcPr>
                <w:p w14:paraId="72389F4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20</w:t>
                  </w:r>
                </w:p>
              </w:tc>
            </w:tr>
            <w:tr w14:paraId="26569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90" w:type="pct"/>
                  <w:noWrap w:val="0"/>
                  <w:vAlign w:val="center"/>
                </w:tcPr>
                <w:p w14:paraId="2F5EA9AA">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DA005</w:t>
                  </w:r>
                </w:p>
              </w:tc>
              <w:tc>
                <w:tcPr>
                  <w:tcW w:w="1251" w:type="pct"/>
                  <w:noWrap w:val="0"/>
                  <w:vAlign w:val="center"/>
                </w:tcPr>
                <w:p w14:paraId="76DCDF8F">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颗粒物</w:t>
                  </w:r>
                </w:p>
              </w:tc>
              <w:tc>
                <w:tcPr>
                  <w:tcW w:w="954" w:type="pct"/>
                  <w:noWrap w:val="0"/>
                  <w:vAlign w:val="center"/>
                </w:tcPr>
                <w:p w14:paraId="59CDF64E">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9</w:t>
                  </w:r>
                  <w:r>
                    <w:rPr>
                      <w:rFonts w:hint="default" w:ascii="Times New Roman" w:hAnsi="Times New Roman" w:cs="Times New Roman"/>
                      <w:b w:val="0"/>
                      <w:bCs w:val="0"/>
                      <w:color w:val="000000" w:themeColor="text1"/>
                      <w:kern w:val="2"/>
                      <w:sz w:val="21"/>
                      <w:szCs w:val="21"/>
                      <w:highlight w:val="none"/>
                      <w:lang w:val="en-US" w:eastAsia="zh-CN" w:bidi="ar-SA"/>
                      <w14:textFill>
                        <w14:solidFill>
                          <w14:schemeClr w14:val="tx1"/>
                        </w14:solidFill>
                      </w14:textFill>
                    </w:rPr>
                    <w:t>0</w:t>
                  </w:r>
                </w:p>
              </w:tc>
              <w:tc>
                <w:tcPr>
                  <w:tcW w:w="899" w:type="pct"/>
                  <w:noWrap w:val="0"/>
                  <w:vAlign w:val="center"/>
                </w:tcPr>
                <w:p w14:paraId="5A760CF2">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eastAsia" w:ascii="Times New Roman" w:hAnsi="Times New Roman" w:cs="Times New Roman"/>
                      <w:b w:val="0"/>
                      <w:bCs w:val="0"/>
                      <w:color w:val="000000" w:themeColor="text1"/>
                      <w:kern w:val="0"/>
                      <w:sz w:val="21"/>
                      <w:szCs w:val="21"/>
                      <w:highlight w:val="none"/>
                      <w:lang w:val="en-US" w:eastAsia="zh-CN" w:bidi="ar-SA"/>
                      <w14:textFill>
                        <w14:solidFill>
                          <w14:schemeClr w14:val="tx1"/>
                        </w14:solidFill>
                      </w14:textFill>
                    </w:rPr>
                    <w:t>8.33</w:t>
                  </w:r>
                </w:p>
              </w:tc>
              <w:tc>
                <w:tcPr>
                  <w:tcW w:w="903" w:type="pct"/>
                  <w:noWrap w:val="0"/>
                  <w:vAlign w:val="center"/>
                </w:tcPr>
                <w:p w14:paraId="503F375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20</w:t>
                  </w:r>
                </w:p>
              </w:tc>
            </w:tr>
            <w:tr w14:paraId="6A8079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 w:hRule="atLeast"/>
                <w:jc w:val="center"/>
              </w:trPr>
              <w:tc>
                <w:tcPr>
                  <w:tcW w:w="990" w:type="pct"/>
                  <w:vMerge w:val="restart"/>
                  <w:noWrap w:val="0"/>
                  <w:vAlign w:val="center"/>
                </w:tcPr>
                <w:p w14:paraId="167C3AE9">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DA006</w:t>
                  </w:r>
                </w:p>
              </w:tc>
              <w:tc>
                <w:tcPr>
                  <w:tcW w:w="1251" w:type="pct"/>
                  <w:noWrap w:val="0"/>
                  <w:vAlign w:val="center"/>
                </w:tcPr>
                <w:p w14:paraId="55C501C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kern w:val="0"/>
                      <w:sz w:val="21"/>
                      <w:szCs w:val="21"/>
                      <w:highlight w:val="none"/>
                      <w14:textFill>
                        <w14:solidFill>
                          <w14:schemeClr w14:val="tx1"/>
                        </w14:solidFill>
                      </w14:textFill>
                    </w:rPr>
                  </w:pP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颗粒物</w:t>
                  </w:r>
                </w:p>
              </w:tc>
              <w:tc>
                <w:tcPr>
                  <w:tcW w:w="954" w:type="pct"/>
                  <w:vMerge w:val="restart"/>
                  <w:noWrap w:val="0"/>
                  <w:vAlign w:val="center"/>
                </w:tcPr>
                <w:p w14:paraId="54F6CBA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Cs w:val="21"/>
                      <w:highlight w:val="none"/>
                      <w:lang w:val="en-US" w:eastAsia="zh-CN"/>
                      <w14:textFill>
                        <w14:solidFill>
                          <w14:schemeClr w14:val="tx1"/>
                        </w14:solidFill>
                      </w14:textFill>
                    </w:rPr>
                  </w:pPr>
                  <w:r>
                    <w:rPr>
                      <w:rFonts w:hint="eastAsia" w:cs="Times New Roman"/>
                      <w:b w:val="0"/>
                      <w:bCs w:val="0"/>
                      <w:color w:val="000000" w:themeColor="text1"/>
                      <w:szCs w:val="21"/>
                      <w:highlight w:val="none"/>
                      <w:lang w:val="en-US" w:eastAsia="zh-CN"/>
                      <w14:textFill>
                        <w14:solidFill>
                          <w14:schemeClr w14:val="tx1"/>
                        </w14:solidFill>
                      </w14:textFill>
                    </w:rPr>
                    <w:t>42</w:t>
                  </w:r>
                </w:p>
              </w:tc>
              <w:tc>
                <w:tcPr>
                  <w:tcW w:w="899" w:type="pct"/>
                  <w:noWrap w:val="0"/>
                  <w:vAlign w:val="center"/>
                </w:tcPr>
                <w:p w14:paraId="416BA9FE">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7.01</w:t>
                  </w:r>
                </w:p>
              </w:tc>
              <w:tc>
                <w:tcPr>
                  <w:tcW w:w="903" w:type="pct"/>
                  <w:noWrap w:val="0"/>
                  <w:vAlign w:val="center"/>
                </w:tcPr>
                <w:p w14:paraId="6680685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20</w:t>
                  </w:r>
                </w:p>
              </w:tc>
            </w:tr>
            <w:tr w14:paraId="0397E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90" w:type="pct"/>
                  <w:vMerge w:val="continue"/>
                  <w:noWrap w:val="0"/>
                  <w:vAlign w:val="center"/>
                </w:tcPr>
                <w:p w14:paraId="7E7A5A17">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p>
              </w:tc>
              <w:tc>
                <w:tcPr>
                  <w:tcW w:w="1251" w:type="pct"/>
                  <w:noWrap w:val="0"/>
                  <w:vAlign w:val="center"/>
                </w:tcPr>
                <w:p w14:paraId="0151375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氮氧化物</w:t>
                  </w:r>
                </w:p>
              </w:tc>
              <w:tc>
                <w:tcPr>
                  <w:tcW w:w="954" w:type="pct"/>
                  <w:vMerge w:val="continue"/>
                  <w:noWrap w:val="0"/>
                  <w:vAlign w:val="center"/>
                </w:tcPr>
                <w:p w14:paraId="2F44B60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cs="Times New Roman"/>
                      <w:b w:val="0"/>
                      <w:bCs w:val="0"/>
                      <w:color w:val="000000" w:themeColor="text1"/>
                      <w:szCs w:val="21"/>
                      <w:highlight w:val="none"/>
                      <w:lang w:val="en-US" w:eastAsia="zh-CN"/>
                      <w14:textFill>
                        <w14:solidFill>
                          <w14:schemeClr w14:val="tx1"/>
                        </w14:solidFill>
                      </w14:textFill>
                    </w:rPr>
                  </w:pPr>
                </w:p>
              </w:tc>
              <w:tc>
                <w:tcPr>
                  <w:tcW w:w="899" w:type="pct"/>
                  <w:noWrap w:val="0"/>
                  <w:vAlign w:val="center"/>
                </w:tcPr>
                <w:p w14:paraId="6E4A826C">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91.55</w:t>
                  </w:r>
                </w:p>
              </w:tc>
              <w:tc>
                <w:tcPr>
                  <w:tcW w:w="903" w:type="pct"/>
                  <w:noWrap w:val="0"/>
                  <w:vAlign w:val="center"/>
                </w:tcPr>
                <w:p w14:paraId="3C6BE6F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100</w:t>
                  </w:r>
                </w:p>
              </w:tc>
            </w:tr>
            <w:tr w14:paraId="0E3AD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90" w:type="pct"/>
                  <w:vMerge w:val="continue"/>
                  <w:noWrap w:val="0"/>
                  <w:vAlign w:val="center"/>
                </w:tcPr>
                <w:p w14:paraId="24C36FA0">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p>
              </w:tc>
              <w:tc>
                <w:tcPr>
                  <w:tcW w:w="1251" w:type="pct"/>
                  <w:noWrap w:val="0"/>
                  <w:vAlign w:val="center"/>
                </w:tcPr>
                <w:p w14:paraId="697159F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pPr>
                  <w:r>
                    <w:rPr>
                      <w:rFonts w:hint="eastAsia" w:cs="Times New Roman"/>
                      <w:b w:val="0"/>
                      <w:bCs w:val="0"/>
                      <w:color w:val="000000" w:themeColor="text1"/>
                      <w:kern w:val="0"/>
                      <w:sz w:val="21"/>
                      <w:szCs w:val="21"/>
                      <w:highlight w:val="none"/>
                      <w:lang w:val="en-US" w:eastAsia="zh-CN"/>
                      <w14:textFill>
                        <w14:solidFill>
                          <w14:schemeClr w14:val="tx1"/>
                        </w14:solidFill>
                      </w14:textFill>
                    </w:rPr>
                    <w:t>氨气</w:t>
                  </w:r>
                </w:p>
              </w:tc>
              <w:tc>
                <w:tcPr>
                  <w:tcW w:w="954" w:type="pct"/>
                  <w:vMerge w:val="continue"/>
                  <w:noWrap w:val="0"/>
                  <w:vAlign w:val="center"/>
                </w:tcPr>
                <w:p w14:paraId="6607626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cs="Times New Roman"/>
                      <w:b w:val="0"/>
                      <w:bCs w:val="0"/>
                      <w:color w:val="000000" w:themeColor="text1"/>
                      <w:szCs w:val="21"/>
                      <w:highlight w:val="none"/>
                      <w:lang w:val="en-US" w:eastAsia="zh-CN"/>
                      <w14:textFill>
                        <w14:solidFill>
                          <w14:schemeClr w14:val="tx1"/>
                        </w14:solidFill>
                      </w14:textFill>
                    </w:rPr>
                  </w:pPr>
                </w:p>
              </w:tc>
              <w:tc>
                <w:tcPr>
                  <w:tcW w:w="899" w:type="pct"/>
                  <w:noWrap w:val="0"/>
                  <w:vAlign w:val="center"/>
                </w:tcPr>
                <w:p w14:paraId="5E10D353">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3.5</w:t>
                  </w:r>
                </w:p>
              </w:tc>
              <w:tc>
                <w:tcPr>
                  <w:tcW w:w="903" w:type="pct"/>
                  <w:noWrap w:val="0"/>
                  <w:vAlign w:val="center"/>
                </w:tcPr>
                <w:p w14:paraId="21E888C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8</w:t>
                  </w:r>
                </w:p>
              </w:tc>
            </w:tr>
            <w:tr w14:paraId="1EFF1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90" w:type="pct"/>
                  <w:vMerge w:val="continue"/>
                  <w:noWrap w:val="0"/>
                  <w:vAlign w:val="center"/>
                </w:tcPr>
                <w:p w14:paraId="4D26E29F">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p>
              </w:tc>
              <w:tc>
                <w:tcPr>
                  <w:tcW w:w="1251" w:type="pct"/>
                  <w:noWrap w:val="0"/>
                  <w:vAlign w:val="center"/>
                </w:tcPr>
                <w:p w14:paraId="7B9C951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二氧化硫</w:t>
                  </w:r>
                </w:p>
              </w:tc>
              <w:tc>
                <w:tcPr>
                  <w:tcW w:w="954" w:type="pct"/>
                  <w:vMerge w:val="continue"/>
                  <w:noWrap w:val="0"/>
                  <w:vAlign w:val="center"/>
                </w:tcPr>
                <w:p w14:paraId="0B16ABC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eastAsia" w:cs="Times New Roman"/>
                      <w:b w:val="0"/>
                      <w:bCs w:val="0"/>
                      <w:color w:val="000000" w:themeColor="text1"/>
                      <w:szCs w:val="21"/>
                      <w:highlight w:val="none"/>
                      <w:lang w:val="en-US" w:eastAsia="zh-CN"/>
                      <w14:textFill>
                        <w14:solidFill>
                          <w14:schemeClr w14:val="tx1"/>
                        </w14:solidFill>
                      </w14:textFill>
                    </w:rPr>
                  </w:pPr>
                </w:p>
              </w:tc>
              <w:tc>
                <w:tcPr>
                  <w:tcW w:w="899" w:type="pct"/>
                  <w:noWrap w:val="0"/>
                  <w:vAlign w:val="center"/>
                </w:tcPr>
                <w:p w14:paraId="65F0C425">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17.48</w:t>
                  </w:r>
                </w:p>
              </w:tc>
              <w:tc>
                <w:tcPr>
                  <w:tcW w:w="903" w:type="pct"/>
                  <w:noWrap w:val="0"/>
                  <w:vAlign w:val="center"/>
                </w:tcPr>
                <w:p w14:paraId="571E7BF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50</w:t>
                  </w:r>
                </w:p>
              </w:tc>
            </w:tr>
            <w:tr w14:paraId="5AF1B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90" w:type="pct"/>
                  <w:noWrap w:val="0"/>
                  <w:vAlign w:val="center"/>
                </w:tcPr>
                <w:p w14:paraId="60A7612D">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DA007</w:t>
                  </w:r>
                </w:p>
              </w:tc>
              <w:tc>
                <w:tcPr>
                  <w:tcW w:w="1251" w:type="pct"/>
                  <w:noWrap w:val="0"/>
                  <w:vAlign w:val="center"/>
                </w:tcPr>
                <w:p w14:paraId="0F9295B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kern w:val="0"/>
                      <w:sz w:val="21"/>
                      <w:szCs w:val="21"/>
                      <w:highlight w:val="none"/>
                      <w14:textFill>
                        <w14:solidFill>
                          <w14:schemeClr w14:val="tx1"/>
                        </w14:solidFill>
                      </w14:textFill>
                    </w:rPr>
                  </w:pP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颗粒物</w:t>
                  </w:r>
                </w:p>
              </w:tc>
              <w:tc>
                <w:tcPr>
                  <w:tcW w:w="954" w:type="pct"/>
                  <w:noWrap w:val="0"/>
                  <w:vAlign w:val="center"/>
                </w:tcPr>
                <w:p w14:paraId="40B3249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Cs w:val="21"/>
                      <w:highlight w:val="none"/>
                      <w:lang w:val="en-US" w:eastAsia="zh-CN"/>
                      <w14:textFill>
                        <w14:solidFill>
                          <w14:schemeClr w14:val="tx1"/>
                        </w14:solidFill>
                      </w14:textFill>
                    </w:rPr>
                    <w:t>30</w:t>
                  </w:r>
                </w:p>
              </w:tc>
              <w:tc>
                <w:tcPr>
                  <w:tcW w:w="899" w:type="pct"/>
                  <w:noWrap w:val="0"/>
                  <w:vAlign w:val="center"/>
                </w:tcPr>
                <w:p w14:paraId="0C05014E">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10.8</w:t>
                  </w:r>
                </w:p>
              </w:tc>
              <w:tc>
                <w:tcPr>
                  <w:tcW w:w="903" w:type="pct"/>
                  <w:noWrap w:val="0"/>
                  <w:vAlign w:val="center"/>
                </w:tcPr>
                <w:p w14:paraId="3C0FBC5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20</w:t>
                  </w:r>
                </w:p>
              </w:tc>
            </w:tr>
            <w:tr w14:paraId="3A102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90" w:type="pct"/>
                  <w:noWrap w:val="0"/>
                  <w:vAlign w:val="center"/>
                </w:tcPr>
                <w:p w14:paraId="0FBE14EC">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DA008</w:t>
                  </w:r>
                </w:p>
              </w:tc>
              <w:tc>
                <w:tcPr>
                  <w:tcW w:w="1251" w:type="pct"/>
                  <w:noWrap w:val="0"/>
                  <w:vAlign w:val="center"/>
                </w:tcPr>
                <w:p w14:paraId="60446F8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颗粒物</w:t>
                  </w:r>
                </w:p>
              </w:tc>
              <w:tc>
                <w:tcPr>
                  <w:tcW w:w="954" w:type="pct"/>
                  <w:noWrap w:val="0"/>
                  <w:vAlign w:val="center"/>
                </w:tcPr>
                <w:p w14:paraId="1D86D58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Cs w:val="21"/>
                      <w:highlight w:val="none"/>
                      <w:lang w:val="en-US" w:eastAsia="zh-CN"/>
                      <w14:textFill>
                        <w14:solidFill>
                          <w14:schemeClr w14:val="tx1"/>
                        </w14:solidFill>
                      </w14:textFill>
                    </w:rPr>
                    <w:t>30</w:t>
                  </w:r>
                </w:p>
              </w:tc>
              <w:tc>
                <w:tcPr>
                  <w:tcW w:w="899" w:type="pct"/>
                  <w:noWrap w:val="0"/>
                  <w:vAlign w:val="center"/>
                </w:tcPr>
                <w:p w14:paraId="32BC17B4">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4.31</w:t>
                  </w:r>
                </w:p>
              </w:tc>
              <w:tc>
                <w:tcPr>
                  <w:tcW w:w="903" w:type="pct"/>
                  <w:noWrap w:val="0"/>
                  <w:vAlign w:val="center"/>
                </w:tcPr>
                <w:p w14:paraId="1928EBA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20</w:t>
                  </w:r>
                </w:p>
              </w:tc>
            </w:tr>
            <w:tr w14:paraId="0CF97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90" w:type="pct"/>
                  <w:noWrap w:val="0"/>
                  <w:vAlign w:val="center"/>
                </w:tcPr>
                <w:p w14:paraId="67B28040">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DA009</w:t>
                  </w:r>
                </w:p>
              </w:tc>
              <w:tc>
                <w:tcPr>
                  <w:tcW w:w="1251" w:type="pct"/>
                  <w:noWrap w:val="0"/>
                  <w:vAlign w:val="center"/>
                </w:tcPr>
                <w:p w14:paraId="4DAFCB2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颗粒物</w:t>
                  </w:r>
                </w:p>
              </w:tc>
              <w:tc>
                <w:tcPr>
                  <w:tcW w:w="954" w:type="pct"/>
                  <w:noWrap w:val="0"/>
                  <w:vAlign w:val="center"/>
                </w:tcPr>
                <w:p w14:paraId="7272130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Cs w:val="21"/>
                      <w:highlight w:val="none"/>
                      <w:lang w:val="en-US" w:eastAsia="zh-CN"/>
                      <w14:textFill>
                        <w14:solidFill>
                          <w14:schemeClr w14:val="tx1"/>
                        </w14:solidFill>
                      </w14:textFill>
                    </w:rPr>
                  </w:pPr>
                  <w:r>
                    <w:rPr>
                      <w:rFonts w:hint="eastAsia" w:cs="Times New Roman"/>
                      <w:b w:val="0"/>
                      <w:bCs w:val="0"/>
                      <w:color w:val="000000" w:themeColor="text1"/>
                      <w:szCs w:val="21"/>
                      <w:highlight w:val="none"/>
                      <w:lang w:val="en-US" w:eastAsia="zh-CN"/>
                      <w14:textFill>
                        <w14:solidFill>
                          <w14:schemeClr w14:val="tx1"/>
                        </w14:solidFill>
                      </w14:textFill>
                    </w:rPr>
                    <w:t>5</w:t>
                  </w:r>
                  <w:r>
                    <w:rPr>
                      <w:rFonts w:hint="default" w:ascii="Times New Roman" w:hAnsi="Times New Roman" w:eastAsia="宋体" w:cs="Times New Roman"/>
                      <w:b w:val="0"/>
                      <w:bCs w:val="0"/>
                      <w:color w:val="000000" w:themeColor="text1"/>
                      <w:szCs w:val="21"/>
                      <w:highlight w:val="none"/>
                      <w:lang w:val="en-US" w:eastAsia="zh-CN"/>
                      <w14:textFill>
                        <w14:solidFill>
                          <w14:schemeClr w14:val="tx1"/>
                        </w14:solidFill>
                      </w14:textFill>
                    </w:rPr>
                    <w:t>0</w:t>
                  </w:r>
                </w:p>
              </w:tc>
              <w:tc>
                <w:tcPr>
                  <w:tcW w:w="899" w:type="pct"/>
                  <w:noWrap w:val="0"/>
                  <w:vAlign w:val="center"/>
                </w:tcPr>
                <w:p w14:paraId="0DF5B84D">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0.04</w:t>
                  </w:r>
                </w:p>
              </w:tc>
              <w:tc>
                <w:tcPr>
                  <w:tcW w:w="903" w:type="pct"/>
                  <w:noWrap w:val="0"/>
                  <w:vAlign w:val="center"/>
                </w:tcPr>
                <w:p w14:paraId="18414C5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20</w:t>
                  </w:r>
                </w:p>
              </w:tc>
            </w:tr>
            <w:tr w14:paraId="0ED86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90" w:type="pct"/>
                  <w:noWrap w:val="0"/>
                  <w:vAlign w:val="center"/>
                </w:tcPr>
                <w:p w14:paraId="56021B3A">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DA010</w:t>
                  </w:r>
                </w:p>
              </w:tc>
              <w:tc>
                <w:tcPr>
                  <w:tcW w:w="1251" w:type="pct"/>
                  <w:noWrap w:val="0"/>
                  <w:vAlign w:val="center"/>
                </w:tcPr>
                <w:p w14:paraId="7205A23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颗粒物</w:t>
                  </w:r>
                </w:p>
              </w:tc>
              <w:tc>
                <w:tcPr>
                  <w:tcW w:w="954" w:type="pct"/>
                  <w:noWrap w:val="0"/>
                  <w:vAlign w:val="center"/>
                </w:tcPr>
                <w:p w14:paraId="5AD87594">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Cs w:val="21"/>
                      <w:highlight w:val="none"/>
                      <w:lang w:val="en-US" w:eastAsia="zh-CN"/>
                      <w14:textFill>
                        <w14:solidFill>
                          <w14:schemeClr w14:val="tx1"/>
                        </w14:solidFill>
                      </w14:textFill>
                    </w:rPr>
                  </w:pPr>
                  <w:r>
                    <w:rPr>
                      <w:rFonts w:hint="eastAsia" w:cs="Times New Roman"/>
                      <w:b w:val="0"/>
                      <w:bCs w:val="0"/>
                      <w:color w:val="000000" w:themeColor="text1"/>
                      <w:szCs w:val="21"/>
                      <w:highlight w:val="none"/>
                      <w:lang w:val="en-US" w:eastAsia="zh-CN"/>
                      <w14:textFill>
                        <w14:solidFill>
                          <w14:schemeClr w14:val="tx1"/>
                        </w14:solidFill>
                      </w14:textFill>
                    </w:rPr>
                    <w:t>5</w:t>
                  </w:r>
                  <w:r>
                    <w:rPr>
                      <w:rFonts w:hint="default" w:ascii="Times New Roman" w:hAnsi="Times New Roman" w:eastAsia="宋体" w:cs="Times New Roman"/>
                      <w:b w:val="0"/>
                      <w:bCs w:val="0"/>
                      <w:color w:val="000000" w:themeColor="text1"/>
                      <w:szCs w:val="21"/>
                      <w:highlight w:val="none"/>
                      <w:lang w:val="en-US" w:eastAsia="zh-CN"/>
                      <w14:textFill>
                        <w14:solidFill>
                          <w14:schemeClr w14:val="tx1"/>
                        </w14:solidFill>
                      </w14:textFill>
                    </w:rPr>
                    <w:t>0</w:t>
                  </w:r>
                </w:p>
              </w:tc>
              <w:tc>
                <w:tcPr>
                  <w:tcW w:w="899" w:type="pct"/>
                  <w:noWrap w:val="0"/>
                  <w:vAlign w:val="center"/>
                </w:tcPr>
                <w:p w14:paraId="5148FD85">
                  <w:pPr>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0.04</w:t>
                  </w:r>
                </w:p>
              </w:tc>
              <w:tc>
                <w:tcPr>
                  <w:tcW w:w="903" w:type="pct"/>
                  <w:noWrap w:val="0"/>
                  <w:vAlign w:val="center"/>
                </w:tcPr>
                <w:p w14:paraId="7B03B40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20</w:t>
                  </w:r>
                </w:p>
              </w:tc>
            </w:tr>
            <w:tr w14:paraId="7BD15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90" w:type="pct"/>
                  <w:noWrap w:val="0"/>
                  <w:vAlign w:val="center"/>
                </w:tcPr>
                <w:p w14:paraId="0B9CFDB7">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DA011</w:t>
                  </w:r>
                </w:p>
              </w:tc>
              <w:tc>
                <w:tcPr>
                  <w:tcW w:w="1251" w:type="pct"/>
                  <w:noWrap w:val="0"/>
                  <w:vAlign w:val="center"/>
                </w:tcPr>
                <w:p w14:paraId="3D3AB88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颗粒物</w:t>
                  </w:r>
                </w:p>
              </w:tc>
              <w:tc>
                <w:tcPr>
                  <w:tcW w:w="954" w:type="pct"/>
                  <w:noWrap w:val="0"/>
                  <w:vAlign w:val="center"/>
                </w:tcPr>
                <w:p w14:paraId="5DFA81D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Cs w:val="21"/>
                      <w:highlight w:val="none"/>
                      <w:lang w:val="en-US" w:eastAsia="zh-CN"/>
                      <w14:textFill>
                        <w14:solidFill>
                          <w14:schemeClr w14:val="tx1"/>
                        </w14:solidFill>
                      </w14:textFill>
                    </w:rPr>
                  </w:pPr>
                  <w:r>
                    <w:rPr>
                      <w:rFonts w:hint="eastAsia" w:cs="Times New Roman"/>
                      <w:b w:val="0"/>
                      <w:bCs w:val="0"/>
                      <w:color w:val="000000" w:themeColor="text1"/>
                      <w:szCs w:val="21"/>
                      <w:highlight w:val="none"/>
                      <w:lang w:val="en-US" w:eastAsia="zh-CN"/>
                      <w14:textFill>
                        <w14:solidFill>
                          <w14:schemeClr w14:val="tx1"/>
                        </w14:solidFill>
                      </w14:textFill>
                    </w:rPr>
                    <w:t>3</w:t>
                  </w:r>
                  <w:r>
                    <w:rPr>
                      <w:rFonts w:hint="default" w:ascii="Times New Roman" w:hAnsi="Times New Roman" w:cs="Times New Roman"/>
                      <w:b w:val="0"/>
                      <w:bCs w:val="0"/>
                      <w:color w:val="000000" w:themeColor="text1"/>
                      <w:szCs w:val="21"/>
                      <w:highlight w:val="none"/>
                      <w:lang w:val="en-US" w:eastAsia="zh-CN"/>
                      <w14:textFill>
                        <w14:solidFill>
                          <w14:schemeClr w14:val="tx1"/>
                        </w14:solidFill>
                      </w14:textFill>
                    </w:rPr>
                    <w:t>0</w:t>
                  </w:r>
                </w:p>
              </w:tc>
              <w:tc>
                <w:tcPr>
                  <w:tcW w:w="899" w:type="pct"/>
                  <w:noWrap w:val="0"/>
                  <w:vAlign w:val="center"/>
                </w:tcPr>
                <w:p w14:paraId="05C75C1F">
                  <w:pPr>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w:t>
                  </w:r>
                </w:p>
              </w:tc>
              <w:tc>
                <w:tcPr>
                  <w:tcW w:w="903" w:type="pct"/>
                  <w:noWrap w:val="0"/>
                  <w:vAlign w:val="center"/>
                </w:tcPr>
                <w:p w14:paraId="0C6695D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20</w:t>
                  </w:r>
                </w:p>
              </w:tc>
            </w:tr>
            <w:tr w14:paraId="1FCA7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90" w:type="pct"/>
                  <w:noWrap w:val="0"/>
                  <w:vAlign w:val="center"/>
                </w:tcPr>
                <w:p w14:paraId="32B6E69E">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DA012</w:t>
                  </w:r>
                </w:p>
              </w:tc>
              <w:tc>
                <w:tcPr>
                  <w:tcW w:w="1251" w:type="pct"/>
                  <w:noWrap w:val="0"/>
                  <w:vAlign w:val="center"/>
                </w:tcPr>
                <w:p w14:paraId="4D1DFB1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颗粒物</w:t>
                  </w:r>
                </w:p>
              </w:tc>
              <w:tc>
                <w:tcPr>
                  <w:tcW w:w="954" w:type="pct"/>
                  <w:noWrap w:val="0"/>
                  <w:vAlign w:val="center"/>
                </w:tcPr>
                <w:p w14:paraId="094D5CB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Cs w:val="21"/>
                      <w:highlight w:val="none"/>
                      <w:lang w:val="en-US" w:eastAsia="zh-CN"/>
                      <w14:textFill>
                        <w14:solidFill>
                          <w14:schemeClr w14:val="tx1"/>
                        </w14:solidFill>
                      </w14:textFill>
                    </w:rPr>
                  </w:pPr>
                  <w:r>
                    <w:rPr>
                      <w:rFonts w:hint="eastAsia" w:cs="Times New Roman"/>
                      <w:b w:val="0"/>
                      <w:bCs w:val="0"/>
                      <w:color w:val="000000" w:themeColor="text1"/>
                      <w:szCs w:val="21"/>
                      <w:highlight w:val="none"/>
                      <w:lang w:val="en-US" w:eastAsia="zh-CN"/>
                      <w14:textFill>
                        <w14:solidFill>
                          <w14:schemeClr w14:val="tx1"/>
                        </w14:solidFill>
                      </w14:textFill>
                    </w:rPr>
                    <w:t>30</w:t>
                  </w:r>
                </w:p>
              </w:tc>
              <w:tc>
                <w:tcPr>
                  <w:tcW w:w="899" w:type="pct"/>
                  <w:noWrap w:val="0"/>
                  <w:vAlign w:val="center"/>
                </w:tcPr>
                <w:p w14:paraId="5144E042">
                  <w:pPr>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0.4</w:t>
                  </w:r>
                </w:p>
              </w:tc>
              <w:tc>
                <w:tcPr>
                  <w:tcW w:w="903" w:type="pct"/>
                  <w:noWrap w:val="0"/>
                  <w:vAlign w:val="center"/>
                </w:tcPr>
                <w:p w14:paraId="2F11035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20</w:t>
                  </w:r>
                </w:p>
              </w:tc>
            </w:tr>
            <w:tr w14:paraId="3287D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90" w:type="pct"/>
                  <w:noWrap w:val="0"/>
                  <w:vAlign w:val="center"/>
                </w:tcPr>
                <w:p w14:paraId="402492A0">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DA013</w:t>
                  </w:r>
                </w:p>
              </w:tc>
              <w:tc>
                <w:tcPr>
                  <w:tcW w:w="1251" w:type="pct"/>
                  <w:noWrap w:val="0"/>
                  <w:vAlign w:val="center"/>
                </w:tcPr>
                <w:p w14:paraId="59BC6F3B">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颗粒物</w:t>
                  </w:r>
                </w:p>
              </w:tc>
              <w:tc>
                <w:tcPr>
                  <w:tcW w:w="954" w:type="pct"/>
                  <w:noWrap w:val="0"/>
                  <w:vAlign w:val="center"/>
                </w:tcPr>
                <w:p w14:paraId="02B7EED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Cs w:val="21"/>
                      <w:highlight w:val="none"/>
                      <w:lang w:val="en-US" w:eastAsia="zh-CN"/>
                      <w14:textFill>
                        <w14:solidFill>
                          <w14:schemeClr w14:val="tx1"/>
                        </w14:solidFill>
                      </w14:textFill>
                    </w:rPr>
                    <w:t>20</w:t>
                  </w:r>
                </w:p>
              </w:tc>
              <w:tc>
                <w:tcPr>
                  <w:tcW w:w="899" w:type="pct"/>
                  <w:noWrap w:val="0"/>
                  <w:vAlign w:val="center"/>
                </w:tcPr>
                <w:p w14:paraId="2C48B428">
                  <w:pPr>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20</w:t>
                  </w:r>
                </w:p>
              </w:tc>
              <w:tc>
                <w:tcPr>
                  <w:tcW w:w="903" w:type="pct"/>
                  <w:noWrap w:val="0"/>
                  <w:vAlign w:val="center"/>
                </w:tcPr>
                <w:p w14:paraId="699DC6F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20</w:t>
                  </w:r>
                </w:p>
              </w:tc>
            </w:tr>
            <w:tr w14:paraId="3546F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90" w:type="pct"/>
                  <w:noWrap w:val="0"/>
                  <w:vAlign w:val="center"/>
                </w:tcPr>
                <w:p w14:paraId="1FE09421">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DA014</w:t>
                  </w:r>
                </w:p>
              </w:tc>
              <w:tc>
                <w:tcPr>
                  <w:tcW w:w="1251" w:type="pct"/>
                  <w:noWrap w:val="0"/>
                  <w:vAlign w:val="center"/>
                </w:tcPr>
                <w:p w14:paraId="036F4BC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颗粒物</w:t>
                  </w:r>
                </w:p>
              </w:tc>
              <w:tc>
                <w:tcPr>
                  <w:tcW w:w="954" w:type="pct"/>
                  <w:noWrap w:val="0"/>
                  <w:vAlign w:val="center"/>
                </w:tcPr>
                <w:p w14:paraId="2577EF79">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Cs w:val="21"/>
                      <w:highlight w:val="none"/>
                      <w:lang w:val="en-US" w:eastAsia="zh-CN"/>
                      <w14:textFill>
                        <w14:solidFill>
                          <w14:schemeClr w14:val="tx1"/>
                        </w14:solidFill>
                      </w14:textFill>
                    </w:rPr>
                    <w:t>15</w:t>
                  </w:r>
                </w:p>
              </w:tc>
              <w:tc>
                <w:tcPr>
                  <w:tcW w:w="899" w:type="pct"/>
                  <w:noWrap w:val="0"/>
                  <w:vAlign w:val="center"/>
                </w:tcPr>
                <w:p w14:paraId="4509EFD2">
                  <w:pPr>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20</w:t>
                  </w:r>
                </w:p>
              </w:tc>
              <w:tc>
                <w:tcPr>
                  <w:tcW w:w="903" w:type="pct"/>
                  <w:noWrap w:val="0"/>
                  <w:vAlign w:val="center"/>
                </w:tcPr>
                <w:p w14:paraId="5D79AAD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20</w:t>
                  </w:r>
                </w:p>
              </w:tc>
            </w:tr>
            <w:tr w14:paraId="32438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90" w:type="pct"/>
                  <w:noWrap w:val="0"/>
                  <w:vAlign w:val="center"/>
                </w:tcPr>
                <w:p w14:paraId="66406DB7">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DA01</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5</w:t>
                  </w:r>
                </w:p>
              </w:tc>
              <w:tc>
                <w:tcPr>
                  <w:tcW w:w="1251" w:type="pct"/>
                  <w:noWrap w:val="0"/>
                  <w:vAlign w:val="center"/>
                </w:tcPr>
                <w:p w14:paraId="67C43B6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颗粒物</w:t>
                  </w:r>
                </w:p>
              </w:tc>
              <w:tc>
                <w:tcPr>
                  <w:tcW w:w="954" w:type="pct"/>
                  <w:noWrap w:val="0"/>
                  <w:vAlign w:val="center"/>
                </w:tcPr>
                <w:p w14:paraId="031FA1C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Cs w:val="21"/>
                      <w:highlight w:val="none"/>
                      <w:lang w:val="en-US" w:eastAsia="zh-CN"/>
                      <w14:textFill>
                        <w14:solidFill>
                          <w14:schemeClr w14:val="tx1"/>
                        </w14:solidFill>
                      </w14:textFill>
                    </w:rPr>
                  </w:pPr>
                  <w:r>
                    <w:rPr>
                      <w:rFonts w:hint="eastAsia" w:cs="Times New Roman"/>
                      <w:b w:val="0"/>
                      <w:bCs w:val="0"/>
                      <w:color w:val="000000" w:themeColor="text1"/>
                      <w:szCs w:val="21"/>
                      <w:highlight w:val="none"/>
                      <w:lang w:val="en-US" w:eastAsia="zh-CN"/>
                      <w14:textFill>
                        <w14:solidFill>
                          <w14:schemeClr w14:val="tx1"/>
                        </w14:solidFill>
                      </w14:textFill>
                    </w:rPr>
                    <w:t>18</w:t>
                  </w:r>
                </w:p>
              </w:tc>
              <w:tc>
                <w:tcPr>
                  <w:tcW w:w="899" w:type="pct"/>
                  <w:noWrap w:val="0"/>
                  <w:vAlign w:val="center"/>
                </w:tcPr>
                <w:p w14:paraId="1778ECE6">
                  <w:pPr>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43.11</w:t>
                  </w:r>
                </w:p>
              </w:tc>
              <w:tc>
                <w:tcPr>
                  <w:tcW w:w="903" w:type="pct"/>
                  <w:noWrap w:val="0"/>
                  <w:vAlign w:val="center"/>
                </w:tcPr>
                <w:p w14:paraId="165AD11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20</w:t>
                  </w:r>
                </w:p>
              </w:tc>
            </w:tr>
          </w:tbl>
          <w:p w14:paraId="6AE999B5">
            <w:pPr>
              <w:pStyle w:val="14"/>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ascii="Times New Roman" w:hAnsi="Times New Roman" w:cs="Times New Roman"/>
                <w:color w:val="000000" w:themeColor="text1"/>
                <w:sz w:val="24"/>
                <w:highlight w:val="none"/>
                <w:lang w:val="en-US" w:eastAsia="zh-CN"/>
                <w14:textFill>
                  <w14:solidFill>
                    <w14:schemeClr w14:val="tx1"/>
                  </w14:solidFill>
                </w14:textFill>
              </w:rPr>
              <w:t>3</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）二氧化碳</w:t>
            </w:r>
          </w:p>
          <w:p w14:paraId="49C97C60">
            <w:pPr>
              <w:pStyle w:val="14"/>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本项目生产过程中，会产生一定量的二氧化碳，主要</w:t>
            </w:r>
            <w:r>
              <w:rPr>
                <w:rFonts w:hint="eastAsia" w:ascii="Times New Roman" w:hAnsi="Times New Roman" w:cs="Times New Roman"/>
                <w:color w:val="000000" w:themeColor="text1"/>
                <w:sz w:val="24"/>
                <w:highlight w:val="none"/>
                <w:lang w:val="en-US" w:eastAsia="zh-CN"/>
                <w14:textFill>
                  <w14:solidFill>
                    <w14:schemeClr w14:val="tx1"/>
                  </w14:solidFill>
                </w14:textFill>
              </w:rPr>
              <w:t>来自原料粉</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内碳，让燃烧后产生二氧化碳，根据业主提供数据，二氧化碳的产生量占原料的</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17%</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，本项目</w:t>
            </w:r>
            <w:r>
              <w:rPr>
                <w:rFonts w:hint="eastAsia" w:ascii="Times New Roman" w:hAnsi="Times New Roman" w:cs="Times New Roman"/>
                <w:color w:val="000000" w:themeColor="text1"/>
                <w:sz w:val="24"/>
                <w:highlight w:val="none"/>
                <w:lang w:val="en-US" w:eastAsia="zh-CN"/>
                <w14:textFill>
                  <w14:solidFill>
                    <w14:schemeClr w14:val="tx1"/>
                  </w14:solidFill>
                </w14:textFill>
              </w:rPr>
              <w:t>原料粉24.4234</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万</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t/a</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，则二氧化碳产生量为</w:t>
            </w:r>
            <w:r>
              <w:rPr>
                <w:rFonts w:hint="eastAsia" w:ascii="Times New Roman" w:hAnsi="Times New Roman" w:cs="Times New Roman"/>
                <w:color w:val="000000" w:themeColor="text1"/>
                <w:sz w:val="24"/>
                <w:highlight w:val="none"/>
                <w:lang w:val="en-US" w:eastAsia="zh-CN"/>
                <w14:textFill>
                  <w14:solidFill>
                    <w14:schemeClr w14:val="tx1"/>
                  </w14:solidFill>
                </w14:textFill>
              </w:rPr>
              <w:t>41519.78</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t/a</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w:t>
            </w:r>
          </w:p>
          <w:p w14:paraId="78FD56F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w:t>
            </w:r>
            <w:r>
              <w:rPr>
                <w:rFonts w:hint="eastAsia" w:cs="Times New Roman"/>
                <w:b w:val="0"/>
                <w:bCs w:val="0"/>
                <w:color w:val="000000" w:themeColor="text1"/>
                <w:sz w:val="24"/>
                <w:highlight w:val="none"/>
                <w:lang w:val="en-US" w:eastAsia="zh-CN"/>
                <w14:textFill>
                  <w14:solidFill>
                    <w14:schemeClr w14:val="tx1"/>
                  </w14:solidFill>
                </w14:textFill>
              </w:rPr>
              <w:t>4</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）废气处理措施可行性分析</w:t>
            </w:r>
          </w:p>
          <w:p w14:paraId="610AC3B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1）有组织</w:t>
            </w:r>
          </w:p>
          <w:p w14:paraId="1D60F52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①除尘</w:t>
            </w:r>
          </w:p>
          <w:p w14:paraId="76C90A9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本项目原料筒仓、固废筒仓、原料转运，</w:t>
            </w:r>
            <w:r>
              <w:rPr>
                <w:rFonts w:hint="eastAsia" w:cs="Times New Roman"/>
                <w:color w:val="000000" w:themeColor="text1"/>
                <w:sz w:val="24"/>
                <w:highlight w:val="none"/>
                <w:lang w:val="en-US" w:eastAsia="zh-CN"/>
                <w14:textFill>
                  <w14:solidFill>
                    <w14:schemeClr w14:val="tx1"/>
                  </w14:solidFill>
                </w14:textFill>
              </w:rPr>
              <w:t>窑尾尾料仓装卸废气、窑尾提升机装卸粉尘、窑尾</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焙烧</w:t>
            </w:r>
            <w:r>
              <w:rPr>
                <w:rFonts w:hint="eastAsia" w:cs="Times New Roman"/>
                <w:color w:val="000000" w:themeColor="text1"/>
                <w:sz w:val="24"/>
                <w:highlight w:val="none"/>
                <w:lang w:val="en-US" w:eastAsia="zh-CN"/>
                <w14:textFill>
                  <w14:solidFill>
                    <w14:schemeClr w14:val="tx1"/>
                  </w14:solidFill>
                </w14:textFill>
              </w:rPr>
              <w:t>烟气</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分选（打散、粉磨）粉尘、石灰石粉仓粉尘</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，成品储存</w:t>
            </w:r>
            <w:r>
              <w:rPr>
                <w:rFonts w:hint="eastAsia" w:cs="Times New Roman"/>
                <w:color w:val="000000" w:themeColor="text1"/>
                <w:sz w:val="24"/>
                <w:highlight w:val="none"/>
                <w:lang w:val="en-US" w:eastAsia="zh-CN"/>
                <w14:textFill>
                  <w14:solidFill>
                    <w14:schemeClr w14:val="tx1"/>
                  </w14:solidFill>
                </w14:textFill>
              </w:rPr>
              <w:t>装卸粉尘</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、包袋</w:t>
            </w:r>
            <w:r>
              <w:rPr>
                <w:rFonts w:hint="eastAsia" w:cs="Times New Roman"/>
                <w:color w:val="000000" w:themeColor="text1"/>
                <w:sz w:val="24"/>
                <w:highlight w:val="none"/>
                <w:lang w:val="en-US" w:eastAsia="zh-CN"/>
                <w14:textFill>
                  <w14:solidFill>
                    <w14:schemeClr w14:val="tx1"/>
                  </w14:solidFill>
                </w14:textFill>
              </w:rPr>
              <w:t>粉尘</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等产尘环节均配置</w:t>
            </w:r>
            <w:r>
              <w:rPr>
                <w:rFonts w:hint="eastAsia" w:cs="Times New Roman"/>
                <w:color w:val="000000" w:themeColor="text1"/>
                <w:sz w:val="24"/>
                <w:highlight w:val="none"/>
                <w:lang w:val="en-US" w:eastAsia="zh-CN"/>
                <w14:textFill>
                  <w14:solidFill>
                    <w14:schemeClr w14:val="tx1"/>
                  </w14:solidFill>
                </w14:textFill>
              </w:rPr>
              <w:t>布袋除尘器（覆膜袋式）</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进行处理，其中粉尘废气中颗粒物排放浓度小于</w:t>
            </w:r>
            <w:r>
              <w:rPr>
                <w:rFonts w:hint="eastAsia" w:cs="Times New Roman"/>
                <w:color w:val="000000" w:themeColor="text1"/>
                <w:sz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0mg/m</w:t>
            </w:r>
            <w:r>
              <w:rPr>
                <w:rFonts w:hint="default"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满足</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《耐火材料工业大气污染物排放标准》（GB46790-2025）表1大气污染物排放限值（20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mg/m</w:t>
            </w:r>
            <w:r>
              <w:rPr>
                <w:rFonts w:hint="default"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各污染源颗粒物达标排放。袋式除尘器主要由底部钢结构、灰斗、上箱体、箱体、进出风口、滤袋、清灰装置、电气控制等几部分组成。含尘气体由进风口进入，经过灰斗时，气体中部分大颗粒粉尘受惯性力和重力作用被分离出来，直接落入灰斗底部。含尘气体通过灰斗后进入中箱体的滤袋过滤区，气体穿过滤袋粉尘被阻留在滤袋外表面，净化后的气体经滤袋口进入上箱体后，再由出风口排出。随着过滤时间的延长，滤袋上的粉尘层不断积厚，除尘设备的阻力不断上升，当设备阻力上升到设定值时，清灰装置开始进行清灰。首先，一个分室提升阀关闭，将过滤气流截断，然后电磁脉冲阀开启，压缩空气以极</w:t>
            </w:r>
            <w:r>
              <w:rPr>
                <w:rFonts w:hint="eastAsia" w:cs="Times New Roman"/>
                <w:color w:val="000000" w:themeColor="text1"/>
                <w:sz w:val="24"/>
                <w:highlight w:val="none"/>
                <w:lang w:val="en-US" w:eastAsia="zh-CN"/>
                <w14:textFill>
                  <w14:solidFill>
                    <w14:schemeClr w14:val="tx1"/>
                  </w14:solidFill>
                </w14:textFill>
              </w:rPr>
              <w:t>短</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的时间</w:t>
            </w:r>
            <w:r>
              <w:rPr>
                <w:rFonts w:hint="eastAsia" w:cs="Times New Roman"/>
                <w:color w:val="000000" w:themeColor="text1"/>
                <w:sz w:val="24"/>
                <w:highlight w:val="none"/>
                <w:lang w:val="en-US" w:eastAsia="zh-CN"/>
                <w14:textFill>
                  <w14:solidFill>
                    <w14:schemeClr w14:val="tx1"/>
                  </w14:solidFill>
                </w14:textFill>
              </w:rPr>
              <w:t>在</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箱体内迅速膨胀，涌入滤袋，使滤袋膨胀变形产生振动，并在逆向气流冲刷的作用下，附着在滤袋外表面上的粉尘被剥离落入灰斗中。清灰完毕后，电磁脉冲阀关闭，提升阀打开，该室又恢复过滤状态。清灰各室依次进行，从第一次清灰开始至下一次清灰开始为一个清灰周期。经过过滤和清灰工作被截留下来的粉尘落入灰斗，再由灰斗口的卸灰装置集中排出。袋式除尘器具有以下特点：适应高浓度除尘；采用离线清灰技术进行分室反吹脉冲清灰，既避免了在线式清灰产生的粉尘二次飞扬“再吸附”现象，又不影响设备运行工况的正常连续运行，提高了清灰效果，延长了滤袋使用寿命；采用气箱式结构，从而降低了设备的局部组损，并免除了安装滤袋不方便等问题。袋式除尘器对于工业中的所有粉尘其除尘效率均可达到99%以上。</w:t>
            </w:r>
          </w:p>
          <w:p w14:paraId="402E2F8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布袋除尘器属于工业生产中应用最为广泛的除尘设备，具有以下优点：</w:t>
            </w:r>
          </w:p>
          <w:p w14:paraId="26E0BCE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A.除尘效率高，一般在99%以上，除尘器出口气体含尘浓度在数十mg/m</w:t>
            </w:r>
            <w:r>
              <w:rPr>
                <w:rFonts w:hint="default"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之内，对亚微米粒径的细尘有较高的分级效率；</w:t>
            </w:r>
          </w:p>
          <w:p w14:paraId="326F248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B.处理风量的范围广，小的仅1min数m</w:t>
            </w:r>
            <w:r>
              <w:rPr>
                <w:rFonts w:hint="default"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，大的可达1min数万m</w:t>
            </w:r>
            <w:r>
              <w:rPr>
                <w:rFonts w:hint="default"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，减少大气污染物的排放；</w:t>
            </w:r>
          </w:p>
          <w:p w14:paraId="65E8AD5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C.结构简单，维护操作方便；</w:t>
            </w:r>
          </w:p>
          <w:p w14:paraId="3388233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D.在保证同样高除尘效率的前提</w:t>
            </w:r>
            <w:r>
              <w:rPr>
                <w:rFonts w:hint="eastAsia" w:cs="Times New Roman"/>
                <w:color w:val="000000" w:themeColor="text1"/>
                <w:sz w:val="24"/>
                <w:highlight w:val="none"/>
                <w:lang w:val="en-US" w:eastAsia="zh-CN"/>
                <w14:textFill>
                  <w14:solidFill>
                    <w14:schemeClr w14:val="tx1"/>
                  </w14:solidFill>
                </w14:textFill>
              </w:rPr>
              <w:t>下</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，造价低于电除尘器；</w:t>
            </w:r>
          </w:p>
          <w:p w14:paraId="3F38EB2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E.采用玻璃纤维、聚四氟乙烯、P84等耐高温滤料时，可在200℃以上的高温条件下运行；</w:t>
            </w:r>
          </w:p>
          <w:p w14:paraId="192EA1D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F.对粉尘的特性不敏感，不受粉尘及电阻的影响。</w:t>
            </w:r>
          </w:p>
          <w:p w14:paraId="2824657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布袋除尘可以根据颗粒物性质、浓度的不同，采用不同的滤料，例如对于超细粒径粉尘和</w:t>
            </w:r>
            <w:r>
              <w:rPr>
                <w:rFonts w:hint="eastAsia" w:cs="Times New Roman"/>
                <w:color w:val="000000" w:themeColor="text1"/>
                <w:sz w:val="24"/>
                <w:highlight w:val="none"/>
                <w:lang w:val="en-US" w:eastAsia="zh-CN"/>
                <w14:textFill>
                  <w14:solidFill>
                    <w14:schemeClr w14:val="tx1"/>
                  </w14:solidFill>
                </w14:textFill>
              </w:rPr>
              <w:t>黏度</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比较大的粉尘的含尘废气，采用覆膜滤料或在滤袋的表面预覆保护性粉层的滤袋，提高粉尘处理效率和避免糊袋。</w:t>
            </w:r>
          </w:p>
          <w:p w14:paraId="1422503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本项目各产尘点颗粒物初始浓度较大，采用高密度的</w:t>
            </w:r>
            <w:r>
              <w:rPr>
                <w:rFonts w:hint="eastAsia" w:cs="Times New Roman"/>
                <w:color w:val="000000" w:themeColor="text1"/>
                <w:sz w:val="24"/>
                <w:highlight w:val="none"/>
                <w:lang w:val="en-US" w:eastAsia="zh-CN"/>
                <w14:textFill>
                  <w14:solidFill>
                    <w14:schemeClr w14:val="tx1"/>
                  </w14:solidFill>
                </w14:textFill>
              </w:rPr>
              <w:t>布袋除尘器（覆膜袋式）</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，除尘效率在99%以上是可行的，选用布袋除尘适应项目的粉尘污染特点，措施可行。</w:t>
            </w:r>
          </w:p>
          <w:p w14:paraId="504E566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②脱硫</w:t>
            </w:r>
          </w:p>
          <w:p w14:paraId="73A241A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煅烧烟气脱硫采用石灰石-石膏法脱硫工艺，经处理后的废气中二氧化硫排放浓度为</w:t>
            </w:r>
            <w:r>
              <w:rPr>
                <w:rFonts w:hint="eastAsia" w:cs="Times New Roman"/>
                <w:color w:val="000000" w:themeColor="text1"/>
                <w:sz w:val="24"/>
                <w:highlight w:val="none"/>
                <w:lang w:val="en-US" w:eastAsia="zh-CN"/>
                <w14:textFill>
                  <w14:solidFill>
                    <w14:schemeClr w14:val="tx1"/>
                  </w14:solidFill>
                </w14:textFill>
              </w:rPr>
              <w:t>17.48</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mg/Nm</w:t>
            </w:r>
            <w:r>
              <w:rPr>
                <w:rFonts w:hint="default"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eastAsia"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执行《耐火材料工业大气污染物排放标准》（GB46790—2025）</w:t>
            </w:r>
            <w:r>
              <w:rPr>
                <w:rFonts w:hint="eastAsia" w:cs="Times New Roman"/>
                <w:color w:val="000000" w:themeColor="text1"/>
                <w:sz w:val="24"/>
                <w:highlight w:val="none"/>
                <w:lang w:val="en-US" w:eastAsia="zh-CN"/>
                <w14:textFill>
                  <w14:solidFill>
                    <w14:schemeClr w14:val="tx1"/>
                  </w14:solidFill>
                </w14:textFill>
              </w:rPr>
              <w:t>表1的</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大气污染物排放限值</w:t>
            </w:r>
            <w:r>
              <w:rPr>
                <w:rFonts w:hint="eastAsia" w:cs="Times New Roman"/>
                <w:color w:val="000000" w:themeColor="text1"/>
                <w:sz w:val="24"/>
                <w:highlight w:val="none"/>
                <w:lang w:val="en-US" w:eastAsia="zh-CN"/>
                <w14:textFill>
                  <w14:solidFill>
                    <w14:schemeClr w14:val="tx1"/>
                  </w14:solidFill>
                </w14:textFill>
              </w:rPr>
              <w:t>（50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mg/Nm</w:t>
            </w:r>
            <w:r>
              <w:rPr>
                <w:rFonts w:hint="default"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eastAsia"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，各污染源二氧化硫达标排放。</w:t>
            </w:r>
          </w:p>
          <w:p w14:paraId="4D90268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石灰石-石膏法是采用石灰或乳浊液作为吸收剂脱除废气中的SO</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，石灰来源广泛，原料易得，且价格低廉，因此石灰石-石膏法仍然是国内外广泛使用的脱硫方法。</w:t>
            </w:r>
          </w:p>
          <w:p w14:paraId="41F6FD0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石灰石-石膏法的基本原理是首先用石灰浆液吸收烟气中的SO</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生成亚硫酸钙，然后将亚硫酸钙氧化成硫酸钙（石膏）。主要反应如下：</w:t>
            </w:r>
          </w:p>
          <w:p w14:paraId="263CC5A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CaO+H</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O→Ca</w:t>
            </w:r>
            <w:r>
              <w:rPr>
                <w:rFonts w:hint="eastAsia"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OH</w:t>
            </w:r>
            <w:r>
              <w:rPr>
                <w:rFonts w:hint="eastAsia"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2</w:t>
            </w:r>
          </w:p>
          <w:p w14:paraId="3814891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Ca</w:t>
            </w:r>
            <w:r>
              <w:rPr>
                <w:rFonts w:hint="eastAsia"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OH</w:t>
            </w:r>
            <w:r>
              <w:rPr>
                <w:rFonts w:hint="eastAsia"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₂+SO</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→CaSO</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3</w:t>
            </w:r>
          </w:p>
          <w:p w14:paraId="0C82CBB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CaSO</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+O</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→CaSO</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4</w:t>
            </w:r>
          </w:p>
          <w:p w14:paraId="42B61FF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石灰石-石膏法脱硫装置主要由SO</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，吸收系统、制浆系统、石膏脱水系统、脱硫废水处理系统等组成。</w:t>
            </w:r>
          </w:p>
          <w:p w14:paraId="22ED7BD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外购粒度合格的石灰石成品粉由密封罐装车运至厂内，直接用罐车自带空压机输送至石灰石粉仓内储存，再由旋转给料阀送到石灰石浆液箱内加水或者滤液经搅拌后制成浆液，然后经石灰石浆液泵送至吸收塔浆池。</w:t>
            </w:r>
          </w:p>
          <w:p w14:paraId="025FDAF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本项目脱硫采用的是逆流喷淋吸收塔，烟气由吸收塔进气口进入，在上升过程中与雾状的喷淋下来的浆液逆流接触，浆液中的碳酸钙与烟气中的二氧化硫有效接触，发生化学反应去除大量的SO</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在塔内脱硫处理后的烟气经排气筒达标排放：脱硫反应生成的脱硫产物在吸收塔浆池中被通入的氧化空气强制反应，生成硫酸钙并在浆池结晶生成二水石英。吸收塔的石膏浆液由石膏排出泵输送至石膏旋流浓缩器，经旋流浓缩器浓缩后的石膏浆液（浓度40%～50%）底流液经真空皮带脱水机给料箱进入真空皮带脱水机进行脱水，脱水后的石膏（含水量小于10%）由汽车外运综合利用；真空皮带脱水机的滤出液部分返回石灰石制浆系统供制浆用；石英旋流浓缩器分离出来的溢流液进入滤液池，一部分返回吸收塔脱硫区浆池，另一部分进入废水旋流器进一步浓缩后排放至脱硫废水处理系统。</w:t>
            </w:r>
          </w:p>
          <w:p w14:paraId="16E3488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石灰石－石膏湿法脱硫工艺具有脱硫效率高、吸收剂利用率高、设备运转率高、工作的可靠性高、脱硫剂－石灰石来源丰富且廉价的特点，是目前最成熟的烟气脱硫工艺。因此，本项目石灰石－石膏湿法脱硫效率取</w:t>
            </w:r>
            <w:r>
              <w:rPr>
                <w:rFonts w:hint="eastAsia" w:cs="Times New Roman"/>
                <w:color w:val="000000" w:themeColor="text1"/>
                <w:sz w:val="24"/>
                <w:highlight w:val="none"/>
                <w:lang w:val="en-US" w:eastAsia="zh-CN"/>
                <w14:textFill>
                  <w14:solidFill>
                    <w14:schemeClr w14:val="tx1"/>
                  </w14:solidFill>
                </w14:textFill>
              </w:rPr>
              <w:t>90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%是可行的，措施可行。</w:t>
            </w:r>
          </w:p>
          <w:p w14:paraId="25A8283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③脱硝</w:t>
            </w:r>
          </w:p>
          <w:p w14:paraId="7FB35EFB">
            <w:pPr>
              <w:keepNext w:val="0"/>
              <w:keepLines w:val="0"/>
              <w:pageBreakBefore w:val="0"/>
              <w:widowControl w:val="0"/>
              <w:numPr>
                <w:ilvl w:val="0"/>
                <w:numId w:val="5"/>
              </w:numPr>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低氮燃烧技术</w:t>
            </w:r>
          </w:p>
          <w:p w14:paraId="4792E30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热风炉燃烧器采用分级燃烧+缺氧燃烧+烟气再循环（FGR）降氮技术。</w:t>
            </w:r>
          </w:p>
          <w:p w14:paraId="0EF4BAC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a.燃烧器设有混合器，空气会分级进入混合器内，空气分四级与燃气混合燃烧，可以有效地降低氮氧化物的生成。</w:t>
            </w:r>
          </w:p>
          <w:p w14:paraId="232DD0F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b.在整个系统中，空气通过变频器控制风量，燃气通过调节蝶阀来调节燃气的量，烟气中设有氧含量和一氧化碳探头，通过PLC控制，整个燃烧过程是缺氧燃烧状态，这样燃烧生成的氮氧化物就很低。</w:t>
            </w:r>
          </w:p>
          <w:p w14:paraId="479D1A0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c.整个系统采用烟气再循环技术，即在助燃风机的入口，再引入氧含量为8%的烟气，通过PLC进行风门控制，将助燃空气中的氧含量降低到18%～19%，这样火焰中心温度会降低，可以降低30%～40%的氮氧化物生成。</w:t>
            </w:r>
          </w:p>
          <w:p w14:paraId="7BFFD7D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最终，氮氧化物排放会降低到180mg/m</w:t>
            </w:r>
            <w:r>
              <w:rPr>
                <w:rFonts w:hint="eastAsia" w:cs="Times New Roman"/>
                <w:color w:val="000000" w:themeColor="text1"/>
                <w:sz w:val="24"/>
                <w:highlight w:val="none"/>
                <w:vertAlign w:val="superscript"/>
                <w:lang w:val="en-US" w:eastAsia="zh-CN"/>
                <w14:textFill>
                  <w14:solidFill>
                    <w14:schemeClr w14:val="tx1"/>
                  </w14:solidFill>
                </w14:textFill>
              </w:rPr>
              <w:t>3</w:t>
            </w:r>
            <w:r>
              <w:rPr>
                <w:rFonts w:hint="eastAsia" w:cs="Times New Roman"/>
                <w:color w:val="000000" w:themeColor="text1"/>
                <w:sz w:val="24"/>
                <w:highlight w:val="none"/>
                <w:lang w:val="en-US" w:eastAsia="zh-CN"/>
                <w14:textFill>
                  <w14:solidFill>
                    <w14:schemeClr w14:val="tx1"/>
                  </w14:solidFill>
                </w14:textFill>
              </w:rPr>
              <w:t>，O</w:t>
            </w:r>
            <w:r>
              <w:rPr>
                <w:rFonts w:hint="eastAsia" w:cs="Times New Roman"/>
                <w:color w:val="000000" w:themeColor="text1"/>
                <w:sz w:val="24"/>
                <w:highlight w:val="none"/>
                <w:vertAlign w:val="subscript"/>
                <w:lang w:val="en-US" w:eastAsia="zh-CN"/>
                <w14:textFill>
                  <w14:solidFill>
                    <w14:schemeClr w14:val="tx1"/>
                  </w14:solidFill>
                </w14:textFill>
              </w:rPr>
              <w:t>2</w:t>
            </w:r>
            <w:r>
              <w:rPr>
                <w:rFonts w:hint="eastAsia" w:cs="Times New Roman"/>
                <w:color w:val="000000" w:themeColor="text1"/>
                <w:sz w:val="24"/>
                <w:highlight w:val="none"/>
                <w:lang w:val="en-US" w:eastAsia="zh-CN"/>
                <w14:textFill>
                  <w14:solidFill>
                    <w14:schemeClr w14:val="tx1"/>
                  </w14:solidFill>
                </w14:textFill>
              </w:rPr>
              <w:t>在8%以下，以减低脱硝设备的负荷。</w:t>
            </w:r>
          </w:p>
          <w:p w14:paraId="28762E0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本项目采用“</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分级燃烧+缺氧燃烧+烟气再循环（FGR）”组合</w:t>
            </w:r>
            <w:r>
              <w:rPr>
                <w:rFonts w:hint="eastAsia" w:cs="Times New Roman"/>
                <w:color w:val="000000" w:themeColor="text1"/>
                <w:sz w:val="24"/>
                <w:highlight w:val="none"/>
                <w:lang w:val="en-US" w:eastAsia="zh-CN"/>
                <w14:textFill>
                  <w14:solidFill>
                    <w14:schemeClr w14:val="tx1"/>
                  </w14:solidFill>
                </w14:textFill>
              </w:rPr>
              <w:t>低氮燃烧</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脱硝，氮氧化物去除效率在50%</w:t>
            </w:r>
            <w:r>
              <w:rPr>
                <w:rFonts w:hint="eastAsia" w:cs="Times New Roman"/>
                <w:color w:val="000000" w:themeColor="text1"/>
                <w:sz w:val="24"/>
                <w:highlight w:val="none"/>
                <w:lang w:val="en-US" w:eastAsia="zh-CN"/>
                <w14:textFill>
                  <w14:solidFill>
                    <w14:schemeClr w14:val="tx1"/>
                  </w14:solidFill>
                </w14:textFill>
              </w:rPr>
              <w:t>以上</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w:t>
            </w:r>
          </w:p>
          <w:p w14:paraId="4C5C88EF">
            <w:pPr>
              <w:pStyle w:val="9"/>
              <w:spacing w:line="360" w:lineRule="auto"/>
              <w:ind w:left="0" w:leftChars="0" w:firstLine="480" w:firstLineChars="200"/>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B.</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选择性催化还原法（SCR）和选择性非催化还原法（SNCR）两种工艺</w:t>
            </w:r>
          </w:p>
          <w:p w14:paraId="622C67B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目前较常采用的烟气脱硝工艺有选择性催化还原法（SCR）和选择性非催化还原法（SNCR）两种工艺。SCR是利用还原剂催化剂作用下有选择地与烟气中的氮氧化物发生化学反应，生成氮气和水的方法，脱硝效率高，可达90%以上，工艺设备紧凑、运行可靠，还原后生成的氮气放空无二次污染，采用催化剂时其反应温度可控制在300~400℃下进行。SNCR是利用还原剂在不需要催化剂的情况下有选择地与烟气中的氨氧化物发生化学反应，生成氮气和水的方法，脱硝效率约</w:t>
            </w:r>
            <w:r>
              <w:rPr>
                <w:rFonts w:hint="eastAsia" w:cs="Times New Roman"/>
                <w:color w:val="000000" w:themeColor="text1"/>
                <w:sz w:val="24"/>
                <w:highlight w:val="none"/>
                <w:lang w:val="en-US" w:eastAsia="zh-CN"/>
                <w14:textFill>
                  <w14:solidFill>
                    <w14:schemeClr w14:val="tx1"/>
                  </w14:solidFill>
                </w14:textFill>
              </w:rPr>
              <w:t>40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60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该方法主要使用含氮的药剂在温度区域870℃~1200℃喷入含氮氧化物的燃烧室中，发生还原反应生成氮气和水，采用SNCR技术，必须达到温度区域在800℃以上，才能保证脱硝效率。根据本项目的设计数据和废气排放温度，本项目采用SNCR脱硝工艺。</w:t>
            </w:r>
          </w:p>
          <w:p w14:paraId="5858FE8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SNCR脱硝即选择性非催化还原脱硝，是指无催化剂的作用下，在适合脱硝反应的“温度窗口”（850-1100℃）内喷入还原剂将烟气中的氮氧化物还原为无害的氮气和水。SNCR系统配置一套智能实时优化控制系统，采用高效雾化喷枪，分层次布局在分解炉不同位置</w:t>
            </w:r>
            <w:r>
              <w:rPr>
                <w:rFonts w:hint="default" w:ascii="Times New Roman" w:hAnsi="Times New Roman" w:eastAsia="宋体" w:cs="Times New Roman"/>
                <w:color w:val="000000" w:themeColor="text1"/>
                <w:kern w:val="0"/>
                <w:sz w:val="24"/>
                <w:highlight w:val="none"/>
                <w:lang w:eastAsia="zh-CN" w:bidi="ar"/>
                <w14:textFill>
                  <w14:solidFill>
                    <w14:schemeClr w14:val="tx1"/>
                  </w14:solidFill>
                </w14:textFill>
              </w:rPr>
              <w:t>，</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通过预测系统预测NO</w:t>
            </w:r>
            <w:r>
              <w:rPr>
                <w:rFonts w:hint="default" w:ascii="Times New Roman" w:hAnsi="Times New Roman" w:eastAsia="宋体" w:cs="Times New Roman"/>
                <w:color w:val="000000" w:themeColor="text1"/>
                <w:kern w:val="0"/>
                <w:sz w:val="24"/>
                <w:highlight w:val="none"/>
                <w:vertAlign w:val="subscript"/>
                <w:lang w:bidi="ar"/>
                <w14:textFill>
                  <w14:solidFill>
                    <w14:schemeClr w14:val="tx1"/>
                  </w14:solidFill>
                </w14:textFill>
              </w:rPr>
              <w:t>x</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含量，结合实时CFD流程模拟，根据温度分布，气流速度，喷射器的喷雾情况，预测系统采用聚类分析的方法建立并实时优化各层喷枪相关优先级模型，独立调整每个喷射器的氨水流量，以最少的氨水（喷入后汽化为氨气）选择性地将烟气中NO</w:t>
            </w:r>
            <w:r>
              <w:rPr>
                <w:rFonts w:hint="default" w:ascii="Times New Roman" w:hAnsi="Times New Roman" w:eastAsia="宋体" w:cs="Times New Roman"/>
                <w:color w:val="000000" w:themeColor="text1"/>
                <w:kern w:val="0"/>
                <w:sz w:val="24"/>
                <w:highlight w:val="none"/>
                <w:vertAlign w:val="subscript"/>
                <w:lang w:bidi="ar"/>
                <w14:textFill>
                  <w14:solidFill>
                    <w14:schemeClr w14:val="tx1"/>
                  </w14:solidFill>
                </w14:textFill>
              </w:rPr>
              <w:t>X</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还原为N</w:t>
            </w:r>
            <w:r>
              <w:rPr>
                <w:rFonts w:hint="default" w:ascii="Times New Roman" w:hAnsi="Times New Roman" w:eastAsia="宋体" w:cs="Times New Roman"/>
                <w:color w:val="000000" w:themeColor="text1"/>
                <w:kern w:val="0"/>
                <w:sz w:val="24"/>
                <w:highlight w:val="none"/>
                <w:vertAlign w:val="subscript"/>
                <w:lang w:bidi="ar"/>
                <w14:textFill>
                  <w14:solidFill>
                    <w14:schemeClr w14:val="tx1"/>
                  </w14:solidFill>
                </w14:textFill>
              </w:rPr>
              <w:t>2</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和H</w:t>
            </w:r>
            <w:r>
              <w:rPr>
                <w:rFonts w:hint="default" w:ascii="Times New Roman" w:hAnsi="Times New Roman" w:eastAsia="宋体" w:cs="Times New Roman"/>
                <w:color w:val="000000" w:themeColor="text1"/>
                <w:kern w:val="0"/>
                <w:sz w:val="24"/>
                <w:highlight w:val="none"/>
                <w:vertAlign w:val="subscript"/>
                <w:lang w:bidi="ar"/>
                <w14:textFill>
                  <w14:solidFill>
                    <w14:schemeClr w14:val="tx1"/>
                  </w14:solidFill>
                </w14:textFill>
              </w:rPr>
              <w:t>2</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O，大幅度降低NO</w:t>
            </w:r>
            <w:r>
              <w:rPr>
                <w:rFonts w:hint="default" w:ascii="Times New Roman" w:hAnsi="Times New Roman" w:eastAsia="宋体" w:cs="Times New Roman"/>
                <w:color w:val="000000" w:themeColor="text1"/>
                <w:kern w:val="0"/>
                <w:sz w:val="24"/>
                <w:highlight w:val="none"/>
                <w:vertAlign w:val="subscript"/>
                <w:lang w:bidi="ar"/>
                <w14:textFill>
                  <w14:solidFill>
                    <w14:schemeClr w14:val="tx1"/>
                  </w14:solidFill>
                </w14:textFill>
              </w:rPr>
              <w:t>X</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排放浓度，脱除效率可达</w:t>
            </w:r>
            <w:r>
              <w:rPr>
                <w:rFonts w:hint="eastAsia" w:cs="Times New Roman"/>
                <w:color w:val="000000" w:themeColor="text1"/>
                <w:kern w:val="0"/>
                <w:sz w:val="24"/>
                <w:highlight w:val="none"/>
                <w:lang w:eastAsia="zh-CN" w:bidi="ar"/>
                <w14:textFill>
                  <w14:solidFill>
                    <w14:schemeClr w14:val="tx1"/>
                  </w14:solidFill>
                </w14:textFill>
              </w:rPr>
              <w:t>40%～60%</w:t>
            </w:r>
            <w:r>
              <w:rPr>
                <w:rFonts w:hint="default" w:ascii="Times New Roman" w:hAnsi="Times New Roman" w:eastAsia="宋体" w:cs="Times New Roman"/>
                <w:color w:val="000000" w:themeColor="text1"/>
                <w:kern w:val="0"/>
                <w:sz w:val="24"/>
                <w:highlight w:val="none"/>
                <w:lang w:bidi="ar"/>
                <w14:textFill>
                  <w14:solidFill>
                    <w14:schemeClr w14:val="tx1"/>
                  </w14:solidFill>
                </w14:textFill>
              </w:rPr>
              <w:t>。</w:t>
            </w:r>
          </w:p>
          <w:p w14:paraId="1455F90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SNCR</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脱硝技术在各类炉窑上已广泛应用，技术成熟可靠，根据同类工程运行效果来看，脱硝效率</w:t>
            </w:r>
            <w:r>
              <w:rPr>
                <w:rFonts w:hint="eastAsia" w:cs="Times New Roman"/>
                <w:color w:val="000000" w:themeColor="text1"/>
                <w:sz w:val="24"/>
                <w:highlight w:val="none"/>
                <w:lang w:val="en-US" w:eastAsia="zh-CN"/>
                <w14:textFill>
                  <w14:solidFill>
                    <w14:schemeClr w14:val="tx1"/>
                  </w14:solidFill>
                </w14:textFill>
              </w:rPr>
              <w:t>50%</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是可以保证的，经处理后烟气中的氮氧化物排放浓度为</w:t>
            </w:r>
            <w:r>
              <w:rPr>
                <w:rFonts w:hint="eastAsia" w:cs="Times New Roman"/>
                <w:color w:val="000000" w:themeColor="text1"/>
                <w:sz w:val="24"/>
                <w:highlight w:val="none"/>
                <w:lang w:val="en-US" w:eastAsia="zh-CN"/>
                <w14:textFill>
                  <w14:solidFill>
                    <w14:schemeClr w14:val="tx1"/>
                  </w14:solidFill>
                </w14:textFill>
              </w:rPr>
              <w:t>91.55</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mg/m</w:t>
            </w:r>
            <w:r>
              <w:rPr>
                <w:rFonts w:hint="default" w:ascii="Times New Roman" w:hAnsi="Times New Roman" w:eastAsia="宋体" w:cs="Times New Roman"/>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煅烧废气中NO</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X</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排放浓度参照执行</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《耐火材料工业大气污染物排放标准》（GB46790—2025）表</w:t>
            </w:r>
            <w:r>
              <w:rPr>
                <w:rFonts w:hint="eastAsia"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大气污染物排放标准</w:t>
            </w:r>
            <w:r>
              <w:rPr>
                <w:rFonts w:hint="eastAsia" w:cs="Times New Roman"/>
                <w:color w:val="000000" w:themeColor="text1"/>
                <w:sz w:val="24"/>
                <w:szCs w:val="24"/>
                <w:highlight w:val="none"/>
                <w:lang w:val="en-US" w:eastAsia="zh-CN"/>
                <w14:textFill>
                  <w14:solidFill>
                    <w14:schemeClr w14:val="tx1"/>
                  </w14:solidFill>
                </w14:textFill>
              </w:rPr>
              <w:t>（100</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mg/m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eastAsia"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达标排放，措施可行。</w:t>
            </w:r>
          </w:p>
          <w:p w14:paraId="3BB455D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2）无组织</w:t>
            </w:r>
          </w:p>
          <w:p w14:paraId="1BF3455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本项目无组织排放污染物主要为颗粒物，产生于</w:t>
            </w:r>
            <w:r>
              <w:rPr>
                <w:rFonts w:hint="eastAsia" w:cs="Times New Roman"/>
                <w:color w:val="000000" w:themeColor="text1"/>
                <w:sz w:val="24"/>
                <w:highlight w:val="none"/>
                <w:lang w:val="en-US" w:eastAsia="zh-CN"/>
                <w14:textFill>
                  <w14:solidFill>
                    <w14:schemeClr w14:val="tx1"/>
                  </w14:solidFill>
                </w14:textFill>
              </w:rPr>
              <w:t>产品包装、产品装卸过程</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时的</w:t>
            </w:r>
            <w:r>
              <w:rPr>
                <w:rFonts w:hint="eastAsia" w:cs="Times New Roman"/>
                <w:color w:val="000000" w:themeColor="text1"/>
                <w:sz w:val="24"/>
                <w:highlight w:val="none"/>
                <w:lang w:val="en-US" w:eastAsia="zh-CN"/>
                <w14:textFill>
                  <w14:solidFill>
                    <w14:schemeClr w14:val="tx1"/>
                  </w14:solidFill>
                </w14:textFill>
              </w:rPr>
              <w:t>少量</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扬尘，扬尘的大小与物料的块度、比重、落差湿度、风向、风速、堆棚的密封程度等诸多因素相关。</w:t>
            </w:r>
          </w:p>
          <w:p w14:paraId="43F47EE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项目原料贮存和分选等工艺全部采取密封性良好的全封闭筒仓，严禁露天堆放：厂区内物料输送采用密闭皮带（皮带廊道密闭）、管道气力输送；本项目厂区内运输道路均硬化处理，厂区内运输装卸量较大，且易产生扬尘污染，要求配置机械化吸尘式清扫设施，定时对厂区进行清扫、保洁，并定期洒水；为杜绝运输车辆物料的撒落，要求对运输车辆进行厢式车辆运输。要求采用通过上述措施，本项目无组织扬尘将大大降低。</w:t>
            </w:r>
          </w:p>
          <w:p w14:paraId="6CBC5B6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本次评价中原料筒仓、成品转运筒仓在排气孔安装了</w:t>
            </w:r>
            <w:r>
              <w:rPr>
                <w:rFonts w:hint="eastAsia" w:cs="Times New Roman"/>
                <w:color w:val="000000" w:themeColor="text1"/>
                <w:sz w:val="24"/>
                <w:highlight w:val="none"/>
                <w:lang w:val="en-US" w:eastAsia="zh-CN"/>
                <w14:textFill>
                  <w14:solidFill>
                    <w14:schemeClr w14:val="tx1"/>
                  </w14:solidFill>
                </w14:textFill>
              </w:rPr>
              <w:t>布袋除尘器（覆膜袋式）</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，用于处理料仓内部气力进料产生的粉尘。料仓的粉尘上漂进入仓顶</w:t>
            </w:r>
            <w:r>
              <w:rPr>
                <w:rFonts w:hint="eastAsia" w:cs="Times New Roman"/>
                <w:color w:val="000000" w:themeColor="text1"/>
                <w:sz w:val="24"/>
                <w:highlight w:val="none"/>
                <w:lang w:val="en-US" w:eastAsia="zh-CN"/>
                <w14:textFill>
                  <w14:solidFill>
                    <w14:schemeClr w14:val="tx1"/>
                  </w14:solidFill>
                </w14:textFill>
              </w:rPr>
              <w:t>布袋除尘器（覆膜袋式）</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滤室过滤，灰尘</w:t>
            </w:r>
            <w:r>
              <w:rPr>
                <w:rFonts w:hint="eastAsia" w:cs="Times New Roman"/>
                <w:color w:val="000000" w:themeColor="text1"/>
                <w:sz w:val="24"/>
                <w:highlight w:val="none"/>
                <w:lang w:val="en-US" w:eastAsia="zh-CN"/>
                <w14:textFill>
                  <w14:solidFill>
                    <w14:schemeClr w14:val="tx1"/>
                  </w14:solidFill>
                </w14:textFill>
              </w:rPr>
              <w:t>黏附</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在滤筒表面，净气进入滤</w:t>
            </w:r>
            <w:r>
              <w:rPr>
                <w:rFonts w:hint="eastAsia" w:cs="Times New Roman"/>
                <w:color w:val="000000" w:themeColor="text1"/>
                <w:sz w:val="24"/>
                <w:highlight w:val="none"/>
                <w:lang w:val="en-US" w:eastAsia="zh-CN"/>
                <w14:textFill>
                  <w14:solidFill>
                    <w14:schemeClr w14:val="tx1"/>
                  </w14:solidFill>
                </w14:textFill>
              </w:rPr>
              <w:t>袋</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内部，上升到净气室，再由风机排到大气中。根据滤袋外表积灰厚度时间，来设定脉冲清灰时间，当脉冲清灰时脉冲阀打开，压缩空气通过脉冲阀、喷吹管、喷吹嘴、高强的压缩空气喷向滤筒内部，滤筒受到内压速膨，由于除尘设备是正常工作状态清灰的，除尘设备除尘过滤</w:t>
            </w:r>
            <w:r>
              <w:rPr>
                <w:rFonts w:hint="eastAsia" w:cs="Times New Roman"/>
                <w:color w:val="000000" w:themeColor="text1"/>
                <w:sz w:val="24"/>
                <w:highlight w:val="none"/>
                <w:lang w:val="en-US" w:eastAsia="zh-CN"/>
                <w14:textFill>
                  <w14:solidFill>
                    <w14:schemeClr w14:val="tx1"/>
                  </w14:solidFill>
                </w14:textFill>
              </w:rPr>
              <w:t>时</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，而脉冲清灰是正压清灰状态。滤筒受到正的阻力一次接连一次的抖动，把滤袋外表击落在下方灰斗内，通过溜槽返回至料仓内。滤</w:t>
            </w:r>
            <w:r>
              <w:rPr>
                <w:rFonts w:hint="eastAsia" w:cs="Times New Roman"/>
                <w:color w:val="000000" w:themeColor="text1"/>
                <w:sz w:val="24"/>
                <w:highlight w:val="none"/>
                <w:lang w:val="en-US" w:eastAsia="zh-CN"/>
                <w14:textFill>
                  <w14:solidFill>
                    <w14:schemeClr w14:val="tx1"/>
                  </w14:solidFill>
                </w14:textFill>
              </w:rPr>
              <w:t>袋</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采用进口聚酯纤维作为滤料把一层亚微米级的超细纤维黏附在一般滤料上，并且在该黏附层上纤维间的排列非常紧密，极小的筛孔可把大部分亚微米级的尘粒阻挡在滤料表面。</w:t>
            </w:r>
            <w:r>
              <w:rPr>
                <w:rFonts w:hint="eastAsia" w:cs="Times New Roman"/>
                <w:color w:val="000000" w:themeColor="text1"/>
                <w:sz w:val="24"/>
                <w:highlight w:val="none"/>
                <w:lang w:val="en-US" w:eastAsia="zh-CN"/>
                <w14:textFill>
                  <w14:solidFill>
                    <w14:schemeClr w14:val="tx1"/>
                  </w14:solidFill>
                </w14:textFill>
              </w:rPr>
              <w:t>布袋</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除尘器是一种用在料仓中的除尘设备，这种除尘器主要应用于采矿、冶金、建材、机械、化工、粮食加工等工矿企业，并广泛用于过滤气体中细小的，非纤维性的干燥粉尘或在工艺流程中回收干燥粉料的一种除尘设备。</w:t>
            </w:r>
          </w:p>
          <w:p w14:paraId="0D9C48F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同时要加强厂区、厂界的绿化工作，创造清洁生产工艺和文明生产企业，在厂区总体布局中应结合当地气候、土壤条件，加强车间周围及道路两旁的绿化，使厂区绿化面积达到可绿化面积的80%—90%；道路及厂界的防护绿化带能够发挥绿化隔音、除尘的作用，减少粉尘（尤</w:t>
            </w:r>
            <w:r>
              <w:rPr>
                <w:rFonts w:hint="eastAsia" w:cs="Times New Roman"/>
                <w:color w:val="000000" w:themeColor="text1"/>
                <w:sz w:val="24"/>
                <w:highlight w:val="none"/>
                <w:lang w:val="en-US" w:eastAsia="zh-CN"/>
                <w14:textFill>
                  <w14:solidFill>
                    <w14:schemeClr w14:val="tx1"/>
                  </w14:solidFill>
                </w14:textFill>
              </w:rPr>
              <w:t>其是</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无组织面源）对厂外的影响。所有绿化工程应与主体工程同步规划，同步施工，同步完成。</w:t>
            </w:r>
          </w:p>
          <w:p w14:paraId="465A114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以上措施是国内外生产实践中防止粉尘无组织排放而普遍采用、简易可行的成熟的技术和方法，经同类企业实践证明效果亦是较好的，尤其是对物料堆存粉尘的无组织排放的防治效果明显。本项目对上述措施应严格予以实施，措施可行。</w:t>
            </w:r>
          </w:p>
          <w:p w14:paraId="5D70418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煤矸石</w:t>
            </w:r>
            <w:r>
              <w:rPr>
                <w:rFonts w:hint="eastAsia" w:cs="Times New Roman"/>
                <w:color w:val="000000" w:themeColor="text1"/>
                <w:sz w:val="24"/>
                <w:highlight w:val="none"/>
                <w:lang w:val="en-US" w:eastAsia="zh-CN"/>
                <w14:textFill>
                  <w14:solidFill>
                    <w14:schemeClr w14:val="tx1"/>
                  </w14:solidFill>
                </w14:textFill>
              </w:rPr>
              <w:t>粉</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通过气力输到原料仓存储，</w:t>
            </w:r>
            <w:r>
              <w:rPr>
                <w:rFonts w:hint="eastAsia" w:cs="Times New Roman"/>
                <w:color w:val="000000" w:themeColor="text1"/>
                <w:sz w:val="24"/>
                <w:highlight w:val="none"/>
                <w:lang w:val="en-US" w:eastAsia="zh-CN"/>
                <w14:textFill>
                  <w14:solidFill>
                    <w14:schemeClr w14:val="tx1"/>
                  </w14:solidFill>
                </w14:textFill>
              </w:rPr>
              <w:t>原料及产品</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装卸、转运</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及包装</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过程产生的粉尘</w:t>
            </w:r>
            <w:r>
              <w:rPr>
                <w:rFonts w:hint="eastAsia" w:cs="Times New Roman"/>
                <w:color w:val="000000" w:themeColor="text1"/>
                <w:sz w:val="24"/>
                <w:highlight w:val="none"/>
                <w:lang w:val="en-US" w:eastAsia="zh-CN"/>
                <w14:textFill>
                  <w14:solidFill>
                    <w14:schemeClr w14:val="tx1"/>
                  </w14:solidFill>
                </w14:textFill>
              </w:rPr>
              <w:t>收集后经</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布袋除尘器（覆膜袋式）</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除尘后，</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使得</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粉尘无组织排放浓度可以满足《耐火材料工业大气污染物排放标准》（GB46790-2025）表1大气污染物排放限值要求。</w:t>
            </w:r>
          </w:p>
          <w:p w14:paraId="79CE4E9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）大气环境监测计划</w:t>
            </w:r>
          </w:p>
          <w:p w14:paraId="709F516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1）有组织排放监测</w:t>
            </w:r>
          </w:p>
          <w:p w14:paraId="0588BA8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本项目的各排放口均应定期监测，监测活动应做到常态化，监测应委托第三方进行，并由当地环保部门监督检查。参照《排污许可证申请与核发技术规范总则》（HJ942-2018）</w:t>
            </w:r>
            <w:r>
              <w:rPr>
                <w:rFonts w:hint="default" w:ascii="Times New Roman" w:hAnsi="Times New Roman" w:cs="Times New Roman"/>
                <w:color w:val="000000" w:themeColor="text1"/>
                <w:sz w:val="24"/>
                <w:highlight w:val="none"/>
                <w:lang w:val="en-US" w:eastAsia="zh-CN"/>
                <w14:textFill>
                  <w14:solidFill>
                    <w14:schemeClr w14:val="tx1"/>
                  </w14:solidFill>
                </w14:textFill>
              </w:rPr>
              <w:t>、《排污许可证申请与核发技术规范工业炉窑》（HJ1121-2020）</w:t>
            </w:r>
            <w:r>
              <w:rPr>
                <w:rFonts w:hint="eastAsia" w:cs="Times New Roman"/>
                <w:color w:val="000000" w:themeColor="text1"/>
                <w:sz w:val="24"/>
                <w:highlight w:val="none"/>
                <w:lang w:val="en-US" w:eastAsia="zh-CN"/>
                <w14:textFill>
                  <w14:solidFill>
                    <w14:schemeClr w14:val="tx1"/>
                  </w14:solidFill>
                </w14:textFill>
              </w:rPr>
              <w:t>等</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监测要求制定监测计划。</w:t>
            </w:r>
          </w:p>
          <w:p w14:paraId="6FF55F4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①主要大气污染源排放口及监测频次要求</w:t>
            </w:r>
          </w:p>
          <w:p w14:paraId="1933E69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本项目有组织污染源排放口及监测频次要求详见</w:t>
            </w:r>
            <w:r>
              <w:rPr>
                <w:rFonts w:hint="eastAsia" w:cs="Times New Roman"/>
                <w:color w:val="000000" w:themeColor="text1"/>
                <w:sz w:val="24"/>
                <w:highlight w:val="none"/>
                <w:lang w:val="en-US" w:eastAsia="zh-CN"/>
                <w14:textFill>
                  <w14:solidFill>
                    <w14:schemeClr w14:val="tx1"/>
                  </w14:solidFill>
                </w14:textFill>
              </w:rPr>
              <w:t>下</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表。</w:t>
            </w:r>
          </w:p>
          <w:p w14:paraId="203D74A9">
            <w:pPr>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表4-1</w:t>
            </w:r>
            <w:r>
              <w:rPr>
                <w:rFonts w:hint="eastAsia" w:cs="Times New Roman"/>
                <w:b/>
                <w:bCs/>
                <w:color w:val="000000" w:themeColor="text1"/>
                <w:sz w:val="24"/>
                <w:highlight w:val="none"/>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本项目有组织污染源及监测频次要求一览表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7"/>
              <w:gridCol w:w="2999"/>
              <w:gridCol w:w="916"/>
              <w:gridCol w:w="712"/>
              <w:gridCol w:w="673"/>
              <w:gridCol w:w="1190"/>
              <w:gridCol w:w="576"/>
            </w:tblGrid>
            <w:tr w14:paraId="35EFF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77" w:type="dxa"/>
                  <w:noWrap w:val="0"/>
                  <w:vAlign w:val="center"/>
                </w:tcPr>
                <w:p w14:paraId="74A9F09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名称</w:t>
                  </w:r>
                </w:p>
              </w:tc>
              <w:tc>
                <w:tcPr>
                  <w:tcW w:w="2999" w:type="dxa"/>
                  <w:noWrap w:val="0"/>
                  <w:vAlign w:val="center"/>
                </w:tcPr>
                <w:p w14:paraId="3B98C9E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污染物</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种类</w:t>
                  </w:r>
                </w:p>
              </w:tc>
              <w:tc>
                <w:tcPr>
                  <w:tcW w:w="916" w:type="dxa"/>
                  <w:noWrap w:val="0"/>
                  <w:vAlign w:val="center"/>
                </w:tcPr>
                <w:p w14:paraId="0F130A6E">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p>
                <w:p w14:paraId="109849D3">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高度</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m</w:t>
                  </w:r>
                </w:p>
              </w:tc>
              <w:tc>
                <w:tcPr>
                  <w:tcW w:w="712" w:type="dxa"/>
                  <w:noWrap w:val="0"/>
                  <w:vAlign w:val="center"/>
                </w:tcPr>
                <w:p w14:paraId="65CB165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内径</w:t>
                  </w:r>
                </w:p>
                <w:p w14:paraId="2ABA3AF0">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m</w:t>
                  </w:r>
                </w:p>
              </w:tc>
              <w:tc>
                <w:tcPr>
                  <w:tcW w:w="673" w:type="dxa"/>
                  <w:noWrap w:val="0"/>
                  <w:vAlign w:val="center"/>
                </w:tcPr>
                <w:p w14:paraId="46481C7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温度</w:t>
                  </w:r>
                </w:p>
                <w:p w14:paraId="2FD76DA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c>
                <w:tcPr>
                  <w:tcW w:w="1190" w:type="dxa"/>
                  <w:noWrap w:val="0"/>
                  <w:vAlign w:val="center"/>
                </w:tcPr>
                <w:p w14:paraId="6A3FBE3F">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检测频次</w:t>
                  </w:r>
                </w:p>
              </w:tc>
              <w:tc>
                <w:tcPr>
                  <w:tcW w:w="576" w:type="dxa"/>
                  <w:noWrap w:val="0"/>
                  <w:vAlign w:val="center"/>
                </w:tcPr>
                <w:p w14:paraId="1AD25CE8">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备注</w:t>
                  </w:r>
                </w:p>
              </w:tc>
            </w:tr>
            <w:tr w14:paraId="4DE1F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77" w:type="dxa"/>
                  <w:shd w:val="clear" w:color="auto" w:fill="auto"/>
                  <w:noWrap w:val="0"/>
                  <w:vAlign w:val="center"/>
                </w:tcPr>
                <w:p w14:paraId="7AAEB901">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DA006</w:t>
                  </w:r>
                </w:p>
              </w:tc>
              <w:tc>
                <w:tcPr>
                  <w:tcW w:w="2999" w:type="dxa"/>
                  <w:shd w:val="clear" w:color="auto" w:fill="auto"/>
                  <w:noWrap w:val="0"/>
                  <w:vAlign w:val="center"/>
                </w:tcPr>
                <w:p w14:paraId="10FE151F">
                  <w:pPr>
                    <w:keepNext w:val="0"/>
                    <w:keepLines w:val="0"/>
                    <w:pageBreakBefore w:val="0"/>
                    <w:widowControl w:val="0"/>
                    <w:kinsoku/>
                    <w:wordWrap/>
                    <w:overflowPunct/>
                    <w:topLinePunct w:val="0"/>
                    <w:autoSpaceDE/>
                    <w:autoSpaceDN/>
                    <w:bidi w:val="0"/>
                    <w:adjustRightInd/>
                    <w:snapToGrid/>
                    <w:spacing w:line="240" w:lineRule="auto"/>
                    <w:ind w:left="0" w:leftChars="0"/>
                    <w:jc w:val="both"/>
                    <w:textAlignment w:val="auto"/>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颗粒物、氮氧化物、二氧化硫</w:t>
                  </w:r>
                  <w:r>
                    <w:rPr>
                      <w:rFonts w:hint="eastAsia" w:cs="Times New Roman"/>
                      <w:b w:val="0"/>
                      <w:bCs w:val="0"/>
                      <w:color w:val="000000" w:themeColor="text1"/>
                      <w:kern w:val="0"/>
                      <w:sz w:val="21"/>
                      <w:szCs w:val="21"/>
                      <w:highlight w:val="none"/>
                      <w:lang w:val="en-US" w:eastAsia="zh-CN"/>
                      <w14:textFill>
                        <w14:solidFill>
                          <w14:schemeClr w14:val="tx1"/>
                        </w14:solidFill>
                      </w14:textFill>
                    </w:rPr>
                    <w:t>、氨气</w:t>
                  </w:r>
                </w:p>
              </w:tc>
              <w:tc>
                <w:tcPr>
                  <w:tcW w:w="916" w:type="dxa"/>
                  <w:shd w:val="clear" w:color="auto" w:fill="auto"/>
                  <w:noWrap w:val="0"/>
                  <w:vAlign w:val="center"/>
                </w:tcPr>
                <w:p w14:paraId="364C144C">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szCs w:val="21"/>
                      <w:highlight w:val="none"/>
                      <w:lang w:val="en-US" w:eastAsia="zh-CN"/>
                      <w14:textFill>
                        <w14:solidFill>
                          <w14:schemeClr w14:val="tx1"/>
                        </w14:solidFill>
                      </w14:textFill>
                    </w:rPr>
                    <w:t>42</w:t>
                  </w:r>
                </w:p>
              </w:tc>
              <w:tc>
                <w:tcPr>
                  <w:tcW w:w="712" w:type="dxa"/>
                  <w:shd w:val="clear" w:color="auto" w:fill="auto"/>
                  <w:noWrap w:val="0"/>
                  <w:vAlign w:val="center"/>
                </w:tcPr>
                <w:p w14:paraId="71C5B44A">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0"/>
                      <w:sz w:val="21"/>
                      <w:szCs w:val="21"/>
                      <w:highlight w:val="none"/>
                      <w:lang w:val="en-US" w:eastAsia="zh-CN"/>
                      <w14:textFill>
                        <w14:solidFill>
                          <w14:schemeClr w14:val="tx1"/>
                        </w14:solidFill>
                      </w14:textFill>
                    </w:rPr>
                    <w:t>1</w:t>
                  </w: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.6</w:t>
                  </w:r>
                </w:p>
              </w:tc>
              <w:tc>
                <w:tcPr>
                  <w:tcW w:w="673" w:type="dxa"/>
                  <w:shd w:val="clear" w:color="auto" w:fill="auto"/>
                  <w:noWrap w:val="0"/>
                  <w:vAlign w:val="center"/>
                </w:tcPr>
                <w:p w14:paraId="71D364C3">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t>200</w:t>
                  </w:r>
                </w:p>
              </w:tc>
              <w:tc>
                <w:tcPr>
                  <w:tcW w:w="1190" w:type="dxa"/>
                  <w:shd w:val="clear" w:color="auto" w:fill="auto"/>
                  <w:noWrap w:val="0"/>
                  <w:vAlign w:val="center"/>
                </w:tcPr>
                <w:p w14:paraId="3CA2A78D">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1次/年</w:t>
                  </w:r>
                </w:p>
              </w:tc>
              <w:tc>
                <w:tcPr>
                  <w:tcW w:w="576" w:type="dxa"/>
                  <w:noWrap w:val="0"/>
                  <w:vAlign w:val="center"/>
                </w:tcPr>
                <w:p w14:paraId="51FF47DA">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r>
          </w:tbl>
          <w:p w14:paraId="542646C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②监测点位</w:t>
            </w:r>
          </w:p>
          <w:p w14:paraId="786070A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上监测点位按照GB16297-1996、HJ942-2018、GB/T16157</w:t>
            </w:r>
            <w:r>
              <w:rPr>
                <w:rFonts w:hint="default" w:ascii="Times New Roman" w:hAnsi="Times New Roman" w:cs="Times New Roman"/>
                <w:color w:val="000000" w:themeColor="text1"/>
                <w:sz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HJ75等技术规范的要求设置。当污染物排放标准中有污染物处理效果要求时，可设置内部监测点位，在进入相应污染物处理设施单元的进出口设置监测点位。</w:t>
            </w:r>
          </w:p>
          <w:p w14:paraId="3F2B6C1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③监测指标</w:t>
            </w:r>
          </w:p>
          <w:p w14:paraId="2D7BE80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颗粒物、SO</w:t>
            </w:r>
            <w:r>
              <w:rPr>
                <w:rFonts w:hint="default" w:ascii="Times New Roman" w:hAnsi="Times New Roman" w:eastAsia="宋体" w:cs="Times New Roman"/>
                <w:color w:val="000000" w:themeColor="text1"/>
                <w:sz w:val="24"/>
                <w:highlight w:val="none"/>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、NOx</w:t>
            </w:r>
            <w:r>
              <w:rPr>
                <w:rFonts w:hint="eastAsia" w:cs="Times New Roman"/>
                <w:color w:val="000000" w:themeColor="text1"/>
                <w:sz w:val="24"/>
                <w:highlight w:val="none"/>
                <w:lang w:val="en-US" w:eastAsia="zh-CN"/>
                <w14:textFill>
                  <w14:solidFill>
                    <w14:schemeClr w14:val="tx1"/>
                  </w14:solidFill>
                </w14:textFill>
              </w:rPr>
              <w:t>、氨气</w:t>
            </w:r>
          </w:p>
          <w:p w14:paraId="0C83D85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④采样及监测分析方法</w:t>
            </w:r>
          </w:p>
          <w:p w14:paraId="3FD2E79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按照</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《耐火材料工业大气污染物排放标准》（GB46790-2025）</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及GB/T16157、HJ/T397等执行。</w:t>
            </w:r>
          </w:p>
          <w:p w14:paraId="146837E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2）无组织排放监测</w:t>
            </w:r>
          </w:p>
          <w:p w14:paraId="653EAD5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本项目无组织排放监控方案（厂界边界无组织排放监控点：上风向一个点，下风向三个点：监测指标为：颗粒物，监测频次：每年至少开展1次监测）。</w:t>
            </w:r>
          </w:p>
          <w:p w14:paraId="2E82FFD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）排放口基本情况</w:t>
            </w:r>
          </w:p>
          <w:p w14:paraId="733CDF7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本项目排放口基本情</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况见下表。</w:t>
            </w:r>
          </w:p>
          <w:p w14:paraId="0AEB2CEF">
            <w:pPr>
              <w:pStyle w:val="8"/>
              <w:tabs>
                <w:tab w:val="left" w:pos="1180"/>
                <w:tab w:val="center" w:pos="4535"/>
              </w:tabs>
              <w:ind w:firstLineChars="200"/>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eastAsia="宋体" w:cs="Times New Roman"/>
                <w:b/>
                <w:color w:val="000000" w:themeColor="text1"/>
                <w:highlight w:val="none"/>
                <w:lang w:eastAsia="zh-CN"/>
                <w14:textFill>
                  <w14:solidFill>
                    <w14:schemeClr w14:val="tx1"/>
                  </w14:solidFill>
                </w14:textFill>
              </w:rPr>
              <w:t>表</w:t>
            </w:r>
            <w:r>
              <w:rPr>
                <w:rFonts w:hint="default" w:ascii="Times New Roman" w:hAnsi="Times New Roman" w:eastAsia="宋体" w:cs="Times New Roman"/>
                <w:b/>
                <w:color w:val="000000" w:themeColor="text1"/>
                <w:highlight w:val="none"/>
                <w:lang w:val="en-US" w:eastAsia="zh-CN"/>
                <w14:textFill>
                  <w14:solidFill>
                    <w14:schemeClr w14:val="tx1"/>
                  </w14:solidFill>
                </w14:textFill>
              </w:rPr>
              <w:t>4-1</w:t>
            </w:r>
            <w:r>
              <w:rPr>
                <w:rFonts w:hint="eastAsia" w:cs="Times New Roman"/>
                <w:b/>
                <w:color w:val="000000" w:themeColor="text1"/>
                <w:highlight w:val="none"/>
                <w:lang w:val="en-US" w:eastAsia="zh-CN"/>
                <w14:textFill>
                  <w14:solidFill>
                    <w14:schemeClr w14:val="tx1"/>
                  </w14:solidFill>
                </w14:textFill>
              </w:rPr>
              <w:t>3</w:t>
            </w:r>
            <w:r>
              <w:rPr>
                <w:rFonts w:hint="default" w:ascii="Times New Roman" w:hAnsi="Times New Roman" w:eastAsia="宋体" w:cs="Times New Roman"/>
                <w:b/>
                <w:color w:val="000000" w:themeColor="text1"/>
                <w:highlight w:val="none"/>
                <w:lang w:eastAsia="zh-CN"/>
                <w14:textFill>
                  <w14:solidFill>
                    <w14:schemeClr w14:val="tx1"/>
                  </w14:solidFill>
                </w14:textFill>
              </w:rPr>
              <w:t>排</w:t>
            </w:r>
            <w:r>
              <w:rPr>
                <w:rFonts w:hint="default" w:ascii="Times New Roman" w:hAnsi="Times New Roman" w:cs="Times New Roman"/>
                <w:b/>
                <w:color w:val="000000" w:themeColor="text1"/>
                <w:highlight w:val="none"/>
                <w:lang w:eastAsia="zh-CN"/>
                <w14:textFill>
                  <w14:solidFill>
                    <w14:schemeClr w14:val="tx1"/>
                  </w14:solidFill>
                </w14:textFill>
              </w:rPr>
              <w:t>放口基本</w:t>
            </w:r>
            <w:r>
              <w:rPr>
                <w:rFonts w:hint="default" w:ascii="Times New Roman" w:hAnsi="Times New Roman" w:cs="Times New Roman"/>
                <w:b/>
                <w:color w:val="000000" w:themeColor="text1"/>
                <w:highlight w:val="none"/>
                <w14:textFill>
                  <w14:solidFill>
                    <w14:schemeClr w14:val="tx1"/>
                  </w14:solidFill>
                </w14:textFill>
              </w:rPr>
              <w:t>情况一览表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0"/>
              <w:gridCol w:w="2145"/>
              <w:gridCol w:w="971"/>
              <w:gridCol w:w="798"/>
              <w:gridCol w:w="815"/>
              <w:gridCol w:w="1581"/>
              <w:gridCol w:w="673"/>
            </w:tblGrid>
            <w:tr w14:paraId="7B27B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60" w:type="dxa"/>
                  <w:noWrap w:val="0"/>
                  <w:vAlign w:val="center"/>
                </w:tcPr>
                <w:p w14:paraId="2B628B0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名称</w:t>
                  </w:r>
                </w:p>
              </w:tc>
              <w:tc>
                <w:tcPr>
                  <w:tcW w:w="2145" w:type="dxa"/>
                  <w:noWrap w:val="0"/>
                  <w:vAlign w:val="center"/>
                </w:tcPr>
                <w:p w14:paraId="0303F2C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污染物</w:t>
                  </w:r>
                </w:p>
                <w:p w14:paraId="2B3DE6D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种类</w:t>
                  </w:r>
                </w:p>
              </w:tc>
              <w:tc>
                <w:tcPr>
                  <w:tcW w:w="971" w:type="dxa"/>
                  <w:noWrap w:val="0"/>
                  <w:vAlign w:val="center"/>
                </w:tcPr>
                <w:p w14:paraId="0D92A1C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排气</w:t>
                  </w:r>
                  <w:r>
                    <w:rPr>
                      <w:rFonts w:hint="eastAsia" w:cs="Times New Roman"/>
                      <w:color w:val="000000" w:themeColor="text1"/>
                      <w:sz w:val="24"/>
                      <w:szCs w:val="24"/>
                      <w:highlight w:val="none"/>
                      <w:lang w:val="en-US" w:eastAsia="zh-CN"/>
                      <w14:textFill>
                        <w14:solidFill>
                          <w14:schemeClr w14:val="tx1"/>
                        </w14:solidFill>
                      </w14:textFill>
                    </w:rPr>
                    <w:t>口</w:t>
                  </w:r>
                </w:p>
                <w:p w14:paraId="0C68C38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高度</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m</w:t>
                  </w:r>
                </w:p>
              </w:tc>
              <w:tc>
                <w:tcPr>
                  <w:tcW w:w="798" w:type="dxa"/>
                  <w:noWrap w:val="0"/>
                  <w:vAlign w:val="center"/>
                </w:tcPr>
                <w:p w14:paraId="42D5DC9D">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内径</w:t>
                  </w:r>
                </w:p>
                <w:p w14:paraId="1B4143EC">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m</w:t>
                  </w:r>
                </w:p>
              </w:tc>
              <w:tc>
                <w:tcPr>
                  <w:tcW w:w="815" w:type="dxa"/>
                  <w:noWrap w:val="0"/>
                  <w:vAlign w:val="center"/>
                </w:tcPr>
                <w:p w14:paraId="22BB4036">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温度</w:t>
                  </w:r>
                </w:p>
                <w:p w14:paraId="0325549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c>
                <w:tcPr>
                  <w:tcW w:w="1581" w:type="dxa"/>
                  <w:noWrap w:val="0"/>
                  <w:vAlign w:val="center"/>
                </w:tcPr>
                <w:p w14:paraId="7D69D5A5">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排放口</w:t>
                  </w:r>
                </w:p>
                <w:p w14:paraId="44DC6267">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类型</w:t>
                  </w:r>
                </w:p>
              </w:tc>
              <w:tc>
                <w:tcPr>
                  <w:tcW w:w="673" w:type="dxa"/>
                  <w:noWrap w:val="0"/>
                  <w:vAlign w:val="center"/>
                </w:tcPr>
                <w:p w14:paraId="4FC50C51">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备注</w:t>
                  </w:r>
                </w:p>
              </w:tc>
            </w:tr>
            <w:tr w14:paraId="2D33E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960" w:type="dxa"/>
                  <w:shd w:val="clear" w:color="auto" w:fill="auto"/>
                  <w:noWrap w:val="0"/>
                  <w:vAlign w:val="center"/>
                </w:tcPr>
                <w:p w14:paraId="5F78293B">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DA006</w:t>
                  </w:r>
                </w:p>
              </w:tc>
              <w:tc>
                <w:tcPr>
                  <w:tcW w:w="2145" w:type="dxa"/>
                  <w:shd w:val="clear" w:color="auto" w:fill="auto"/>
                  <w:noWrap w:val="0"/>
                  <w:vAlign w:val="center"/>
                </w:tcPr>
                <w:p w14:paraId="3C31E9C4">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颗粒物、氮氧化物、二氧化硫</w:t>
                  </w:r>
                  <w:r>
                    <w:rPr>
                      <w:rFonts w:hint="eastAsia" w:cs="Times New Roman"/>
                      <w:b w:val="0"/>
                      <w:bCs w:val="0"/>
                      <w:color w:val="000000" w:themeColor="text1"/>
                      <w:kern w:val="0"/>
                      <w:sz w:val="21"/>
                      <w:szCs w:val="21"/>
                      <w:highlight w:val="none"/>
                      <w:lang w:val="en-US" w:eastAsia="zh-CN"/>
                      <w14:textFill>
                        <w14:solidFill>
                          <w14:schemeClr w14:val="tx1"/>
                        </w14:solidFill>
                      </w14:textFill>
                    </w:rPr>
                    <w:t>、氨气</w:t>
                  </w:r>
                </w:p>
              </w:tc>
              <w:tc>
                <w:tcPr>
                  <w:tcW w:w="971" w:type="dxa"/>
                  <w:shd w:val="clear" w:color="auto" w:fill="auto"/>
                  <w:noWrap w:val="0"/>
                  <w:vAlign w:val="center"/>
                </w:tcPr>
                <w:p w14:paraId="4C251593">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eastAsia"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szCs w:val="21"/>
                      <w:highlight w:val="none"/>
                      <w:lang w:val="en-US" w:eastAsia="zh-CN"/>
                      <w14:textFill>
                        <w14:solidFill>
                          <w14:schemeClr w14:val="tx1"/>
                        </w14:solidFill>
                      </w14:textFill>
                    </w:rPr>
                    <w:t>42</w:t>
                  </w:r>
                </w:p>
              </w:tc>
              <w:tc>
                <w:tcPr>
                  <w:tcW w:w="798" w:type="dxa"/>
                  <w:shd w:val="clear" w:color="auto" w:fill="auto"/>
                  <w:noWrap w:val="0"/>
                  <w:vAlign w:val="center"/>
                </w:tcPr>
                <w:p w14:paraId="1DE06046">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0"/>
                      <w:sz w:val="21"/>
                      <w:szCs w:val="21"/>
                      <w:highlight w:val="none"/>
                      <w:lang w:val="en-US" w:eastAsia="zh-CN"/>
                      <w14:textFill>
                        <w14:solidFill>
                          <w14:schemeClr w14:val="tx1"/>
                        </w14:solidFill>
                      </w14:textFill>
                    </w:rPr>
                    <w:t>1</w:t>
                  </w: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.6</w:t>
                  </w:r>
                </w:p>
              </w:tc>
              <w:tc>
                <w:tcPr>
                  <w:tcW w:w="815" w:type="dxa"/>
                  <w:shd w:val="clear" w:color="auto" w:fill="auto"/>
                  <w:noWrap w:val="0"/>
                  <w:vAlign w:val="center"/>
                </w:tcPr>
                <w:p w14:paraId="170D3680">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t>200</w:t>
                  </w:r>
                </w:p>
              </w:tc>
              <w:tc>
                <w:tcPr>
                  <w:tcW w:w="1581" w:type="dxa"/>
                  <w:shd w:val="clear" w:color="auto" w:fill="auto"/>
                  <w:noWrap w:val="0"/>
                  <w:vAlign w:val="center"/>
                </w:tcPr>
                <w:p w14:paraId="3EC459D4">
                  <w:pPr>
                    <w:pStyle w:val="85"/>
                    <w:keepNext w:val="0"/>
                    <w:keepLines w:val="0"/>
                    <w:pageBreakBefore w:val="0"/>
                    <w:widowControl w:val="0"/>
                    <w:kinsoku w:val="0"/>
                    <w:wordWrap/>
                    <w:overflowPunct w:val="0"/>
                    <w:topLinePunct w:val="0"/>
                    <w:bidi w:val="0"/>
                    <w:adjustRightInd/>
                    <w:snapToGrid w:val="0"/>
                    <w:ind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t>主要</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排放口</w:t>
                  </w:r>
                </w:p>
              </w:tc>
              <w:tc>
                <w:tcPr>
                  <w:tcW w:w="673" w:type="dxa"/>
                  <w:noWrap w:val="0"/>
                  <w:vAlign w:val="center"/>
                </w:tcPr>
                <w:p w14:paraId="20C2A992">
                  <w:pPr>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r>
          </w:tbl>
          <w:p w14:paraId="2BCFD70F">
            <w:pPr>
              <w:pStyle w:val="14"/>
              <w:keepNext w:val="0"/>
              <w:keepLines w:val="0"/>
              <w:pageBreakBefore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综上所述，本项目运营期产生的废气均得到有效处置，不会对环境造成二次污染，对周围环境影响不大。</w:t>
            </w:r>
          </w:p>
          <w:p w14:paraId="1C400454">
            <w:pPr>
              <w:keepNext w:val="0"/>
              <w:keepLines w:val="0"/>
              <w:pageBreakBefore w:val="0"/>
              <w:widowControl/>
              <w:kinsoku/>
              <w:wordWrap/>
              <w:overflowPunct/>
              <w:topLinePunct w:val="0"/>
              <w:autoSpaceDE/>
              <w:autoSpaceDN/>
              <w:bidi w:val="0"/>
              <w:adjustRightInd/>
              <w:snapToGrid/>
              <w:spacing w:line="360" w:lineRule="auto"/>
              <w:ind w:firstLine="482"/>
              <w:jc w:val="both"/>
              <w:textAlignment w:val="auto"/>
              <w:outlineLvl w:val="1"/>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lang w:eastAsia="zh-CN"/>
                <w14:textFill>
                  <w14:solidFill>
                    <w14:schemeClr w14:val="tx1"/>
                  </w14:solidFill>
                </w14:textFill>
              </w:rPr>
              <w:t>2.</w:t>
            </w:r>
            <w:r>
              <w:rPr>
                <w:rFonts w:hint="default" w:ascii="Times New Roman" w:hAnsi="Times New Roman" w:eastAsia="宋体" w:cs="Times New Roman"/>
                <w:b/>
                <w:bCs/>
                <w:color w:val="000000" w:themeColor="text1"/>
                <w:sz w:val="24"/>
                <w:highlight w:val="none"/>
                <w14:textFill>
                  <w14:solidFill>
                    <w14:schemeClr w14:val="tx1"/>
                  </w14:solidFill>
                </w14:textFill>
              </w:rPr>
              <w:t>水环境影响分析</w:t>
            </w: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及环境保护措施</w:t>
            </w:r>
          </w:p>
          <w:p w14:paraId="7294C37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w:t>
            </w:r>
            <w:r>
              <w:rPr>
                <w:rFonts w:hint="default" w:ascii="Times New Roman" w:hAnsi="Times New Roman" w:eastAsia="宋体" w:cs="Times New Roman"/>
                <w:color w:val="000000" w:themeColor="text1"/>
                <w:sz w:val="24"/>
                <w:szCs w:val="24"/>
                <w:highlight w:val="none"/>
                <w14:textFill>
                  <w14:solidFill>
                    <w14:schemeClr w14:val="tx1"/>
                  </w14:solidFill>
                </w14:textFill>
              </w:rPr>
              <w:t>水污染源及其影响分析</w:t>
            </w:r>
          </w:p>
          <w:p w14:paraId="2342F7B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项目运营期废水源强见</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下</w:t>
            </w:r>
            <w:r>
              <w:rPr>
                <w:rFonts w:hint="default" w:ascii="Times New Roman" w:hAnsi="Times New Roman" w:eastAsia="宋体" w:cs="Times New Roman"/>
                <w:color w:val="000000" w:themeColor="text1"/>
                <w:sz w:val="24"/>
                <w:szCs w:val="24"/>
                <w:highlight w:val="none"/>
                <w14:textFill>
                  <w14:solidFill>
                    <w14:schemeClr w14:val="tx1"/>
                  </w14:solidFill>
                </w14:textFill>
              </w:rPr>
              <w:t>表。</w:t>
            </w:r>
          </w:p>
          <w:p w14:paraId="76EABDF9">
            <w:pPr>
              <w:keepNext w:val="0"/>
              <w:keepLines w:val="0"/>
              <w:pageBreakBefore w:val="0"/>
              <w:widowControl w:val="0"/>
              <w:kinsoku/>
              <w:wordWrap/>
              <w:overflowPunct/>
              <w:topLinePunct w:val="0"/>
              <w:autoSpaceDE/>
              <w:autoSpaceDN/>
              <w:bidi w:val="0"/>
              <w:adjustRightInd/>
              <w:snapToGrid/>
              <w:spacing w:line="240" w:lineRule="auto"/>
              <w:ind w:firstLine="466" w:firstLineChars="200"/>
              <w:jc w:val="center"/>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cs="Times New Roman"/>
                <w:b/>
                <w:bCs/>
                <w:color w:val="000000" w:themeColor="text1"/>
                <w:spacing w:val="-4"/>
                <w:sz w:val="24"/>
                <w:szCs w:val="24"/>
                <w:highlight w:val="none"/>
                <w14:textFill>
                  <w14:solidFill>
                    <w14:schemeClr w14:val="tx1"/>
                  </w14:solidFill>
                </w14:textFill>
              </w:rPr>
              <w:t>表4</w:t>
            </w:r>
            <w:r>
              <w:rPr>
                <w:rFonts w:hint="default" w:ascii="Times New Roman" w:hAnsi="Times New Roman" w:cs="Times New Roman"/>
                <w:b/>
                <w:bCs/>
                <w:color w:val="000000" w:themeColor="text1"/>
                <w:spacing w:val="-4"/>
                <w:sz w:val="24"/>
                <w:szCs w:val="24"/>
                <w:highlight w:val="none"/>
                <w:lang w:val="en-US" w:eastAsia="zh-CN"/>
                <w14:textFill>
                  <w14:solidFill>
                    <w14:schemeClr w14:val="tx1"/>
                  </w14:solidFill>
                </w14:textFill>
              </w:rPr>
              <w:t>-1</w:t>
            </w:r>
            <w:r>
              <w:rPr>
                <w:rFonts w:hint="eastAsia" w:cs="Times New Roman"/>
                <w:b/>
                <w:bCs/>
                <w:color w:val="000000" w:themeColor="text1"/>
                <w:spacing w:val="-4"/>
                <w:sz w:val="24"/>
                <w:szCs w:val="24"/>
                <w:highlight w:val="none"/>
                <w:lang w:val="en-US" w:eastAsia="zh-CN"/>
                <w14:textFill>
                  <w14:solidFill>
                    <w14:schemeClr w14:val="tx1"/>
                  </w14:solidFill>
                </w14:textFill>
              </w:rPr>
              <w:t>4</w:t>
            </w:r>
            <w:r>
              <w:rPr>
                <w:rFonts w:hint="default" w:ascii="Times New Roman" w:hAnsi="Times New Roman" w:cs="Times New Roman"/>
                <w:b/>
                <w:bCs/>
                <w:color w:val="000000" w:themeColor="text1"/>
                <w:spacing w:val="-4"/>
                <w:sz w:val="24"/>
                <w:szCs w:val="24"/>
                <w:highlight w:val="none"/>
                <w14:textFill>
                  <w14:solidFill>
                    <w14:schemeClr w14:val="tx1"/>
                  </w14:solidFill>
                </w14:textFill>
              </w:rPr>
              <w:t>废水水质水量状况</w:t>
            </w:r>
          </w:p>
          <w:tbl>
            <w:tblPr>
              <w:tblStyle w:val="25"/>
              <w:tblW w:w="7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0"/>
              <w:gridCol w:w="1288"/>
              <w:gridCol w:w="1188"/>
              <w:gridCol w:w="1081"/>
              <w:gridCol w:w="1091"/>
              <w:gridCol w:w="2448"/>
            </w:tblGrid>
            <w:tr w14:paraId="57201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noWrap w:val="0"/>
                  <w:vAlign w:val="center"/>
                </w:tcPr>
                <w:p w14:paraId="06080A86">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kern w:val="2"/>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污染源</w:t>
                  </w:r>
                </w:p>
              </w:tc>
              <w:tc>
                <w:tcPr>
                  <w:tcW w:w="1288" w:type="dxa"/>
                  <w:noWrap w:val="0"/>
                  <w:vAlign w:val="center"/>
                </w:tcPr>
                <w:p w14:paraId="0643E2D1">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2"/>
                      <w:sz w:val="21"/>
                      <w:szCs w:val="21"/>
                      <w:highlight w:val="none"/>
                      <w14:textFill>
                        <w14:solidFill>
                          <w14:schemeClr w14:val="tx1"/>
                        </w14:solidFill>
                      </w14:textFill>
                    </w:rPr>
                    <w:t>废水量</w:t>
                  </w:r>
                </w:p>
                <w:p w14:paraId="4530278C">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kern w:val="2"/>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spacing w:val="-7"/>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pacing w:val="-7"/>
                      <w:sz w:val="21"/>
                      <w:szCs w:val="21"/>
                      <w:highlight w:val="none"/>
                      <w14:textFill>
                        <w14:solidFill>
                          <w14:schemeClr w14:val="tx1"/>
                        </w14:solidFill>
                      </w14:textFill>
                    </w:rPr>
                    <w:t>m³/a</w:t>
                  </w:r>
                  <w:r>
                    <w:rPr>
                      <w:rFonts w:hint="eastAsia" w:ascii="Times New Roman" w:hAnsi="Times New Roman" w:cs="Times New Roman"/>
                      <w:color w:val="000000" w:themeColor="text1"/>
                      <w:spacing w:val="-7"/>
                      <w:sz w:val="21"/>
                      <w:szCs w:val="21"/>
                      <w:highlight w:val="none"/>
                      <w:lang w:eastAsia="zh-CN"/>
                      <w14:textFill>
                        <w14:solidFill>
                          <w14:schemeClr w14:val="tx1"/>
                        </w14:solidFill>
                      </w14:textFill>
                    </w:rPr>
                    <w:t>)</w:t>
                  </w:r>
                </w:p>
              </w:tc>
              <w:tc>
                <w:tcPr>
                  <w:tcW w:w="1188" w:type="dxa"/>
                  <w:noWrap w:val="0"/>
                  <w:vAlign w:val="center"/>
                </w:tcPr>
                <w:p w14:paraId="7A661DE4">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pacing w:val="3"/>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主要</w:t>
                  </w:r>
                </w:p>
                <w:p w14:paraId="13B178A5">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pacing w:val="3"/>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污染物</w:t>
                  </w:r>
                </w:p>
              </w:tc>
              <w:tc>
                <w:tcPr>
                  <w:tcW w:w="1081" w:type="dxa"/>
                  <w:noWrap w:val="0"/>
                  <w:vAlign w:val="center"/>
                </w:tcPr>
                <w:p w14:paraId="0DE1CABB">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pacing w:val="3"/>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产生浓度</w:t>
                  </w:r>
                </w:p>
                <w:p w14:paraId="009947A4">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pacing w:val="3"/>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pacing w:val="3"/>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mg/L</w:t>
                  </w:r>
                  <w:r>
                    <w:rPr>
                      <w:rFonts w:hint="eastAsia" w:ascii="Times New Roman" w:hAnsi="Times New Roman" w:cs="Times New Roman"/>
                      <w:color w:val="000000" w:themeColor="text1"/>
                      <w:spacing w:val="3"/>
                      <w:sz w:val="21"/>
                      <w:szCs w:val="21"/>
                      <w:highlight w:val="none"/>
                      <w:lang w:eastAsia="zh-CN"/>
                      <w14:textFill>
                        <w14:solidFill>
                          <w14:schemeClr w14:val="tx1"/>
                        </w14:solidFill>
                      </w14:textFill>
                    </w:rPr>
                    <w:t>)</w:t>
                  </w:r>
                </w:p>
              </w:tc>
              <w:tc>
                <w:tcPr>
                  <w:tcW w:w="1091" w:type="dxa"/>
                  <w:noWrap w:val="0"/>
                  <w:vAlign w:val="center"/>
                </w:tcPr>
                <w:p w14:paraId="2482662D">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pacing w:val="3"/>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产生量</w:t>
                  </w:r>
                </w:p>
                <w:p w14:paraId="361C2703">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pacing w:val="3"/>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pacing w:val="3"/>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t/a</w:t>
                  </w:r>
                  <w:r>
                    <w:rPr>
                      <w:rFonts w:hint="eastAsia" w:ascii="Times New Roman" w:hAnsi="Times New Roman" w:cs="Times New Roman"/>
                      <w:color w:val="000000" w:themeColor="text1"/>
                      <w:spacing w:val="3"/>
                      <w:sz w:val="21"/>
                      <w:szCs w:val="21"/>
                      <w:highlight w:val="none"/>
                      <w:lang w:eastAsia="zh-CN"/>
                      <w14:textFill>
                        <w14:solidFill>
                          <w14:schemeClr w14:val="tx1"/>
                        </w14:solidFill>
                      </w14:textFill>
                    </w:rPr>
                    <w:t>)</w:t>
                  </w:r>
                </w:p>
              </w:tc>
              <w:tc>
                <w:tcPr>
                  <w:tcW w:w="2448" w:type="dxa"/>
                  <w:noWrap w:val="0"/>
                  <w:vAlign w:val="center"/>
                </w:tcPr>
                <w:p w14:paraId="53D715B9">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kern w:val="2"/>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拟处置方案及去向</w:t>
                  </w:r>
                </w:p>
              </w:tc>
            </w:tr>
            <w:tr w14:paraId="3FA45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noWrap w:val="0"/>
                  <w:vAlign w:val="center"/>
                </w:tcPr>
                <w:p w14:paraId="68FFF812">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kern w:val="2"/>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2"/>
                      <w:sz w:val="21"/>
                      <w:szCs w:val="21"/>
                      <w:highlight w:val="none"/>
                      <w14:textFill>
                        <w14:solidFill>
                          <w14:schemeClr w14:val="tx1"/>
                        </w14:solidFill>
                      </w14:textFill>
                    </w:rPr>
                    <w:t>脱硫废水</w:t>
                  </w:r>
                </w:p>
              </w:tc>
              <w:tc>
                <w:tcPr>
                  <w:tcW w:w="1288" w:type="dxa"/>
                  <w:noWrap w:val="0"/>
                  <w:vAlign w:val="center"/>
                </w:tcPr>
                <w:p w14:paraId="18E102FA">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kern w:val="2"/>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kern w:val="2"/>
                      <w:sz w:val="21"/>
                      <w:szCs w:val="21"/>
                      <w:highlight w:val="none"/>
                      <w:vertAlign w:val="baseline"/>
                      <w:lang w:val="en-US" w:eastAsia="zh-CN"/>
                      <w14:textFill>
                        <w14:solidFill>
                          <w14:schemeClr w14:val="tx1"/>
                        </w14:solidFill>
                      </w14:textFill>
                    </w:rPr>
                    <w:t>300</w:t>
                  </w:r>
                </w:p>
              </w:tc>
              <w:tc>
                <w:tcPr>
                  <w:tcW w:w="1188" w:type="dxa"/>
                  <w:noWrap w:val="0"/>
                  <w:vAlign w:val="center"/>
                </w:tcPr>
                <w:p w14:paraId="1153641A">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4"/>
                      <w:sz w:val="21"/>
                      <w:szCs w:val="21"/>
                      <w:highlight w:val="none"/>
                      <w14:textFill>
                        <w14:solidFill>
                          <w14:schemeClr w14:val="tx1"/>
                        </w14:solidFill>
                      </w14:textFill>
                    </w:rPr>
                    <w:t>pH</w:t>
                  </w:r>
                </w:p>
                <w:p w14:paraId="6B956257">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pacing w:val="1"/>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TDS</w:t>
                  </w:r>
                </w:p>
                <w:p w14:paraId="64A93C04">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000000" w:themeColor="text1"/>
                      <w:spacing w:val="25"/>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25"/>
                      <w:sz w:val="21"/>
                      <w:szCs w:val="21"/>
                      <w:highlight w:val="none"/>
                      <w14:textFill>
                        <w14:solidFill>
                          <w14:schemeClr w14:val="tx1"/>
                        </w14:solidFill>
                      </w14:textFill>
                    </w:rPr>
                    <w:t>SS</w:t>
                  </w:r>
                </w:p>
                <w:p w14:paraId="6A7ABAE6">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000000" w:themeColor="text1"/>
                      <w:spacing w:val="25"/>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25"/>
                      <w:sz w:val="21"/>
                      <w:szCs w:val="21"/>
                      <w:highlight w:val="none"/>
                      <w:lang w:val="en-US" w:eastAsia="zh-CN"/>
                      <w14:textFill>
                        <w14:solidFill>
                          <w14:schemeClr w14:val="tx1"/>
                        </w14:solidFill>
                      </w14:textFill>
                    </w:rPr>
                    <w:t>微量</w:t>
                  </w:r>
                </w:p>
                <w:p w14:paraId="636E8B69">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kern w:val="2"/>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25"/>
                      <w:sz w:val="21"/>
                      <w:szCs w:val="21"/>
                      <w:highlight w:val="none"/>
                      <w:lang w:val="en-US" w:eastAsia="zh-CN"/>
                      <w14:textFill>
                        <w14:solidFill>
                          <w14:schemeClr w14:val="tx1"/>
                        </w14:solidFill>
                      </w14:textFill>
                    </w:rPr>
                    <w:t>金属</w:t>
                  </w:r>
                </w:p>
              </w:tc>
              <w:tc>
                <w:tcPr>
                  <w:tcW w:w="1081" w:type="dxa"/>
                  <w:noWrap w:val="0"/>
                  <w:vAlign w:val="center"/>
                </w:tcPr>
                <w:p w14:paraId="780ECF46">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pacing w:val="-4"/>
                      <w:sz w:val="21"/>
                      <w:szCs w:val="21"/>
                      <w:highlight w:val="none"/>
                      <w:lang w:val="en-US" w:eastAsia="zh-CN"/>
                      <w14:textFill>
                        <w14:solidFill>
                          <w14:schemeClr w14:val="tx1"/>
                        </w14:solidFill>
                      </w14:textFill>
                    </w:rPr>
                    <w:t>6</w:t>
                  </w:r>
                  <w:r>
                    <w:rPr>
                      <w:rFonts w:hint="default" w:ascii="Times New Roman" w:hAnsi="Times New Roman" w:cs="Times New Roman"/>
                      <w:color w:val="000000" w:themeColor="text1"/>
                      <w:spacing w:val="-4"/>
                      <w:sz w:val="21"/>
                      <w:szCs w:val="21"/>
                      <w:highlight w:val="none"/>
                      <w14:textFill>
                        <w14:solidFill>
                          <w14:schemeClr w14:val="tx1"/>
                        </w14:solidFill>
                      </w14:textFill>
                    </w:rPr>
                    <w:t>~</w:t>
                  </w:r>
                  <w:r>
                    <w:rPr>
                      <w:rFonts w:hint="eastAsia" w:ascii="Times New Roman" w:hAnsi="Times New Roman" w:cs="Times New Roman"/>
                      <w:color w:val="000000" w:themeColor="text1"/>
                      <w:spacing w:val="-4"/>
                      <w:sz w:val="21"/>
                      <w:szCs w:val="21"/>
                      <w:highlight w:val="none"/>
                      <w:lang w:val="en-US" w:eastAsia="zh-CN"/>
                      <w14:textFill>
                        <w14:solidFill>
                          <w14:schemeClr w14:val="tx1"/>
                        </w14:solidFill>
                      </w14:textFill>
                    </w:rPr>
                    <w:t>9</w:t>
                  </w:r>
                </w:p>
                <w:p w14:paraId="2FA779D2">
                  <w:pPr>
                    <w:pStyle w:val="116"/>
                    <w:keepNext w:val="0"/>
                    <w:keepLines w:val="0"/>
                    <w:pageBreakBefore w:val="0"/>
                    <w:widowControl w:val="0"/>
                    <w:tabs>
                      <w:tab w:val="left" w:pos="355"/>
                    </w:tabs>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4"/>
                      <w:sz w:val="21"/>
                      <w:szCs w:val="21"/>
                      <w:highlight w:val="none"/>
                      <w:lang w:val="en-US" w:eastAsia="zh-CN"/>
                      <w14:textFill>
                        <w14:solidFill>
                          <w14:schemeClr w14:val="tx1"/>
                        </w14:solidFill>
                      </w14:textFill>
                    </w:rPr>
                    <w:t>~</w:t>
                  </w:r>
                  <w:r>
                    <w:rPr>
                      <w:rFonts w:hint="eastAsia" w:ascii="Times New Roman" w:hAnsi="Times New Roman" w:cs="Times New Roman"/>
                      <w:color w:val="000000" w:themeColor="text1"/>
                      <w:spacing w:val="-4"/>
                      <w:sz w:val="21"/>
                      <w:szCs w:val="21"/>
                      <w:highlight w:val="none"/>
                      <w:lang w:val="en-US" w:eastAsia="zh-CN"/>
                      <w14:textFill>
                        <w14:solidFill>
                          <w14:schemeClr w14:val="tx1"/>
                        </w14:solidFill>
                      </w14:textFill>
                    </w:rPr>
                    <w:t>2</w:t>
                  </w:r>
                  <w:r>
                    <w:rPr>
                      <w:rFonts w:hint="default" w:ascii="Times New Roman" w:hAnsi="Times New Roman" w:cs="Times New Roman"/>
                      <w:color w:val="000000" w:themeColor="text1"/>
                      <w:spacing w:val="-4"/>
                      <w:sz w:val="21"/>
                      <w:szCs w:val="21"/>
                      <w:highlight w:val="none"/>
                      <w14:textFill>
                        <w14:solidFill>
                          <w14:schemeClr w14:val="tx1"/>
                        </w14:solidFill>
                      </w14:textFill>
                    </w:rPr>
                    <w:t>500</w:t>
                  </w:r>
                </w:p>
                <w:p w14:paraId="1B2AF08F">
                  <w:pPr>
                    <w:pStyle w:val="116"/>
                    <w:keepNext w:val="0"/>
                    <w:keepLines w:val="0"/>
                    <w:pageBreakBefore w:val="0"/>
                    <w:widowControl w:val="0"/>
                    <w:tabs>
                      <w:tab w:val="left" w:pos="355"/>
                    </w:tabs>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000000" w:themeColor="text1"/>
                      <w:spacing w:val="-6"/>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3</w:t>
                  </w:r>
                  <w:r>
                    <w:rPr>
                      <w:rFonts w:hint="default" w:ascii="Times New Roman" w:hAnsi="Times New Roman" w:cs="Times New Roman"/>
                      <w:color w:val="000000" w:themeColor="text1"/>
                      <w:spacing w:val="-6"/>
                      <w:sz w:val="21"/>
                      <w:szCs w:val="21"/>
                      <w:highlight w:val="none"/>
                      <w14:textFill>
                        <w14:solidFill>
                          <w14:schemeClr w14:val="tx1"/>
                        </w14:solidFill>
                      </w14:textFill>
                    </w:rPr>
                    <w:t>000</w:t>
                  </w:r>
                </w:p>
                <w:p w14:paraId="6BC1B31F">
                  <w:pPr>
                    <w:pStyle w:val="116"/>
                    <w:keepNext w:val="0"/>
                    <w:keepLines w:val="0"/>
                    <w:pageBreakBefore w:val="0"/>
                    <w:widowControl w:val="0"/>
                    <w:tabs>
                      <w:tab w:val="left" w:pos="355"/>
                    </w:tabs>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000000" w:themeColor="text1"/>
                      <w:spacing w:val="-6"/>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6"/>
                      <w:sz w:val="21"/>
                      <w:szCs w:val="21"/>
                      <w:highlight w:val="none"/>
                      <w:lang w:val="en-US" w:eastAsia="zh-CN"/>
                      <w14:textFill>
                        <w14:solidFill>
                          <w14:schemeClr w14:val="tx1"/>
                        </w14:solidFill>
                      </w14:textFill>
                    </w:rPr>
                    <w:t>~0.1</w:t>
                  </w:r>
                </w:p>
                <w:p w14:paraId="48A43770">
                  <w:pPr>
                    <w:pStyle w:val="116"/>
                    <w:keepNext w:val="0"/>
                    <w:keepLines w:val="0"/>
                    <w:pageBreakBefore w:val="0"/>
                    <w:widowControl w:val="0"/>
                    <w:tabs>
                      <w:tab w:val="left" w:pos="355"/>
                    </w:tabs>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000000" w:themeColor="text1"/>
                      <w:spacing w:val="-6"/>
                      <w:sz w:val="21"/>
                      <w:szCs w:val="21"/>
                      <w:highlight w:val="none"/>
                      <w:lang w:val="en-US" w:eastAsia="zh-CN"/>
                      <w14:textFill>
                        <w14:solidFill>
                          <w14:schemeClr w14:val="tx1"/>
                        </w14:solidFill>
                      </w14:textFill>
                    </w:rPr>
                  </w:pPr>
                </w:p>
              </w:tc>
              <w:tc>
                <w:tcPr>
                  <w:tcW w:w="1091" w:type="dxa"/>
                  <w:noWrap w:val="0"/>
                  <w:vAlign w:val="center"/>
                </w:tcPr>
                <w:p w14:paraId="250F6F01">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pacing w:val="-4"/>
                      <w:sz w:val="21"/>
                      <w:szCs w:val="21"/>
                      <w:highlight w:val="none"/>
                      <w:lang w:val="en-US" w:eastAsia="zh-CN"/>
                      <w14:textFill>
                        <w14:solidFill>
                          <w14:schemeClr w14:val="tx1"/>
                        </w14:solidFill>
                      </w14:textFill>
                    </w:rPr>
                    <w:t>6</w:t>
                  </w:r>
                  <w:r>
                    <w:rPr>
                      <w:rFonts w:hint="default" w:ascii="Times New Roman" w:hAnsi="Times New Roman" w:cs="Times New Roman"/>
                      <w:color w:val="000000" w:themeColor="text1"/>
                      <w:spacing w:val="-4"/>
                      <w:sz w:val="21"/>
                      <w:szCs w:val="21"/>
                      <w:highlight w:val="none"/>
                      <w14:textFill>
                        <w14:solidFill>
                          <w14:schemeClr w14:val="tx1"/>
                        </w14:solidFill>
                      </w14:textFill>
                    </w:rPr>
                    <w:t>~</w:t>
                  </w:r>
                  <w:r>
                    <w:rPr>
                      <w:rFonts w:hint="eastAsia" w:ascii="Times New Roman" w:hAnsi="Times New Roman" w:cs="Times New Roman"/>
                      <w:color w:val="000000" w:themeColor="text1"/>
                      <w:spacing w:val="-4"/>
                      <w:sz w:val="21"/>
                      <w:szCs w:val="21"/>
                      <w:highlight w:val="none"/>
                      <w:lang w:val="en-US" w:eastAsia="zh-CN"/>
                      <w14:textFill>
                        <w14:solidFill>
                          <w14:schemeClr w14:val="tx1"/>
                        </w14:solidFill>
                      </w14:textFill>
                    </w:rPr>
                    <w:t>9</w:t>
                  </w:r>
                </w:p>
                <w:p w14:paraId="7B88A5D8">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pacing w:val="-2"/>
                      <w:sz w:val="21"/>
                      <w:szCs w:val="21"/>
                      <w:highlight w:val="none"/>
                      <w:lang w:val="en-US" w:eastAsia="zh-CN"/>
                      <w14:textFill>
                        <w14:solidFill>
                          <w14:schemeClr w14:val="tx1"/>
                        </w14:solidFill>
                      </w14:textFill>
                    </w:rPr>
                    <w:t>5</w:t>
                  </w:r>
                  <w:r>
                    <w:rPr>
                      <w:rFonts w:hint="default" w:ascii="Times New Roman" w:hAnsi="Times New Roman" w:cs="Times New Roman"/>
                      <w:color w:val="000000" w:themeColor="text1"/>
                      <w:spacing w:val="-2"/>
                      <w:sz w:val="21"/>
                      <w:szCs w:val="21"/>
                      <w:highlight w:val="none"/>
                      <w14:textFill>
                        <w14:solidFill>
                          <w14:schemeClr w14:val="tx1"/>
                        </w14:solidFill>
                      </w14:textFill>
                    </w:rPr>
                    <w:t>.07</w:t>
                  </w:r>
                </w:p>
                <w:p w14:paraId="6118EFC3">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000000" w:themeColor="text1"/>
                      <w:spacing w:val="-2"/>
                      <w:position w:val="-3"/>
                      <w:sz w:val="21"/>
                      <w:szCs w:val="21"/>
                      <w:highlight w:val="none"/>
                      <w14:textFill>
                        <w14:solidFill>
                          <w14:schemeClr w14:val="tx1"/>
                        </w14:solidFill>
                      </w14:textFill>
                    </w:rPr>
                  </w:pPr>
                  <w:r>
                    <w:rPr>
                      <w:rFonts w:hint="eastAsia" w:ascii="Times New Roman" w:hAnsi="Times New Roman" w:cs="Times New Roman"/>
                      <w:color w:val="000000" w:themeColor="text1"/>
                      <w:spacing w:val="-2"/>
                      <w:position w:val="-3"/>
                      <w:sz w:val="21"/>
                      <w:szCs w:val="21"/>
                      <w:highlight w:val="none"/>
                      <w:lang w:val="en-US" w:eastAsia="zh-CN"/>
                      <w14:textFill>
                        <w14:solidFill>
                          <w14:schemeClr w14:val="tx1"/>
                        </w14:solidFill>
                      </w14:textFill>
                    </w:rPr>
                    <w:t>6</w:t>
                  </w:r>
                  <w:r>
                    <w:rPr>
                      <w:rFonts w:hint="default" w:ascii="Times New Roman" w:hAnsi="Times New Roman" w:cs="Times New Roman"/>
                      <w:color w:val="000000" w:themeColor="text1"/>
                      <w:spacing w:val="-2"/>
                      <w:position w:val="-3"/>
                      <w:sz w:val="21"/>
                      <w:szCs w:val="21"/>
                      <w:highlight w:val="none"/>
                      <w14:textFill>
                        <w14:solidFill>
                          <w14:schemeClr w14:val="tx1"/>
                        </w14:solidFill>
                      </w14:textFill>
                    </w:rPr>
                    <w:t>.16</w:t>
                  </w:r>
                </w:p>
                <w:p w14:paraId="4A365C81">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pacing w:val="-2"/>
                      <w:position w:val="-3"/>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2"/>
                      <w:position w:val="-3"/>
                      <w:sz w:val="21"/>
                      <w:szCs w:val="21"/>
                      <w:highlight w:val="none"/>
                      <w:lang w:val="en-US" w:eastAsia="zh-CN"/>
                      <w14:textFill>
                        <w14:solidFill>
                          <w14:schemeClr w14:val="tx1"/>
                        </w14:solidFill>
                      </w14:textFill>
                    </w:rPr>
                    <w:t>0.0001</w:t>
                  </w:r>
                </w:p>
              </w:tc>
              <w:tc>
                <w:tcPr>
                  <w:tcW w:w="2448" w:type="dxa"/>
                  <w:noWrap w:val="0"/>
                  <w:vAlign w:val="center"/>
                </w:tcPr>
                <w:p w14:paraId="3C31778D">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both"/>
                    <w:textAlignment w:val="baseline"/>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default" w:ascii="宋体" w:hAnsi="宋体" w:eastAsia="宋体" w:cs="宋体"/>
                      <w:color w:val="000000" w:themeColor="text1"/>
                      <w:kern w:val="0"/>
                      <w:sz w:val="21"/>
                      <w:szCs w:val="21"/>
                      <w:highlight w:val="none"/>
                      <w:lang w:val="en-US" w:eastAsia="zh-CN" w:bidi="ar"/>
                      <w14:textFill>
                        <w14:solidFill>
                          <w14:schemeClr w14:val="tx1"/>
                        </w14:solidFill>
                      </w14:textFill>
                    </w:rPr>
                    <w:t>经三联箱装置处理后</w:t>
                  </w:r>
                  <w:r>
                    <w:rPr>
                      <w:rFonts w:hint="eastAsia" w:cs="宋体"/>
                      <w:color w:val="000000" w:themeColor="text1"/>
                      <w:kern w:val="0"/>
                      <w:sz w:val="21"/>
                      <w:szCs w:val="21"/>
                      <w:highlight w:val="none"/>
                      <w:lang w:val="en-US" w:eastAsia="zh-CN" w:bidi="ar"/>
                      <w14:textFill>
                        <w14:solidFill>
                          <w14:schemeClr w14:val="tx1"/>
                        </w14:solidFill>
                      </w14:textFill>
                    </w:rPr>
                    <w:t>回用</w:t>
                  </w:r>
                </w:p>
              </w:tc>
            </w:tr>
            <w:tr w14:paraId="4808F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noWrap w:val="0"/>
                  <w:vAlign w:val="center"/>
                </w:tcPr>
                <w:p w14:paraId="59192E5E">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pacing w:val="2"/>
                      <w:sz w:val="21"/>
                      <w:szCs w:val="21"/>
                      <w:highlight w:val="none"/>
                      <w:lang w:val="en-US" w:eastAsia="zh-CN"/>
                      <w14:textFill>
                        <w14:solidFill>
                          <w14:schemeClr w14:val="tx1"/>
                        </w14:solidFill>
                      </w14:textFill>
                    </w:rPr>
                    <w:t>余热锅炉排水</w:t>
                  </w:r>
                </w:p>
              </w:tc>
              <w:tc>
                <w:tcPr>
                  <w:tcW w:w="1288" w:type="dxa"/>
                  <w:noWrap w:val="0"/>
                  <w:vAlign w:val="center"/>
                </w:tcPr>
                <w:p w14:paraId="25C0B9DB">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t>5432.4</w:t>
                  </w:r>
                </w:p>
              </w:tc>
              <w:tc>
                <w:tcPr>
                  <w:tcW w:w="1188" w:type="dxa"/>
                  <w:noWrap w:val="0"/>
                  <w:vAlign w:val="center"/>
                </w:tcPr>
                <w:p w14:paraId="6D1D6F33">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4"/>
                      <w:sz w:val="21"/>
                      <w:szCs w:val="21"/>
                      <w:highlight w:val="none"/>
                      <w14:textFill>
                        <w14:solidFill>
                          <w14:schemeClr w14:val="tx1"/>
                        </w14:solidFill>
                      </w14:textFill>
                    </w:rPr>
                    <w:t>pH</w:t>
                  </w:r>
                </w:p>
                <w:p w14:paraId="160A30C5">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pacing w:val="1"/>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TDS</w:t>
                  </w:r>
                </w:p>
                <w:p w14:paraId="5CE4A4A1">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pacing w:val="25"/>
                      <w:sz w:val="21"/>
                      <w:szCs w:val="21"/>
                      <w:highlight w:val="none"/>
                      <w14:textFill>
                        <w14:solidFill>
                          <w14:schemeClr w14:val="tx1"/>
                        </w14:solidFill>
                      </w14:textFill>
                    </w:rPr>
                    <w:t>SS</w:t>
                  </w:r>
                </w:p>
              </w:tc>
              <w:tc>
                <w:tcPr>
                  <w:tcW w:w="1081" w:type="dxa"/>
                  <w:noWrap w:val="0"/>
                  <w:vAlign w:val="center"/>
                </w:tcPr>
                <w:p w14:paraId="1EB30561">
                  <w:pPr>
                    <w:pStyle w:val="116"/>
                    <w:keepNext w:val="0"/>
                    <w:keepLines w:val="0"/>
                    <w:pageBreakBefore w:val="0"/>
                    <w:widowControl w:val="0"/>
                    <w:tabs>
                      <w:tab w:val="left" w:pos="355"/>
                    </w:tabs>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5"/>
                      <w:sz w:val="21"/>
                      <w:szCs w:val="21"/>
                      <w:highlight w:val="none"/>
                      <w14:textFill>
                        <w14:solidFill>
                          <w14:schemeClr w14:val="tx1"/>
                        </w14:solidFill>
                      </w14:textFill>
                    </w:rPr>
                    <w:t>5~</w:t>
                  </w:r>
                  <w:r>
                    <w:rPr>
                      <w:rFonts w:hint="eastAsia" w:ascii="Times New Roman" w:hAnsi="Times New Roman" w:cs="Times New Roman"/>
                      <w:color w:val="000000" w:themeColor="text1"/>
                      <w:spacing w:val="-5"/>
                      <w:sz w:val="21"/>
                      <w:szCs w:val="21"/>
                      <w:highlight w:val="none"/>
                      <w:lang w:val="en-US" w:eastAsia="zh-CN"/>
                      <w14:textFill>
                        <w14:solidFill>
                          <w14:schemeClr w14:val="tx1"/>
                        </w14:solidFill>
                      </w14:textFill>
                    </w:rPr>
                    <w:t>8</w:t>
                  </w:r>
                </w:p>
                <w:p w14:paraId="4FD0C389">
                  <w:pPr>
                    <w:pStyle w:val="116"/>
                    <w:keepNext w:val="0"/>
                    <w:keepLines w:val="0"/>
                    <w:pageBreakBefore w:val="0"/>
                    <w:widowControl w:val="0"/>
                    <w:tabs>
                      <w:tab w:val="left" w:pos="355"/>
                    </w:tabs>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4"/>
                      <w:sz w:val="21"/>
                      <w:szCs w:val="21"/>
                      <w:highlight w:val="none"/>
                      <w:lang w:val="en-US" w:eastAsia="zh-CN"/>
                      <w14:textFill>
                        <w14:solidFill>
                          <w14:schemeClr w14:val="tx1"/>
                        </w14:solidFill>
                      </w14:textFill>
                    </w:rPr>
                    <w:t>~</w:t>
                  </w:r>
                  <w:r>
                    <w:rPr>
                      <w:rFonts w:hint="eastAsia" w:ascii="Times New Roman" w:hAnsi="Times New Roman" w:cs="Times New Roman"/>
                      <w:color w:val="000000" w:themeColor="text1"/>
                      <w:spacing w:val="-4"/>
                      <w:sz w:val="21"/>
                      <w:szCs w:val="21"/>
                      <w:highlight w:val="none"/>
                      <w:lang w:val="en-US" w:eastAsia="zh-CN"/>
                      <w14:textFill>
                        <w14:solidFill>
                          <w14:schemeClr w14:val="tx1"/>
                        </w14:solidFill>
                      </w14:textFill>
                    </w:rPr>
                    <w:t>20</w:t>
                  </w:r>
                  <w:r>
                    <w:rPr>
                      <w:rFonts w:hint="default" w:ascii="Times New Roman" w:hAnsi="Times New Roman" w:cs="Times New Roman"/>
                      <w:color w:val="000000" w:themeColor="text1"/>
                      <w:spacing w:val="-4"/>
                      <w:sz w:val="21"/>
                      <w:szCs w:val="21"/>
                      <w:highlight w:val="none"/>
                      <w14:textFill>
                        <w14:solidFill>
                          <w14:schemeClr w14:val="tx1"/>
                        </w14:solidFill>
                      </w14:textFill>
                    </w:rPr>
                    <w:t>00</w:t>
                  </w:r>
                </w:p>
                <w:p w14:paraId="1390A282">
                  <w:pPr>
                    <w:pStyle w:val="116"/>
                    <w:keepNext w:val="0"/>
                    <w:keepLines w:val="0"/>
                    <w:pageBreakBefore w:val="0"/>
                    <w:widowControl w:val="0"/>
                    <w:tabs>
                      <w:tab w:val="left" w:pos="355"/>
                    </w:tabs>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w:t>
                  </w:r>
                  <w:r>
                    <w:rPr>
                      <w:rFonts w:hint="eastAsia" w:ascii="Times New Roman" w:hAnsi="Times New Roman" w:cs="Times New Roman"/>
                      <w:color w:val="000000" w:themeColor="text1"/>
                      <w:spacing w:val="-6"/>
                      <w:sz w:val="21"/>
                      <w:szCs w:val="21"/>
                      <w:highlight w:val="none"/>
                      <w:lang w:val="en-US" w:eastAsia="zh-CN"/>
                      <w14:textFill>
                        <w14:solidFill>
                          <w14:schemeClr w14:val="tx1"/>
                        </w14:solidFill>
                      </w14:textFill>
                    </w:rPr>
                    <w:t>5</w:t>
                  </w:r>
                  <w:r>
                    <w:rPr>
                      <w:rFonts w:hint="default" w:ascii="Times New Roman" w:hAnsi="Times New Roman" w:cs="Times New Roman"/>
                      <w:color w:val="000000" w:themeColor="text1"/>
                      <w:spacing w:val="-6"/>
                      <w:sz w:val="21"/>
                      <w:szCs w:val="21"/>
                      <w:highlight w:val="none"/>
                      <w14:textFill>
                        <w14:solidFill>
                          <w14:schemeClr w14:val="tx1"/>
                        </w14:solidFill>
                      </w14:textFill>
                    </w:rPr>
                    <w:t>00</w:t>
                  </w:r>
                </w:p>
              </w:tc>
              <w:tc>
                <w:tcPr>
                  <w:tcW w:w="1091" w:type="dxa"/>
                  <w:noWrap w:val="0"/>
                  <w:vAlign w:val="center"/>
                </w:tcPr>
                <w:p w14:paraId="690B5462">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cs="Times New Roman"/>
                      <w:color w:val="000000" w:themeColor="text1"/>
                      <w:spacing w:val="-4"/>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4"/>
                      <w:sz w:val="21"/>
                      <w:szCs w:val="21"/>
                      <w:highlight w:val="none"/>
                      <w14:textFill>
                        <w14:solidFill>
                          <w14:schemeClr w14:val="tx1"/>
                        </w14:solidFill>
                      </w14:textFill>
                    </w:rPr>
                    <w:t>5~</w:t>
                  </w:r>
                  <w:r>
                    <w:rPr>
                      <w:rFonts w:hint="eastAsia" w:ascii="Times New Roman" w:hAnsi="Times New Roman" w:cs="Times New Roman"/>
                      <w:color w:val="000000" w:themeColor="text1"/>
                      <w:spacing w:val="-4"/>
                      <w:sz w:val="21"/>
                      <w:szCs w:val="21"/>
                      <w:highlight w:val="none"/>
                      <w:lang w:val="en-US" w:eastAsia="zh-CN"/>
                      <w14:textFill>
                        <w14:solidFill>
                          <w14:schemeClr w14:val="tx1"/>
                        </w14:solidFill>
                      </w14:textFill>
                    </w:rPr>
                    <w:t>8</w:t>
                  </w:r>
                </w:p>
                <w:p w14:paraId="0A8EF9A5">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eastAsia" w:ascii="Times New Roman" w:hAnsi="Times New Roman" w:cs="Times New Roman"/>
                      <w:color w:val="000000" w:themeColor="text1"/>
                      <w:spacing w:val="-2"/>
                      <w:sz w:val="21"/>
                      <w:szCs w:val="21"/>
                      <w:highlight w:val="none"/>
                      <w:lang w:val="en-US" w:eastAsia="zh-CN"/>
                      <w14:textFill>
                        <w14:solidFill>
                          <w14:schemeClr w14:val="tx1"/>
                        </w14:solidFill>
                      </w14:textFill>
                    </w:rPr>
                    <w:t>4</w:t>
                  </w:r>
                  <w:r>
                    <w:rPr>
                      <w:rFonts w:hint="default" w:ascii="Times New Roman" w:hAnsi="Times New Roman" w:cs="Times New Roman"/>
                      <w:color w:val="000000" w:themeColor="text1"/>
                      <w:spacing w:val="-2"/>
                      <w:sz w:val="21"/>
                      <w:szCs w:val="21"/>
                      <w:highlight w:val="none"/>
                      <w14:textFill>
                        <w14:solidFill>
                          <w14:schemeClr w14:val="tx1"/>
                        </w14:solidFill>
                      </w14:textFill>
                    </w:rPr>
                    <w:t>.0</w:t>
                  </w:r>
                  <w:r>
                    <w:rPr>
                      <w:rFonts w:hint="eastAsia" w:ascii="Times New Roman" w:hAnsi="Times New Roman" w:cs="Times New Roman"/>
                      <w:color w:val="000000" w:themeColor="text1"/>
                      <w:spacing w:val="-2"/>
                      <w:sz w:val="21"/>
                      <w:szCs w:val="21"/>
                      <w:highlight w:val="none"/>
                      <w:lang w:val="en-US" w:eastAsia="zh-CN"/>
                      <w14:textFill>
                        <w14:solidFill>
                          <w14:schemeClr w14:val="tx1"/>
                        </w14:solidFill>
                      </w14:textFill>
                    </w:rPr>
                    <w:t>2</w:t>
                  </w:r>
                </w:p>
                <w:p w14:paraId="1442388E">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kern w:val="2"/>
                      <w:sz w:val="21"/>
                      <w:szCs w:val="21"/>
                      <w:highlight w:val="none"/>
                      <w:vertAlign w:val="baseline"/>
                      <w:lang w:val="en-US" w:eastAsia="zh-CN" w:bidi="ar-SA"/>
                      <w14:textFill>
                        <w14:solidFill>
                          <w14:schemeClr w14:val="tx1"/>
                        </w14:solidFill>
                      </w14:textFill>
                    </w:rPr>
                  </w:pPr>
                  <w:r>
                    <w:rPr>
                      <w:rFonts w:hint="eastAsia" w:ascii="Times New Roman" w:hAnsi="Times New Roman" w:cs="Times New Roman"/>
                      <w:color w:val="000000" w:themeColor="text1"/>
                      <w:spacing w:val="-2"/>
                      <w:position w:val="-3"/>
                      <w:sz w:val="21"/>
                      <w:szCs w:val="21"/>
                      <w:highlight w:val="none"/>
                      <w:lang w:val="en-US" w:eastAsia="zh-CN"/>
                      <w14:textFill>
                        <w14:solidFill>
                          <w14:schemeClr w14:val="tx1"/>
                        </w14:solidFill>
                      </w14:textFill>
                    </w:rPr>
                    <w:t>0.1</w:t>
                  </w:r>
                  <w:r>
                    <w:rPr>
                      <w:rFonts w:hint="default" w:ascii="Times New Roman" w:hAnsi="Times New Roman" w:cs="Times New Roman"/>
                      <w:color w:val="000000" w:themeColor="text1"/>
                      <w:spacing w:val="-2"/>
                      <w:position w:val="-3"/>
                      <w:sz w:val="21"/>
                      <w:szCs w:val="21"/>
                      <w:highlight w:val="none"/>
                      <w14:textFill>
                        <w14:solidFill>
                          <w14:schemeClr w14:val="tx1"/>
                        </w14:solidFill>
                      </w14:textFill>
                    </w:rPr>
                    <w:t>16</w:t>
                  </w:r>
                </w:p>
              </w:tc>
              <w:tc>
                <w:tcPr>
                  <w:tcW w:w="2448" w:type="dxa"/>
                  <w:noWrap w:val="0"/>
                  <w:vAlign w:val="center"/>
                </w:tcPr>
                <w:p w14:paraId="2BE37276">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both"/>
                    <w:textAlignment w:val="baseline"/>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通过罐车拉运至污水处理厂</w:t>
                  </w:r>
                </w:p>
              </w:tc>
            </w:tr>
            <w:tr w14:paraId="70377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noWrap w:val="0"/>
                  <w:vAlign w:val="center"/>
                </w:tcPr>
                <w:p w14:paraId="40941CCA">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000000" w:themeColor="text1"/>
                      <w:kern w:val="2"/>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kern w:val="2"/>
                      <w:sz w:val="21"/>
                      <w:szCs w:val="21"/>
                      <w:highlight w:val="none"/>
                      <w:vertAlign w:val="baseline"/>
                      <w:lang w:val="en-US" w:eastAsia="zh-CN"/>
                      <w14:textFill>
                        <w14:solidFill>
                          <w14:schemeClr w14:val="tx1"/>
                        </w14:solidFill>
                      </w14:textFill>
                    </w:rPr>
                    <w:t>软水</w:t>
                  </w:r>
                </w:p>
                <w:p w14:paraId="64CD6BD4">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kern w:val="2"/>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kern w:val="2"/>
                      <w:sz w:val="21"/>
                      <w:szCs w:val="21"/>
                      <w:highlight w:val="none"/>
                      <w:vertAlign w:val="baseline"/>
                      <w:lang w:val="en-US" w:eastAsia="zh-CN"/>
                      <w14:textFill>
                        <w14:solidFill>
                          <w14:schemeClr w14:val="tx1"/>
                        </w14:solidFill>
                      </w14:textFill>
                    </w:rPr>
                    <w:t>制备废水</w:t>
                  </w:r>
                </w:p>
              </w:tc>
              <w:tc>
                <w:tcPr>
                  <w:tcW w:w="1288" w:type="dxa"/>
                  <w:noWrap w:val="0"/>
                  <w:vAlign w:val="center"/>
                </w:tcPr>
                <w:p w14:paraId="5E356E57">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kern w:val="2"/>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t>5432.4</w:t>
                  </w:r>
                </w:p>
              </w:tc>
              <w:tc>
                <w:tcPr>
                  <w:tcW w:w="1188" w:type="dxa"/>
                  <w:noWrap w:val="0"/>
                  <w:vAlign w:val="center"/>
                </w:tcPr>
                <w:p w14:paraId="1911DFAA">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5"/>
                      <w:sz w:val="21"/>
                      <w:szCs w:val="21"/>
                      <w:highlight w:val="none"/>
                      <w14:textFill>
                        <w14:solidFill>
                          <w14:schemeClr w14:val="tx1"/>
                        </w14:solidFill>
                      </w14:textFill>
                    </w:rPr>
                    <w:t>SS</w:t>
                  </w:r>
                </w:p>
                <w:p w14:paraId="1376558A">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kern w:val="2"/>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TDS</w:t>
                  </w:r>
                </w:p>
              </w:tc>
              <w:tc>
                <w:tcPr>
                  <w:tcW w:w="1081" w:type="dxa"/>
                  <w:noWrap w:val="0"/>
                  <w:vAlign w:val="center"/>
                </w:tcPr>
                <w:p w14:paraId="040C2F63">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000000" w:themeColor="text1"/>
                      <w:spacing w:val="-13"/>
                      <w:sz w:val="21"/>
                      <w:szCs w:val="21"/>
                      <w:highlight w:val="none"/>
                      <w14:textFill>
                        <w14:solidFill>
                          <w14:schemeClr w14:val="tx1"/>
                        </w14:solidFill>
                      </w14:textFill>
                    </w:rPr>
                  </w:pPr>
                  <w:r>
                    <w:rPr>
                      <w:rFonts w:hint="default" w:ascii="Times New Roman" w:hAnsi="Times New Roman" w:cs="Times New Roman"/>
                      <w:color w:val="000000" w:themeColor="text1"/>
                      <w:spacing w:val="-13"/>
                      <w:sz w:val="21"/>
                      <w:szCs w:val="21"/>
                      <w:highlight w:val="none"/>
                      <w:lang w:val="en-US" w:eastAsia="zh-CN"/>
                      <w14:textFill>
                        <w14:solidFill>
                          <w14:schemeClr w14:val="tx1"/>
                        </w14:solidFill>
                      </w14:textFill>
                    </w:rPr>
                    <w:t>~</w:t>
                  </w:r>
                  <w:r>
                    <w:rPr>
                      <w:rFonts w:hint="default" w:ascii="Times New Roman" w:hAnsi="Times New Roman" w:cs="Times New Roman"/>
                      <w:color w:val="000000" w:themeColor="text1"/>
                      <w:spacing w:val="-13"/>
                      <w:sz w:val="21"/>
                      <w:szCs w:val="21"/>
                      <w:highlight w:val="none"/>
                      <w14:textFill>
                        <w14:solidFill>
                          <w14:schemeClr w14:val="tx1"/>
                        </w14:solidFill>
                      </w14:textFill>
                    </w:rPr>
                    <w:t>200</w:t>
                  </w:r>
                </w:p>
                <w:p w14:paraId="6A9DAB4A">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kern w:val="2"/>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13"/>
                      <w:sz w:val="21"/>
                      <w:szCs w:val="21"/>
                      <w:highlight w:val="none"/>
                      <w:lang w:val="en-US" w:eastAsia="zh-CN"/>
                      <w14:textFill>
                        <w14:solidFill>
                          <w14:schemeClr w14:val="tx1"/>
                        </w14:solidFill>
                      </w14:textFill>
                    </w:rPr>
                    <w:t>~</w:t>
                  </w:r>
                  <w:r>
                    <w:rPr>
                      <w:rFonts w:hint="default" w:ascii="Times New Roman" w:hAnsi="Times New Roman" w:cs="Times New Roman"/>
                      <w:color w:val="000000" w:themeColor="text1"/>
                      <w:spacing w:val="-3"/>
                      <w:sz w:val="21"/>
                      <w:szCs w:val="21"/>
                      <w:highlight w:val="none"/>
                      <w14:textFill>
                        <w14:solidFill>
                          <w14:schemeClr w14:val="tx1"/>
                        </w14:solidFill>
                      </w14:textFill>
                    </w:rPr>
                    <w:t>2000</w:t>
                  </w:r>
                </w:p>
              </w:tc>
              <w:tc>
                <w:tcPr>
                  <w:tcW w:w="1091" w:type="dxa"/>
                  <w:noWrap w:val="0"/>
                  <w:vAlign w:val="center"/>
                </w:tcPr>
                <w:p w14:paraId="3A02735A">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0.66</w:t>
                  </w:r>
                </w:p>
                <w:p w14:paraId="06DD248B">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kern w:val="2"/>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3"/>
                      <w:position w:val="-2"/>
                      <w:sz w:val="21"/>
                      <w:szCs w:val="21"/>
                      <w:highlight w:val="none"/>
                      <w14:textFill>
                        <w14:solidFill>
                          <w14:schemeClr w14:val="tx1"/>
                        </w14:solidFill>
                      </w14:textFill>
                    </w:rPr>
                    <w:t>6.55</w:t>
                  </w:r>
                </w:p>
              </w:tc>
              <w:tc>
                <w:tcPr>
                  <w:tcW w:w="2448" w:type="dxa"/>
                  <w:noWrap w:val="0"/>
                  <w:vAlign w:val="center"/>
                </w:tcPr>
                <w:p w14:paraId="3C5B58BE">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both"/>
                    <w:textAlignment w:val="baseline"/>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通过罐车拉运至污水处理厂</w:t>
                  </w:r>
                </w:p>
              </w:tc>
            </w:tr>
            <w:tr w14:paraId="22D70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noWrap w:val="0"/>
                  <w:vAlign w:val="center"/>
                </w:tcPr>
                <w:p w14:paraId="7CE051E1">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000000" w:themeColor="text1"/>
                      <w:kern w:val="2"/>
                      <w:sz w:val="21"/>
                      <w:szCs w:val="2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kern w:val="2"/>
                      <w:sz w:val="21"/>
                      <w:szCs w:val="21"/>
                      <w:highlight w:val="none"/>
                      <w:vertAlign w:val="baseline"/>
                      <w:lang w:val="en-US" w:eastAsia="zh-CN"/>
                      <w14:textFill>
                        <w14:solidFill>
                          <w14:schemeClr w14:val="tx1"/>
                        </w14:solidFill>
                      </w14:textFill>
                    </w:rPr>
                    <w:t>循环冷却水排水</w:t>
                  </w:r>
                </w:p>
              </w:tc>
              <w:tc>
                <w:tcPr>
                  <w:tcW w:w="1288" w:type="dxa"/>
                  <w:noWrap w:val="0"/>
                  <w:vAlign w:val="center"/>
                </w:tcPr>
                <w:p w14:paraId="06C89402">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pacing w:val="-4"/>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pacing w:val="-4"/>
                      <w:sz w:val="21"/>
                      <w:szCs w:val="21"/>
                      <w:highlight w:val="none"/>
                      <w:lang w:val="en-US" w:eastAsia="zh-CN"/>
                      <w14:textFill>
                        <w14:solidFill>
                          <w14:schemeClr w14:val="tx1"/>
                        </w14:solidFill>
                      </w14:textFill>
                    </w:rPr>
                    <w:t>5904</w:t>
                  </w:r>
                </w:p>
              </w:tc>
              <w:tc>
                <w:tcPr>
                  <w:tcW w:w="1188" w:type="dxa"/>
                  <w:noWrap w:val="0"/>
                  <w:vAlign w:val="center"/>
                </w:tcPr>
                <w:p w14:paraId="0E0E1C3E">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5"/>
                      <w:sz w:val="21"/>
                      <w:szCs w:val="21"/>
                      <w:highlight w:val="none"/>
                      <w14:textFill>
                        <w14:solidFill>
                          <w14:schemeClr w14:val="tx1"/>
                        </w14:solidFill>
                      </w14:textFill>
                    </w:rPr>
                    <w:t>SS</w:t>
                  </w:r>
                </w:p>
                <w:p w14:paraId="05199DA0">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eastAsia" w:ascii="Times New Roman" w:hAnsi="Times New Roman" w:cs="Times New Roman"/>
                      <w:color w:val="000000" w:themeColor="text1"/>
                      <w:spacing w:val="-3"/>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pacing w:val="-3"/>
                      <w:sz w:val="21"/>
                      <w:szCs w:val="21"/>
                      <w:highlight w:val="none"/>
                      <w:lang w:val="en-US" w:eastAsia="zh-CN"/>
                      <w14:textFill>
                        <w14:solidFill>
                          <w14:schemeClr w14:val="tx1"/>
                        </w14:solidFill>
                      </w14:textFill>
                    </w:rPr>
                    <w:t>COD</w:t>
                  </w:r>
                </w:p>
                <w:p w14:paraId="6A42CF2B">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000000" w:themeColor="text1"/>
                      <w:spacing w:val="-3"/>
                      <w:sz w:val="21"/>
                      <w:szCs w:val="21"/>
                      <w:highlight w:val="none"/>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TDS</w:t>
                  </w:r>
                </w:p>
              </w:tc>
              <w:tc>
                <w:tcPr>
                  <w:tcW w:w="1081" w:type="dxa"/>
                  <w:noWrap w:val="0"/>
                  <w:vAlign w:val="center"/>
                </w:tcPr>
                <w:p w14:paraId="077E4676">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000000" w:themeColor="text1"/>
                      <w:spacing w:val="-13"/>
                      <w:sz w:val="21"/>
                      <w:szCs w:val="21"/>
                      <w:highlight w:val="none"/>
                      <w14:textFill>
                        <w14:solidFill>
                          <w14:schemeClr w14:val="tx1"/>
                        </w14:solidFill>
                      </w14:textFill>
                    </w:rPr>
                  </w:pPr>
                  <w:r>
                    <w:rPr>
                      <w:rFonts w:hint="default" w:ascii="Times New Roman" w:hAnsi="Times New Roman" w:cs="Times New Roman"/>
                      <w:color w:val="000000" w:themeColor="text1"/>
                      <w:spacing w:val="-13"/>
                      <w:sz w:val="21"/>
                      <w:szCs w:val="21"/>
                      <w:highlight w:val="none"/>
                      <w:lang w:val="en-US" w:eastAsia="zh-CN"/>
                      <w14:textFill>
                        <w14:solidFill>
                          <w14:schemeClr w14:val="tx1"/>
                        </w14:solidFill>
                      </w14:textFill>
                    </w:rPr>
                    <w:t>~</w:t>
                  </w:r>
                  <w:r>
                    <w:rPr>
                      <w:rFonts w:hint="default" w:ascii="Times New Roman" w:hAnsi="Times New Roman" w:cs="Times New Roman"/>
                      <w:color w:val="000000" w:themeColor="text1"/>
                      <w:spacing w:val="-13"/>
                      <w:sz w:val="21"/>
                      <w:szCs w:val="21"/>
                      <w:highlight w:val="none"/>
                      <w14:textFill>
                        <w14:solidFill>
                          <w14:schemeClr w14:val="tx1"/>
                        </w14:solidFill>
                      </w14:textFill>
                    </w:rPr>
                    <w:t>200</w:t>
                  </w:r>
                </w:p>
                <w:p w14:paraId="25007665">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000000" w:themeColor="text1"/>
                      <w:spacing w:val="-13"/>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pacing w:val="-13"/>
                      <w:sz w:val="21"/>
                      <w:szCs w:val="21"/>
                      <w:highlight w:val="none"/>
                      <w:lang w:val="en-US" w:eastAsia="zh-CN"/>
                      <w14:textFill>
                        <w14:solidFill>
                          <w14:schemeClr w14:val="tx1"/>
                        </w14:solidFill>
                      </w14:textFill>
                    </w:rPr>
                    <w:t>~20</w:t>
                  </w:r>
                </w:p>
                <w:p w14:paraId="15FFCDC0">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000000" w:themeColor="text1"/>
                      <w:spacing w:val="-13"/>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13"/>
                      <w:sz w:val="21"/>
                      <w:szCs w:val="21"/>
                      <w:highlight w:val="none"/>
                      <w:lang w:val="en-US" w:eastAsia="zh-CN"/>
                      <w14:textFill>
                        <w14:solidFill>
                          <w14:schemeClr w14:val="tx1"/>
                        </w14:solidFill>
                      </w14:textFill>
                    </w:rPr>
                    <w:t>~</w:t>
                  </w:r>
                  <w:r>
                    <w:rPr>
                      <w:rFonts w:hint="default" w:ascii="Times New Roman" w:hAnsi="Times New Roman" w:cs="Times New Roman"/>
                      <w:color w:val="000000" w:themeColor="text1"/>
                      <w:spacing w:val="-3"/>
                      <w:sz w:val="21"/>
                      <w:szCs w:val="21"/>
                      <w:highlight w:val="none"/>
                      <w14:textFill>
                        <w14:solidFill>
                          <w14:schemeClr w14:val="tx1"/>
                        </w14:solidFill>
                      </w14:textFill>
                    </w:rPr>
                    <w:t>2000</w:t>
                  </w:r>
                </w:p>
              </w:tc>
              <w:tc>
                <w:tcPr>
                  <w:tcW w:w="1091" w:type="dxa"/>
                  <w:noWrap w:val="0"/>
                  <w:vAlign w:val="center"/>
                </w:tcPr>
                <w:p w14:paraId="0E84E71D">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0.66</w:t>
                  </w:r>
                </w:p>
                <w:p w14:paraId="66B4F148">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pacing w:val="-3"/>
                      <w:position w:val="-2"/>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pacing w:val="-3"/>
                      <w:position w:val="-2"/>
                      <w:sz w:val="21"/>
                      <w:szCs w:val="21"/>
                      <w:highlight w:val="none"/>
                      <w:lang w:val="en-US" w:eastAsia="zh-CN"/>
                      <w14:textFill>
                        <w14:solidFill>
                          <w14:schemeClr w14:val="tx1"/>
                        </w14:solidFill>
                      </w14:textFill>
                    </w:rPr>
                    <w:t>0.07</w:t>
                  </w:r>
                </w:p>
                <w:p w14:paraId="4D86EF71">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000000" w:themeColor="text1"/>
                      <w:spacing w:val="-3"/>
                      <w:position w:val="-2"/>
                      <w:sz w:val="21"/>
                      <w:szCs w:val="21"/>
                      <w:highlight w:val="none"/>
                      <w14:textFill>
                        <w14:solidFill>
                          <w14:schemeClr w14:val="tx1"/>
                        </w14:solidFill>
                      </w14:textFill>
                    </w:rPr>
                  </w:pPr>
                  <w:r>
                    <w:rPr>
                      <w:rFonts w:hint="default" w:ascii="Times New Roman" w:hAnsi="Times New Roman" w:cs="Times New Roman"/>
                      <w:color w:val="000000" w:themeColor="text1"/>
                      <w:spacing w:val="-3"/>
                      <w:position w:val="-2"/>
                      <w:sz w:val="21"/>
                      <w:szCs w:val="21"/>
                      <w:highlight w:val="none"/>
                      <w14:textFill>
                        <w14:solidFill>
                          <w14:schemeClr w14:val="tx1"/>
                        </w14:solidFill>
                      </w14:textFill>
                    </w:rPr>
                    <w:t>6.55</w:t>
                  </w:r>
                </w:p>
              </w:tc>
              <w:tc>
                <w:tcPr>
                  <w:tcW w:w="2448" w:type="dxa"/>
                  <w:noWrap w:val="0"/>
                  <w:vAlign w:val="center"/>
                </w:tcPr>
                <w:p w14:paraId="4A2B6BDF">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both"/>
                    <w:textAlignment w:val="baseline"/>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sz w:val="21"/>
                      <w:szCs w:val="21"/>
                      <w:highlight w:val="none"/>
                      <w:lang w:val="en-US" w:eastAsia="zh-CN"/>
                      <w14:textFill>
                        <w14:solidFill>
                          <w14:schemeClr w14:val="tx1"/>
                        </w14:solidFill>
                      </w14:textFill>
                    </w:rPr>
                    <w:t>通过罐车拉运至污水处理厂</w:t>
                  </w:r>
                </w:p>
              </w:tc>
            </w:tr>
            <w:tr w14:paraId="6D5F0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0" w:type="dxa"/>
                  <w:noWrap w:val="0"/>
                  <w:vAlign w:val="center"/>
                </w:tcPr>
                <w:p w14:paraId="150A0C02">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kern w:val="2"/>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2"/>
                      <w:sz w:val="21"/>
                      <w:szCs w:val="21"/>
                      <w:highlight w:val="none"/>
                      <w14:textFill>
                        <w14:solidFill>
                          <w14:schemeClr w14:val="tx1"/>
                        </w14:solidFill>
                      </w14:textFill>
                    </w:rPr>
                    <w:t>生活污水</w:t>
                  </w:r>
                </w:p>
              </w:tc>
              <w:tc>
                <w:tcPr>
                  <w:tcW w:w="1288" w:type="dxa"/>
                  <w:noWrap w:val="0"/>
                  <w:vAlign w:val="center"/>
                </w:tcPr>
                <w:p w14:paraId="46CA8D40">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kern w:val="2"/>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kern w:val="2"/>
                      <w:sz w:val="21"/>
                      <w:szCs w:val="21"/>
                      <w:highlight w:val="none"/>
                      <w:vertAlign w:val="baseline"/>
                      <w:lang w:val="en-US" w:eastAsia="zh-CN"/>
                      <w14:textFill>
                        <w14:solidFill>
                          <w14:schemeClr w14:val="tx1"/>
                        </w14:solidFill>
                      </w14:textFill>
                    </w:rPr>
                    <w:t>504</w:t>
                  </w:r>
                </w:p>
              </w:tc>
              <w:tc>
                <w:tcPr>
                  <w:tcW w:w="1188" w:type="dxa"/>
                  <w:noWrap w:val="0"/>
                  <w:vAlign w:val="center"/>
                </w:tcPr>
                <w:p w14:paraId="49D92032">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4"/>
                      <w:sz w:val="21"/>
                      <w:szCs w:val="21"/>
                      <w:highlight w:val="none"/>
                      <w14:textFill>
                        <w14:solidFill>
                          <w14:schemeClr w14:val="tx1"/>
                        </w14:solidFill>
                      </w14:textFill>
                    </w:rPr>
                    <w:t>pH</w:t>
                  </w:r>
                </w:p>
                <w:p w14:paraId="51A87F43">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eastAsia" w:ascii="Times New Roman" w:hAnsi="Times New Roman" w:eastAsia="宋体" w:cs="Times New Roman"/>
                      <w:color w:val="000000" w:themeColor="text1"/>
                      <w:spacing w:val="1"/>
                      <w:sz w:val="21"/>
                      <w:szCs w:val="21"/>
                      <w:highlight w:val="none"/>
                      <w:lang w:eastAsia="zh-CN"/>
                      <w14:textFill>
                        <w14:solidFill>
                          <w14:schemeClr w14:val="tx1"/>
                        </w14:solidFill>
                      </w14:textFill>
                    </w:rPr>
                  </w:pPr>
                  <w:r>
                    <w:rPr>
                      <w:rFonts w:hint="eastAsia" w:ascii="Times New Roman" w:hAnsi="Times New Roman" w:cs="Times New Roman"/>
                      <w:color w:val="000000" w:themeColor="text1"/>
                      <w:spacing w:val="-2"/>
                      <w:sz w:val="21"/>
                      <w:szCs w:val="21"/>
                      <w:highlight w:val="none"/>
                      <w:lang w:eastAsia="zh-CN"/>
                      <w14:textFill>
                        <w14:solidFill>
                          <w14:schemeClr w14:val="tx1"/>
                        </w14:solidFill>
                      </w14:textFill>
                    </w:rPr>
                    <w:t>COD</w:t>
                  </w:r>
                </w:p>
                <w:p w14:paraId="721D36B6">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Calibri"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1"/>
                      <w:sz w:val="21"/>
                      <w:szCs w:val="21"/>
                      <w:highlight w:val="none"/>
                      <w14:textFill>
                        <w14:solidFill>
                          <w14:schemeClr w14:val="tx1"/>
                        </w14:solidFill>
                      </w14:textFill>
                    </w:rPr>
                    <w:t>BOD</w:t>
                  </w:r>
                  <w:r>
                    <w:rPr>
                      <w:rFonts w:hint="default" w:ascii="Times New Roman" w:hAnsi="Times New Roman" w:eastAsia="Calibri" w:cs="Times New Roman"/>
                      <w:color w:val="000000" w:themeColor="text1"/>
                      <w:spacing w:val="-1"/>
                      <w:sz w:val="21"/>
                      <w:szCs w:val="21"/>
                      <w:highlight w:val="none"/>
                      <w14:textFill>
                        <w14:solidFill>
                          <w14:schemeClr w14:val="tx1"/>
                        </w14:solidFill>
                      </w14:textFill>
                    </w:rPr>
                    <w:t>₅</w:t>
                  </w:r>
                </w:p>
                <w:p w14:paraId="663942F7">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3"/>
                      <w:position w:val="-3"/>
                      <w:sz w:val="21"/>
                      <w:szCs w:val="21"/>
                      <w:highlight w:val="none"/>
                      <w14:textFill>
                        <w14:solidFill>
                          <w14:schemeClr w14:val="tx1"/>
                        </w14:solidFill>
                      </w14:textFill>
                    </w:rPr>
                    <w:t>SS</w:t>
                  </w:r>
                </w:p>
                <w:p w14:paraId="5D7B8545">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kern w:val="2"/>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氨氮</w:t>
                  </w:r>
                </w:p>
              </w:tc>
              <w:tc>
                <w:tcPr>
                  <w:tcW w:w="1081" w:type="dxa"/>
                  <w:noWrap w:val="0"/>
                  <w:vAlign w:val="center"/>
                </w:tcPr>
                <w:p w14:paraId="363F5CEA">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6</w:t>
                  </w:r>
                  <w:r>
                    <w:rPr>
                      <w:rFonts w:hint="default" w:ascii="Times New Roman" w:hAnsi="Times New Roman" w:cs="Times New Roman"/>
                      <w:color w:val="000000" w:themeColor="text1"/>
                      <w:spacing w:val="-3"/>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pacing w:val="-3"/>
                      <w:sz w:val="21"/>
                      <w:szCs w:val="21"/>
                      <w:highlight w:val="none"/>
                      <w14:textFill>
                        <w14:solidFill>
                          <w14:schemeClr w14:val="tx1"/>
                        </w14:solidFill>
                      </w14:textFill>
                    </w:rPr>
                    <w:t>9</w:t>
                  </w:r>
                </w:p>
                <w:p w14:paraId="67621206">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000000" w:themeColor="text1"/>
                      <w:kern w:val="2"/>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kern w:val="2"/>
                      <w:sz w:val="21"/>
                      <w:szCs w:val="21"/>
                      <w:highlight w:val="none"/>
                      <w:vertAlign w:val="baseline"/>
                      <w:lang w:val="en-US" w:eastAsia="zh-CN"/>
                      <w14:textFill>
                        <w14:solidFill>
                          <w14:schemeClr w14:val="tx1"/>
                        </w14:solidFill>
                      </w14:textFill>
                    </w:rPr>
                    <w:t>~400</w:t>
                  </w:r>
                </w:p>
                <w:p w14:paraId="08F95B59">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000000" w:themeColor="text1"/>
                      <w:kern w:val="2"/>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kern w:val="2"/>
                      <w:sz w:val="21"/>
                      <w:szCs w:val="21"/>
                      <w:highlight w:val="none"/>
                      <w:vertAlign w:val="baseline"/>
                      <w:lang w:val="en-US" w:eastAsia="zh-CN"/>
                      <w14:textFill>
                        <w14:solidFill>
                          <w14:schemeClr w14:val="tx1"/>
                        </w14:solidFill>
                      </w14:textFill>
                    </w:rPr>
                    <w:t>~300</w:t>
                  </w:r>
                </w:p>
                <w:p w14:paraId="09A3FB30">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000000" w:themeColor="text1"/>
                      <w:kern w:val="2"/>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kern w:val="2"/>
                      <w:sz w:val="21"/>
                      <w:szCs w:val="21"/>
                      <w:highlight w:val="none"/>
                      <w:vertAlign w:val="baseline"/>
                      <w:lang w:val="en-US" w:eastAsia="zh-CN"/>
                      <w14:textFill>
                        <w14:solidFill>
                          <w14:schemeClr w14:val="tx1"/>
                        </w14:solidFill>
                      </w14:textFill>
                    </w:rPr>
                    <w:t>250</w:t>
                  </w:r>
                </w:p>
                <w:p w14:paraId="403A4D8E">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cs="Times New Roman"/>
                      <w:color w:val="000000" w:themeColor="text1"/>
                      <w:kern w:val="2"/>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kern w:val="2"/>
                      <w:sz w:val="21"/>
                      <w:szCs w:val="21"/>
                      <w:highlight w:val="none"/>
                      <w:vertAlign w:val="baseline"/>
                      <w:lang w:val="en-US" w:eastAsia="zh-CN"/>
                      <w14:textFill>
                        <w14:solidFill>
                          <w14:schemeClr w14:val="tx1"/>
                        </w14:solidFill>
                      </w14:textFill>
                    </w:rPr>
                    <w:t>~35</w:t>
                  </w:r>
                </w:p>
              </w:tc>
              <w:tc>
                <w:tcPr>
                  <w:tcW w:w="1091" w:type="dxa"/>
                  <w:noWrap w:val="0"/>
                  <w:vAlign w:val="center"/>
                </w:tcPr>
                <w:p w14:paraId="34ECC6B4">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6</w:t>
                  </w:r>
                  <w:r>
                    <w:rPr>
                      <w:rFonts w:hint="default" w:ascii="Times New Roman" w:hAnsi="Times New Roman" w:cs="Times New Roman"/>
                      <w:color w:val="000000" w:themeColor="text1"/>
                      <w:spacing w:val="-3"/>
                      <w:sz w:val="21"/>
                      <w:szCs w:val="21"/>
                      <w:highlight w:val="none"/>
                      <w:lang w:eastAsia="zh-CN"/>
                      <w14:textFill>
                        <w14:solidFill>
                          <w14:schemeClr w14:val="tx1"/>
                        </w14:solidFill>
                      </w14:textFill>
                    </w:rPr>
                    <w:t>~</w:t>
                  </w:r>
                  <w:r>
                    <w:rPr>
                      <w:rFonts w:hint="default" w:ascii="Times New Roman" w:hAnsi="Times New Roman" w:cs="Times New Roman"/>
                      <w:color w:val="000000" w:themeColor="text1"/>
                      <w:spacing w:val="-3"/>
                      <w:sz w:val="21"/>
                      <w:szCs w:val="21"/>
                      <w:highlight w:val="none"/>
                      <w14:textFill>
                        <w14:solidFill>
                          <w14:schemeClr w14:val="tx1"/>
                        </w14:solidFill>
                      </w14:textFill>
                    </w:rPr>
                    <w:t>9</w:t>
                  </w:r>
                </w:p>
                <w:p w14:paraId="2BDB2DEC">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pacing w:val="3"/>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0.432</w:t>
                  </w:r>
                </w:p>
                <w:p w14:paraId="7E7CA1B2">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pacing w:val="3"/>
                      <w:sz w:val="21"/>
                      <w:szCs w:val="21"/>
                      <w:highlight w:val="none"/>
                      <w:lang w:eastAsia="zh-CN"/>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0.324</w:t>
                  </w:r>
                </w:p>
                <w:p w14:paraId="665BE209">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3"/>
                      <w:sz w:val="21"/>
                      <w:szCs w:val="21"/>
                      <w:highlight w:val="none"/>
                      <w14:textFill>
                        <w14:solidFill>
                          <w14:schemeClr w14:val="tx1"/>
                        </w14:solidFill>
                      </w14:textFill>
                    </w:rPr>
                    <w:t>0.270</w:t>
                  </w:r>
                </w:p>
                <w:p w14:paraId="13BE6B75">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kern w:val="2"/>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2"/>
                      <w:position w:val="-2"/>
                      <w:sz w:val="21"/>
                      <w:szCs w:val="21"/>
                      <w:highlight w:val="none"/>
                      <w14:textFill>
                        <w14:solidFill>
                          <w14:schemeClr w14:val="tx1"/>
                        </w14:solidFill>
                      </w14:textFill>
                    </w:rPr>
                    <w:t>0.038</w:t>
                  </w:r>
                </w:p>
              </w:tc>
              <w:tc>
                <w:tcPr>
                  <w:tcW w:w="2448" w:type="dxa"/>
                  <w:noWrap w:val="0"/>
                  <w:vAlign w:val="center"/>
                </w:tcPr>
                <w:p w14:paraId="6A4AC732">
                  <w:pPr>
                    <w:pStyle w:val="116"/>
                    <w:keepNext w:val="0"/>
                    <w:keepLines w:val="0"/>
                    <w:pageBreakBefore w:val="0"/>
                    <w:widowControl w:val="0"/>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color w:val="000000" w:themeColor="text1"/>
                      <w:kern w:val="2"/>
                      <w:sz w:val="21"/>
                      <w:szCs w:val="2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spacing w:val="-2"/>
                      <w:sz w:val="21"/>
                      <w:szCs w:val="21"/>
                      <w:highlight w:val="none"/>
                      <w14:textFill>
                        <w14:solidFill>
                          <w14:schemeClr w14:val="tx1"/>
                        </w14:solidFill>
                      </w14:textFill>
                    </w:rPr>
                    <w:t>厂区内</w:t>
                  </w:r>
                  <w:r>
                    <w:rPr>
                      <w:rFonts w:hint="eastAsia" w:ascii="Times New Roman" w:hAnsi="Times New Roman" w:cs="Times New Roman"/>
                      <w:color w:val="000000" w:themeColor="text1"/>
                      <w:spacing w:val="-2"/>
                      <w:sz w:val="21"/>
                      <w:szCs w:val="21"/>
                      <w:highlight w:val="none"/>
                      <w:lang w:val="en-US" w:eastAsia="zh-CN"/>
                      <w14:textFill>
                        <w14:solidFill>
                          <w14:schemeClr w14:val="tx1"/>
                        </w14:solidFill>
                      </w14:textFill>
                    </w:rPr>
                    <w:t>防渗</w:t>
                  </w:r>
                  <w:r>
                    <w:rPr>
                      <w:rFonts w:hint="default" w:ascii="Times New Roman" w:hAnsi="Times New Roman" w:cs="Times New Roman"/>
                      <w:color w:val="000000" w:themeColor="text1"/>
                      <w:spacing w:val="-2"/>
                      <w:sz w:val="21"/>
                      <w:szCs w:val="21"/>
                      <w:highlight w:val="none"/>
                      <w14:textFill>
                        <w14:solidFill>
                          <w14:schemeClr w14:val="tx1"/>
                        </w14:solidFill>
                      </w14:textFill>
                    </w:rPr>
                    <w:t>化粪池处理后</w:t>
                  </w:r>
                  <w:r>
                    <w:rPr>
                      <w:rFonts w:hint="default" w:ascii="Times New Roman" w:hAnsi="Times New Roman" w:cs="Times New Roman"/>
                      <w:color w:val="000000" w:themeColor="text1"/>
                      <w:spacing w:val="-2"/>
                      <w:sz w:val="21"/>
                      <w:szCs w:val="21"/>
                      <w:highlight w:val="none"/>
                      <w:lang w:val="en-US" w:eastAsia="zh-CN"/>
                      <w14:textFill>
                        <w14:solidFill>
                          <w14:schemeClr w14:val="tx1"/>
                        </w14:solidFill>
                      </w14:textFill>
                    </w:rPr>
                    <w:t>罐车拉运至</w:t>
                  </w:r>
                  <w:r>
                    <w:rPr>
                      <w:rFonts w:hint="default" w:ascii="Times New Roman" w:hAnsi="Times New Roman" w:cs="Times New Roman"/>
                      <w:color w:val="000000" w:themeColor="text1"/>
                      <w:spacing w:val="-2"/>
                      <w:sz w:val="21"/>
                      <w:szCs w:val="21"/>
                      <w:highlight w:val="none"/>
                      <w14:textFill>
                        <w14:solidFill>
                          <w14:schemeClr w14:val="tx1"/>
                        </w14:solidFill>
                      </w14:textFill>
                    </w:rPr>
                    <w:t>园</w:t>
                  </w:r>
                  <w:r>
                    <w:rPr>
                      <w:rFonts w:hint="eastAsia" w:ascii="Times New Roman" w:hAnsi="Times New Roman" w:cs="Times New Roman"/>
                      <w:color w:val="000000" w:themeColor="text1"/>
                      <w:spacing w:val="-2"/>
                      <w:sz w:val="21"/>
                      <w:szCs w:val="21"/>
                      <w:highlight w:val="none"/>
                      <w:lang w:val="en-US" w:eastAsia="zh-CN"/>
                      <w14:textFill>
                        <w14:solidFill>
                          <w14:schemeClr w14:val="tx1"/>
                        </w14:solidFill>
                      </w14:textFill>
                    </w:rPr>
                    <w:t>区</w:t>
                  </w:r>
                  <w:r>
                    <w:rPr>
                      <w:rFonts w:hint="default" w:ascii="Times New Roman" w:hAnsi="Times New Roman" w:cs="Times New Roman"/>
                      <w:color w:val="000000" w:themeColor="text1"/>
                      <w:spacing w:val="-2"/>
                      <w:sz w:val="21"/>
                      <w:szCs w:val="21"/>
                      <w:highlight w:val="none"/>
                      <w14:textFill>
                        <w14:solidFill>
                          <w14:schemeClr w14:val="tx1"/>
                        </w14:solidFill>
                      </w14:textFill>
                    </w:rPr>
                    <w:t>污水处理</w:t>
                  </w:r>
                  <w:r>
                    <w:rPr>
                      <w:rFonts w:hint="default" w:ascii="Times New Roman" w:hAnsi="Times New Roman" w:cs="Times New Roman"/>
                      <w:color w:val="000000" w:themeColor="text1"/>
                      <w:spacing w:val="-3"/>
                      <w:sz w:val="21"/>
                      <w:szCs w:val="21"/>
                      <w:highlight w:val="none"/>
                      <w14:textFill>
                        <w14:solidFill>
                          <w14:schemeClr w14:val="tx1"/>
                        </w14:solidFill>
                      </w14:textFill>
                    </w:rPr>
                    <w:t>厂处理</w:t>
                  </w:r>
                </w:p>
              </w:tc>
            </w:tr>
          </w:tbl>
          <w:p w14:paraId="753FF37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根据表4-</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12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所述，生活污水依托厂区内化粪池</w:t>
            </w:r>
            <w:r>
              <w:rPr>
                <w:rFonts w:hint="eastAsia" w:cs="Times New Roman"/>
                <w:color w:val="000000" w:themeColor="text1"/>
                <w:sz w:val="24"/>
                <w:szCs w:val="24"/>
                <w:highlight w:val="none"/>
                <w:lang w:val="en-US" w:eastAsia="zh-CN"/>
                <w14:textFill>
                  <w14:solidFill>
                    <w14:schemeClr w14:val="tx1"/>
                  </w14:solidFill>
                </w14:textFill>
              </w:rPr>
              <w:t>收集处理</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后，</w:t>
            </w:r>
            <w:r>
              <w:rPr>
                <w:rFonts w:hint="eastAsia" w:cs="Times New Roman"/>
                <w:color w:val="000000" w:themeColor="text1"/>
                <w:sz w:val="24"/>
                <w:szCs w:val="24"/>
                <w:highlight w:val="none"/>
                <w:lang w:val="en-US" w:eastAsia="zh-CN"/>
                <w14:textFill>
                  <w14:solidFill>
                    <w14:schemeClr w14:val="tx1"/>
                  </w14:solidFill>
                </w14:textFill>
              </w:rPr>
              <w:t>通过灌区拉运</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进入</w:t>
            </w:r>
            <w:r>
              <w:rPr>
                <w:rFonts w:hint="eastAsia" w:cs="Times New Roman"/>
                <w:color w:val="000000" w:themeColor="text1"/>
                <w:sz w:val="24"/>
                <w:szCs w:val="24"/>
                <w:highlight w:val="none"/>
                <w:lang w:val="en-US" w:eastAsia="zh-CN"/>
                <w14:textFill>
                  <w14:solidFill>
                    <w14:schemeClr w14:val="tx1"/>
                  </w14:solidFill>
                </w14:textFill>
              </w:rPr>
              <w:t>园区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污水处理厂处理，对周边环境基本无影响。</w:t>
            </w:r>
          </w:p>
          <w:p w14:paraId="023BFA5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w:t>
            </w:r>
            <w:r>
              <w:rPr>
                <w:rFonts w:hint="eastAsia" w:cs="Times New Roman"/>
                <w:color w:val="000000" w:themeColor="text1"/>
                <w:sz w:val="24"/>
                <w:szCs w:val="24"/>
                <w:highlight w:val="none"/>
                <w:lang w:val="en-US" w:eastAsia="zh-CN"/>
                <w14:textFill>
                  <w14:solidFill>
                    <w14:schemeClr w14:val="tx1"/>
                  </w14:solidFill>
                </w14:textFill>
              </w:rPr>
              <w:t>脱硫装置</w:t>
            </w:r>
            <w:r>
              <w:rPr>
                <w:rFonts w:hint="default" w:ascii="宋体" w:hAnsi="宋体" w:eastAsia="宋体" w:cs="宋体"/>
                <w:color w:val="000000" w:themeColor="text1"/>
                <w:kern w:val="0"/>
                <w:sz w:val="24"/>
                <w:szCs w:val="24"/>
                <w:highlight w:val="none"/>
                <w:lang w:val="en-US" w:eastAsia="zh-CN" w:bidi="ar"/>
                <w14:textFill>
                  <w14:solidFill>
                    <w14:schemeClr w14:val="tx1"/>
                  </w14:solidFill>
                </w14:textFill>
              </w:rPr>
              <w:t>经三联箱装置处理后</w:t>
            </w:r>
            <w:r>
              <w:rPr>
                <w:rFonts w:hint="eastAsia" w:ascii="宋体" w:hAnsi="宋体" w:cs="宋体"/>
                <w:color w:val="000000" w:themeColor="text1"/>
                <w:kern w:val="0"/>
                <w:sz w:val="24"/>
                <w:szCs w:val="24"/>
                <w:highlight w:val="none"/>
                <w:lang w:val="en-US" w:eastAsia="zh-CN" w:bidi="ar"/>
                <w14:textFill>
                  <w14:solidFill>
                    <w14:schemeClr w14:val="tx1"/>
                  </w14:solidFill>
                </w14:textFill>
              </w:rPr>
              <w:t>脱硫废水满足</w:t>
            </w:r>
            <w:r>
              <w:rPr>
                <w:rFonts w:hint="eastAsia" w:cs="Times New Roman"/>
                <w:b w:val="0"/>
                <w:bCs w:val="0"/>
                <w:color w:val="000000" w:themeColor="text1"/>
                <w:kern w:val="2"/>
                <w:sz w:val="24"/>
                <w:szCs w:val="24"/>
                <w:highlight w:val="none"/>
                <w:lang w:val="en-US" w:eastAsia="zh-CN" w:bidi="ar-SA"/>
                <w14:textFill>
                  <w14:solidFill>
                    <w14:schemeClr w14:val="tx1"/>
                  </w14:solidFill>
                </w14:textFill>
              </w:rPr>
              <w:t>《城市污水再生利用 工业用水水质》（GB/T 19923-2024）</w:t>
            </w:r>
            <w:r>
              <w:rPr>
                <w:rFonts w:hint="eastAsia" w:ascii="Times New Roman" w:hAnsi="Times New Roman" w:eastAsia="宋体" w:cs="Times New Roman"/>
                <w:b w:val="0"/>
                <w:bCs w:val="0"/>
                <w:color w:val="000000" w:themeColor="text1"/>
                <w:kern w:val="2"/>
                <w:sz w:val="24"/>
                <w:szCs w:val="24"/>
                <w:highlight w:val="none"/>
                <w:lang w:val="en-US" w:eastAsia="zh-CN" w:bidi="ar-SA"/>
                <w14:textFill>
                  <w14:solidFill>
                    <w14:schemeClr w14:val="tx1"/>
                  </w14:solidFill>
                </w14:textFill>
              </w:rPr>
              <w:t>后</w:t>
            </w:r>
            <w:r>
              <w:rPr>
                <w:rFonts w:hint="eastAsia" w:ascii="宋体" w:hAnsi="宋体" w:cs="宋体"/>
                <w:color w:val="000000" w:themeColor="text1"/>
                <w:kern w:val="0"/>
                <w:sz w:val="24"/>
                <w:szCs w:val="24"/>
                <w:highlight w:val="none"/>
                <w:lang w:val="en-US" w:eastAsia="zh-CN" w:bidi="ar"/>
                <w14:textFill>
                  <w14:solidFill>
                    <w14:schemeClr w14:val="tx1"/>
                  </w14:solidFill>
                </w14:textFill>
              </w:rPr>
              <w:t>回用于脱硫浆液制备用水；</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循环冷却水</w:t>
            </w:r>
            <w:r>
              <w:rPr>
                <w:rFonts w:hint="eastAsia" w:cs="Times New Roman"/>
                <w:color w:val="000000" w:themeColor="text1"/>
                <w:sz w:val="24"/>
                <w:szCs w:val="24"/>
                <w:highlight w:val="none"/>
                <w:lang w:val="en-US" w:eastAsia="zh-CN"/>
                <w14:textFill>
                  <w14:solidFill>
                    <w14:schemeClr w14:val="tx1"/>
                  </w14:solidFill>
                </w14:textFill>
              </w:rPr>
              <w:t>系统</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排污水</w:t>
            </w:r>
            <w:r>
              <w:rPr>
                <w:rFonts w:hint="eastAsia"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软水排水和余热锅炉排水</w:t>
            </w:r>
            <w:r>
              <w:rPr>
                <w:rFonts w:hint="eastAsia" w:cs="Times New Roman"/>
                <w:color w:val="000000" w:themeColor="text1"/>
                <w:sz w:val="24"/>
                <w:szCs w:val="24"/>
                <w:highlight w:val="none"/>
                <w:lang w:val="en-US" w:eastAsia="zh-CN"/>
                <w14:textFill>
                  <w14:solidFill>
                    <w14:schemeClr w14:val="tx1"/>
                  </w14:solidFill>
                </w14:textFill>
              </w:rPr>
              <w:t>通过罐</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车拉</w:t>
            </w:r>
            <w:r>
              <w:rPr>
                <w:rFonts w:hint="eastAsia" w:cs="Times New Roman"/>
                <w:color w:val="000000" w:themeColor="text1"/>
                <w:sz w:val="24"/>
                <w:szCs w:val="24"/>
                <w:highlight w:val="none"/>
                <w:lang w:val="en-US" w:eastAsia="zh-CN"/>
                <w14:textFill>
                  <w14:solidFill>
                    <w14:schemeClr w14:val="tx1"/>
                  </w14:solidFill>
                </w14:textFill>
              </w:rPr>
              <w:t>运至</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园区污水处理厂处理；生活污水经厂区防渗化粪池处理后</w:t>
            </w:r>
            <w:r>
              <w:rPr>
                <w:rFonts w:hint="eastAsia" w:cs="Times New Roman"/>
                <w:color w:val="000000" w:themeColor="text1"/>
                <w:sz w:val="24"/>
                <w:szCs w:val="24"/>
                <w:highlight w:val="none"/>
                <w:lang w:val="en-US" w:eastAsia="zh-CN"/>
                <w14:textFill>
                  <w14:solidFill>
                    <w14:schemeClr w14:val="tx1"/>
                  </w14:solidFill>
                </w14:textFill>
              </w:rPr>
              <w:t>罐车拉运到园区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污水处理厂处理。</w:t>
            </w:r>
          </w:p>
          <w:p w14:paraId="4068564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（2）水环境保护措施</w:t>
            </w:r>
          </w:p>
          <w:p w14:paraId="51DAC41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1）生产废水</w:t>
            </w:r>
          </w:p>
          <w:p w14:paraId="5F17076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①循环冷却水排水</w:t>
            </w:r>
          </w:p>
          <w:p w14:paraId="75E42BF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w:t>
            </w:r>
            <w:r>
              <w:rPr>
                <w:rFonts w:hint="default" w:ascii="Times New Roman" w:hAnsi="Times New Roman" w:eastAsia="宋体" w:cs="Times New Roman"/>
                <w:color w:val="000000" w:themeColor="text1"/>
                <w:sz w:val="24"/>
                <w:szCs w:val="24"/>
                <w:highlight w:val="none"/>
                <w14:textFill>
                  <w14:solidFill>
                    <w14:schemeClr w14:val="tx1"/>
                  </w14:solidFill>
                </w14:textFill>
              </w:rPr>
              <w:t>循环冷却水站排水，主要污</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染物为</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少量</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钙镁化合物和悬浮物，</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通过罐车拉运至</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污水处理厂处理，措施可行。</w:t>
            </w:r>
          </w:p>
          <w:p w14:paraId="49C6F22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②脱硫废水</w:t>
            </w:r>
          </w:p>
          <w:p w14:paraId="3F9376C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由于脱硫装置浆液内的水在不断循环的过程中会富集重金属元素、Cl和微细的颗粒等，加速脱硫设备的腐蚀，影响脱硫效率，另一方面影响石膏的品质。因此</w:t>
            </w:r>
            <w:r>
              <w:rPr>
                <w:rFonts w:hint="eastAsia"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脱硫装置要排出一定量的废水，本项目脱硫废水采用三联箱处理工艺，脱硫废水经中和、沉降、絮凝、沉淀处理后，全部用于干渣冷却，干渣冷却对水质无要求，措施可行。三联箱脱硫设施主要由中和、沉降、絮凝、沉淀和脱水系统组成，工艺流程示意见图</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5。</w:t>
            </w:r>
          </w:p>
          <w:p w14:paraId="0E126AB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color w:val="000000" w:themeColor="text1"/>
                <w:sz w:val="21"/>
                <w:highlight w:val="none"/>
                <w14:textFill>
                  <w14:solidFill>
                    <w14:schemeClr w14:val="tx1"/>
                  </w14:solidFill>
                </w14:textFill>
              </w:rPr>
              <mc:AlternateContent>
                <mc:Choice Requires="wps">
                  <w:drawing>
                    <wp:anchor distT="0" distB="0" distL="114300" distR="114300" simplePos="0" relativeHeight="251709440" behindDoc="0" locked="0" layoutInCell="1" allowOverlap="1">
                      <wp:simplePos x="0" y="0"/>
                      <wp:positionH relativeFrom="column">
                        <wp:posOffset>4203700</wp:posOffset>
                      </wp:positionH>
                      <wp:positionV relativeFrom="paragraph">
                        <wp:posOffset>424180</wp:posOffset>
                      </wp:positionV>
                      <wp:extent cx="792480" cy="690880"/>
                      <wp:effectExtent l="0" t="0" r="7620" b="7620"/>
                      <wp:wrapNone/>
                      <wp:docPr id="11" name="文本框 11"/>
                      <wp:cNvGraphicFramePr/>
                      <a:graphic xmlns:a="http://schemas.openxmlformats.org/drawingml/2006/main">
                        <a:graphicData uri="http://schemas.microsoft.com/office/word/2010/wordprocessingShape">
                          <wps:wsp>
                            <wps:cNvSpPr txBox="1"/>
                            <wps:spPr>
                              <a:xfrm>
                                <a:off x="5776595" y="6295390"/>
                                <a:ext cx="792480" cy="69088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7FE8FE9"/>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1pt;margin-top:33.4pt;height:54.4pt;width:62.4pt;z-index:251709440;mso-width-relative:page;mso-height-relative:page;" fillcolor="#FFFFFF [3201]" filled="t" stroked="f" coordsize="21600,21600" o:gfxdata="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0uDc/9QAAAAK&#10;AQAADwAAAAAAAAABACAAAAAiAAAAZHJzL2Rvd25yZXYueG1sUEsBAhQAFAAAAAgAh07iQKJJnjhZ&#10;AgAAnAQAAA4AAAAAAAAAAQAgAAAAIwEAAGRycy9lMm9Eb2MueG1sUEsFBgAAAAAGAAYAWQEAAO4F&#10;AAAAAA==&#10;">
                      <v:fill on="t" focussize="0,0"/>
                      <v:stroke on="f" weight="0.5pt"/>
                      <v:imagedata o:title=""/>
                      <o:lock v:ext="edit" aspectratio="f"/>
                      <v:textbox>
                        <w:txbxContent>
                          <w:p w14:paraId="17FE8FE9"/>
                        </w:txbxContent>
                      </v:textbox>
                    </v:shape>
                  </w:pict>
                </mc:Fallback>
              </mc:AlternateContent>
            </w:r>
            <w:r>
              <w:rPr>
                <w:rFonts w:hint="default" w:ascii="Times New Roman" w:hAnsi="Times New Roman" w:cs="Times New Roman"/>
                <w:color w:val="000000" w:themeColor="text1"/>
                <w:highlight w:val="none"/>
                <w14:textFill>
                  <w14:solidFill>
                    <w14:schemeClr w14:val="tx1"/>
                  </w14:solidFill>
                </w14:textFill>
              </w:rPr>
              <w:drawing>
                <wp:inline distT="0" distB="0" distL="114300" distR="114300">
                  <wp:extent cx="4846320" cy="2201545"/>
                  <wp:effectExtent l="0" t="0" r="5080" b="8255"/>
                  <wp:docPr id="5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3"/>
                          <pic:cNvPicPr>
                            <a:picLocks noChangeAspect="1"/>
                          </pic:cNvPicPr>
                        </pic:nvPicPr>
                        <pic:blipFill>
                          <a:blip r:embed="rId29"/>
                          <a:stretch>
                            <a:fillRect/>
                          </a:stretch>
                        </pic:blipFill>
                        <pic:spPr>
                          <a:xfrm>
                            <a:off x="0" y="0"/>
                            <a:ext cx="4846320" cy="2201545"/>
                          </a:xfrm>
                          <a:prstGeom prst="rect">
                            <a:avLst/>
                          </a:prstGeom>
                          <a:noFill/>
                          <a:ln>
                            <a:noFill/>
                          </a:ln>
                        </pic:spPr>
                      </pic:pic>
                    </a:graphicData>
                  </a:graphic>
                </wp:inline>
              </w:drawing>
            </w:r>
          </w:p>
          <w:p w14:paraId="5CF727ED">
            <w:pPr>
              <w:pStyle w:val="116"/>
              <w:keepNext w:val="0"/>
              <w:keepLines w:val="0"/>
              <w:pageBreakBefore w:val="0"/>
              <w:widowControl w:val="0"/>
              <w:kinsoku/>
              <w:wordWrap/>
              <w:overflowPunct/>
              <w:topLinePunct w:val="0"/>
              <w:autoSpaceDE/>
              <w:autoSpaceDN/>
              <w:bidi w:val="0"/>
              <w:adjustRightInd/>
              <w:snapToGrid/>
              <w:spacing w:line="360" w:lineRule="auto"/>
              <w:ind w:left="0"/>
              <w:jc w:val="center"/>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b/>
                <w:bCs/>
                <w:color w:val="000000" w:themeColor="text1"/>
                <w:spacing w:val="-2"/>
                <w:sz w:val="24"/>
                <w:szCs w:val="24"/>
                <w:highlight w:val="none"/>
                <w14:textFill>
                  <w14:solidFill>
                    <w14:schemeClr w14:val="tx1"/>
                  </w14:solidFill>
                </w14:textFill>
              </w:rPr>
              <w:t>图</w:t>
            </w:r>
            <w:r>
              <w:rPr>
                <w:rFonts w:hint="default" w:ascii="Times New Roman" w:hAnsi="Times New Roman" w:cs="Times New Roman"/>
                <w:b/>
                <w:bCs/>
                <w:color w:val="000000" w:themeColor="text1"/>
                <w:spacing w:val="-2"/>
                <w:sz w:val="24"/>
                <w:szCs w:val="24"/>
                <w:highlight w:val="none"/>
                <w:lang w:val="en-US" w:eastAsia="zh-CN"/>
                <w14:textFill>
                  <w14:solidFill>
                    <w14:schemeClr w14:val="tx1"/>
                  </w14:solidFill>
                </w14:textFill>
              </w:rPr>
              <w:t>4-</w:t>
            </w:r>
            <w:r>
              <w:rPr>
                <w:rFonts w:hint="default" w:ascii="Times New Roman" w:hAnsi="Times New Roman" w:cs="Times New Roman"/>
                <w:b/>
                <w:bCs/>
                <w:color w:val="000000" w:themeColor="text1"/>
                <w:spacing w:val="-2"/>
                <w:sz w:val="24"/>
                <w:szCs w:val="24"/>
                <w:highlight w:val="none"/>
                <w14:textFill>
                  <w14:solidFill>
                    <w14:schemeClr w14:val="tx1"/>
                  </w14:solidFill>
                </w14:textFill>
              </w:rPr>
              <w:t>5脱硫废水三联箱处理工艺流程示意图</w:t>
            </w:r>
          </w:p>
          <w:p w14:paraId="5B1DB6B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A.</w:t>
            </w:r>
            <w:r>
              <w:rPr>
                <w:rFonts w:hint="default" w:ascii="Times New Roman" w:hAnsi="Times New Roman" w:eastAsia="宋体" w:cs="Times New Roman"/>
                <w:color w:val="000000" w:themeColor="text1"/>
                <w:sz w:val="24"/>
                <w:szCs w:val="24"/>
                <w:highlight w:val="none"/>
                <w14:textFill>
                  <w14:solidFill>
                    <w14:schemeClr w14:val="tx1"/>
                  </w14:solidFill>
                </w14:textFill>
              </w:rPr>
              <w:t>中和反应：首先来自脱硫系统吸收塔的废浆液收集在废水缓冲箱中，由泵送至废水处理系统的反应槽中和箱。中和箱内加入定量的石灰乳，将废水的pH值调升至9～9.7范围，降低废水的腐蚀性，同时使水中大部分重金属以氢氧化物的形式沉淀出来，废水中呈溶解态的氟化物以氟化钙沉淀形式去除。氢氧化钙药液本身也可以起絮凝剂作用。废水经pH调整处理后可以改善后续絮凝、澄清处理效果，减少后续药剂的投加量。</w:t>
            </w:r>
          </w:p>
          <w:p w14:paraId="081AB38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B.</w:t>
            </w:r>
            <w:r>
              <w:rPr>
                <w:rFonts w:hint="default" w:ascii="Times New Roman" w:hAnsi="Times New Roman" w:eastAsia="宋体" w:cs="Times New Roman"/>
                <w:color w:val="000000" w:themeColor="text1"/>
                <w:sz w:val="24"/>
                <w:szCs w:val="24"/>
                <w:highlight w:val="none"/>
                <w14:textFill>
                  <w14:solidFill>
                    <w14:schemeClr w14:val="tx1"/>
                  </w14:solidFill>
                </w14:textFill>
              </w:rPr>
              <w:t>沉降反应：有机硫化物药液投加处理的目的是去除废水中残留的以及无法以氢氧化物沉淀形式去除的重金属离子。通常脱硫废水中重金属离子以两种不同形态存在：一种呈游离态，另一种以溶解的络合物形式存在。游离态重金属离子一般可以加氢氧化钙沉淀去除，但因络合态重金属溶解物的溶度远低于其氢氧化物的溶解度，因此无法通过投加氢氧化钙去除。为此只有通过寻求一种溶解度较络合态重金属溶解物溶解度更低的金属沉淀物才能去除这类金属，大部分重金属的硫化物沉淀能满足该要求。某些重金属如汞和废水中的氯离子形成的化合物不能通过加氢氧化钙去除，但加硫化物能满足要求。尽管大部分重金属离子可以形成金属硫化物沉淀，但形成金属硫化物沉淀所用的硫化物</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如硫化氢、硫化钠</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通常具有高毒性，且形成</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的</w:t>
            </w:r>
            <w:r>
              <w:rPr>
                <w:rFonts w:hint="default" w:ascii="Times New Roman" w:hAnsi="Times New Roman" w:eastAsia="宋体" w:cs="Times New Roman"/>
                <w:color w:val="000000" w:themeColor="text1"/>
                <w:sz w:val="24"/>
                <w:szCs w:val="24"/>
                <w:highlight w:val="none"/>
                <w14:textFill>
                  <w14:solidFill>
                    <w14:schemeClr w14:val="tx1"/>
                  </w14:solidFill>
                </w14:textFill>
              </w:rPr>
              <w:t>金属硫化物沉淀常常是高分散的，极端情况下甚至</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呈现</w:t>
            </w:r>
            <w:r>
              <w:rPr>
                <w:rFonts w:hint="default" w:ascii="Times New Roman" w:hAnsi="Times New Roman" w:eastAsia="宋体" w:cs="Times New Roman"/>
                <w:color w:val="000000" w:themeColor="text1"/>
                <w:sz w:val="24"/>
                <w:szCs w:val="24"/>
                <w:highlight w:val="none"/>
                <w14:textFill>
                  <w14:solidFill>
                    <w14:schemeClr w14:val="tx1"/>
                  </w14:solidFill>
                </w14:textFill>
              </w:rPr>
              <w:t>低沉降性或沉积的自然胶体状。因此常采用有机硫化物，而有机硫化物</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如TMT15</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一方面无毒、环保，另一方面形成的沉淀物具有较好沉降性。</w:t>
            </w:r>
          </w:p>
          <w:p w14:paraId="08AF7AF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C.</w:t>
            </w:r>
            <w:r>
              <w:rPr>
                <w:rFonts w:hint="default" w:ascii="Times New Roman" w:hAnsi="Times New Roman" w:eastAsia="宋体" w:cs="Times New Roman"/>
                <w:color w:val="000000" w:themeColor="text1"/>
                <w:sz w:val="24"/>
                <w:szCs w:val="24"/>
                <w:highlight w:val="none"/>
                <w14:textFill>
                  <w14:solidFill>
                    <w14:schemeClr w14:val="tx1"/>
                  </w14:solidFill>
                </w14:textFill>
              </w:rPr>
              <w:t>絮凝反应：在絮凝系统中，通过升高pH值和加入聚铁</w:t>
            </w:r>
            <w:r>
              <w:rPr>
                <w:rFonts w:hint="eastAsia" w:cs="Times New Roman"/>
                <w:color w:val="000000" w:themeColor="text1"/>
                <w:sz w:val="24"/>
                <w:szCs w:val="24"/>
                <w:highlight w:val="none"/>
                <w:lang w:val="en-US" w:eastAsia="zh-CN"/>
                <w14:textFill>
                  <w14:solidFill>
                    <w14:schemeClr w14:val="tx1"/>
                  </w14:solidFill>
                </w14:textFill>
              </w:rPr>
              <w:t>|（FeClSO</w:t>
            </w:r>
            <w:r>
              <w:rPr>
                <w:rFonts w:hint="eastAsia" w:cs="Times New Roman"/>
                <w:color w:val="000000" w:themeColor="text1"/>
                <w:sz w:val="24"/>
                <w:szCs w:val="24"/>
                <w:highlight w:val="none"/>
                <w:vertAlign w:val="subscript"/>
                <w:lang w:val="en-US" w:eastAsia="zh-CN"/>
                <w14:textFill>
                  <w14:solidFill>
                    <w14:schemeClr w14:val="tx1"/>
                  </w14:solidFill>
                </w14:textFill>
              </w:rPr>
              <w:t>4</w:t>
            </w:r>
            <w:r>
              <w:rPr>
                <w:rFonts w:hint="eastAsia"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、有机硫进一步除去水中的重金属，通过pH值控制Ca</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OH</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2</w:t>
            </w:r>
            <w:r>
              <w:rPr>
                <w:rFonts w:hint="default" w:ascii="Times New Roman" w:hAnsi="Times New Roman" w:eastAsia="宋体" w:cs="Times New Roman"/>
                <w:color w:val="000000" w:themeColor="text1"/>
                <w:sz w:val="24"/>
                <w:szCs w:val="24"/>
                <w:highlight w:val="none"/>
                <w14:textFill>
                  <w14:solidFill>
                    <w14:schemeClr w14:val="tx1"/>
                  </w14:solidFill>
                </w14:textFill>
              </w:rPr>
              <w:t>加药。聚铁和有机硫的加药量通过调试确定，根据废水量按比例加入。在沉淀系统中，加入助凝剂以便使沉淀颗粒长大更易沉降。</w:t>
            </w:r>
          </w:p>
          <w:p w14:paraId="20B0347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D.</w:t>
            </w:r>
            <w:r>
              <w:rPr>
                <w:rFonts w:hint="default" w:ascii="Times New Roman" w:hAnsi="Times New Roman" w:eastAsia="宋体" w:cs="Times New Roman"/>
                <w:color w:val="000000" w:themeColor="text1"/>
                <w:sz w:val="24"/>
                <w:szCs w:val="24"/>
                <w:highlight w:val="none"/>
                <w14:textFill>
                  <w14:solidFill>
                    <w14:schemeClr w14:val="tx1"/>
                  </w14:solidFill>
                </w14:textFill>
              </w:rPr>
              <w:t>沉淀和脱水系统：悬浮物从澄清/浓缩箱中分离出来后，一部分稀污泥通过污泥循环泵返回中和箱，另</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一部分</w:t>
            </w:r>
            <w:r>
              <w:rPr>
                <w:rFonts w:hint="default" w:ascii="Times New Roman" w:hAnsi="Times New Roman" w:eastAsia="宋体" w:cs="Times New Roman"/>
                <w:color w:val="000000" w:themeColor="text1"/>
                <w:sz w:val="24"/>
                <w:szCs w:val="24"/>
                <w:highlight w:val="none"/>
                <w14:textFill>
                  <w14:solidFill>
                    <w14:schemeClr w14:val="tx1"/>
                  </w14:solidFill>
                </w14:textFill>
              </w:rPr>
              <w:t>澄清水排入清水箱回收。澄清/浓缩箱底污泥输送到压滤机，制成饼状，暂时按照危废进行管理，鉴别为一般固废的，按照一般固废管理并处理。</w:t>
            </w:r>
          </w:p>
          <w:p w14:paraId="4656168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由于脱硫装置脱硫后制备石膏，需要排出一定量的废水，</w:t>
            </w:r>
            <w:r>
              <w:rPr>
                <w:rFonts w:hint="default" w:ascii="Times New Roman" w:hAnsi="Times New Roman" w:eastAsia="宋体" w:cs="Times New Roman"/>
                <w:color w:val="000000" w:themeColor="text1"/>
                <w:sz w:val="24"/>
                <w:szCs w:val="24"/>
                <w:highlight w:val="none"/>
                <w14:textFill>
                  <w14:solidFill>
                    <w14:schemeClr w14:val="tx1"/>
                  </w14:solidFill>
                </w14:textFill>
              </w:rPr>
              <w:t>脱硫废水经三联箱装置处理后</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循环</w:t>
            </w:r>
            <w:r>
              <w:rPr>
                <w:rFonts w:hint="eastAsia" w:cs="Times New Roman"/>
                <w:color w:val="000000" w:themeColor="text1"/>
                <w:sz w:val="24"/>
                <w:szCs w:val="24"/>
                <w:highlight w:val="none"/>
                <w:lang w:val="en-US" w:eastAsia="zh-CN"/>
                <w14:textFill>
                  <w14:solidFill>
                    <w14:schemeClr w14:val="tx1"/>
                  </w14:solidFill>
                </w14:textFill>
              </w:rPr>
              <w:t>回用，水质满足《火电厂石灰石－石膏湿法脱硫废水水质控制指标》（DL/T997-2006），</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回用于制备脱硫浆液，措施可行。</w:t>
            </w:r>
          </w:p>
          <w:p w14:paraId="62C9CD0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③软水</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站排水和余热锅炉排水</w:t>
            </w:r>
          </w:p>
          <w:p w14:paraId="6606DD3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软水</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站排水和余热锅炉排水</w:t>
            </w:r>
            <w:r>
              <w:rPr>
                <w:rFonts w:hint="default" w:ascii="Times New Roman" w:hAnsi="Times New Roman" w:eastAsia="宋体" w:cs="Times New Roman"/>
                <w:color w:val="000000" w:themeColor="text1"/>
                <w:sz w:val="24"/>
                <w:szCs w:val="24"/>
                <w:highlight w:val="none"/>
                <w14:textFill>
                  <w14:solidFill>
                    <w14:schemeClr w14:val="tx1"/>
                  </w14:solidFill>
                </w14:textFill>
              </w:rPr>
              <w:t>主要污</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染物为</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少量</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钙镁化合物和悬浮物，</w:t>
            </w:r>
            <w:r>
              <w:rPr>
                <w:rFonts w:hint="eastAsia" w:cs="Times New Roman"/>
                <w:color w:val="000000" w:themeColor="text1"/>
                <w:sz w:val="24"/>
                <w:szCs w:val="24"/>
                <w:highlight w:val="none"/>
                <w:lang w:val="en-US" w:eastAsia="zh-CN"/>
                <w14:textFill>
                  <w14:solidFill>
                    <w14:schemeClr w14:val="tx1"/>
                  </w14:solidFill>
                </w14:textFill>
              </w:rPr>
              <w:t>一并通过</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罐车拉运送园区污水处理厂处理</w:t>
            </w:r>
            <w:r>
              <w:rPr>
                <w:rFonts w:hint="default" w:ascii="Times New Roman" w:hAnsi="Times New Roman" w:eastAsia="宋体" w:cs="Times New Roman"/>
                <w:color w:val="000000" w:themeColor="text1"/>
                <w:sz w:val="24"/>
                <w:szCs w:val="24"/>
                <w:highlight w:val="none"/>
                <w14:textFill>
                  <w14:solidFill>
                    <w14:schemeClr w14:val="tx1"/>
                  </w14:solidFill>
                </w14:textFill>
              </w:rPr>
              <w:t>，措施可行。</w:t>
            </w:r>
          </w:p>
          <w:p w14:paraId="3469B89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2）生活污水</w:t>
            </w:r>
          </w:p>
          <w:p w14:paraId="593FD45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本项目生活污水产生量为1.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68</w:t>
            </w:r>
            <w:r>
              <w:rPr>
                <w:rFonts w:hint="default" w:ascii="Times New Roman" w:hAnsi="Times New Roman" w:eastAsia="宋体" w:cs="Times New Roman"/>
                <w:color w:val="000000" w:themeColor="text1"/>
                <w:sz w:val="24"/>
                <w:szCs w:val="24"/>
                <w:highlight w:val="none"/>
                <w14:textFill>
                  <w14:solidFill>
                    <w14:schemeClr w14:val="tx1"/>
                  </w14:solidFill>
                </w14:textFill>
              </w:rPr>
              <w:t>m³/d（</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504</w:t>
            </w:r>
            <w:r>
              <w:rPr>
                <w:rFonts w:hint="default" w:ascii="Times New Roman" w:hAnsi="Times New Roman" w:eastAsia="宋体" w:cs="Times New Roman"/>
                <w:color w:val="000000" w:themeColor="text1"/>
                <w:sz w:val="24"/>
                <w:szCs w:val="24"/>
                <w:highlight w:val="none"/>
                <w14:textFill>
                  <w14:solidFill>
                    <w14:schemeClr w14:val="tx1"/>
                  </w14:solidFill>
                </w14:textFill>
              </w:rPr>
              <w:t>m³/a），经化粪池</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收集</w:t>
            </w:r>
            <w:r>
              <w:rPr>
                <w:rFonts w:hint="default" w:ascii="Times New Roman" w:hAnsi="Times New Roman" w:eastAsia="宋体" w:cs="Times New Roman"/>
                <w:color w:val="000000" w:themeColor="text1"/>
                <w:sz w:val="24"/>
                <w:szCs w:val="24"/>
                <w:highlight w:val="none"/>
                <w14:textFill>
                  <w14:solidFill>
                    <w14:schemeClr w14:val="tx1"/>
                  </w14:solidFill>
                </w14:textFill>
              </w:rPr>
              <w:t>后通过</w:t>
            </w:r>
            <w:r>
              <w:rPr>
                <w:rFonts w:hint="eastAsia" w:cs="Times New Roman"/>
                <w:color w:val="000000" w:themeColor="text1"/>
                <w:sz w:val="24"/>
                <w:szCs w:val="24"/>
                <w:highlight w:val="none"/>
                <w:lang w:val="en-US" w:eastAsia="zh-CN"/>
                <w14:textFill>
                  <w14:solidFill>
                    <w14:schemeClr w14:val="tx1"/>
                  </w14:solidFill>
                </w14:textFill>
              </w:rPr>
              <w:t>罐车拉运至</w:t>
            </w:r>
            <w:r>
              <w:rPr>
                <w:rFonts w:hint="default" w:ascii="Times New Roman" w:hAnsi="Times New Roman" w:eastAsia="宋体" w:cs="Times New Roman"/>
                <w:color w:val="000000" w:themeColor="text1"/>
                <w:sz w:val="24"/>
                <w:szCs w:val="24"/>
                <w:highlight w:val="none"/>
                <w14:textFill>
                  <w14:solidFill>
                    <w14:schemeClr w14:val="tx1"/>
                  </w14:solidFill>
                </w14:textFill>
              </w:rPr>
              <w:t>园区污水处理厂。经化粪池处理后</w:t>
            </w:r>
            <w:r>
              <w:rPr>
                <w:rFonts w:hint="eastAsia" w:ascii="Times New Roman" w:hAnsi="Times New Roman" w:cs="Times New Roman"/>
                <w:color w:val="000000" w:themeColor="text1"/>
                <w:sz w:val="24"/>
                <w:szCs w:val="24"/>
                <w:highlight w:val="none"/>
                <w:lang w:eastAsia="zh-CN"/>
                <w14:textFill>
                  <w14:solidFill>
                    <w14:schemeClr w14:val="tx1"/>
                  </w14:solidFill>
                </w14:textFill>
              </w:rPr>
              <w:t>COD</w:t>
            </w:r>
            <w:r>
              <w:rPr>
                <w:rFonts w:hint="default" w:ascii="Times New Roman" w:hAnsi="Times New Roman" w:eastAsia="宋体" w:cs="Times New Roman"/>
                <w:color w:val="000000" w:themeColor="text1"/>
                <w:sz w:val="24"/>
                <w:szCs w:val="24"/>
                <w:highlight w:val="none"/>
                <w14:textFill>
                  <w14:solidFill>
                    <w14:schemeClr w14:val="tx1"/>
                  </w14:solidFill>
                </w14:textFill>
              </w:rPr>
              <w:t>浓度为340mg/L、BOD</w:t>
            </w:r>
            <w:r>
              <w:rPr>
                <w:rFonts w:hint="default" w:ascii="Times New Roman" w:hAnsi="Times New Roman" w:eastAsia="宋体" w:cs="Times New Roman"/>
                <w:color w:val="000000" w:themeColor="text1"/>
                <w:sz w:val="24"/>
                <w:szCs w:val="24"/>
                <w:highlight w:val="none"/>
                <w:vertAlign w:val="subscript"/>
                <w14:textFill>
                  <w14:solidFill>
                    <w14:schemeClr w14:val="tx1"/>
                  </w14:solidFill>
                </w14:textFill>
              </w:rPr>
              <w:t>5</w:t>
            </w:r>
            <w:r>
              <w:rPr>
                <w:rFonts w:hint="default" w:ascii="Times New Roman" w:hAnsi="Times New Roman" w:eastAsia="宋体" w:cs="Times New Roman"/>
                <w:color w:val="000000" w:themeColor="text1"/>
                <w:sz w:val="24"/>
                <w:szCs w:val="24"/>
                <w:highlight w:val="none"/>
                <w14:textFill>
                  <w14:solidFill>
                    <w14:schemeClr w14:val="tx1"/>
                  </w14:solidFill>
                </w14:textFill>
              </w:rPr>
              <w:t>浓度为180mg/L、SS浓度为154mg/L、氨氮浓度为24mg/L、</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pH为7.2，</w:t>
            </w:r>
            <w:r>
              <w:rPr>
                <w:rFonts w:hint="default" w:ascii="Times New Roman" w:hAnsi="Times New Roman" w:eastAsia="宋体" w:cs="Times New Roman"/>
                <w:color w:val="000000" w:themeColor="text1"/>
                <w:sz w:val="24"/>
                <w:szCs w:val="24"/>
                <w:highlight w:val="none"/>
                <w14:textFill>
                  <w14:solidFill>
                    <w14:schemeClr w14:val="tx1"/>
                  </w14:solidFill>
                </w14:textFill>
              </w:rPr>
              <w:t>满足污水</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处理厂进水水质要求</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通过罐车拉运至</w:t>
            </w:r>
            <w:r>
              <w:rPr>
                <w:rFonts w:hint="default" w:ascii="Times New Roman" w:hAnsi="Times New Roman" w:eastAsia="宋体" w:cs="Times New Roman"/>
                <w:color w:val="000000" w:themeColor="text1"/>
                <w:sz w:val="24"/>
                <w:szCs w:val="24"/>
                <w:highlight w:val="none"/>
                <w14:textFill>
                  <w14:solidFill>
                    <w14:schemeClr w14:val="tx1"/>
                  </w14:solidFill>
                </w14:textFill>
              </w:rPr>
              <w:t>园</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区</w:t>
            </w:r>
            <w:r>
              <w:rPr>
                <w:rFonts w:hint="default" w:ascii="Times New Roman" w:hAnsi="Times New Roman" w:eastAsia="宋体" w:cs="Times New Roman"/>
                <w:color w:val="000000" w:themeColor="text1"/>
                <w:sz w:val="24"/>
                <w:szCs w:val="24"/>
                <w:highlight w:val="none"/>
                <w14:textFill>
                  <w14:solidFill>
                    <w14:schemeClr w14:val="tx1"/>
                  </w14:solidFill>
                </w14:textFill>
              </w:rPr>
              <w:t>污水处理厂处理。</w:t>
            </w:r>
          </w:p>
          <w:p w14:paraId="419F471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防渗</w:t>
            </w:r>
            <w:r>
              <w:rPr>
                <w:rFonts w:hint="default" w:ascii="Times New Roman" w:hAnsi="Times New Roman" w:eastAsia="宋体" w:cs="Times New Roman"/>
                <w:color w:val="000000" w:themeColor="text1"/>
                <w:sz w:val="24"/>
                <w:szCs w:val="24"/>
                <w:highlight w:val="none"/>
                <w14:textFill>
                  <w14:solidFill>
                    <w14:schemeClr w14:val="tx1"/>
                  </w14:solidFill>
                </w14:textFill>
              </w:rPr>
              <w:t>化粪池是一种利用沉淀和厌氧发酵的原理，去除生活污水中悬浮性有机物的处理设施，属于初级的</w:t>
            </w:r>
            <w:r>
              <w:rPr>
                <w:rFonts w:hint="eastAsia" w:cs="Times New Roman"/>
                <w:color w:val="000000" w:themeColor="text1"/>
                <w:sz w:val="24"/>
                <w:szCs w:val="24"/>
                <w:highlight w:val="none"/>
                <w:lang w:eastAsia="zh-CN"/>
                <w14:textFill>
                  <w14:solidFill>
                    <w14:schemeClr w14:val="tx1"/>
                  </w14:solidFill>
                </w14:textFill>
              </w:rPr>
              <w:t>过渡型</w:t>
            </w:r>
            <w:r>
              <w:rPr>
                <w:rFonts w:hint="default" w:ascii="Times New Roman" w:hAnsi="Times New Roman" w:eastAsia="宋体" w:cs="Times New Roman"/>
                <w:color w:val="000000" w:themeColor="text1"/>
                <w:sz w:val="24"/>
                <w:szCs w:val="24"/>
                <w:highlight w:val="none"/>
                <w14:textFill>
                  <w14:solidFill>
                    <w14:schemeClr w14:val="tx1"/>
                  </w14:solidFill>
                </w14:textFill>
              </w:rPr>
              <w:t>生活处理构筑物。污水进入化粪池经过12</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24h的沉淀，可去除</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50%～60%</w:t>
            </w:r>
            <w:r>
              <w:rPr>
                <w:rFonts w:hint="default" w:ascii="Times New Roman" w:hAnsi="Times New Roman" w:eastAsia="宋体" w:cs="Times New Roman"/>
                <w:color w:val="000000" w:themeColor="text1"/>
                <w:sz w:val="24"/>
                <w:szCs w:val="24"/>
                <w:highlight w:val="none"/>
                <w14:textFill>
                  <w14:solidFill>
                    <w14:schemeClr w14:val="tx1"/>
                  </w14:solidFill>
                </w14:textFill>
              </w:rPr>
              <w:t>的悬浮物。沉淀下来的污泥经过3个月以上的厌氧发酵分解，使污泥中的有机物分解成稳定的无机物，易腐败的生污泥转化为稳定的熟污泥，改变了污泥的结构，降低了污泥的含水率。定期将污泥清掏外运，填埋或用作肥料。</w:t>
            </w:r>
          </w:p>
          <w:p w14:paraId="4370439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本次评价不考虑化粪池对生活污水中污染物的处理效率，外排废水水质为pH6~9、COD400mg/L、BOD₅300mg/L、SS250mg/L、氨氮35mg/L</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满足污水处理厂废水水质接纳标准</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pH6~9、</w:t>
            </w:r>
            <w:r>
              <w:rPr>
                <w:rFonts w:hint="eastAsia" w:ascii="Times New Roman" w:hAnsi="Times New Roman" w:cs="Times New Roman"/>
                <w:color w:val="000000" w:themeColor="text1"/>
                <w:sz w:val="24"/>
                <w:szCs w:val="24"/>
                <w:highlight w:val="none"/>
                <w:lang w:eastAsia="zh-CN"/>
                <w14:textFill>
                  <w14:solidFill>
                    <w14:schemeClr w14:val="tx1"/>
                  </w14:solidFill>
                </w14:textFill>
              </w:rPr>
              <w:t>COD</w:t>
            </w:r>
            <w:r>
              <w:rPr>
                <w:rFonts w:hint="eastAsia" w:cs="Times New Roman"/>
                <w:color w:val="000000" w:themeColor="text1"/>
                <w:sz w:val="24"/>
                <w:szCs w:val="24"/>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z w:val="24"/>
                <w:szCs w:val="24"/>
                <w:highlight w:val="none"/>
                <w14:textFill>
                  <w14:solidFill>
                    <w14:schemeClr w14:val="tx1"/>
                  </w14:solidFill>
                </w14:textFill>
              </w:rPr>
              <w:t>00mg/L、BOD</w:t>
            </w:r>
            <w:r>
              <w:rPr>
                <w:rFonts w:hint="default"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5</w:t>
            </w:r>
            <w:r>
              <w:rPr>
                <w:rFonts w:hint="eastAsia" w:cs="Times New Roman"/>
                <w:color w:val="000000" w:themeColor="text1"/>
                <w:sz w:val="24"/>
                <w:szCs w:val="24"/>
                <w:highlight w:val="none"/>
                <w:lang w:val="en-US" w:eastAsia="zh-CN"/>
                <w14:textFill>
                  <w14:solidFill>
                    <w14:schemeClr w14:val="tx1"/>
                  </w14:solidFill>
                </w14:textFill>
              </w:rPr>
              <w:t>12</w:t>
            </w:r>
            <w:r>
              <w:rPr>
                <w:rFonts w:hint="default" w:ascii="Times New Roman" w:hAnsi="Times New Roman" w:eastAsia="宋体" w:cs="Times New Roman"/>
                <w:color w:val="000000" w:themeColor="text1"/>
                <w:sz w:val="24"/>
                <w:szCs w:val="24"/>
                <w:highlight w:val="none"/>
                <w14:textFill>
                  <w14:solidFill>
                    <w14:schemeClr w14:val="tx1"/>
                  </w14:solidFill>
                </w14:textFill>
              </w:rPr>
              <w:t>00mg/L、SS</w:t>
            </w:r>
            <w:r>
              <w:rPr>
                <w:rFonts w:hint="eastAsia" w:cs="Times New Roman"/>
                <w:color w:val="000000" w:themeColor="text1"/>
                <w:sz w:val="24"/>
                <w:szCs w:val="24"/>
                <w:highlight w:val="none"/>
                <w:lang w:val="en-US" w:eastAsia="zh-CN"/>
                <w14:textFill>
                  <w14:solidFill>
                    <w14:schemeClr w14:val="tx1"/>
                  </w14:solidFill>
                </w14:textFill>
              </w:rPr>
              <w:t>17</w:t>
            </w:r>
            <w:r>
              <w:rPr>
                <w:rFonts w:hint="default" w:ascii="Times New Roman" w:hAnsi="Times New Roman" w:eastAsia="宋体" w:cs="Times New Roman"/>
                <w:color w:val="000000" w:themeColor="text1"/>
                <w:sz w:val="24"/>
                <w:szCs w:val="24"/>
                <w:highlight w:val="none"/>
                <w14:textFill>
                  <w14:solidFill>
                    <w14:schemeClr w14:val="tx1"/>
                  </w14:solidFill>
                </w14:textFill>
              </w:rPr>
              <w:t>0mg/L</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及接管</w:t>
            </w:r>
            <w:r>
              <w:rPr>
                <w:rFonts w:hint="default" w:ascii="Times New Roman" w:hAnsi="Times New Roman" w:eastAsia="宋体" w:cs="Times New Roman"/>
                <w:color w:val="000000" w:themeColor="text1"/>
                <w:sz w:val="24"/>
                <w:szCs w:val="24"/>
                <w:highlight w:val="none"/>
                <w14:textFill>
                  <w14:solidFill>
                    <w14:schemeClr w14:val="tx1"/>
                  </w14:solidFill>
                </w14:textFill>
              </w:rPr>
              <w:t>标准，达标排放。</w:t>
            </w:r>
          </w:p>
          <w:p w14:paraId="0BE02B4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本项目生活污水主要为职工如厕、洗浴废水、餐饮废水，废水水质为常规生活污水水质，污染物成分较为简单，采用</w:t>
            </w:r>
            <w:r>
              <w:rPr>
                <w:rFonts w:hint="eastAsia" w:cs="Times New Roman"/>
                <w:color w:val="000000" w:themeColor="text1"/>
                <w:sz w:val="24"/>
                <w:szCs w:val="24"/>
                <w:highlight w:val="none"/>
                <w:lang w:val="en-US" w:eastAsia="zh-CN"/>
                <w14:textFill>
                  <w14:solidFill>
                    <w14:schemeClr w14:val="tx1"/>
                  </w14:solidFill>
                </w14:textFill>
              </w:rPr>
              <w:t>防渗</w:t>
            </w:r>
            <w:r>
              <w:rPr>
                <w:rFonts w:hint="default" w:ascii="Times New Roman" w:hAnsi="Times New Roman" w:eastAsia="宋体" w:cs="Times New Roman"/>
                <w:color w:val="000000" w:themeColor="text1"/>
                <w:sz w:val="24"/>
                <w:szCs w:val="24"/>
                <w:highlight w:val="none"/>
                <w14:textFill>
                  <w14:solidFill>
                    <w14:schemeClr w14:val="tx1"/>
                  </w14:solidFill>
                </w14:textFill>
              </w:rPr>
              <w:t>化粪池</w:t>
            </w:r>
            <w:r>
              <w:rPr>
                <w:rFonts w:hint="eastAsia" w:cs="Times New Roman"/>
                <w:color w:val="000000" w:themeColor="text1"/>
                <w:sz w:val="24"/>
                <w:szCs w:val="24"/>
                <w:highlight w:val="none"/>
                <w:lang w:val="en-US" w:eastAsia="zh-CN"/>
                <w14:textFill>
                  <w14:solidFill>
                    <w14:schemeClr w14:val="tx1"/>
                  </w14:solidFill>
                </w14:textFill>
              </w:rPr>
              <w:t>暂存</w:t>
            </w:r>
            <w:r>
              <w:rPr>
                <w:rFonts w:hint="default" w:ascii="Times New Roman" w:hAnsi="Times New Roman" w:eastAsia="宋体" w:cs="Times New Roman"/>
                <w:color w:val="000000" w:themeColor="text1"/>
                <w:sz w:val="24"/>
                <w:szCs w:val="24"/>
                <w:highlight w:val="none"/>
                <w14:textFill>
                  <w14:solidFill>
                    <w14:schemeClr w14:val="tx1"/>
                  </w14:solidFill>
                </w14:textFill>
              </w:rPr>
              <w:t>处理后水质满足污水处理厂废水水质接纳标准。</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本项目</w:t>
            </w:r>
            <w:r>
              <w:rPr>
                <w:rFonts w:hint="default" w:ascii="Times New Roman" w:hAnsi="Times New Roman" w:eastAsia="宋体" w:cs="Times New Roman"/>
                <w:color w:val="000000" w:themeColor="text1"/>
                <w:sz w:val="24"/>
                <w:szCs w:val="24"/>
                <w:highlight w:val="none"/>
                <w14:textFill>
                  <w14:solidFill>
                    <w14:schemeClr w14:val="tx1"/>
                  </w14:solidFill>
                </w14:textFill>
              </w:rPr>
              <w:t>废水的产生和排放情况见</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下表</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p>
          <w:p w14:paraId="0E5A7962">
            <w:pPr>
              <w:ind w:firstLine="482" w:firstLineChars="20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表</w:t>
            </w: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4-1</w:t>
            </w:r>
            <w:r>
              <w:rPr>
                <w:rFonts w:hint="eastAsia" w:cs="Times New Roman"/>
                <w:b/>
                <w:bCs/>
                <w:color w:val="000000" w:themeColor="text1"/>
                <w:sz w:val="24"/>
                <w:highlight w:val="none"/>
                <w:lang w:val="en-US" w:eastAsia="zh-CN"/>
                <w14:textFill>
                  <w14:solidFill>
                    <w14:schemeClr w14:val="tx1"/>
                  </w14:solidFill>
                </w14:textFill>
              </w:rPr>
              <w:t>5</w:t>
            </w:r>
            <w:r>
              <w:rPr>
                <w:rFonts w:hint="default" w:ascii="Times New Roman" w:hAnsi="Times New Roman" w:eastAsia="宋体" w:cs="Times New Roman"/>
                <w:b/>
                <w:bCs/>
                <w:color w:val="000000" w:themeColor="text1"/>
                <w:sz w:val="24"/>
                <w:highlight w:val="none"/>
                <w14:textFill>
                  <w14:solidFill>
                    <w14:schemeClr w14:val="tx1"/>
                  </w14:solidFill>
                </w14:textFill>
              </w:rPr>
              <w:t>废</w:t>
            </w:r>
            <w:r>
              <w:rPr>
                <w:rFonts w:hint="default" w:ascii="Times New Roman" w:hAnsi="Times New Roman" w:cs="Times New Roman"/>
                <w:b/>
                <w:bCs/>
                <w:color w:val="000000" w:themeColor="text1"/>
                <w:sz w:val="24"/>
                <w:highlight w:val="none"/>
                <w14:textFill>
                  <w14:solidFill>
                    <w14:schemeClr w14:val="tx1"/>
                  </w14:solidFill>
                </w14:textFill>
              </w:rPr>
              <w:t>水产生及排放情况一览表</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6"/>
              <w:gridCol w:w="798"/>
              <w:gridCol w:w="651"/>
              <w:gridCol w:w="735"/>
              <w:gridCol w:w="1069"/>
              <w:gridCol w:w="715"/>
              <w:gridCol w:w="760"/>
              <w:gridCol w:w="738"/>
              <w:gridCol w:w="708"/>
              <w:gridCol w:w="1303"/>
            </w:tblGrid>
            <w:tr w14:paraId="221C8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66" w:type="dxa"/>
                  <w:vMerge w:val="restart"/>
                  <w:noWrap w:val="0"/>
                  <w:vAlign w:val="center"/>
                </w:tcPr>
                <w:p w14:paraId="021B658B">
                  <w:pPr>
                    <w:spacing w:line="240" w:lineRule="exact"/>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废水类别</w:t>
                  </w:r>
                </w:p>
              </w:tc>
              <w:tc>
                <w:tcPr>
                  <w:tcW w:w="797" w:type="dxa"/>
                  <w:vMerge w:val="restart"/>
                  <w:noWrap w:val="0"/>
                  <w:vAlign w:val="center"/>
                </w:tcPr>
                <w:p w14:paraId="2F95E5B3">
                  <w:pPr>
                    <w:spacing w:line="240" w:lineRule="exact"/>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污染物种类</w:t>
                  </w:r>
                </w:p>
              </w:tc>
              <w:tc>
                <w:tcPr>
                  <w:tcW w:w="650" w:type="dxa"/>
                  <w:vMerge w:val="restart"/>
                  <w:noWrap w:val="0"/>
                  <w:vAlign w:val="center"/>
                </w:tcPr>
                <w:p w14:paraId="2EEB3605">
                  <w:pPr>
                    <w:spacing w:line="220" w:lineRule="exact"/>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废水产生量m³/a</w:t>
                  </w:r>
                </w:p>
              </w:tc>
              <w:tc>
                <w:tcPr>
                  <w:tcW w:w="734" w:type="dxa"/>
                  <w:vMerge w:val="restart"/>
                  <w:noWrap w:val="0"/>
                  <w:vAlign w:val="center"/>
                </w:tcPr>
                <w:p w14:paraId="61E3CDF1">
                  <w:pPr>
                    <w:spacing w:line="240" w:lineRule="exact"/>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产生</w:t>
                  </w:r>
                </w:p>
                <w:p w14:paraId="4464CDED">
                  <w:pPr>
                    <w:spacing w:line="240" w:lineRule="exact"/>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浓度mg/L</w:t>
                  </w:r>
                </w:p>
              </w:tc>
              <w:tc>
                <w:tcPr>
                  <w:tcW w:w="1068" w:type="dxa"/>
                  <w:vMerge w:val="restart"/>
                  <w:noWrap w:val="0"/>
                  <w:vAlign w:val="center"/>
                </w:tcPr>
                <w:p w14:paraId="77CC8190">
                  <w:pPr>
                    <w:spacing w:line="240" w:lineRule="exact"/>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污染治理设施工艺</w:t>
                  </w:r>
                </w:p>
              </w:tc>
              <w:tc>
                <w:tcPr>
                  <w:tcW w:w="714" w:type="dxa"/>
                  <w:vMerge w:val="restart"/>
                  <w:noWrap w:val="0"/>
                  <w:vAlign w:val="center"/>
                </w:tcPr>
                <w:p w14:paraId="5BFECAD2">
                  <w:pPr>
                    <w:spacing w:line="240" w:lineRule="exact"/>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治理效率%</w:t>
                  </w:r>
                </w:p>
              </w:tc>
              <w:tc>
                <w:tcPr>
                  <w:tcW w:w="759" w:type="dxa"/>
                  <w:vMerge w:val="restart"/>
                  <w:noWrap w:val="0"/>
                  <w:vAlign w:val="center"/>
                </w:tcPr>
                <w:p w14:paraId="3F5979FB">
                  <w:pPr>
                    <w:spacing w:line="240" w:lineRule="exact"/>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废水排放量m³/a</w:t>
                  </w:r>
                </w:p>
              </w:tc>
              <w:tc>
                <w:tcPr>
                  <w:tcW w:w="1444" w:type="dxa"/>
                  <w:gridSpan w:val="2"/>
                  <w:noWrap w:val="0"/>
                  <w:vAlign w:val="center"/>
                </w:tcPr>
                <w:p w14:paraId="5A064688">
                  <w:pPr>
                    <w:spacing w:line="240" w:lineRule="exact"/>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污染物</w:t>
                  </w:r>
                </w:p>
              </w:tc>
              <w:tc>
                <w:tcPr>
                  <w:tcW w:w="1301" w:type="dxa"/>
                  <w:vMerge w:val="restart"/>
                  <w:noWrap w:val="0"/>
                  <w:vAlign w:val="center"/>
                </w:tcPr>
                <w:p w14:paraId="5D14EFA7">
                  <w:pPr>
                    <w:tabs>
                      <w:tab w:val="left" w:pos="447"/>
                      <w:tab w:val="center" w:pos="760"/>
                    </w:tabs>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排放</w:t>
                  </w:r>
                </w:p>
                <w:p w14:paraId="7DFEFC2F">
                  <w:pPr>
                    <w:tabs>
                      <w:tab w:val="left" w:pos="447"/>
                      <w:tab w:val="center" w:pos="760"/>
                    </w:tabs>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标准</w:t>
                  </w:r>
                </w:p>
              </w:tc>
            </w:tr>
            <w:tr w14:paraId="754C5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66" w:type="dxa"/>
                  <w:vMerge w:val="continue"/>
                  <w:noWrap w:val="0"/>
                  <w:vAlign w:val="center"/>
                </w:tcPr>
                <w:p w14:paraId="22D28178">
                  <w:pPr>
                    <w:spacing w:line="240" w:lineRule="exact"/>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797" w:type="dxa"/>
                  <w:vMerge w:val="continue"/>
                  <w:noWrap w:val="0"/>
                  <w:vAlign w:val="center"/>
                </w:tcPr>
                <w:p w14:paraId="1ABB646F">
                  <w:pPr>
                    <w:spacing w:line="240" w:lineRule="exact"/>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650" w:type="dxa"/>
                  <w:vMerge w:val="continue"/>
                  <w:noWrap w:val="0"/>
                  <w:vAlign w:val="center"/>
                </w:tcPr>
                <w:p w14:paraId="267D9B9C">
                  <w:pPr>
                    <w:spacing w:line="240" w:lineRule="exact"/>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734" w:type="dxa"/>
                  <w:vMerge w:val="continue"/>
                  <w:noWrap w:val="0"/>
                  <w:vAlign w:val="center"/>
                </w:tcPr>
                <w:p w14:paraId="36CC78F9">
                  <w:pPr>
                    <w:spacing w:line="240" w:lineRule="exact"/>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1068" w:type="dxa"/>
                  <w:vMerge w:val="continue"/>
                  <w:noWrap w:val="0"/>
                  <w:vAlign w:val="center"/>
                </w:tcPr>
                <w:p w14:paraId="4D7EC977">
                  <w:pPr>
                    <w:spacing w:line="240" w:lineRule="exact"/>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714" w:type="dxa"/>
                  <w:vMerge w:val="continue"/>
                  <w:noWrap w:val="0"/>
                  <w:vAlign w:val="center"/>
                </w:tcPr>
                <w:p w14:paraId="3B56E561">
                  <w:pPr>
                    <w:spacing w:line="240" w:lineRule="exact"/>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759" w:type="dxa"/>
                  <w:vMerge w:val="continue"/>
                  <w:noWrap w:val="0"/>
                  <w:vAlign w:val="center"/>
                </w:tcPr>
                <w:p w14:paraId="122FC95C">
                  <w:pPr>
                    <w:spacing w:line="240" w:lineRule="exact"/>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737" w:type="dxa"/>
                  <w:noWrap w:val="0"/>
                  <w:vAlign w:val="center"/>
                </w:tcPr>
                <w:p w14:paraId="56ABD0C3">
                  <w:pPr>
                    <w:spacing w:line="240" w:lineRule="exact"/>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排放</w:t>
                  </w:r>
                </w:p>
                <w:p w14:paraId="431E19C3">
                  <w:pPr>
                    <w:spacing w:line="240" w:lineRule="exact"/>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浓度mg/L</w:t>
                  </w:r>
                </w:p>
              </w:tc>
              <w:tc>
                <w:tcPr>
                  <w:tcW w:w="707" w:type="dxa"/>
                  <w:noWrap w:val="0"/>
                  <w:vAlign w:val="center"/>
                </w:tcPr>
                <w:p w14:paraId="75ABEB90">
                  <w:pPr>
                    <w:spacing w:line="240" w:lineRule="exact"/>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排放量</w:t>
                  </w:r>
                </w:p>
                <w:p w14:paraId="4CC309EF">
                  <w:pPr>
                    <w:spacing w:line="240" w:lineRule="exact"/>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t/a</w:t>
                  </w:r>
                </w:p>
              </w:tc>
              <w:tc>
                <w:tcPr>
                  <w:tcW w:w="1301" w:type="dxa"/>
                  <w:vMerge w:val="continue"/>
                  <w:noWrap w:val="0"/>
                  <w:vAlign w:val="center"/>
                </w:tcPr>
                <w:p w14:paraId="48F63CCD">
                  <w:pPr>
                    <w:spacing w:line="240" w:lineRule="exact"/>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r>
            <w:tr w14:paraId="456B6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66" w:type="dxa"/>
                  <w:vMerge w:val="restart"/>
                  <w:noWrap w:val="0"/>
                  <w:vAlign w:val="center"/>
                </w:tcPr>
                <w:p w14:paraId="569E9D40">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生活</w:t>
                  </w:r>
                </w:p>
                <w:p w14:paraId="453EB0DE">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污水</w:t>
                  </w:r>
                </w:p>
              </w:tc>
              <w:tc>
                <w:tcPr>
                  <w:tcW w:w="797" w:type="dxa"/>
                  <w:noWrap w:val="0"/>
                  <w:vAlign w:val="center"/>
                </w:tcPr>
                <w:p w14:paraId="181AE35E">
                  <w:pPr>
                    <w:pStyle w:val="76"/>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eastAsia="zh-CN"/>
                      <w14:textFill>
                        <w14:solidFill>
                          <w14:schemeClr w14:val="tx1"/>
                        </w14:solidFill>
                      </w14:textFill>
                    </w:rPr>
                    <w:t>COD</w:t>
                  </w:r>
                </w:p>
              </w:tc>
              <w:tc>
                <w:tcPr>
                  <w:tcW w:w="650" w:type="dxa"/>
                  <w:vMerge w:val="restart"/>
                  <w:noWrap w:val="0"/>
                  <w:vAlign w:val="center"/>
                </w:tcPr>
                <w:p w14:paraId="7C31D978">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630</w:t>
                  </w:r>
                </w:p>
              </w:tc>
              <w:tc>
                <w:tcPr>
                  <w:tcW w:w="734" w:type="dxa"/>
                  <w:noWrap w:val="0"/>
                  <w:vAlign w:val="center"/>
                </w:tcPr>
                <w:p w14:paraId="3CAFFCC3">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400</w:t>
                  </w:r>
                </w:p>
              </w:tc>
              <w:tc>
                <w:tcPr>
                  <w:tcW w:w="1068" w:type="dxa"/>
                  <w:vMerge w:val="restart"/>
                  <w:noWrap w:val="0"/>
                  <w:vAlign w:val="center"/>
                </w:tcPr>
                <w:p w14:paraId="7DD3501F">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经化粪池</w:t>
                  </w: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收集</w:t>
                  </w:r>
                  <w:r>
                    <w:rPr>
                      <w:rFonts w:hint="default" w:ascii="Times New Roman" w:hAnsi="Times New Roman" w:cs="Times New Roman"/>
                      <w:b w:val="0"/>
                      <w:bCs w:val="0"/>
                      <w:color w:val="000000" w:themeColor="text1"/>
                      <w:sz w:val="21"/>
                      <w:szCs w:val="21"/>
                      <w:highlight w:val="none"/>
                      <w14:textFill>
                        <w14:solidFill>
                          <w14:schemeClr w14:val="tx1"/>
                        </w14:solidFill>
                      </w14:textFill>
                    </w:rPr>
                    <w:t>后，通过</w:t>
                  </w:r>
                  <w:r>
                    <w:rPr>
                      <w:rFonts w:hint="eastAsia" w:cs="Times New Roman"/>
                      <w:color w:val="000000" w:themeColor="text1"/>
                      <w:sz w:val="24"/>
                      <w:szCs w:val="24"/>
                      <w:highlight w:val="none"/>
                      <w:lang w:val="en-US" w:eastAsia="zh-CN"/>
                      <w14:textFill>
                        <w14:solidFill>
                          <w14:schemeClr w14:val="tx1"/>
                        </w14:solidFill>
                      </w14:textFill>
                    </w:rPr>
                    <w:t>罐车拉运至</w:t>
                  </w:r>
                  <w:r>
                    <w:rPr>
                      <w:rFonts w:hint="default" w:ascii="Times New Roman" w:hAnsi="Times New Roman" w:cs="Times New Roman"/>
                      <w:b w:val="0"/>
                      <w:bCs w:val="0"/>
                      <w:color w:val="000000" w:themeColor="text1"/>
                      <w:sz w:val="21"/>
                      <w:szCs w:val="21"/>
                      <w:highlight w:val="none"/>
                      <w14:textFill>
                        <w14:solidFill>
                          <w14:schemeClr w14:val="tx1"/>
                        </w14:solidFill>
                      </w14:textFill>
                    </w:rPr>
                    <w:t>园区污水处理厂</w:t>
                  </w:r>
                </w:p>
              </w:tc>
              <w:tc>
                <w:tcPr>
                  <w:tcW w:w="714" w:type="dxa"/>
                  <w:noWrap w:val="0"/>
                  <w:vAlign w:val="center"/>
                </w:tcPr>
                <w:p w14:paraId="5154D47A">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15</w:t>
                  </w:r>
                </w:p>
              </w:tc>
              <w:tc>
                <w:tcPr>
                  <w:tcW w:w="759" w:type="dxa"/>
                  <w:vMerge w:val="restart"/>
                  <w:noWrap w:val="0"/>
                  <w:vAlign w:val="center"/>
                </w:tcPr>
                <w:p w14:paraId="3C70C323">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504</w:t>
                  </w:r>
                </w:p>
              </w:tc>
              <w:tc>
                <w:tcPr>
                  <w:tcW w:w="737" w:type="dxa"/>
                  <w:noWrap w:val="0"/>
                  <w:vAlign w:val="center"/>
                </w:tcPr>
                <w:p w14:paraId="253D5F86">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340</w:t>
                  </w:r>
                </w:p>
              </w:tc>
              <w:tc>
                <w:tcPr>
                  <w:tcW w:w="707" w:type="dxa"/>
                  <w:noWrap w:val="0"/>
                  <w:vAlign w:val="center"/>
                </w:tcPr>
                <w:p w14:paraId="5B58AC3F">
                  <w:pPr>
                    <w:widowControl/>
                    <w:jc w:val="center"/>
                    <w:textAlignment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0.1</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5</w:t>
                  </w:r>
                </w:p>
              </w:tc>
              <w:tc>
                <w:tcPr>
                  <w:tcW w:w="1301" w:type="dxa"/>
                  <w:vMerge w:val="restart"/>
                  <w:noWrap w:val="0"/>
                  <w:vAlign w:val="center"/>
                </w:tcPr>
                <w:p w14:paraId="12DF7351">
                  <w:pPr>
                    <w:jc w:val="both"/>
                    <w:rPr>
                      <w:rFonts w:hint="default" w:ascii="Times New Roman" w:hAnsi="Times New Roman" w:cs="Times New Roman"/>
                      <w:b w:val="0"/>
                      <w:bCs w:val="0"/>
                      <w:color w:val="000000" w:themeColor="text1"/>
                      <w:sz w:val="21"/>
                      <w:szCs w:val="21"/>
                      <w:highlight w:val="none"/>
                      <w:lang w:val="en-US"/>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园区污水处理厂进水水质要求，详见3-</w:t>
                  </w:r>
                  <w:r>
                    <w:rPr>
                      <w:rFonts w:hint="eastAsia" w:cs="Times New Roman"/>
                      <w:color w:val="000000" w:themeColor="text1"/>
                      <w:szCs w:val="21"/>
                      <w:highlight w:val="none"/>
                      <w:lang w:val="en-US" w:eastAsia="zh-CN"/>
                      <w14:textFill>
                        <w14:solidFill>
                          <w14:schemeClr w14:val="tx1"/>
                        </w14:solidFill>
                      </w14:textFill>
                    </w:rPr>
                    <w:t>25</w:t>
                  </w:r>
                </w:p>
              </w:tc>
            </w:tr>
            <w:tr w14:paraId="5DD25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66" w:type="dxa"/>
                  <w:vMerge w:val="continue"/>
                  <w:noWrap w:val="0"/>
                  <w:vAlign w:val="center"/>
                </w:tcPr>
                <w:p w14:paraId="3896D038">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797" w:type="dxa"/>
                  <w:noWrap w:val="0"/>
                  <w:vAlign w:val="center"/>
                </w:tcPr>
                <w:p w14:paraId="2354ED88">
                  <w:pPr>
                    <w:pStyle w:val="76"/>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BOD</w:t>
                  </w:r>
                  <w:r>
                    <w:rPr>
                      <w:rFonts w:hint="default" w:ascii="Times New Roman" w:hAnsi="Times New Roman" w:cs="Times New Roman"/>
                      <w:b w:val="0"/>
                      <w:bCs w:val="0"/>
                      <w:color w:val="000000" w:themeColor="text1"/>
                      <w:sz w:val="21"/>
                      <w:szCs w:val="21"/>
                      <w:highlight w:val="none"/>
                      <w:vertAlign w:val="subscript"/>
                      <w14:textFill>
                        <w14:solidFill>
                          <w14:schemeClr w14:val="tx1"/>
                        </w14:solidFill>
                      </w14:textFill>
                    </w:rPr>
                    <w:t>5</w:t>
                  </w:r>
                </w:p>
              </w:tc>
              <w:tc>
                <w:tcPr>
                  <w:tcW w:w="650" w:type="dxa"/>
                  <w:vMerge w:val="continue"/>
                  <w:noWrap w:val="0"/>
                  <w:vAlign w:val="center"/>
                </w:tcPr>
                <w:p w14:paraId="031BBC8E">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734" w:type="dxa"/>
                  <w:noWrap w:val="0"/>
                  <w:vAlign w:val="center"/>
                </w:tcPr>
                <w:p w14:paraId="77E85598">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200</w:t>
                  </w:r>
                </w:p>
              </w:tc>
              <w:tc>
                <w:tcPr>
                  <w:tcW w:w="1068" w:type="dxa"/>
                  <w:vMerge w:val="continue"/>
                  <w:noWrap w:val="0"/>
                  <w:vAlign w:val="center"/>
                </w:tcPr>
                <w:p w14:paraId="6E834C5C">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714" w:type="dxa"/>
                  <w:noWrap w:val="0"/>
                  <w:vAlign w:val="center"/>
                </w:tcPr>
                <w:p w14:paraId="1693BCC6">
                  <w:pPr>
                    <w:pStyle w:val="107"/>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10</w:t>
                  </w:r>
                </w:p>
              </w:tc>
              <w:tc>
                <w:tcPr>
                  <w:tcW w:w="759" w:type="dxa"/>
                  <w:vMerge w:val="continue"/>
                  <w:noWrap w:val="0"/>
                  <w:vAlign w:val="center"/>
                </w:tcPr>
                <w:p w14:paraId="18984924">
                  <w:pPr>
                    <w:pStyle w:val="107"/>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737" w:type="dxa"/>
                  <w:noWrap w:val="0"/>
                  <w:vAlign w:val="center"/>
                </w:tcPr>
                <w:p w14:paraId="46EE3CD0">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180</w:t>
                  </w:r>
                </w:p>
              </w:tc>
              <w:tc>
                <w:tcPr>
                  <w:tcW w:w="707" w:type="dxa"/>
                  <w:noWrap w:val="0"/>
                  <w:vAlign w:val="center"/>
                </w:tcPr>
                <w:p w14:paraId="07E57455">
                  <w:pPr>
                    <w:widowControl/>
                    <w:jc w:val="center"/>
                    <w:textAlignment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0.0</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8</w:t>
                  </w:r>
                </w:p>
              </w:tc>
              <w:tc>
                <w:tcPr>
                  <w:tcW w:w="1301" w:type="dxa"/>
                  <w:vMerge w:val="continue"/>
                  <w:noWrap w:val="0"/>
                  <w:vAlign w:val="center"/>
                </w:tcPr>
                <w:p w14:paraId="79BF2FE9">
                  <w:pPr>
                    <w:widowControl/>
                    <w:jc w:val="center"/>
                    <w:textAlignment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r>
            <w:tr w14:paraId="230ED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66" w:type="dxa"/>
                  <w:vMerge w:val="continue"/>
                  <w:noWrap w:val="0"/>
                  <w:vAlign w:val="center"/>
                </w:tcPr>
                <w:p w14:paraId="010B4D58">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797" w:type="dxa"/>
                  <w:noWrap w:val="0"/>
                  <w:vAlign w:val="center"/>
                </w:tcPr>
                <w:p w14:paraId="71FCFE45">
                  <w:pPr>
                    <w:pStyle w:val="76"/>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SS</w:t>
                  </w:r>
                </w:p>
              </w:tc>
              <w:tc>
                <w:tcPr>
                  <w:tcW w:w="650" w:type="dxa"/>
                  <w:vMerge w:val="continue"/>
                  <w:noWrap w:val="0"/>
                  <w:vAlign w:val="center"/>
                </w:tcPr>
                <w:p w14:paraId="64610507">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734" w:type="dxa"/>
                  <w:noWrap w:val="0"/>
                  <w:vAlign w:val="center"/>
                </w:tcPr>
                <w:p w14:paraId="31E58C9C">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220</w:t>
                  </w:r>
                </w:p>
              </w:tc>
              <w:tc>
                <w:tcPr>
                  <w:tcW w:w="1068" w:type="dxa"/>
                  <w:vMerge w:val="continue"/>
                  <w:noWrap w:val="0"/>
                  <w:vAlign w:val="center"/>
                </w:tcPr>
                <w:p w14:paraId="1ED18F4A">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714" w:type="dxa"/>
                  <w:noWrap w:val="0"/>
                  <w:vAlign w:val="center"/>
                </w:tcPr>
                <w:p w14:paraId="2DA2B619">
                  <w:pPr>
                    <w:pStyle w:val="107"/>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30</w:t>
                  </w:r>
                </w:p>
              </w:tc>
              <w:tc>
                <w:tcPr>
                  <w:tcW w:w="759" w:type="dxa"/>
                  <w:vMerge w:val="continue"/>
                  <w:noWrap w:val="0"/>
                  <w:vAlign w:val="center"/>
                </w:tcPr>
                <w:p w14:paraId="423FEE2F">
                  <w:pPr>
                    <w:pStyle w:val="107"/>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737" w:type="dxa"/>
                  <w:noWrap w:val="0"/>
                  <w:vAlign w:val="center"/>
                </w:tcPr>
                <w:p w14:paraId="60AA17FA">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154</w:t>
                  </w:r>
                </w:p>
              </w:tc>
              <w:tc>
                <w:tcPr>
                  <w:tcW w:w="707" w:type="dxa"/>
                  <w:noWrap w:val="0"/>
                  <w:vAlign w:val="center"/>
                </w:tcPr>
                <w:p w14:paraId="7795342D">
                  <w:pPr>
                    <w:widowControl/>
                    <w:jc w:val="center"/>
                    <w:textAlignment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0.0</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7</w:t>
                  </w:r>
                </w:p>
              </w:tc>
              <w:tc>
                <w:tcPr>
                  <w:tcW w:w="1301" w:type="dxa"/>
                  <w:vMerge w:val="continue"/>
                  <w:noWrap w:val="0"/>
                  <w:vAlign w:val="center"/>
                </w:tcPr>
                <w:p w14:paraId="686B50A3">
                  <w:pPr>
                    <w:widowControl/>
                    <w:jc w:val="center"/>
                    <w:textAlignment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r>
            <w:tr w14:paraId="4C0E5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466" w:type="dxa"/>
                  <w:vMerge w:val="continue"/>
                  <w:noWrap w:val="0"/>
                  <w:vAlign w:val="center"/>
                </w:tcPr>
                <w:p w14:paraId="6B7EA25D">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797" w:type="dxa"/>
                  <w:noWrap w:val="0"/>
                  <w:vAlign w:val="center"/>
                </w:tcPr>
                <w:p w14:paraId="35575206">
                  <w:pPr>
                    <w:pStyle w:val="76"/>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pH</w:t>
                  </w:r>
                </w:p>
              </w:tc>
              <w:tc>
                <w:tcPr>
                  <w:tcW w:w="650" w:type="dxa"/>
                  <w:vMerge w:val="continue"/>
                  <w:noWrap w:val="0"/>
                  <w:vAlign w:val="center"/>
                </w:tcPr>
                <w:p w14:paraId="661C1333">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734" w:type="dxa"/>
                  <w:noWrap w:val="0"/>
                  <w:vAlign w:val="center"/>
                </w:tcPr>
                <w:p w14:paraId="5CEE5FEE">
                  <w:pPr>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6~</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9</w:t>
                  </w:r>
                </w:p>
              </w:tc>
              <w:tc>
                <w:tcPr>
                  <w:tcW w:w="1068" w:type="dxa"/>
                  <w:vMerge w:val="continue"/>
                  <w:noWrap w:val="0"/>
                  <w:vAlign w:val="center"/>
                </w:tcPr>
                <w:p w14:paraId="1B687567">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714" w:type="dxa"/>
                  <w:noWrap w:val="0"/>
                  <w:vAlign w:val="center"/>
                </w:tcPr>
                <w:p w14:paraId="7C8EA765">
                  <w:pPr>
                    <w:pStyle w:val="107"/>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w:t>
                  </w:r>
                </w:p>
              </w:tc>
              <w:tc>
                <w:tcPr>
                  <w:tcW w:w="759" w:type="dxa"/>
                  <w:vMerge w:val="continue"/>
                  <w:noWrap w:val="0"/>
                  <w:vAlign w:val="center"/>
                </w:tcPr>
                <w:p w14:paraId="6BEBF890">
                  <w:pPr>
                    <w:pStyle w:val="107"/>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737" w:type="dxa"/>
                  <w:noWrap w:val="0"/>
                  <w:vAlign w:val="center"/>
                </w:tcPr>
                <w:p w14:paraId="6517A6D1">
                  <w:pPr>
                    <w:jc w:val="center"/>
                    <w:rPr>
                      <w:rFonts w:hint="default" w:ascii="Times New Roman" w:hAnsi="Times New Roman"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6~</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9</w:t>
                  </w:r>
                </w:p>
              </w:tc>
              <w:tc>
                <w:tcPr>
                  <w:tcW w:w="707" w:type="dxa"/>
                  <w:noWrap w:val="0"/>
                  <w:vAlign w:val="center"/>
                </w:tcPr>
                <w:p w14:paraId="7366B1A8">
                  <w:pPr>
                    <w:widowControl/>
                    <w:jc w:val="center"/>
                    <w:textAlignment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kern w:val="2"/>
                      <w:sz w:val="21"/>
                      <w:szCs w:val="21"/>
                      <w:highlight w:val="none"/>
                      <w:lang w:val="en-US" w:eastAsia="zh-CN" w:bidi="ar-SA"/>
                      <w14:textFill>
                        <w14:solidFill>
                          <w14:schemeClr w14:val="tx1"/>
                        </w14:solidFill>
                      </w14:textFill>
                    </w:rPr>
                    <w:t>/</w:t>
                  </w:r>
                </w:p>
              </w:tc>
              <w:tc>
                <w:tcPr>
                  <w:tcW w:w="1301" w:type="dxa"/>
                  <w:vMerge w:val="continue"/>
                  <w:noWrap w:val="0"/>
                  <w:vAlign w:val="center"/>
                </w:tcPr>
                <w:p w14:paraId="025203CD">
                  <w:pPr>
                    <w:widowControl/>
                    <w:jc w:val="center"/>
                    <w:textAlignment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r>
          </w:tbl>
          <w:p w14:paraId="4A092A7B">
            <w:pPr>
              <w:spacing w:before="120" w:beforeLines="50" w:line="360" w:lineRule="auto"/>
              <w:ind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排放口基本信息及监测要求</w:t>
            </w:r>
          </w:p>
          <w:p w14:paraId="154235FA">
            <w:pPr>
              <w:ind w:firstLine="482" w:firstLineChars="200"/>
              <w:jc w:val="center"/>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表</w:t>
            </w: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4-1</w:t>
            </w:r>
            <w:r>
              <w:rPr>
                <w:rFonts w:hint="eastAsia" w:cs="Times New Roman"/>
                <w:b/>
                <w:bCs/>
                <w:color w:val="000000" w:themeColor="text1"/>
                <w:sz w:val="24"/>
                <w:highlight w:val="none"/>
                <w:lang w:val="en-US" w:eastAsia="zh-CN"/>
                <w14:textFill>
                  <w14:solidFill>
                    <w14:schemeClr w14:val="tx1"/>
                  </w14:solidFill>
                </w14:textFill>
              </w:rPr>
              <w:t>6</w:t>
            </w:r>
            <w:r>
              <w:rPr>
                <w:rFonts w:hint="default" w:ascii="Times New Roman" w:hAnsi="Times New Roman" w:eastAsia="宋体" w:cs="Times New Roman"/>
                <w:b/>
                <w:bCs/>
                <w:color w:val="000000" w:themeColor="text1"/>
                <w:sz w:val="24"/>
                <w:highlight w:val="none"/>
                <w14:textFill>
                  <w14:solidFill>
                    <w14:schemeClr w14:val="tx1"/>
                  </w14:solidFill>
                </w14:textFill>
              </w:rPr>
              <w:t>废水排放口基本情况及监测要求</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1"/>
              <w:gridCol w:w="987"/>
              <w:gridCol w:w="1564"/>
              <w:gridCol w:w="1668"/>
              <w:gridCol w:w="1001"/>
              <w:gridCol w:w="1193"/>
              <w:gridCol w:w="649"/>
            </w:tblGrid>
            <w:tr w14:paraId="54834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04" w:type="dxa"/>
                  <w:noWrap w:val="0"/>
                  <w:vAlign w:val="center"/>
                </w:tcPr>
                <w:p w14:paraId="3F1D301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编号</w:t>
                  </w:r>
                </w:p>
              </w:tc>
              <w:tc>
                <w:tcPr>
                  <w:tcW w:w="1028" w:type="dxa"/>
                  <w:noWrap w:val="0"/>
                  <w:vAlign w:val="center"/>
                </w:tcPr>
                <w:p w14:paraId="78183CA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名称</w:t>
                  </w:r>
                </w:p>
              </w:tc>
              <w:tc>
                <w:tcPr>
                  <w:tcW w:w="1646" w:type="dxa"/>
                  <w:noWrap w:val="0"/>
                  <w:vAlign w:val="center"/>
                </w:tcPr>
                <w:p w14:paraId="47284B6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排放去向</w:t>
                  </w:r>
                </w:p>
              </w:tc>
              <w:tc>
                <w:tcPr>
                  <w:tcW w:w="1742" w:type="dxa"/>
                  <w:noWrap w:val="0"/>
                  <w:vAlign w:val="center"/>
                </w:tcPr>
                <w:p w14:paraId="3B122B6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排放标准</w:t>
                  </w:r>
                </w:p>
              </w:tc>
              <w:tc>
                <w:tcPr>
                  <w:tcW w:w="1042" w:type="dxa"/>
                  <w:noWrap w:val="0"/>
                  <w:vAlign w:val="center"/>
                </w:tcPr>
                <w:p w14:paraId="548AEC4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监测</w:t>
                  </w:r>
                </w:p>
                <w:p w14:paraId="1009D54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点位</w:t>
                  </w:r>
                </w:p>
              </w:tc>
              <w:tc>
                <w:tcPr>
                  <w:tcW w:w="1206" w:type="dxa"/>
                  <w:noWrap w:val="0"/>
                  <w:vAlign w:val="center"/>
                </w:tcPr>
                <w:p w14:paraId="10CDCC8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监测因子</w:t>
                  </w:r>
                </w:p>
              </w:tc>
              <w:tc>
                <w:tcPr>
                  <w:tcW w:w="665" w:type="dxa"/>
                  <w:noWrap w:val="0"/>
                  <w:vAlign w:val="center"/>
                </w:tcPr>
                <w:p w14:paraId="1E355BA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监测频次</w:t>
                  </w:r>
                </w:p>
              </w:tc>
            </w:tr>
            <w:tr w14:paraId="45551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604" w:type="dxa"/>
                  <w:noWrap w:val="0"/>
                  <w:vAlign w:val="center"/>
                </w:tcPr>
                <w:p w14:paraId="1E6D1AF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000000" w:themeColor="text1"/>
                      <w:sz w:val="21"/>
                      <w:szCs w:val="21"/>
                      <w:highlight w:val="none"/>
                      <w:lang w:val="en-US"/>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DW001</w:t>
                  </w:r>
                </w:p>
              </w:tc>
              <w:tc>
                <w:tcPr>
                  <w:tcW w:w="1028" w:type="dxa"/>
                  <w:noWrap w:val="0"/>
                  <w:vAlign w:val="center"/>
                </w:tcPr>
                <w:p w14:paraId="5478EBE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生活污水排放口</w:t>
                  </w:r>
                </w:p>
              </w:tc>
              <w:tc>
                <w:tcPr>
                  <w:tcW w:w="1646" w:type="dxa"/>
                  <w:noWrap w:val="0"/>
                  <w:vAlign w:val="center"/>
                </w:tcPr>
                <w:p w14:paraId="7FE4100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经</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防渗</w:t>
                  </w:r>
                  <w:r>
                    <w:rPr>
                      <w:rFonts w:hint="default" w:ascii="Times New Roman" w:hAnsi="Times New Roman" w:cs="Times New Roman"/>
                      <w:b w:val="0"/>
                      <w:bCs w:val="0"/>
                      <w:color w:val="000000" w:themeColor="text1"/>
                      <w:sz w:val="21"/>
                      <w:szCs w:val="21"/>
                      <w:highlight w:val="none"/>
                      <w14:textFill>
                        <w14:solidFill>
                          <w14:schemeClr w14:val="tx1"/>
                        </w14:solidFill>
                      </w14:textFill>
                    </w:rPr>
                    <w:t>化粪池</w:t>
                  </w: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收集</w:t>
                  </w:r>
                  <w:r>
                    <w:rPr>
                      <w:rFonts w:hint="default" w:ascii="Times New Roman" w:hAnsi="Times New Roman" w:cs="Times New Roman"/>
                      <w:b w:val="0"/>
                      <w:bCs w:val="0"/>
                      <w:color w:val="000000" w:themeColor="text1"/>
                      <w:sz w:val="21"/>
                      <w:szCs w:val="21"/>
                      <w:highlight w:val="none"/>
                      <w14:textFill>
                        <w14:solidFill>
                          <w14:schemeClr w14:val="tx1"/>
                        </w14:solidFill>
                      </w14:textFill>
                    </w:rPr>
                    <w:t>后通过</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罐车拉运至</w:t>
                  </w: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进</w:t>
                  </w:r>
                  <w:r>
                    <w:rPr>
                      <w:rFonts w:hint="default" w:ascii="Times New Roman" w:hAnsi="Times New Roman" w:cs="Times New Roman"/>
                      <w:b w:val="0"/>
                      <w:bCs w:val="0"/>
                      <w:color w:val="000000" w:themeColor="text1"/>
                      <w:sz w:val="21"/>
                      <w:szCs w:val="21"/>
                      <w:highlight w:val="none"/>
                      <w14:textFill>
                        <w14:solidFill>
                          <w14:schemeClr w14:val="tx1"/>
                        </w14:solidFill>
                      </w14:textFill>
                    </w:rPr>
                    <w:t>入园区污水处理厂</w:t>
                  </w:r>
                </w:p>
              </w:tc>
              <w:tc>
                <w:tcPr>
                  <w:tcW w:w="1742" w:type="dxa"/>
                  <w:noWrap w:val="0"/>
                  <w:vAlign w:val="center"/>
                </w:tcPr>
                <w:p w14:paraId="049B803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000000" w:themeColor="text1"/>
                      <w:sz w:val="21"/>
                      <w:szCs w:val="21"/>
                      <w:highlight w:val="none"/>
                      <w:lang w:val="en-US"/>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污水处理厂废水水质接纳标准</w:t>
                  </w:r>
                  <w:r>
                    <w:rPr>
                      <w:rFonts w:hint="eastAsia" w:cs="Times New Roman"/>
                      <w:b w:val="0"/>
                      <w:bCs w:val="0"/>
                      <w:color w:val="000000" w:themeColor="text1"/>
                      <w:sz w:val="21"/>
                      <w:szCs w:val="21"/>
                      <w:highlight w:val="none"/>
                      <w:lang w:val="en-US" w:eastAsia="zh-CN"/>
                      <w14:textFill>
                        <w14:solidFill>
                          <w14:schemeClr w14:val="tx1"/>
                        </w14:solidFill>
                      </w14:textFill>
                    </w:rPr>
                    <w:t>，</w:t>
                  </w:r>
                  <w:r>
                    <w:rPr>
                      <w:rFonts w:hint="eastAsia" w:ascii="Times New Roman" w:hAnsi="Times New Roman" w:cs="Times New Roman"/>
                      <w:color w:val="000000" w:themeColor="text1"/>
                      <w:szCs w:val="21"/>
                      <w:highlight w:val="none"/>
                      <w:lang w:val="en-US" w:eastAsia="zh-CN"/>
                      <w14:textFill>
                        <w14:solidFill>
                          <w14:schemeClr w14:val="tx1"/>
                        </w14:solidFill>
                      </w14:textFill>
                    </w:rPr>
                    <w:t>详见3-</w:t>
                  </w:r>
                  <w:r>
                    <w:rPr>
                      <w:rFonts w:hint="eastAsia" w:cs="Times New Roman"/>
                      <w:color w:val="000000" w:themeColor="text1"/>
                      <w:szCs w:val="21"/>
                      <w:highlight w:val="none"/>
                      <w:lang w:val="en-US" w:eastAsia="zh-CN"/>
                      <w14:textFill>
                        <w14:solidFill>
                          <w14:schemeClr w14:val="tx1"/>
                        </w14:solidFill>
                      </w14:textFill>
                    </w:rPr>
                    <w:t>25</w:t>
                  </w:r>
                </w:p>
              </w:tc>
              <w:tc>
                <w:tcPr>
                  <w:tcW w:w="1042" w:type="dxa"/>
                  <w:noWrap w:val="0"/>
                  <w:vAlign w:val="center"/>
                </w:tcPr>
                <w:p w14:paraId="2433F48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生活污水排放口</w:t>
                  </w:r>
                </w:p>
              </w:tc>
              <w:tc>
                <w:tcPr>
                  <w:tcW w:w="1206" w:type="dxa"/>
                  <w:noWrap w:val="0"/>
                  <w:vAlign w:val="center"/>
                </w:tcPr>
                <w:p w14:paraId="0E30EF6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COD、</w:t>
                  </w:r>
                </w:p>
                <w:p w14:paraId="5292DE8C">
                  <w:pPr>
                    <w:pStyle w:val="48"/>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000000" w:themeColor="text1"/>
                      <w:sz w:val="21"/>
                      <w:szCs w:val="21"/>
                      <w:highlight w:val="none"/>
                      <w:vertAlign w:val="subscript"/>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NH</w:t>
                  </w:r>
                  <w:r>
                    <w:rPr>
                      <w:rFonts w:hint="default" w:ascii="Times New Roman" w:hAnsi="Times New Roman" w:cs="Times New Roman"/>
                      <w:b w:val="0"/>
                      <w:bCs w:val="0"/>
                      <w:color w:val="000000" w:themeColor="text1"/>
                      <w:sz w:val="21"/>
                      <w:szCs w:val="21"/>
                      <w:highlight w:val="none"/>
                      <w:vertAlign w:val="subscript"/>
                      <w14:textFill>
                        <w14:solidFill>
                          <w14:schemeClr w14:val="tx1"/>
                        </w14:solidFill>
                      </w14:textFill>
                    </w:rPr>
                    <w:t>3</w:t>
                  </w:r>
                  <w:r>
                    <w:rPr>
                      <w:rFonts w:hint="default" w:ascii="Times New Roman" w:hAnsi="Times New Roman" w:cs="Times New Roman"/>
                      <w:b w:val="0"/>
                      <w:bCs w:val="0"/>
                      <w:color w:val="000000" w:themeColor="text1"/>
                      <w:sz w:val="21"/>
                      <w:szCs w:val="21"/>
                      <w:highlight w:val="none"/>
                      <w14:textFill>
                        <w14:solidFill>
                          <w14:schemeClr w14:val="tx1"/>
                        </w14:solidFill>
                      </w14:textFill>
                    </w:rPr>
                    <w:t>-N、SS、BOD</w:t>
                  </w:r>
                  <w:r>
                    <w:rPr>
                      <w:rFonts w:hint="default" w:ascii="Times New Roman" w:hAnsi="Times New Roman" w:cs="Times New Roman"/>
                      <w:b w:val="0"/>
                      <w:bCs w:val="0"/>
                      <w:color w:val="000000" w:themeColor="text1"/>
                      <w:sz w:val="21"/>
                      <w:szCs w:val="21"/>
                      <w:highlight w:val="none"/>
                      <w:vertAlign w:val="subscript"/>
                      <w14:textFill>
                        <w14:solidFill>
                          <w14:schemeClr w14:val="tx1"/>
                        </w14:solidFill>
                      </w14:textFill>
                    </w:rPr>
                    <w:t>5</w:t>
                  </w:r>
                </w:p>
                <w:p w14:paraId="57B2C6D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pH</w:t>
                  </w:r>
                </w:p>
              </w:tc>
              <w:tc>
                <w:tcPr>
                  <w:tcW w:w="665" w:type="dxa"/>
                  <w:noWrap w:val="0"/>
                  <w:vAlign w:val="center"/>
                </w:tcPr>
                <w:p w14:paraId="3E054BF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1季度/次</w:t>
                  </w:r>
                </w:p>
              </w:tc>
            </w:tr>
          </w:tbl>
          <w:p w14:paraId="2727FB4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s="Times New Roman"/>
                <w:color w:val="000000" w:themeColor="text1"/>
                <w:sz w:val="24"/>
                <w:szCs w:val="24"/>
                <w:highlight w:val="none"/>
                <w:lang w:eastAsia="zh-CN"/>
                <w14:textFill>
                  <w14:solidFill>
                    <w14:schemeClr w14:val="tx1"/>
                  </w14:solidFill>
                </w14:textFill>
              </w:rPr>
            </w:pPr>
            <w:r>
              <w:rPr>
                <w:rFonts w:hint="eastAsia" w:cs="Times New Roman"/>
                <w:color w:val="000000" w:themeColor="text1"/>
                <w:sz w:val="24"/>
                <w:szCs w:val="24"/>
                <w:highlight w:val="none"/>
                <w:lang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3</w:t>
            </w:r>
            <w:r>
              <w:rPr>
                <w:rFonts w:hint="eastAsia" w:cs="Times New Roman"/>
                <w:color w:val="000000" w:themeColor="text1"/>
                <w:sz w:val="24"/>
                <w:szCs w:val="24"/>
                <w:highlight w:val="none"/>
                <w:lang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废水排入园区污水处理厂可行性分析</w:t>
            </w:r>
          </w:p>
          <w:p w14:paraId="5648BE4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宋体" w:hAnsi="宋体" w:cs="宋体"/>
                <w:color w:val="000000" w:themeColor="text1"/>
                <w:kern w:val="0"/>
                <w:sz w:val="24"/>
                <w:szCs w:val="24"/>
                <w:highlight w:val="none"/>
                <w:lang w:val="en-US" w:eastAsia="zh-CN" w:bidi="ar"/>
                <w14:textFill>
                  <w14:solidFill>
                    <w14:schemeClr w14:val="tx1"/>
                  </w14:solidFill>
                </w14:textFill>
              </w:rPr>
              <w:t>准格尔旗准伊热电有限责任公司污水处理厂</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目前污水处理规模</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5000m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/d</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，处理工艺采用水解酸化法＋多段</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A</w:t>
            </w:r>
            <w:r>
              <w:rPr>
                <w:rFonts w:hint="eastAsia"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O</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处理工艺。出水水质达到《城镇污水处理厂污染物排放标准》</w:t>
            </w:r>
            <w:r>
              <w:rPr>
                <w:rFonts w:hint="eastAsia"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GB18918-2002</w:t>
            </w:r>
            <w:r>
              <w:rPr>
                <w:rFonts w:hint="eastAsia"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一级</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A</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标准。</w:t>
            </w:r>
          </w:p>
          <w:p w14:paraId="030D030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准格尔旗准伊热电有限责任公司污水处理厂</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进水水质指标与本项目出水水质指标对比情况见</w:t>
            </w:r>
            <w:r>
              <w:rPr>
                <w:rFonts w:hint="eastAsia" w:cs="Times New Roman"/>
                <w:color w:val="000000" w:themeColor="text1"/>
                <w:sz w:val="24"/>
                <w:szCs w:val="24"/>
                <w:highlight w:val="none"/>
                <w:lang w:val="en-US" w:eastAsia="zh-CN"/>
                <w14:textFill>
                  <w14:solidFill>
                    <w14:schemeClr w14:val="tx1"/>
                  </w14:solidFill>
                </w14:textFill>
              </w:rPr>
              <w:t>下</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表。</w:t>
            </w:r>
          </w:p>
          <w:p w14:paraId="568CE467">
            <w:pPr>
              <w:keepNext w:val="0"/>
              <w:keepLines w:val="0"/>
              <w:widowControl/>
              <w:suppressLineNumbers w:val="0"/>
              <w:jc w:val="center"/>
              <w:rPr>
                <w:rFonts w:hint="eastAsia" w:ascii="宋体" w:hAnsi="宋体" w:eastAsia="宋体" w:cs="宋体"/>
                <w:color w:val="000000" w:themeColor="text1"/>
                <w:kern w:val="0"/>
                <w:sz w:val="24"/>
                <w:szCs w:val="24"/>
                <w:highlight w:val="none"/>
                <w:vertAlign w:val="baseline"/>
                <w:lang w:val="en-US" w:eastAsia="zh-CN" w:bidi="ar"/>
                <w14:textFill>
                  <w14:solidFill>
                    <w14:schemeClr w14:val="tx1"/>
                  </w14:solidFill>
                </w14:textFill>
              </w:rPr>
            </w:pPr>
            <w:r>
              <w:rPr>
                <w:rFonts w:hint="eastAsia" w:ascii="宋体" w:hAnsi="宋体" w:eastAsia="宋体" w:cs="宋体"/>
                <w:b/>
                <w:bCs/>
                <w:color w:val="000000" w:themeColor="text1"/>
                <w:kern w:val="0"/>
                <w:sz w:val="24"/>
                <w:szCs w:val="24"/>
                <w:highlight w:val="none"/>
                <w:lang w:val="en-US" w:eastAsia="zh-CN" w:bidi="ar"/>
                <w14:textFill>
                  <w14:solidFill>
                    <w14:schemeClr w14:val="tx1"/>
                  </w14:solidFill>
                </w14:textFill>
              </w:rPr>
              <w:t>表</w:t>
            </w:r>
            <w:r>
              <w:rPr>
                <w:rFonts w:hint="default"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4-</w:t>
            </w:r>
            <w:r>
              <w:rPr>
                <w:rFonts w:hint="eastAsia"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1</w:t>
            </w:r>
            <w:r>
              <w:rPr>
                <w:rFonts w:hint="eastAsia" w:cs="Times New Roman"/>
                <w:b/>
                <w:bCs/>
                <w:color w:val="000000" w:themeColor="text1"/>
                <w:kern w:val="0"/>
                <w:sz w:val="24"/>
                <w:szCs w:val="24"/>
                <w:highlight w:val="none"/>
                <w:lang w:val="en-US" w:eastAsia="zh-CN" w:bidi="ar"/>
                <w14:textFill>
                  <w14:solidFill>
                    <w14:schemeClr w14:val="tx1"/>
                  </w14:solidFill>
                </w14:textFill>
              </w:rPr>
              <w:t>7</w:t>
            </w:r>
            <w:r>
              <w:rPr>
                <w:rFonts w:hint="eastAsia" w:ascii="Times New Roman" w:hAnsi="Times New Roman" w:eastAsia="宋体" w:cs="Times New Roman"/>
                <w:b/>
                <w:bCs/>
                <w:color w:val="000000" w:themeColor="text1"/>
                <w:kern w:val="0"/>
                <w:sz w:val="24"/>
                <w:szCs w:val="24"/>
                <w:highlight w:val="none"/>
                <w:lang w:val="en-US" w:eastAsia="zh-CN" w:bidi="ar"/>
                <w14:textFill>
                  <w14:solidFill>
                    <w14:schemeClr w14:val="tx1"/>
                  </w14:solidFill>
                </w14:textFill>
              </w:rPr>
              <w:t>进水水质指标与本项目出水水质指标对比情况</w:t>
            </w:r>
            <w:r>
              <w:rPr>
                <w:rFonts w:hint="eastAsia" w:cs="Times New Roman"/>
                <w:b/>
                <w:bCs/>
                <w:color w:val="000000" w:themeColor="text1"/>
                <w:kern w:val="0"/>
                <w:sz w:val="24"/>
                <w:szCs w:val="24"/>
                <w:highlight w:val="none"/>
                <w:lang w:val="en-US" w:eastAsia="zh-CN" w:bidi="ar"/>
                <w14:textFill>
                  <w14:solidFill>
                    <w14:schemeClr w14:val="tx1"/>
                  </w14:solidFill>
                </w14:textFill>
              </w:rPr>
              <w:t>单位：</w:t>
            </w:r>
            <w: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t>mg/l</w:t>
            </w:r>
          </w:p>
          <w:tbl>
            <w:tblPr>
              <w:tblStyle w:val="25"/>
              <w:tblW w:w="7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43"/>
              <w:gridCol w:w="1435"/>
              <w:gridCol w:w="1589"/>
              <w:gridCol w:w="1589"/>
              <w:gridCol w:w="1590"/>
            </w:tblGrid>
            <w:tr w14:paraId="16AB10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3" w:type="dxa"/>
                </w:tcPr>
                <w:p w14:paraId="76F45917">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t>污染物</w:t>
                  </w:r>
                </w:p>
              </w:tc>
              <w:tc>
                <w:tcPr>
                  <w:tcW w:w="1435" w:type="dxa"/>
                </w:tcPr>
                <w:p w14:paraId="1EF7BB6C">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t>COD</w:t>
                  </w:r>
                </w:p>
              </w:tc>
              <w:tc>
                <w:tcPr>
                  <w:tcW w:w="1589" w:type="dxa"/>
                </w:tcPr>
                <w:p w14:paraId="775F46A6">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pPr>
                  <w:r>
                    <w:rPr>
                      <w:rFonts w:hint="default" w:ascii="Times New Roman" w:hAnsi="Times New Roman" w:cs="Times New Roman"/>
                      <w:color w:val="000000" w:themeColor="text1"/>
                      <w:kern w:val="0"/>
                      <w:sz w:val="21"/>
                      <w:szCs w:val="21"/>
                      <w:highlight w:val="none"/>
                      <w:vertAlign w:val="baseline"/>
                      <w:lang w:val="en-US" w:eastAsia="zh-CN" w:bidi="ar"/>
                      <w14:textFill>
                        <w14:solidFill>
                          <w14:schemeClr w14:val="tx1"/>
                        </w14:solidFill>
                      </w14:textFill>
                    </w:rPr>
                    <w:t>BOD</w:t>
                  </w:r>
                  <w:r>
                    <w:rPr>
                      <w:rFonts w:hint="default" w:ascii="Times New Roman" w:hAnsi="Times New Roman" w:cs="Times New Roman"/>
                      <w:color w:val="000000" w:themeColor="text1"/>
                      <w:kern w:val="0"/>
                      <w:sz w:val="21"/>
                      <w:szCs w:val="21"/>
                      <w:highlight w:val="none"/>
                      <w:vertAlign w:val="subscript"/>
                      <w:lang w:val="en-US" w:eastAsia="zh-CN" w:bidi="ar"/>
                      <w14:textFill>
                        <w14:solidFill>
                          <w14:schemeClr w14:val="tx1"/>
                        </w14:solidFill>
                      </w14:textFill>
                    </w:rPr>
                    <w:t>5</w:t>
                  </w:r>
                </w:p>
              </w:tc>
              <w:tc>
                <w:tcPr>
                  <w:tcW w:w="1589" w:type="dxa"/>
                </w:tcPr>
                <w:p w14:paraId="60FEDB0C">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pPr>
                  <w:r>
                    <w:rPr>
                      <w:rFonts w:hint="default" w:ascii="Times New Roman" w:hAnsi="Times New Roman" w:cs="Times New Roman"/>
                      <w:color w:val="000000" w:themeColor="text1"/>
                      <w:kern w:val="0"/>
                      <w:sz w:val="21"/>
                      <w:szCs w:val="21"/>
                      <w:highlight w:val="none"/>
                      <w:vertAlign w:val="baseline"/>
                      <w:lang w:val="en-US" w:eastAsia="zh-CN" w:bidi="ar"/>
                      <w14:textFill>
                        <w14:solidFill>
                          <w14:schemeClr w14:val="tx1"/>
                        </w14:solidFill>
                      </w14:textFill>
                    </w:rPr>
                    <w:t>SS</w:t>
                  </w:r>
                </w:p>
              </w:tc>
              <w:tc>
                <w:tcPr>
                  <w:tcW w:w="1590" w:type="dxa"/>
                </w:tcPr>
                <w:p w14:paraId="18D4B658">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t>pH</w:t>
                  </w:r>
                  <w:r>
                    <w:rPr>
                      <w:rFonts w:hint="eastAsia" w:cs="Times New Roman"/>
                      <w:color w:val="000000" w:themeColor="text1"/>
                      <w:kern w:val="0"/>
                      <w:sz w:val="21"/>
                      <w:szCs w:val="21"/>
                      <w:highlight w:val="none"/>
                      <w:vertAlign w:val="baseline"/>
                      <w:lang w:val="en-US" w:eastAsia="zh-CN" w:bidi="ar"/>
                      <w14:textFill>
                        <w14:solidFill>
                          <w14:schemeClr w14:val="tx1"/>
                        </w14:solidFill>
                      </w14:textFill>
                    </w:rPr>
                    <w:t>（无量纲）</w:t>
                  </w:r>
                </w:p>
              </w:tc>
            </w:tr>
            <w:tr w14:paraId="7B301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3" w:type="dxa"/>
                </w:tcPr>
                <w:p w14:paraId="0163528A">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t>设计进厂水质</w:t>
                  </w:r>
                </w:p>
              </w:tc>
              <w:tc>
                <w:tcPr>
                  <w:tcW w:w="1435" w:type="dxa"/>
                </w:tcPr>
                <w:p w14:paraId="3CADFA98">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t>800</w:t>
                  </w:r>
                </w:p>
              </w:tc>
              <w:tc>
                <w:tcPr>
                  <w:tcW w:w="1589" w:type="dxa"/>
                </w:tcPr>
                <w:p w14:paraId="2B4053A0">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t>330</w:t>
                  </w:r>
                </w:p>
              </w:tc>
              <w:tc>
                <w:tcPr>
                  <w:tcW w:w="1589" w:type="dxa"/>
                </w:tcPr>
                <w:p w14:paraId="4A239C5D">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t>400</w:t>
                  </w:r>
                </w:p>
              </w:tc>
              <w:tc>
                <w:tcPr>
                  <w:tcW w:w="1590" w:type="dxa"/>
                </w:tcPr>
                <w:p w14:paraId="0140C5BF">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t>6~9</w:t>
                  </w:r>
                </w:p>
              </w:tc>
            </w:tr>
            <w:tr w14:paraId="38577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3" w:type="dxa"/>
                </w:tcPr>
                <w:p w14:paraId="75668816">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t>本项目出水水质</w:t>
                  </w:r>
                </w:p>
              </w:tc>
              <w:tc>
                <w:tcPr>
                  <w:tcW w:w="1435" w:type="dxa"/>
                </w:tcPr>
                <w:p w14:paraId="40BA0DC1">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t>400</w:t>
                  </w:r>
                </w:p>
              </w:tc>
              <w:tc>
                <w:tcPr>
                  <w:tcW w:w="1589" w:type="dxa"/>
                </w:tcPr>
                <w:p w14:paraId="427C3593">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t>200</w:t>
                  </w:r>
                </w:p>
              </w:tc>
              <w:tc>
                <w:tcPr>
                  <w:tcW w:w="1589" w:type="dxa"/>
                </w:tcPr>
                <w:p w14:paraId="6E30EC20">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t>220</w:t>
                  </w:r>
                </w:p>
              </w:tc>
              <w:tc>
                <w:tcPr>
                  <w:tcW w:w="1590" w:type="dxa"/>
                </w:tcPr>
                <w:p w14:paraId="1F9CD4CB">
                  <w:pPr>
                    <w:keepNext w:val="0"/>
                    <w:keepLines w:val="0"/>
                    <w:widowControl/>
                    <w:suppressLineNumbers w:val="0"/>
                    <w:jc w:val="cente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vertAlign w:val="baseline"/>
                      <w:lang w:val="en-US" w:eastAsia="zh-CN" w:bidi="ar"/>
                      <w14:textFill>
                        <w14:solidFill>
                          <w14:schemeClr w14:val="tx1"/>
                        </w14:solidFill>
                      </w14:textFill>
                    </w:rPr>
                    <w:t>9</w:t>
                  </w:r>
                </w:p>
              </w:tc>
            </w:tr>
          </w:tbl>
          <w:p w14:paraId="78D8DAD3">
            <w:pPr>
              <w:pStyle w:val="8"/>
              <w:spacing w:line="360" w:lineRule="auto"/>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根据建设单位与园区废水处理协议，要求本项目进入准格尔旗准伊热电有限责任公司污水处理厂水质指标</w:t>
            </w:r>
            <w:r>
              <w:rPr>
                <w:rFonts w:hint="eastAsia" w:ascii="Times New Roman" w:hAnsi="Times New Roman" w:cs="Times New Roman"/>
                <w:color w:val="000000" w:themeColor="text1"/>
                <w:highlight w:val="none"/>
                <w:lang w:val="en-US" w:eastAsia="zh-CN"/>
                <w14:textFill>
                  <w14:solidFill>
                    <w14:schemeClr w14:val="tx1"/>
                  </w14:solidFill>
                </w14:textFill>
              </w:rPr>
              <w:t>如下</w:t>
            </w:r>
            <w:r>
              <w:rPr>
                <w:rFonts w:hint="default" w:ascii="Times New Roman" w:hAnsi="Times New Roman" w:cs="Times New Roman"/>
                <w:color w:val="000000" w:themeColor="text1"/>
                <w:highlight w:val="none"/>
                <w:lang w:val="en-US" w:eastAsia="zh-CN"/>
                <w14:textFill>
                  <w14:solidFill>
                    <w14:schemeClr w14:val="tx1"/>
                  </w14:solidFill>
                </w14:textFill>
              </w:rPr>
              <w:t>表。</w:t>
            </w:r>
          </w:p>
          <w:p w14:paraId="2ADB1B86">
            <w:pPr>
              <w:pStyle w:val="9"/>
              <w:keepNext w:val="0"/>
              <w:keepLines w:val="0"/>
              <w:pageBreakBefore w:val="0"/>
              <w:widowControl w:val="0"/>
              <w:kinsoku/>
              <w:wordWrap/>
              <w:overflowPunct/>
              <w:topLinePunct w:val="0"/>
              <w:autoSpaceDE/>
              <w:autoSpaceDN/>
              <w:bidi w:val="0"/>
              <w:adjustRightInd/>
              <w:snapToGrid/>
              <w:spacing w:after="0" w:line="240" w:lineRule="auto"/>
              <w:ind w:left="0" w:leftChars="0" w:firstLine="0"/>
              <w:jc w:val="center"/>
              <w:textAlignment w:val="auto"/>
              <w:rPr>
                <w:rFonts w:hint="default" w:ascii="Times New Roman" w:hAnsi="Times New Roman" w:cs="Times New Roman"/>
                <w:b/>
                <w:bCs/>
                <w:color w:val="000000" w:themeColor="text1"/>
                <w:highlight w:val="none"/>
                <w:lang w:val="en-US" w:eastAsia="zh-CN"/>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表</w:t>
            </w:r>
            <w:r>
              <w:rPr>
                <w:rFonts w:hint="eastAsia" w:cs="Times New Roman"/>
                <w:b/>
                <w:bCs/>
                <w:color w:val="000000" w:themeColor="text1"/>
                <w:highlight w:val="none"/>
                <w:lang w:val="en-US" w:eastAsia="zh-CN"/>
                <w14:textFill>
                  <w14:solidFill>
                    <w14:schemeClr w14:val="tx1"/>
                  </w14:solidFill>
                </w14:textFill>
              </w:rPr>
              <w:t>4</w:t>
            </w:r>
            <w:r>
              <w:rPr>
                <w:rFonts w:hint="default" w:ascii="Times New Roman" w:hAnsi="Times New Roman" w:cs="Times New Roman"/>
                <w:b/>
                <w:bCs/>
                <w:color w:val="000000" w:themeColor="text1"/>
                <w:highlight w:val="none"/>
                <w:lang w:val="en-US" w:eastAsia="zh-CN"/>
                <w14:textFill>
                  <w14:solidFill>
                    <w14:schemeClr w14:val="tx1"/>
                  </w14:solidFill>
                </w14:textFill>
              </w:rPr>
              <w:t>-</w:t>
            </w:r>
            <w:r>
              <w:rPr>
                <w:rFonts w:hint="eastAsia" w:cs="Times New Roman"/>
                <w:b/>
                <w:bCs/>
                <w:color w:val="000000" w:themeColor="text1"/>
                <w:highlight w:val="none"/>
                <w:lang w:val="en-US" w:eastAsia="zh-CN"/>
                <w14:textFill>
                  <w14:solidFill>
                    <w14:schemeClr w14:val="tx1"/>
                  </w14:solidFill>
                </w14:textFill>
              </w:rPr>
              <w:t>18</w:t>
            </w:r>
            <w:r>
              <w:rPr>
                <w:rFonts w:hint="default" w:ascii="Times New Roman" w:hAnsi="Times New Roman" w:cs="Times New Roman"/>
                <w:b/>
                <w:bCs/>
                <w:color w:val="000000" w:themeColor="text1"/>
                <w:highlight w:val="none"/>
                <w:lang w:val="en-US" w:eastAsia="zh-CN"/>
                <w14:textFill>
                  <w14:solidFill>
                    <w14:schemeClr w14:val="tx1"/>
                  </w14:solidFill>
                </w14:textFill>
              </w:rPr>
              <w:t>排污水水质需满足</w:t>
            </w:r>
            <w:r>
              <w:rPr>
                <w:rFonts w:hint="eastAsia" w:ascii="Times New Roman" w:hAnsi="Times New Roman" w:cs="Times New Roman"/>
                <w:b/>
                <w:bCs/>
                <w:color w:val="000000" w:themeColor="text1"/>
                <w:highlight w:val="none"/>
                <w:lang w:val="en-US" w:eastAsia="zh-CN"/>
                <w14:textFill>
                  <w14:solidFill>
                    <w14:schemeClr w14:val="tx1"/>
                  </w14:solidFill>
                </w14:textFill>
              </w:rPr>
              <w:t>污水处理厂</w:t>
            </w:r>
            <w:r>
              <w:rPr>
                <w:rFonts w:hint="default" w:ascii="Times New Roman" w:hAnsi="Times New Roman" w:cs="Times New Roman"/>
                <w:b/>
                <w:bCs/>
                <w:color w:val="000000" w:themeColor="text1"/>
                <w:highlight w:val="none"/>
                <w:lang w:val="en-US" w:eastAsia="zh-CN"/>
                <w14:textFill>
                  <w14:solidFill>
                    <w14:schemeClr w14:val="tx1"/>
                  </w14:solidFill>
                </w14:textFill>
              </w:rPr>
              <w:t>进水水质指标要求情况表</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27"/>
              <w:gridCol w:w="2700"/>
              <w:gridCol w:w="2519"/>
            </w:tblGrid>
            <w:tr w14:paraId="11EDF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6" w:type="dxa"/>
                </w:tcPr>
                <w:p w14:paraId="5C03E510">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项目</w:t>
                  </w:r>
                </w:p>
              </w:tc>
              <w:tc>
                <w:tcPr>
                  <w:tcW w:w="2796" w:type="dxa"/>
                </w:tcPr>
                <w:p w14:paraId="22203D10">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设计指标</w:t>
                  </w:r>
                </w:p>
              </w:tc>
              <w:tc>
                <w:tcPr>
                  <w:tcW w:w="2605" w:type="dxa"/>
                </w:tcPr>
                <w:p w14:paraId="2AC3E5AF">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单位</w:t>
                  </w:r>
                </w:p>
              </w:tc>
            </w:tr>
            <w:tr w14:paraId="0D8CE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6" w:type="dxa"/>
                </w:tcPr>
                <w:p w14:paraId="61AB9C15">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化学需氧量</w:t>
                  </w:r>
                  <w:r>
                    <w:rPr>
                      <w:rFonts w:hint="eastAsia" w:ascii="Times New Roman" w:hAnsi="Times New Roman" w:cs="Times New Roman"/>
                      <w:color w:val="000000" w:themeColor="text1"/>
                      <w:highlight w:val="none"/>
                      <w:vertAlign w:val="baseline"/>
                      <w:lang w:val="en-US" w:eastAsia="zh-CN"/>
                      <w14:textFill>
                        <w14:solidFill>
                          <w14:schemeClr w14:val="tx1"/>
                        </w14:solidFill>
                      </w14:textFill>
                    </w:rPr>
                    <w:t>（</w:t>
                  </w: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COD</w:t>
                  </w:r>
                  <w:r>
                    <w:rPr>
                      <w:rFonts w:hint="eastAsia" w:ascii="Times New Roman" w:hAnsi="Times New Roman" w:cs="Times New Roman"/>
                      <w:color w:val="000000" w:themeColor="text1"/>
                      <w:highlight w:val="none"/>
                      <w:vertAlign w:val="baseline"/>
                      <w:lang w:val="en-US" w:eastAsia="zh-CN"/>
                      <w14:textFill>
                        <w14:solidFill>
                          <w14:schemeClr w14:val="tx1"/>
                        </w14:solidFill>
                      </w14:textFill>
                    </w:rPr>
                    <w:t>）</w:t>
                  </w:r>
                </w:p>
              </w:tc>
              <w:tc>
                <w:tcPr>
                  <w:tcW w:w="2796" w:type="dxa"/>
                </w:tcPr>
                <w:p w14:paraId="48A438A4">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800</w:t>
                  </w:r>
                </w:p>
              </w:tc>
              <w:tc>
                <w:tcPr>
                  <w:tcW w:w="2605" w:type="dxa"/>
                </w:tcPr>
                <w:p w14:paraId="6EE4D1C2">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mg/L</w:t>
                  </w:r>
                </w:p>
              </w:tc>
            </w:tr>
            <w:tr w14:paraId="1463F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6" w:type="dxa"/>
                </w:tcPr>
                <w:p w14:paraId="0B92458D">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氨氮（NH</w:t>
                  </w:r>
                  <w:r>
                    <w:rPr>
                      <w:rFonts w:hint="default" w:ascii="Times New Roman" w:hAnsi="Times New Roman" w:cs="Times New Roman"/>
                      <w:color w:val="000000" w:themeColor="text1"/>
                      <w:highlight w:val="none"/>
                      <w:vertAlign w:val="subscript"/>
                      <w:lang w:val="en-US" w:eastAsia="zh-CN"/>
                      <w14:textFill>
                        <w14:solidFill>
                          <w14:schemeClr w14:val="tx1"/>
                        </w14:solidFill>
                      </w14:textFill>
                    </w:rPr>
                    <w:t>3</w:t>
                  </w: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-N</w:t>
                  </w:r>
                  <w:r>
                    <w:rPr>
                      <w:rFonts w:hint="eastAsia" w:ascii="Times New Roman" w:hAnsi="Times New Roman" w:cs="Times New Roman"/>
                      <w:color w:val="000000" w:themeColor="text1"/>
                      <w:highlight w:val="none"/>
                      <w:vertAlign w:val="baseline"/>
                      <w:lang w:val="en-US" w:eastAsia="zh-CN"/>
                      <w14:textFill>
                        <w14:solidFill>
                          <w14:schemeClr w14:val="tx1"/>
                        </w14:solidFill>
                      </w14:textFill>
                    </w:rPr>
                    <w:t>）</w:t>
                  </w:r>
                </w:p>
              </w:tc>
              <w:tc>
                <w:tcPr>
                  <w:tcW w:w="2796" w:type="dxa"/>
                </w:tcPr>
                <w:p w14:paraId="72F22F12">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300</w:t>
                  </w:r>
                </w:p>
              </w:tc>
              <w:tc>
                <w:tcPr>
                  <w:tcW w:w="2605" w:type="dxa"/>
                </w:tcPr>
                <w:p w14:paraId="0602018B">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mg/L</w:t>
                  </w:r>
                </w:p>
              </w:tc>
            </w:tr>
            <w:tr w14:paraId="4493C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6" w:type="dxa"/>
                </w:tcPr>
                <w:p w14:paraId="045E00E2">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悬浮物（SS）</w:t>
                  </w:r>
                </w:p>
              </w:tc>
              <w:tc>
                <w:tcPr>
                  <w:tcW w:w="2796" w:type="dxa"/>
                </w:tcPr>
                <w:p w14:paraId="1F4B7FD8">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170</w:t>
                  </w:r>
                </w:p>
              </w:tc>
              <w:tc>
                <w:tcPr>
                  <w:tcW w:w="2605" w:type="dxa"/>
                </w:tcPr>
                <w:p w14:paraId="3FE696F3">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mg/L</w:t>
                  </w:r>
                </w:p>
              </w:tc>
            </w:tr>
            <w:tr w14:paraId="1888D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6" w:type="dxa"/>
                </w:tcPr>
                <w:p w14:paraId="17324D25">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BOD</w:t>
                  </w:r>
                  <w:r>
                    <w:rPr>
                      <w:rFonts w:hint="default" w:ascii="Times New Roman" w:hAnsi="Times New Roman" w:cs="Times New Roman"/>
                      <w:color w:val="000000" w:themeColor="text1"/>
                      <w:highlight w:val="none"/>
                      <w:vertAlign w:val="subscript"/>
                      <w:lang w:val="en-US" w:eastAsia="zh-CN"/>
                      <w14:textFill>
                        <w14:solidFill>
                          <w14:schemeClr w14:val="tx1"/>
                        </w14:solidFill>
                      </w14:textFill>
                    </w:rPr>
                    <w:t>5</w:t>
                  </w:r>
                </w:p>
              </w:tc>
              <w:tc>
                <w:tcPr>
                  <w:tcW w:w="2796" w:type="dxa"/>
                </w:tcPr>
                <w:p w14:paraId="3830604F">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1200</w:t>
                  </w:r>
                </w:p>
              </w:tc>
              <w:tc>
                <w:tcPr>
                  <w:tcW w:w="2605" w:type="dxa"/>
                </w:tcPr>
                <w:p w14:paraId="216D7A22">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mg/L</w:t>
                  </w:r>
                </w:p>
              </w:tc>
            </w:tr>
            <w:tr w14:paraId="082E8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6" w:type="dxa"/>
                </w:tcPr>
                <w:p w14:paraId="38E7ED14">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PH</w:t>
                  </w:r>
                </w:p>
              </w:tc>
              <w:tc>
                <w:tcPr>
                  <w:tcW w:w="2796" w:type="dxa"/>
                </w:tcPr>
                <w:p w14:paraId="6A14B24F">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6-9</w:t>
                  </w:r>
                </w:p>
              </w:tc>
              <w:tc>
                <w:tcPr>
                  <w:tcW w:w="2605" w:type="dxa"/>
                </w:tcPr>
                <w:p w14:paraId="26DEA712">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w:t>
                  </w:r>
                </w:p>
              </w:tc>
            </w:tr>
            <w:tr w14:paraId="6949A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6" w:type="dxa"/>
                </w:tcPr>
                <w:p w14:paraId="54785081">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电导率</w:t>
                  </w:r>
                </w:p>
              </w:tc>
              <w:tc>
                <w:tcPr>
                  <w:tcW w:w="2796" w:type="dxa"/>
                </w:tcPr>
                <w:p w14:paraId="44191B20">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5000</w:t>
                  </w:r>
                </w:p>
              </w:tc>
              <w:tc>
                <w:tcPr>
                  <w:tcW w:w="2605" w:type="dxa"/>
                </w:tcPr>
                <w:p w14:paraId="0388D693">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mg/L</w:t>
                  </w:r>
                </w:p>
              </w:tc>
            </w:tr>
            <w:tr w14:paraId="2992D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6" w:type="dxa"/>
                </w:tcPr>
                <w:p w14:paraId="2356087B">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石油类</w:t>
                  </w:r>
                </w:p>
              </w:tc>
              <w:tc>
                <w:tcPr>
                  <w:tcW w:w="2796" w:type="dxa"/>
                </w:tcPr>
                <w:p w14:paraId="249D46F3">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10</w:t>
                  </w:r>
                </w:p>
              </w:tc>
              <w:tc>
                <w:tcPr>
                  <w:tcW w:w="2605" w:type="dxa"/>
                </w:tcPr>
                <w:p w14:paraId="1D458C02">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mg/L</w:t>
                  </w:r>
                </w:p>
              </w:tc>
            </w:tr>
            <w:tr w14:paraId="05C19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6" w:type="dxa"/>
                </w:tcPr>
                <w:p w14:paraId="23AF9939">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SO</w:t>
                  </w:r>
                  <w:r>
                    <w:rPr>
                      <w:rFonts w:hint="default" w:ascii="Times New Roman" w:hAnsi="Times New Roman" w:cs="Times New Roman"/>
                      <w:color w:val="000000" w:themeColor="text1"/>
                      <w:highlight w:val="none"/>
                      <w:vertAlign w:val="subscript"/>
                      <w:lang w:val="en-US" w:eastAsia="zh-CN"/>
                      <w14:textFill>
                        <w14:solidFill>
                          <w14:schemeClr w14:val="tx1"/>
                        </w14:solidFill>
                      </w14:textFill>
                    </w:rPr>
                    <w:t>4</w:t>
                  </w:r>
                  <w:r>
                    <w:rPr>
                      <w:rFonts w:hint="default" w:ascii="Times New Roman" w:hAnsi="Times New Roman" w:cs="Times New Roman"/>
                      <w:color w:val="000000" w:themeColor="text1"/>
                      <w:highlight w:val="none"/>
                      <w:vertAlign w:val="superscript"/>
                      <w:lang w:val="en-US" w:eastAsia="zh-CN"/>
                      <w14:textFill>
                        <w14:solidFill>
                          <w14:schemeClr w14:val="tx1"/>
                        </w14:solidFill>
                      </w14:textFill>
                    </w:rPr>
                    <w:t>2-</w:t>
                  </w:r>
                </w:p>
              </w:tc>
              <w:tc>
                <w:tcPr>
                  <w:tcW w:w="2796" w:type="dxa"/>
                </w:tcPr>
                <w:p w14:paraId="7772C77C">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1000</w:t>
                  </w:r>
                </w:p>
              </w:tc>
              <w:tc>
                <w:tcPr>
                  <w:tcW w:w="2605" w:type="dxa"/>
                </w:tcPr>
                <w:p w14:paraId="1AFE5CB0">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mg/L</w:t>
                  </w:r>
                </w:p>
              </w:tc>
            </w:tr>
            <w:tr w14:paraId="2039E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796" w:type="dxa"/>
                </w:tcPr>
                <w:p w14:paraId="2522F700">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挥发酚</w:t>
                  </w:r>
                </w:p>
              </w:tc>
              <w:tc>
                <w:tcPr>
                  <w:tcW w:w="2796" w:type="dxa"/>
                </w:tcPr>
                <w:p w14:paraId="40A60268">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20</w:t>
                  </w:r>
                </w:p>
              </w:tc>
              <w:tc>
                <w:tcPr>
                  <w:tcW w:w="2605" w:type="dxa"/>
                </w:tcPr>
                <w:p w14:paraId="0F4DAFB1">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mg/L</w:t>
                  </w:r>
                </w:p>
              </w:tc>
            </w:tr>
            <w:tr w14:paraId="5331B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6" w:type="dxa"/>
                </w:tcPr>
                <w:p w14:paraId="185C5E38">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硫化物</w:t>
                  </w:r>
                </w:p>
              </w:tc>
              <w:tc>
                <w:tcPr>
                  <w:tcW w:w="2796" w:type="dxa"/>
                </w:tcPr>
                <w:p w14:paraId="7CDB61ED">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2</w:t>
                  </w:r>
                </w:p>
              </w:tc>
              <w:tc>
                <w:tcPr>
                  <w:tcW w:w="2605" w:type="dxa"/>
                </w:tcPr>
                <w:p w14:paraId="044DEF11">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mg/L</w:t>
                  </w:r>
                </w:p>
              </w:tc>
            </w:tr>
            <w:tr w14:paraId="502C9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6" w:type="dxa"/>
                </w:tcPr>
                <w:p w14:paraId="1C7843D0">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硝基苯</w:t>
                  </w:r>
                </w:p>
              </w:tc>
              <w:tc>
                <w:tcPr>
                  <w:tcW w:w="2796" w:type="dxa"/>
                </w:tcPr>
                <w:p w14:paraId="75AD441C">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5</w:t>
                  </w:r>
                </w:p>
              </w:tc>
              <w:tc>
                <w:tcPr>
                  <w:tcW w:w="2605" w:type="dxa"/>
                </w:tcPr>
                <w:p w14:paraId="11DE2103">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mg/L</w:t>
                  </w:r>
                </w:p>
              </w:tc>
            </w:tr>
            <w:tr w14:paraId="34672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6" w:type="dxa"/>
                </w:tcPr>
                <w:p w14:paraId="230A9EA9">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氰化物</w:t>
                  </w:r>
                </w:p>
              </w:tc>
              <w:tc>
                <w:tcPr>
                  <w:tcW w:w="2796" w:type="dxa"/>
                </w:tcPr>
                <w:p w14:paraId="4CE545C5">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1</w:t>
                  </w:r>
                </w:p>
              </w:tc>
              <w:tc>
                <w:tcPr>
                  <w:tcW w:w="2605" w:type="dxa"/>
                </w:tcPr>
                <w:p w14:paraId="5E59B112">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mg/L</w:t>
                  </w:r>
                </w:p>
              </w:tc>
            </w:tr>
            <w:tr w14:paraId="32550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6" w:type="dxa"/>
                </w:tcPr>
                <w:p w14:paraId="7F92C7A9">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总磷</w:t>
                  </w:r>
                </w:p>
              </w:tc>
              <w:tc>
                <w:tcPr>
                  <w:tcW w:w="2796" w:type="dxa"/>
                </w:tcPr>
                <w:p w14:paraId="53AA6921">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10</w:t>
                  </w:r>
                </w:p>
              </w:tc>
              <w:tc>
                <w:tcPr>
                  <w:tcW w:w="2605" w:type="dxa"/>
                </w:tcPr>
                <w:p w14:paraId="4C97D6FC">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mg/L</w:t>
                  </w:r>
                </w:p>
              </w:tc>
            </w:tr>
            <w:tr w14:paraId="5E7781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6" w:type="dxa"/>
                </w:tcPr>
                <w:p w14:paraId="0D7B437B">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总硬度</w:t>
                  </w:r>
                </w:p>
              </w:tc>
              <w:tc>
                <w:tcPr>
                  <w:tcW w:w="2796" w:type="dxa"/>
                </w:tcPr>
                <w:p w14:paraId="417C4ED6">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495</w:t>
                  </w:r>
                </w:p>
              </w:tc>
              <w:tc>
                <w:tcPr>
                  <w:tcW w:w="2605" w:type="dxa"/>
                </w:tcPr>
                <w:p w14:paraId="28418D1C">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mg/L</w:t>
                  </w:r>
                </w:p>
              </w:tc>
            </w:tr>
            <w:tr w14:paraId="33256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96" w:type="dxa"/>
                </w:tcPr>
                <w:p w14:paraId="59ABFD75">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总硅</w:t>
                  </w:r>
                </w:p>
              </w:tc>
              <w:tc>
                <w:tcPr>
                  <w:tcW w:w="2796" w:type="dxa"/>
                </w:tcPr>
                <w:p w14:paraId="69C582B7">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highlight w:val="none"/>
                      <w:vertAlign w:val="baseline"/>
                      <w:lang w:val="en-US" w:eastAsia="zh-CN"/>
                      <w14:textFill>
                        <w14:solidFill>
                          <w14:schemeClr w14:val="tx1"/>
                        </w14:solidFill>
                      </w14:textFill>
                    </w:rPr>
                    <w:t>&lt;</w:t>
                  </w: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36</w:t>
                  </w:r>
                </w:p>
              </w:tc>
              <w:tc>
                <w:tcPr>
                  <w:tcW w:w="2605" w:type="dxa"/>
                </w:tcPr>
                <w:p w14:paraId="52E6E470">
                  <w:pPr>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mg/L</w:t>
                  </w:r>
                </w:p>
              </w:tc>
            </w:tr>
          </w:tbl>
          <w:p w14:paraId="73F3315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p>
          <w:p w14:paraId="751E3F9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综上所述，从水质</w:t>
            </w:r>
            <w:r>
              <w:rPr>
                <w:rFonts w:hint="eastAsia"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水量分析，本项目废水</w:t>
            </w:r>
            <w:r>
              <w:rPr>
                <w:rFonts w:hint="default" w:ascii="Times New Roman" w:hAnsi="Times New Roman" w:eastAsia="宋体" w:cs="Times New Roman"/>
                <w:color w:val="000000" w:themeColor="text1"/>
                <w:sz w:val="24"/>
                <w:szCs w:val="24"/>
                <w:highlight w:val="none"/>
                <w14:textFill>
                  <w14:solidFill>
                    <w14:schemeClr w14:val="tx1"/>
                  </w14:solidFill>
                </w14:textFill>
              </w:rPr>
              <w:t>由</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防渗</w:t>
            </w:r>
            <w:r>
              <w:rPr>
                <w:rFonts w:hint="default" w:ascii="Times New Roman" w:hAnsi="Times New Roman" w:eastAsia="宋体" w:cs="Times New Roman"/>
                <w:color w:val="000000" w:themeColor="text1"/>
                <w:sz w:val="24"/>
                <w:szCs w:val="24"/>
                <w:highlight w:val="none"/>
                <w14:textFill>
                  <w14:solidFill>
                    <w14:schemeClr w14:val="tx1"/>
                  </w14:solidFill>
                </w14:textFill>
              </w:rPr>
              <w:t>化粪池收集后通过</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罐车拉运</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至</w:t>
            </w:r>
            <w:r>
              <w:rPr>
                <w:rFonts w:hint="eastAsia" w:cs="Times New Roman"/>
                <w:color w:val="000000" w:themeColor="text1"/>
                <w:sz w:val="24"/>
                <w:szCs w:val="24"/>
                <w:highlight w:val="none"/>
                <w:lang w:val="en-US" w:eastAsia="zh-CN"/>
                <w14:textFill>
                  <w14:solidFill>
                    <w14:schemeClr w14:val="tx1"/>
                  </w14:solidFill>
                </w14:textFill>
              </w:rPr>
              <w:t>准格尔旗准伊热电有限责任公司污水处理厂</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可行。</w:t>
            </w:r>
          </w:p>
          <w:p w14:paraId="7D5DB89F">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3.</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固体废物</w:t>
            </w:r>
          </w:p>
          <w:p w14:paraId="1B7554C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本项目生产过程中产生的固体废物主要为生活垃圾、</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除尘器回收尘</w:t>
            </w:r>
            <w:r>
              <w:rPr>
                <w:rFonts w:hint="eastAsia" w:cs="Times New Roman"/>
                <w:color w:val="000000" w:themeColor="text1"/>
                <w:sz w:val="24"/>
                <w:szCs w:val="24"/>
                <w:highlight w:val="none"/>
                <w:lang w:val="en-US" w:eastAsia="zh-CN"/>
                <w14:textFill>
                  <w14:solidFill>
                    <w14:schemeClr w14:val="tx1"/>
                  </w14:solidFill>
                </w14:textFill>
              </w:rPr>
              <w:t>和</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布袋除尘器废布袋</w:t>
            </w:r>
            <w:r>
              <w:rPr>
                <w:rFonts w:hint="default" w:ascii="Times New Roman" w:hAnsi="Times New Roman" w:eastAsia="宋体" w:cs="Times New Roman"/>
                <w:color w:val="000000" w:themeColor="text1"/>
                <w:sz w:val="24"/>
                <w:szCs w:val="24"/>
                <w:highlight w:val="none"/>
                <w14:textFill>
                  <w14:solidFill>
                    <w14:schemeClr w14:val="tx1"/>
                  </w14:solidFill>
                </w14:textFill>
              </w:rPr>
              <w:t>、不合格品</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脱硫石膏、脱硫废水处理</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污泥</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、空压站产生的废滤芯、</w:t>
            </w:r>
            <w:r>
              <w:rPr>
                <w:rFonts w:hint="eastAsia" w:cs="Times New Roman"/>
                <w:color w:val="000000" w:themeColor="text1"/>
                <w:sz w:val="24"/>
                <w:szCs w:val="24"/>
                <w:highlight w:val="none"/>
                <w:lang w:val="en-US" w:eastAsia="zh-CN"/>
                <w14:textFill>
                  <w14:solidFill>
                    <w14:schemeClr w14:val="tx1"/>
                  </w14:solidFill>
                </w14:textFill>
              </w:rPr>
              <w:t>软水</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站软水制备产生的废滤材、废油和废油桶</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p>
          <w:p w14:paraId="3AFFEE6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（1）除尘器</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回收尘</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及布袋除尘器废布袋</w:t>
            </w:r>
          </w:p>
          <w:p w14:paraId="0BCEB317">
            <w:pPr>
              <w:snapToGrid w:val="0"/>
              <w:spacing w:line="360" w:lineRule="auto"/>
              <w:ind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项目</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除尘器回收尘来自</w:t>
            </w:r>
            <w:r>
              <w:rPr>
                <w:rFonts w:hint="eastAsia" w:cs="Times New Roman"/>
                <w:color w:val="000000" w:themeColor="text1"/>
                <w:sz w:val="24"/>
                <w:szCs w:val="24"/>
                <w:highlight w:val="none"/>
                <w:lang w:eastAsia="zh-CN"/>
                <w14:textFill>
                  <w14:solidFill>
                    <w14:schemeClr w14:val="tx1"/>
                  </w14:solidFill>
                </w14:textFill>
              </w:rPr>
              <w:t>布袋除尘器（覆膜袋式）</w:t>
            </w:r>
            <w:r>
              <w:rPr>
                <w:rFonts w:hint="default" w:ascii="Times New Roman" w:hAnsi="Times New Roman" w:eastAsia="宋体" w:cs="Times New Roman"/>
                <w:color w:val="000000" w:themeColor="text1"/>
                <w:sz w:val="24"/>
                <w:szCs w:val="24"/>
                <w:highlight w:val="none"/>
                <w14:textFill>
                  <w14:solidFill>
                    <w14:schemeClr w14:val="tx1"/>
                  </w14:solidFill>
                </w14:textFill>
              </w:rPr>
              <w:t>收集的粉尘</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粉尘</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收集</w:t>
            </w:r>
            <w:r>
              <w:rPr>
                <w:rFonts w:hint="default" w:ascii="Times New Roman" w:hAnsi="Times New Roman" w:eastAsia="宋体" w:cs="Times New Roman"/>
                <w:color w:val="000000" w:themeColor="text1"/>
                <w:sz w:val="24"/>
                <w:szCs w:val="24"/>
                <w:highlight w:val="none"/>
                <w14:textFill>
                  <w14:solidFill>
                    <w14:schemeClr w14:val="tx1"/>
                  </w14:solidFill>
                </w14:textFill>
              </w:rPr>
              <w:t>量为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455.84</w:t>
            </w:r>
            <w:r>
              <w:rPr>
                <w:rFonts w:hint="default" w:ascii="Times New Roman" w:hAnsi="Times New Roman" w:eastAsia="宋体" w:cs="Times New Roman"/>
                <w:color w:val="000000" w:themeColor="text1"/>
                <w:sz w:val="24"/>
                <w:szCs w:val="24"/>
                <w:highlight w:val="none"/>
                <w14:textFill>
                  <w14:solidFill>
                    <w14:schemeClr w14:val="tx1"/>
                  </w14:solidFill>
                </w14:textFill>
              </w:rPr>
              <w:t>t/a，这些粉尘作为原材料回用于生产</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、不外排</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布袋除尘器废布袋产生量为0.5t/a，</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根据《固体废物分类与代码名录》，氮气等制备过程中产生的废滤料属于SW59其他工业固体废物中的废吸附剂</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900-009-S59</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，属于一般固体废物，</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定期外送由其生产厂家回收，综合利用。</w:t>
            </w:r>
          </w:p>
          <w:p w14:paraId="27870829">
            <w:pPr>
              <w:snapToGrid w:val="0"/>
              <w:spacing w:line="360" w:lineRule="auto"/>
              <w:ind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（2）生活垃圾</w:t>
            </w:r>
          </w:p>
          <w:p w14:paraId="701033F3">
            <w:pPr>
              <w:snapToGrid w:val="0"/>
              <w:spacing w:line="360" w:lineRule="auto"/>
              <w:ind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本项目定员3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highlight w:val="none"/>
                <w14:textFill>
                  <w14:solidFill>
                    <w14:schemeClr w14:val="tx1"/>
                  </w14:solidFill>
                </w14:textFill>
              </w:rPr>
              <w:t>人，日产生活垃圾量按0.5kg/人，则本项目生活垃圾量为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5.25</w:t>
            </w:r>
            <w:r>
              <w:rPr>
                <w:rFonts w:hint="default" w:ascii="Times New Roman" w:hAnsi="Times New Roman" w:eastAsia="宋体" w:cs="Times New Roman"/>
                <w:color w:val="000000" w:themeColor="text1"/>
                <w:sz w:val="24"/>
                <w:szCs w:val="24"/>
                <w:highlight w:val="none"/>
                <w14:textFill>
                  <w14:solidFill>
                    <w14:schemeClr w14:val="tx1"/>
                  </w14:solidFill>
                </w14:textFill>
              </w:rPr>
              <w:t>t/a，厂区集中收集后由环卫部门处理。</w:t>
            </w:r>
          </w:p>
          <w:p w14:paraId="7FFA12A0">
            <w:pPr>
              <w:snapToGrid w:val="0"/>
              <w:spacing w:line="360" w:lineRule="auto"/>
              <w:ind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（3）不合格品</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（黄料）</w:t>
            </w:r>
          </w:p>
          <w:p w14:paraId="76DA745F">
            <w:pPr>
              <w:snapToGrid w:val="0"/>
              <w:spacing w:line="360" w:lineRule="auto"/>
              <w:ind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本项目在生产过程中会产生达不到质量标准的废成品</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黄料）</w:t>
            </w:r>
            <w:r>
              <w:rPr>
                <w:rFonts w:hint="default" w:ascii="Times New Roman" w:hAnsi="Times New Roman" w:eastAsia="宋体" w:cs="Times New Roman"/>
                <w:color w:val="000000" w:themeColor="text1"/>
                <w:sz w:val="24"/>
                <w:szCs w:val="24"/>
                <w:highlight w:val="none"/>
                <w14:textFill>
                  <w14:solidFill>
                    <w14:schemeClr w14:val="tx1"/>
                  </w14:solidFill>
                </w14:textFill>
              </w:rPr>
              <w:t>，产生量</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10526t/a</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暂存于2个黄料仓，外售作为建材综合利用，</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不外排</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p>
          <w:p w14:paraId="2DC15E5C">
            <w:pPr>
              <w:pStyle w:val="9"/>
              <w:spacing w:after="0" w:line="360" w:lineRule="auto"/>
              <w:ind w:left="0" w:leftChars="0"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脱硫石膏</w:t>
            </w:r>
          </w:p>
          <w:p w14:paraId="6F08FA38">
            <w:pPr>
              <w:snapToGrid w:val="0"/>
              <w:spacing w:line="360" w:lineRule="auto"/>
              <w:ind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根据物料衡算，本项目脱硫石膏产生量为</w:t>
            </w:r>
            <w:r>
              <w:rPr>
                <w:rFonts w:hint="eastAsia" w:cs="Times New Roman"/>
                <w:color w:val="000000" w:themeColor="text1"/>
                <w:sz w:val="24"/>
                <w:szCs w:val="24"/>
                <w:highlight w:val="none"/>
                <w:lang w:val="en-US" w:eastAsia="zh-CN"/>
                <w14:textFill>
                  <w14:solidFill>
                    <w14:schemeClr w14:val="tx1"/>
                  </w14:solidFill>
                </w14:textFill>
              </w:rPr>
              <w:t>1243</w:t>
            </w:r>
            <w:r>
              <w:rPr>
                <w:rFonts w:hint="default" w:ascii="Times New Roman" w:hAnsi="Times New Roman" w:eastAsia="宋体" w:cs="Times New Roman"/>
                <w:color w:val="000000" w:themeColor="text1"/>
                <w:sz w:val="24"/>
                <w:szCs w:val="24"/>
                <w:highlight w:val="none"/>
                <w14:textFill>
                  <w14:solidFill>
                    <w14:schemeClr w14:val="tx1"/>
                  </w14:solidFill>
                </w14:textFill>
              </w:rPr>
              <w:t>t/a</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snapToGrid w:val="0"/>
                <w:color w:val="000000" w:themeColor="text1"/>
                <w:kern w:val="0"/>
                <w:sz w:val="24"/>
                <w:szCs w:val="24"/>
                <w:highlight w:val="none"/>
                <w:lang w:val="en-US" w:eastAsia="zh-CN"/>
                <w14:textFill>
                  <w14:solidFill>
                    <w14:schemeClr w14:val="tx1"/>
                  </w14:solidFill>
                </w14:textFill>
              </w:rPr>
              <w:t>根据《一般固体废物分类与代码》（GB/T39198-2020）中表1（续）</w:t>
            </w:r>
            <w:r>
              <w:rPr>
                <w:rFonts w:hint="eastAsia" w:cs="Times New Roman"/>
                <w:snapToGrid w:val="0"/>
                <w:color w:val="000000" w:themeColor="text1"/>
                <w:kern w:val="0"/>
                <w:sz w:val="24"/>
                <w:szCs w:val="24"/>
                <w:highlight w:val="none"/>
                <w:lang w:val="en-US" w:eastAsia="zh-CN"/>
                <w14:textFill>
                  <w14:solidFill>
                    <w14:schemeClr w14:val="tx1"/>
                  </w14:solidFill>
                </w14:textFill>
              </w:rPr>
              <w:t>－</w:t>
            </w:r>
            <w:r>
              <w:rPr>
                <w:rFonts w:hint="default" w:ascii="Times New Roman" w:hAnsi="Times New Roman" w:cs="Times New Roman"/>
                <w:snapToGrid w:val="0"/>
                <w:color w:val="000000" w:themeColor="text1"/>
                <w:kern w:val="0"/>
                <w:sz w:val="24"/>
                <w:szCs w:val="24"/>
                <w:highlight w:val="none"/>
                <w:lang w:val="en-US" w:eastAsia="zh-CN"/>
                <w14:textFill>
                  <w14:solidFill>
                    <w14:schemeClr w14:val="tx1"/>
                  </w14:solidFill>
                </w14:textFill>
              </w:rPr>
              <w:t>非特定行业生产过程中产生的一般固体废物，类别代码65脱硫石膏代码：900-999-65（非特定行业生产过程中产生的脱硫石膏）属于一般固废</w:t>
            </w:r>
            <w:r>
              <w:rPr>
                <w:rFonts w:hint="default" w:ascii="Times New Roman" w:hAnsi="Times New Roman" w:eastAsia="宋体" w:cs="Times New Roman"/>
                <w:color w:val="000000" w:themeColor="text1"/>
                <w:sz w:val="24"/>
                <w:szCs w:val="24"/>
                <w:highlight w:val="none"/>
                <w14:textFill>
                  <w14:solidFill>
                    <w14:schemeClr w14:val="tx1"/>
                  </w14:solidFill>
                </w14:textFill>
              </w:rPr>
              <w:t>，在厂区一般固体废物暂存库贮存，定期外售</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水泥建材的等</w:t>
            </w:r>
            <w:r>
              <w:rPr>
                <w:rFonts w:hint="default" w:ascii="Times New Roman" w:hAnsi="Times New Roman" w:eastAsia="宋体" w:cs="Times New Roman"/>
                <w:color w:val="000000" w:themeColor="text1"/>
                <w:sz w:val="24"/>
                <w:szCs w:val="24"/>
                <w:highlight w:val="none"/>
                <w14:textFill>
                  <w14:solidFill>
                    <w14:schemeClr w14:val="tx1"/>
                  </w14:solidFill>
                </w14:textFill>
              </w:rPr>
              <w:t>产线项目作为生产原料使用，措施可行。</w:t>
            </w:r>
          </w:p>
          <w:p w14:paraId="41FE0AC1">
            <w:pPr>
              <w:pStyle w:val="9"/>
              <w:spacing w:after="0" w:line="360" w:lineRule="auto"/>
              <w:ind w:left="0" w:leftChars="0" w:firstLine="480" w:firstLineChars="200"/>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脱硫废水处理产生</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污泥</w:t>
            </w:r>
          </w:p>
          <w:p w14:paraId="66591398">
            <w:pPr>
              <w:snapToGrid w:val="0"/>
              <w:spacing w:line="360" w:lineRule="auto"/>
              <w:ind w:firstLine="480" w:firstLineChars="200"/>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脱硫废水处理后产生的</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污泥</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污泥产生量</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约</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z w:val="24"/>
                <w:szCs w:val="24"/>
                <w:highlight w:val="none"/>
                <w14:textFill>
                  <w14:solidFill>
                    <w14:schemeClr w14:val="tx1"/>
                  </w14:solidFill>
                </w14:textFill>
              </w:rPr>
              <w:t>t/a</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，脱硫废水污泥属烟气脱硫</w:t>
            </w:r>
            <w:r>
              <w:rPr>
                <w:rFonts w:hint="eastAsia" w:cs="Times New Roman"/>
                <w:color w:val="000000" w:themeColor="text1"/>
                <w:sz w:val="24"/>
                <w:szCs w:val="24"/>
                <w:highlight w:val="none"/>
                <w:lang w:eastAsia="zh-CN"/>
                <w14:textFill>
                  <w14:solidFill>
                    <w14:schemeClr w14:val="tx1"/>
                  </w14:solidFill>
                </w14:textFill>
              </w:rPr>
              <w:t>产物</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，应归入HW49其他废物，依据《国家危险废物名录（2025年版）》为危险固废，危险废物代码修改为900-000-49，因含有</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微量</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汞（Hg）、镉（Cd）、铬（Cr）、镍（Ni）等重金属，</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暂存危废库，按危废管理，</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鉴定后属于危废后，</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定期送有资质的</w:t>
            </w:r>
            <w:r>
              <w:rPr>
                <w:rFonts w:hint="eastAsia" w:cs="Times New Roman"/>
                <w:color w:val="000000" w:themeColor="text1"/>
                <w:sz w:val="24"/>
                <w:szCs w:val="24"/>
                <w:highlight w:val="none"/>
                <w:lang w:val="en-US" w:eastAsia="zh-CN"/>
                <w14:textFill>
                  <w14:solidFill>
                    <w14:schemeClr w14:val="tx1"/>
                  </w14:solidFill>
                </w14:textFill>
              </w:rPr>
              <w:t>单位</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处置，</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不外排。</w:t>
            </w:r>
          </w:p>
          <w:p w14:paraId="5C6178BA">
            <w:pPr>
              <w:snapToGrid w:val="0"/>
              <w:spacing w:line="360" w:lineRule="auto"/>
              <w:ind w:firstLine="480" w:firstLineChars="200"/>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6）软水制备废滤料</w:t>
            </w:r>
          </w:p>
          <w:p w14:paraId="3DB9A8D2">
            <w:pPr>
              <w:keepNext w:val="0"/>
              <w:keepLines w:val="0"/>
              <w:pageBreakBefore w:val="0"/>
              <w:widowControl w:val="0"/>
              <w:kinsoku/>
              <w:wordWrap/>
              <w:overflowPunct/>
              <w:topLinePunct w:val="0"/>
              <w:bidi w:val="0"/>
              <w:snapToGrid w:val="0"/>
              <w:spacing w:line="360" w:lineRule="auto"/>
              <w:ind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根据《固体废物分类与代码名录》，软水制备过程中产生的废滤料属于SW59其他工业固体废物中的废吸附剂，原水为市政供水管网的自来水，不属于工业废水，本项目废滤料为一般固废，产生量为2.4t/a，一般固废库暂存，定期外售综合利用。</w:t>
            </w:r>
          </w:p>
          <w:p w14:paraId="6E24776F">
            <w:pPr>
              <w:keepNext w:val="0"/>
              <w:keepLines w:val="0"/>
              <w:pageBreakBefore w:val="0"/>
              <w:widowControl w:val="0"/>
              <w:kinsoku/>
              <w:wordWrap/>
              <w:overflowPunct/>
              <w:topLinePunct w:val="0"/>
              <w:bidi w:val="0"/>
              <w:snapToGrid w:val="0"/>
              <w:spacing w:line="360" w:lineRule="auto"/>
              <w:ind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（7）空压站空气过滤器</w:t>
            </w:r>
          </w:p>
          <w:p w14:paraId="37901B32">
            <w:pPr>
              <w:keepNext w:val="0"/>
              <w:keepLines w:val="0"/>
              <w:pageBreakBefore w:val="0"/>
              <w:widowControl w:val="0"/>
              <w:kinsoku/>
              <w:wordWrap/>
              <w:overflowPunct/>
              <w:topLinePunct w:val="0"/>
              <w:bidi w:val="0"/>
              <w:snapToGrid w:val="0"/>
              <w:spacing w:line="360" w:lineRule="auto"/>
              <w:ind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空压站空气过滤器需要定期更换，更换产生废过滤器，根据建设单位提供的设备资料，废过滤器产生量为2.5t/a，根据《固体废物分类与代码名录》，氮气等制备过程中产生的废滤料属于SW59其他工业固体废物中的废吸附剂</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900-008-S59</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，属于一般固体废物，一般固废库暂存，定期外售综合利用。</w:t>
            </w:r>
          </w:p>
          <w:p w14:paraId="029C94B5">
            <w:pPr>
              <w:keepNext w:val="0"/>
              <w:keepLines w:val="0"/>
              <w:pageBreakBefore w:val="0"/>
              <w:widowControl w:val="0"/>
              <w:kinsoku/>
              <w:wordWrap/>
              <w:overflowPunct/>
              <w:topLinePunct w:val="0"/>
              <w:bidi w:val="0"/>
              <w:snapToGrid w:val="0"/>
              <w:spacing w:line="360" w:lineRule="auto"/>
              <w:ind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（8）废润滑油</w:t>
            </w:r>
          </w:p>
          <w:p w14:paraId="1E369C6C">
            <w:pPr>
              <w:keepNext w:val="0"/>
              <w:keepLines w:val="0"/>
              <w:pageBreakBefore w:val="0"/>
              <w:widowControl w:val="0"/>
              <w:kinsoku/>
              <w:wordWrap/>
              <w:overflowPunct/>
              <w:topLinePunct w:val="0"/>
              <w:bidi w:val="0"/>
              <w:snapToGrid w:val="0"/>
              <w:spacing w:line="360" w:lineRule="auto"/>
              <w:ind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项目运行期间设备检修等活动会产生废润滑油，产生量约1t/a，对照《国家危险废物名录》（2025年版），废矿物油属于“HW08废矿物油与含矿物油废物”中“900-214-08车辆、轮船及其它机械维修过程中产生的废发动机油、制动器油、自动变速器油、齿轮油等废润滑油”类危险废物，暂存于厂区危废暂存间，委托有资质单位处理。</w:t>
            </w:r>
          </w:p>
          <w:p w14:paraId="19541235">
            <w:pPr>
              <w:keepNext w:val="0"/>
              <w:keepLines w:val="0"/>
              <w:pageBreakBefore w:val="0"/>
              <w:widowControl w:val="0"/>
              <w:kinsoku/>
              <w:wordWrap/>
              <w:overflowPunct/>
              <w:topLinePunct w:val="0"/>
              <w:bidi w:val="0"/>
              <w:snapToGrid w:val="0"/>
              <w:spacing w:line="360" w:lineRule="auto"/>
              <w:ind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（9）废油桶</w:t>
            </w:r>
          </w:p>
          <w:p w14:paraId="5AFFFC3C">
            <w:pPr>
              <w:keepNext w:val="0"/>
              <w:keepLines w:val="0"/>
              <w:pageBreakBefore w:val="0"/>
              <w:widowControl w:val="0"/>
              <w:kinsoku/>
              <w:wordWrap/>
              <w:overflowPunct/>
              <w:topLinePunct w:val="0"/>
              <w:bidi w:val="0"/>
              <w:snapToGrid w:val="0"/>
              <w:spacing w:line="360" w:lineRule="auto"/>
              <w:ind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生产设备维护产生少量废润滑油。盛装润滑油的油桶属于危险废物，本项目使用50kg/桶的润滑油，润滑油使用量为1.0t/a，年产生的废油桶为20个，每个油桶约5kg，经查《国家危险废物名录（2025版）》，属于“HW</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49</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废矿物油与含矿物油废物”中“900-</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041-49</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其他生产、销售、使用过程中产生的废矿物油及沾染矿物油的废弃包装物”类危险废物，废桶收集后暂存于厂内危废贮存库，交由有危险废物处理资质的单位处理。</w:t>
            </w:r>
          </w:p>
          <w:p w14:paraId="1F172E08">
            <w:pPr>
              <w:pStyle w:val="54"/>
              <w:keepNext w:val="0"/>
              <w:keepLines w:val="0"/>
              <w:pageBreakBefore w:val="0"/>
              <w:widowControl w:val="0"/>
              <w:kinsoku/>
              <w:wordWrap/>
              <w:overflowPunct/>
              <w:topLinePunct w:val="0"/>
              <w:bidi w:val="0"/>
              <w:snapToGrid w:val="0"/>
              <w:spacing w:line="360" w:lineRule="auto"/>
              <w:ind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固体废物产生及处置情况一览表：</w:t>
            </w:r>
          </w:p>
          <w:p w14:paraId="172F6F39">
            <w:pPr>
              <w:pStyle w:val="8"/>
              <w:tabs>
                <w:tab w:val="left" w:pos="1180"/>
                <w:tab w:val="center" w:pos="4535"/>
              </w:tabs>
              <w:ind w:firstLineChars="200"/>
              <w:jc w:val="center"/>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eastAsia="宋体" w:cs="Times New Roman"/>
                <w:b/>
                <w:color w:val="000000" w:themeColor="text1"/>
                <w:highlight w:val="none"/>
                <w14:textFill>
                  <w14:solidFill>
                    <w14:schemeClr w14:val="tx1"/>
                  </w14:solidFill>
                </w14:textFill>
              </w:rPr>
              <w:t>表</w:t>
            </w:r>
            <w:r>
              <w:rPr>
                <w:rFonts w:hint="default" w:ascii="Times New Roman" w:hAnsi="Times New Roman" w:eastAsia="宋体" w:cs="Times New Roman"/>
                <w:b/>
                <w:color w:val="000000" w:themeColor="text1"/>
                <w:highlight w:val="none"/>
                <w:lang w:val="en-US" w:eastAsia="zh-CN"/>
                <w14:textFill>
                  <w14:solidFill>
                    <w14:schemeClr w14:val="tx1"/>
                  </w14:solidFill>
                </w14:textFill>
              </w:rPr>
              <w:t>4-1</w:t>
            </w:r>
            <w:r>
              <w:rPr>
                <w:rFonts w:hint="eastAsia" w:cs="Times New Roman"/>
                <w:b/>
                <w:color w:val="000000" w:themeColor="text1"/>
                <w:highlight w:val="none"/>
                <w:lang w:val="en-US" w:eastAsia="zh-CN"/>
                <w14:textFill>
                  <w14:solidFill>
                    <w14:schemeClr w14:val="tx1"/>
                  </w14:solidFill>
                </w14:textFill>
              </w:rPr>
              <w:t>9</w:t>
            </w:r>
            <w:r>
              <w:rPr>
                <w:rFonts w:hint="default" w:ascii="Times New Roman" w:hAnsi="Times New Roman" w:cs="Times New Roman"/>
                <w:b/>
                <w:color w:val="000000" w:themeColor="text1"/>
                <w:highlight w:val="none"/>
                <w14:textFill>
                  <w14:solidFill>
                    <w14:schemeClr w14:val="tx1"/>
                  </w14:solidFill>
                </w14:textFill>
              </w:rPr>
              <w:t>固体废物排放及处置情况一览表</w:t>
            </w:r>
          </w:p>
          <w:tbl>
            <w:tblPr>
              <w:tblStyle w:val="24"/>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116"/>
              <w:gridCol w:w="794"/>
              <w:gridCol w:w="1313"/>
              <w:gridCol w:w="482"/>
              <w:gridCol w:w="767"/>
              <w:gridCol w:w="3042"/>
            </w:tblGrid>
            <w:tr w14:paraId="5F554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295" w:type="pct"/>
                  <w:noWrap w:val="0"/>
                  <w:vAlign w:val="center"/>
                </w:tcPr>
                <w:p w14:paraId="4254EE02">
                  <w:pPr>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序号</w:t>
                  </w:r>
                </w:p>
              </w:tc>
              <w:tc>
                <w:tcPr>
                  <w:tcW w:w="808" w:type="pct"/>
                  <w:noWrap w:val="0"/>
                  <w:vAlign w:val="center"/>
                </w:tcPr>
                <w:p w14:paraId="691B13AB">
                  <w:pPr>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名称</w:t>
                  </w:r>
                </w:p>
              </w:tc>
              <w:tc>
                <w:tcPr>
                  <w:tcW w:w="490" w:type="pct"/>
                  <w:noWrap w:val="0"/>
                  <w:vAlign w:val="center"/>
                </w:tcPr>
                <w:p w14:paraId="6854986E">
                  <w:pPr>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产生量</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t/a</w:t>
                  </w:r>
                </w:p>
              </w:tc>
              <w:tc>
                <w:tcPr>
                  <w:tcW w:w="504" w:type="pct"/>
                  <w:noWrap w:val="0"/>
                  <w:vAlign w:val="center"/>
                </w:tcPr>
                <w:p w14:paraId="1251B9A1">
                  <w:pPr>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固废代码</w:t>
                  </w:r>
                </w:p>
              </w:tc>
              <w:tc>
                <w:tcPr>
                  <w:tcW w:w="370" w:type="pct"/>
                  <w:noWrap w:val="0"/>
                  <w:vAlign w:val="center"/>
                </w:tcPr>
                <w:p w14:paraId="2CF97471">
                  <w:pPr>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类别</w:t>
                  </w:r>
                </w:p>
              </w:tc>
              <w:tc>
                <w:tcPr>
                  <w:tcW w:w="549" w:type="pct"/>
                  <w:noWrap w:val="0"/>
                  <w:vAlign w:val="center"/>
                </w:tcPr>
                <w:p w14:paraId="30FB1863">
                  <w:pPr>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储存</w:t>
                  </w:r>
                </w:p>
                <w:p w14:paraId="59E80456">
                  <w:pPr>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地点</w:t>
                  </w:r>
                </w:p>
              </w:tc>
              <w:tc>
                <w:tcPr>
                  <w:tcW w:w="1980" w:type="pct"/>
                  <w:noWrap w:val="0"/>
                  <w:vAlign w:val="center"/>
                </w:tcPr>
                <w:p w14:paraId="7E0DCABC">
                  <w:pPr>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处置方式</w:t>
                  </w:r>
                </w:p>
              </w:tc>
            </w:tr>
            <w:tr w14:paraId="3B247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295" w:type="pct"/>
                  <w:noWrap w:val="0"/>
                  <w:vAlign w:val="center"/>
                </w:tcPr>
                <w:p w14:paraId="62B5F0BD">
                  <w:pPr>
                    <w:numPr>
                      <w:ilvl w:val="0"/>
                      <w:numId w:val="6"/>
                    </w:numPr>
                    <w:ind w:left="425" w:leftChars="0" w:hanging="425" w:firstLineChars="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808" w:type="pct"/>
                  <w:noWrap w:val="0"/>
                  <w:vAlign w:val="center"/>
                </w:tcPr>
                <w:p w14:paraId="3A7E7E70">
                  <w:pPr>
                    <w:widowControl/>
                    <w:jc w:val="center"/>
                    <w:rPr>
                      <w:rFonts w:hint="default" w:ascii="Times New Roman" w:hAnsi="Times New Roman" w:eastAsia="宋体" w:cs="Times New Roman"/>
                      <w:b w:val="0"/>
                      <w:bCs w:val="0"/>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生活垃圾</w:t>
                  </w:r>
                </w:p>
              </w:tc>
              <w:tc>
                <w:tcPr>
                  <w:tcW w:w="490" w:type="pct"/>
                  <w:noWrap w:val="0"/>
                  <w:vAlign w:val="center"/>
                </w:tcPr>
                <w:p w14:paraId="3848FDFB">
                  <w:pPr>
                    <w:widowControl/>
                    <w:jc w:val="center"/>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t>5.25</w:t>
                  </w:r>
                </w:p>
              </w:tc>
              <w:tc>
                <w:tcPr>
                  <w:tcW w:w="504" w:type="pct"/>
                  <w:noWrap w:val="0"/>
                  <w:vAlign w:val="center"/>
                </w:tcPr>
                <w:p w14:paraId="530A06A1">
                  <w:pPr>
                    <w:widowControl/>
                    <w:jc w:val="center"/>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pPr>
                  <w:r>
                    <w:rPr>
                      <w:rFonts w:hint="eastAsia" w:cs="Times New Roman"/>
                      <w:b w:val="0"/>
                      <w:bCs w:val="0"/>
                      <w:color w:val="000000" w:themeColor="text1"/>
                      <w:kern w:val="0"/>
                      <w:sz w:val="21"/>
                      <w:szCs w:val="21"/>
                      <w:highlight w:val="none"/>
                      <w:lang w:val="en-US" w:eastAsia="zh-CN"/>
                      <w14:textFill>
                        <w14:solidFill>
                          <w14:schemeClr w14:val="tx1"/>
                        </w14:solidFill>
                      </w14:textFill>
                    </w:rPr>
                    <w:t>/</w:t>
                  </w:r>
                </w:p>
              </w:tc>
              <w:tc>
                <w:tcPr>
                  <w:tcW w:w="370" w:type="pct"/>
                  <w:vMerge w:val="restart"/>
                  <w:noWrap w:val="0"/>
                  <w:vAlign w:val="center"/>
                </w:tcPr>
                <w:p w14:paraId="64777037">
                  <w:pPr>
                    <w:widowControl/>
                    <w:jc w:val="center"/>
                    <w:rPr>
                      <w:rFonts w:hint="default" w:ascii="Times New Roman" w:hAnsi="Times New Roman" w:eastAsia="宋体" w:cs="Times New Roman"/>
                      <w:b w:val="0"/>
                      <w:bCs w:val="0"/>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14:textFill>
                        <w14:solidFill>
                          <w14:schemeClr w14:val="tx1"/>
                        </w14:solidFill>
                      </w14:textFill>
                    </w:rPr>
                    <w:t>一般工业固体废物</w:t>
                  </w:r>
                </w:p>
              </w:tc>
              <w:tc>
                <w:tcPr>
                  <w:tcW w:w="549" w:type="pct"/>
                  <w:noWrap w:val="0"/>
                  <w:vAlign w:val="center"/>
                </w:tcPr>
                <w:p w14:paraId="17042850">
                  <w:pPr>
                    <w:widowControl/>
                    <w:jc w:val="center"/>
                    <w:rPr>
                      <w:rFonts w:hint="default" w:ascii="Times New Roman" w:hAnsi="Times New Roman" w:eastAsia="宋体" w:cs="Times New Roman"/>
                      <w:b w:val="0"/>
                      <w:bCs w:val="0"/>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14:textFill>
                        <w14:solidFill>
                          <w14:schemeClr w14:val="tx1"/>
                        </w14:solidFill>
                      </w14:textFill>
                    </w:rPr>
                    <w:t>不储存</w:t>
                  </w:r>
                </w:p>
              </w:tc>
              <w:tc>
                <w:tcPr>
                  <w:tcW w:w="1980" w:type="pct"/>
                  <w:noWrap w:val="0"/>
                  <w:vAlign w:val="center"/>
                </w:tcPr>
                <w:p w14:paraId="2F238434">
                  <w:pPr>
                    <w:widowControl/>
                    <w:jc w:val="center"/>
                    <w:rPr>
                      <w:rFonts w:hint="default" w:ascii="Times New Roman" w:hAnsi="Times New Roman" w:eastAsia="宋体" w:cs="Times New Roman"/>
                      <w:b w:val="0"/>
                      <w:bCs w:val="0"/>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14:textFill>
                        <w14:solidFill>
                          <w14:schemeClr w14:val="tx1"/>
                        </w14:solidFill>
                      </w14:textFill>
                    </w:rPr>
                    <w:t>厂区集中收集后</w:t>
                  </w:r>
                  <w:r>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t>委托</w:t>
                  </w:r>
                  <w:r>
                    <w:rPr>
                      <w:rFonts w:hint="default" w:ascii="Times New Roman" w:hAnsi="Times New Roman" w:eastAsia="宋体" w:cs="Times New Roman"/>
                      <w:b w:val="0"/>
                      <w:bCs w:val="0"/>
                      <w:color w:val="000000" w:themeColor="text1"/>
                      <w:kern w:val="0"/>
                      <w:sz w:val="21"/>
                      <w:szCs w:val="21"/>
                      <w:highlight w:val="none"/>
                      <w14:textFill>
                        <w14:solidFill>
                          <w14:schemeClr w14:val="tx1"/>
                        </w14:solidFill>
                      </w14:textFill>
                    </w:rPr>
                    <w:t>环卫部门处理</w:t>
                  </w:r>
                </w:p>
              </w:tc>
            </w:tr>
            <w:tr w14:paraId="606A31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 w:hRule="atLeast"/>
                <w:jc w:val="center"/>
              </w:trPr>
              <w:tc>
                <w:tcPr>
                  <w:tcW w:w="295" w:type="pct"/>
                  <w:noWrap w:val="0"/>
                  <w:vAlign w:val="center"/>
                </w:tcPr>
                <w:p w14:paraId="3FD85D21">
                  <w:pPr>
                    <w:numPr>
                      <w:ilvl w:val="0"/>
                      <w:numId w:val="6"/>
                    </w:numPr>
                    <w:ind w:left="425" w:leftChars="0" w:hanging="425" w:firstLineChars="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808" w:type="pct"/>
                  <w:noWrap w:val="0"/>
                  <w:vAlign w:val="center"/>
                </w:tcPr>
                <w:p w14:paraId="076B0EA2">
                  <w:pPr>
                    <w:widowControl/>
                    <w:jc w:val="center"/>
                    <w:rPr>
                      <w:rFonts w:hint="default" w:ascii="Times New Roman" w:hAnsi="Times New Roman" w:eastAsia="宋体" w:cs="Times New Roman"/>
                      <w:b w:val="0"/>
                      <w:bCs w:val="0"/>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eastAsia="zh-CN"/>
                      <w14:textFill>
                        <w14:solidFill>
                          <w14:schemeClr w14:val="tx1"/>
                        </w14:solidFill>
                      </w14:textFill>
                    </w:rPr>
                    <w:t>除尘器</w:t>
                  </w:r>
                </w:p>
                <w:p w14:paraId="1C3942D2">
                  <w:pPr>
                    <w:widowControl/>
                    <w:jc w:val="center"/>
                    <w:rPr>
                      <w:rFonts w:hint="default" w:ascii="Times New Roman" w:hAnsi="Times New Roman" w:eastAsia="宋体" w:cs="Times New Roman"/>
                      <w:b w:val="0"/>
                      <w:bCs w:val="0"/>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eastAsia="zh-CN"/>
                      <w14:textFill>
                        <w14:solidFill>
                          <w14:schemeClr w14:val="tx1"/>
                        </w14:solidFill>
                      </w14:textFill>
                    </w:rPr>
                    <w:t>回收尘</w:t>
                  </w:r>
                </w:p>
              </w:tc>
              <w:tc>
                <w:tcPr>
                  <w:tcW w:w="490" w:type="pct"/>
                  <w:noWrap w:val="0"/>
                  <w:vAlign w:val="center"/>
                </w:tcPr>
                <w:p w14:paraId="701CDE02">
                  <w:pPr>
                    <w:widowControl/>
                    <w:jc w:val="center"/>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455.84</w:t>
                  </w:r>
                </w:p>
              </w:tc>
              <w:tc>
                <w:tcPr>
                  <w:tcW w:w="504" w:type="pct"/>
                  <w:noWrap w:val="0"/>
                  <w:vAlign w:val="center"/>
                </w:tcPr>
                <w:p w14:paraId="06C52400">
                  <w:pPr>
                    <w:widowControl/>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SW59</w:t>
                  </w:r>
                </w:p>
                <w:p w14:paraId="3C3FAC13">
                  <w:pPr>
                    <w:widowControl/>
                    <w:jc w:val="cente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900-099-S59</w:t>
                  </w:r>
                </w:p>
              </w:tc>
              <w:tc>
                <w:tcPr>
                  <w:tcW w:w="370" w:type="pct"/>
                  <w:vMerge w:val="continue"/>
                  <w:noWrap w:val="0"/>
                  <w:vAlign w:val="center"/>
                </w:tcPr>
                <w:p w14:paraId="026913F6">
                  <w:pPr>
                    <w:widowControl/>
                    <w:jc w:val="center"/>
                    <w:rPr>
                      <w:rFonts w:hint="default" w:ascii="Times New Roman" w:hAnsi="Times New Roman" w:eastAsia="宋体" w:cs="Times New Roman"/>
                      <w:b w:val="0"/>
                      <w:bCs w:val="0"/>
                      <w:color w:val="000000" w:themeColor="text1"/>
                      <w:kern w:val="0"/>
                      <w:sz w:val="21"/>
                      <w:szCs w:val="21"/>
                      <w:highlight w:val="none"/>
                      <w14:textFill>
                        <w14:solidFill>
                          <w14:schemeClr w14:val="tx1"/>
                        </w14:solidFill>
                      </w14:textFill>
                    </w:rPr>
                  </w:pPr>
                </w:p>
              </w:tc>
              <w:tc>
                <w:tcPr>
                  <w:tcW w:w="549" w:type="pct"/>
                  <w:noWrap w:val="0"/>
                  <w:vAlign w:val="center"/>
                </w:tcPr>
                <w:p w14:paraId="3555211B">
                  <w:pPr>
                    <w:widowControl/>
                    <w:jc w:val="center"/>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pPr>
                  <w:r>
                    <w:rPr>
                      <w:rFonts w:hint="eastAsia" w:cs="Times New Roman"/>
                      <w:b w:val="0"/>
                      <w:bCs w:val="0"/>
                      <w:color w:val="000000" w:themeColor="text1"/>
                      <w:kern w:val="0"/>
                      <w:sz w:val="21"/>
                      <w:szCs w:val="21"/>
                      <w:highlight w:val="none"/>
                      <w:lang w:val="en-US" w:eastAsia="zh-CN"/>
                      <w14:textFill>
                        <w14:solidFill>
                          <w14:schemeClr w14:val="tx1"/>
                        </w14:solidFill>
                      </w14:textFill>
                    </w:rPr>
                    <w:t>储灰仓</w:t>
                  </w:r>
                </w:p>
              </w:tc>
              <w:tc>
                <w:tcPr>
                  <w:tcW w:w="1980" w:type="pct"/>
                  <w:noWrap w:val="0"/>
                  <w:vAlign w:val="center"/>
                </w:tcPr>
                <w:p w14:paraId="24B944B9">
                  <w:pPr>
                    <w:widowControl/>
                    <w:jc w:val="center"/>
                    <w:rPr>
                      <w:rFonts w:hint="default" w:ascii="Times New Roman" w:hAnsi="Times New Roman" w:eastAsia="宋体" w:cs="Times New Roman"/>
                      <w:b w:val="0"/>
                      <w:bCs w:val="0"/>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外售作为建材综合利用，</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不外排</w:t>
                  </w:r>
                </w:p>
              </w:tc>
            </w:tr>
            <w:tr w14:paraId="034F03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95" w:type="pct"/>
                  <w:noWrap w:val="0"/>
                  <w:vAlign w:val="center"/>
                </w:tcPr>
                <w:p w14:paraId="7A6AF63F">
                  <w:pPr>
                    <w:numPr>
                      <w:ilvl w:val="0"/>
                      <w:numId w:val="6"/>
                    </w:numPr>
                    <w:ind w:left="425" w:leftChars="0" w:hanging="425" w:firstLineChars="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1163" w:type="dxa"/>
                  <w:noWrap w:val="0"/>
                  <w:vAlign w:val="center"/>
                </w:tcPr>
                <w:p w14:paraId="7FD01CF0">
                  <w:pPr>
                    <w:widowControl/>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t>布袋除尘器废布袋</w:t>
                  </w:r>
                </w:p>
              </w:tc>
              <w:tc>
                <w:tcPr>
                  <w:tcW w:w="794" w:type="dxa"/>
                  <w:noWrap w:val="0"/>
                  <w:vAlign w:val="center"/>
                </w:tcPr>
                <w:p w14:paraId="59A7EED4">
                  <w:pPr>
                    <w:widowControl/>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t>0.5</w:t>
                  </w:r>
                </w:p>
              </w:tc>
              <w:tc>
                <w:tcPr>
                  <w:tcW w:w="1196" w:type="dxa"/>
                  <w:noWrap w:val="0"/>
                  <w:vAlign w:val="center"/>
                </w:tcPr>
                <w:p w14:paraId="7536DE9E">
                  <w:pPr>
                    <w:widowControl/>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SW59</w:t>
                  </w:r>
                </w:p>
                <w:p w14:paraId="439D88F5">
                  <w:pPr>
                    <w:widowControl/>
                    <w:jc w:val="center"/>
                    <w:rPr>
                      <w:rFonts w:hint="eastAsia"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900-009-S59</w:t>
                  </w:r>
                </w:p>
              </w:tc>
              <w:tc>
                <w:tcPr>
                  <w:tcW w:w="370" w:type="pct"/>
                  <w:vMerge w:val="continue"/>
                  <w:noWrap w:val="0"/>
                  <w:vAlign w:val="center"/>
                </w:tcPr>
                <w:p w14:paraId="0EBC3263">
                  <w:pPr>
                    <w:widowControl/>
                    <w:jc w:val="center"/>
                    <w:rPr>
                      <w:rFonts w:hint="default" w:ascii="Times New Roman" w:hAnsi="Times New Roman" w:eastAsia="宋体" w:cs="Times New Roman"/>
                      <w:b w:val="0"/>
                      <w:bCs w:val="0"/>
                      <w:color w:val="000000" w:themeColor="text1"/>
                      <w:kern w:val="0"/>
                      <w:sz w:val="21"/>
                      <w:szCs w:val="21"/>
                      <w:highlight w:val="none"/>
                      <w14:textFill>
                        <w14:solidFill>
                          <w14:schemeClr w14:val="tx1"/>
                        </w14:solidFill>
                      </w14:textFill>
                    </w:rPr>
                  </w:pPr>
                </w:p>
              </w:tc>
              <w:tc>
                <w:tcPr>
                  <w:tcW w:w="790" w:type="dxa"/>
                  <w:noWrap w:val="0"/>
                  <w:vAlign w:val="center"/>
                </w:tcPr>
                <w:p w14:paraId="29F8129B">
                  <w:pPr>
                    <w:widowControl/>
                    <w:jc w:val="center"/>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14:textFill>
                        <w14:solidFill>
                          <w14:schemeClr w14:val="tx1"/>
                        </w14:solidFill>
                      </w14:textFill>
                    </w:rPr>
                    <w:t>不储存</w:t>
                  </w:r>
                </w:p>
              </w:tc>
              <w:tc>
                <w:tcPr>
                  <w:tcW w:w="3065" w:type="dxa"/>
                  <w:noWrap w:val="0"/>
                  <w:vAlign w:val="center"/>
                </w:tcPr>
                <w:p w14:paraId="7A15D544">
                  <w:pPr>
                    <w:widowControl/>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t>送综合利用</w:t>
                  </w:r>
                </w:p>
              </w:tc>
            </w:tr>
            <w:tr w14:paraId="652EA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95" w:type="pct"/>
                  <w:noWrap w:val="0"/>
                  <w:vAlign w:val="center"/>
                </w:tcPr>
                <w:p w14:paraId="72551A2C">
                  <w:pPr>
                    <w:numPr>
                      <w:ilvl w:val="0"/>
                      <w:numId w:val="6"/>
                    </w:numPr>
                    <w:ind w:left="425" w:leftChars="0" w:hanging="425" w:firstLineChars="0"/>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p>
              </w:tc>
              <w:tc>
                <w:tcPr>
                  <w:tcW w:w="808" w:type="pct"/>
                  <w:noWrap w:val="0"/>
                  <w:vAlign w:val="center"/>
                </w:tcPr>
                <w:p w14:paraId="518D77CC">
                  <w:pPr>
                    <w:widowControl/>
                    <w:jc w:val="cente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不合格品</w:t>
                  </w:r>
                </w:p>
                <w:p w14:paraId="0B36341E">
                  <w:pPr>
                    <w:widowControl/>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黄料</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p>
              </w:tc>
              <w:tc>
                <w:tcPr>
                  <w:tcW w:w="490" w:type="pct"/>
                  <w:noWrap w:val="0"/>
                  <w:vAlign w:val="center"/>
                </w:tcPr>
                <w:p w14:paraId="53DE6FB9">
                  <w:pPr>
                    <w:widowControl/>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10526</w:t>
                  </w:r>
                </w:p>
              </w:tc>
              <w:tc>
                <w:tcPr>
                  <w:tcW w:w="504" w:type="pct"/>
                  <w:noWrap w:val="0"/>
                  <w:vAlign w:val="center"/>
                </w:tcPr>
                <w:p w14:paraId="4DD17D2A">
                  <w:pPr>
                    <w:widowControl/>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w:t>
                  </w:r>
                </w:p>
              </w:tc>
              <w:tc>
                <w:tcPr>
                  <w:tcW w:w="370" w:type="pct"/>
                  <w:vMerge w:val="continue"/>
                  <w:noWrap w:val="0"/>
                  <w:vAlign w:val="center"/>
                </w:tcPr>
                <w:p w14:paraId="07657536">
                  <w:pPr>
                    <w:widowControl/>
                    <w:jc w:val="center"/>
                    <w:rPr>
                      <w:rFonts w:hint="default" w:ascii="Times New Roman" w:hAnsi="Times New Roman" w:eastAsia="宋体" w:cs="Times New Roman"/>
                      <w:b w:val="0"/>
                      <w:bCs w:val="0"/>
                      <w:color w:val="000000" w:themeColor="text1"/>
                      <w:kern w:val="0"/>
                      <w:sz w:val="21"/>
                      <w:szCs w:val="21"/>
                      <w:highlight w:val="none"/>
                      <w14:textFill>
                        <w14:solidFill>
                          <w14:schemeClr w14:val="tx1"/>
                        </w14:solidFill>
                      </w14:textFill>
                    </w:rPr>
                  </w:pPr>
                </w:p>
              </w:tc>
              <w:tc>
                <w:tcPr>
                  <w:tcW w:w="549" w:type="pct"/>
                  <w:noWrap w:val="0"/>
                  <w:vAlign w:val="center"/>
                </w:tcPr>
                <w:p w14:paraId="65D73C0A">
                  <w:pPr>
                    <w:widowControl/>
                    <w:jc w:val="center"/>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t>黄料仓</w:t>
                  </w:r>
                </w:p>
              </w:tc>
              <w:tc>
                <w:tcPr>
                  <w:tcW w:w="1980" w:type="pct"/>
                  <w:noWrap w:val="0"/>
                  <w:vAlign w:val="center"/>
                </w:tcPr>
                <w:p w14:paraId="63CAA10B">
                  <w:pPr>
                    <w:widowControl/>
                    <w:jc w:val="both"/>
                    <w:rPr>
                      <w:rFonts w:hint="default" w:ascii="Times New Roman" w:hAnsi="Times New Roman" w:eastAsia="宋体" w:cs="Times New Roman"/>
                      <w:b w:val="0"/>
                      <w:bCs w:val="0"/>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黄料筒仓暂存，定期外售作为建材综合利用，</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不外排</w:t>
                  </w:r>
                </w:p>
              </w:tc>
            </w:tr>
            <w:tr w14:paraId="011E0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95" w:type="pct"/>
                  <w:noWrap w:val="0"/>
                  <w:vAlign w:val="center"/>
                </w:tcPr>
                <w:p w14:paraId="03ABFC4D">
                  <w:pPr>
                    <w:numPr>
                      <w:ilvl w:val="0"/>
                      <w:numId w:val="6"/>
                    </w:numPr>
                    <w:ind w:left="425" w:leftChars="0" w:hanging="425" w:firstLineChars="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808" w:type="pct"/>
                  <w:noWrap w:val="0"/>
                  <w:vAlign w:val="center"/>
                </w:tcPr>
                <w:p w14:paraId="604885CA">
                  <w:pPr>
                    <w:widowControl/>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脱硫石膏</w:t>
                  </w:r>
                </w:p>
              </w:tc>
              <w:tc>
                <w:tcPr>
                  <w:tcW w:w="490" w:type="pct"/>
                  <w:noWrap w:val="0"/>
                  <w:vAlign w:val="center"/>
                </w:tcPr>
                <w:p w14:paraId="0FA58581">
                  <w:pPr>
                    <w:widowControl/>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1243</w:t>
                  </w:r>
                </w:p>
              </w:tc>
              <w:tc>
                <w:tcPr>
                  <w:tcW w:w="504" w:type="pct"/>
                  <w:noWrap w:val="0"/>
                  <w:vAlign w:val="center"/>
                </w:tcPr>
                <w:p w14:paraId="5742C03F">
                  <w:pPr>
                    <w:widowControl/>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SW</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06</w:t>
                  </w:r>
                </w:p>
                <w:p w14:paraId="7E9755B0">
                  <w:pPr>
                    <w:widowControl/>
                    <w:jc w:val="center"/>
                    <w:rPr>
                      <w:rFonts w:hint="eastAsia"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900-099-S06</w:t>
                  </w:r>
                </w:p>
              </w:tc>
              <w:tc>
                <w:tcPr>
                  <w:tcW w:w="370" w:type="pct"/>
                  <w:vMerge w:val="continue"/>
                  <w:noWrap w:val="0"/>
                  <w:vAlign w:val="center"/>
                </w:tcPr>
                <w:p w14:paraId="56A0776C">
                  <w:pPr>
                    <w:widowControl/>
                    <w:jc w:val="center"/>
                    <w:rPr>
                      <w:rFonts w:hint="default" w:ascii="Times New Roman" w:hAnsi="Times New Roman" w:eastAsia="宋体" w:cs="Times New Roman"/>
                      <w:b w:val="0"/>
                      <w:bCs w:val="0"/>
                      <w:color w:val="000000" w:themeColor="text1"/>
                      <w:kern w:val="0"/>
                      <w:sz w:val="21"/>
                      <w:szCs w:val="21"/>
                      <w:highlight w:val="none"/>
                      <w14:textFill>
                        <w14:solidFill>
                          <w14:schemeClr w14:val="tx1"/>
                        </w14:solidFill>
                      </w14:textFill>
                    </w:rPr>
                  </w:pPr>
                </w:p>
              </w:tc>
              <w:tc>
                <w:tcPr>
                  <w:tcW w:w="549" w:type="pct"/>
                  <w:noWrap w:val="0"/>
                  <w:vAlign w:val="center"/>
                </w:tcPr>
                <w:p w14:paraId="23B1CCB5">
                  <w:pPr>
                    <w:widowControl/>
                    <w:jc w:val="center"/>
                    <w:rPr>
                      <w:rFonts w:hint="default" w:ascii="Times New Roman" w:hAnsi="Times New Roman" w:eastAsia="宋体" w:cs="Times New Roman"/>
                      <w:b w:val="0"/>
                      <w:bCs w:val="0"/>
                      <w:color w:val="000000" w:themeColor="text1"/>
                      <w:kern w:val="0"/>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t>一般固废库</w:t>
                  </w:r>
                </w:p>
              </w:tc>
              <w:tc>
                <w:tcPr>
                  <w:tcW w:w="1980" w:type="pct"/>
                  <w:noWrap w:val="0"/>
                  <w:vAlign w:val="center"/>
                </w:tcPr>
                <w:p w14:paraId="144111AD">
                  <w:pPr>
                    <w:widowControl/>
                    <w:jc w:val="both"/>
                    <w:rPr>
                      <w:rFonts w:hint="default" w:ascii="Times New Roman" w:hAnsi="Times New Roman" w:eastAsia="宋体" w:cs="Times New Roman"/>
                      <w:b w:val="0"/>
                      <w:bCs w:val="0"/>
                      <w:color w:val="000000" w:themeColor="text1"/>
                      <w:kern w:val="0"/>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外售作为建材综合利用，</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不外排</w:t>
                  </w:r>
                </w:p>
              </w:tc>
            </w:tr>
            <w:tr w14:paraId="1A17E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95" w:type="pct"/>
                  <w:noWrap w:val="0"/>
                  <w:vAlign w:val="center"/>
                </w:tcPr>
                <w:p w14:paraId="3C857EFA">
                  <w:pPr>
                    <w:numPr>
                      <w:ilvl w:val="0"/>
                      <w:numId w:val="6"/>
                    </w:numPr>
                    <w:ind w:left="425" w:leftChars="0" w:hanging="425" w:firstLineChars="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808" w:type="pct"/>
                  <w:noWrap w:val="0"/>
                  <w:vAlign w:val="center"/>
                </w:tcPr>
                <w:p w14:paraId="7AE5BDE9">
                  <w:pPr>
                    <w:widowControl/>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软水制备废滤料</w:t>
                  </w:r>
                </w:p>
              </w:tc>
              <w:tc>
                <w:tcPr>
                  <w:tcW w:w="490" w:type="pct"/>
                  <w:noWrap w:val="0"/>
                  <w:vAlign w:val="center"/>
                </w:tcPr>
                <w:p w14:paraId="13CB1D77">
                  <w:pPr>
                    <w:widowControl/>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2.4</w:t>
                  </w:r>
                </w:p>
              </w:tc>
              <w:tc>
                <w:tcPr>
                  <w:tcW w:w="504" w:type="pct"/>
                  <w:noWrap w:val="0"/>
                  <w:vAlign w:val="center"/>
                </w:tcPr>
                <w:p w14:paraId="730DDB63">
                  <w:pPr>
                    <w:widowControl/>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SW59</w:t>
                  </w:r>
                </w:p>
                <w:p w14:paraId="499F3ABD">
                  <w:pPr>
                    <w:widowControl/>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900-099-S06</w:t>
                  </w:r>
                </w:p>
              </w:tc>
              <w:tc>
                <w:tcPr>
                  <w:tcW w:w="370" w:type="pct"/>
                  <w:vMerge w:val="continue"/>
                  <w:noWrap w:val="0"/>
                  <w:vAlign w:val="center"/>
                </w:tcPr>
                <w:p w14:paraId="4DAA8398">
                  <w:pPr>
                    <w:widowControl/>
                    <w:jc w:val="center"/>
                    <w:rPr>
                      <w:rFonts w:hint="default" w:ascii="Times New Roman" w:hAnsi="Times New Roman" w:eastAsia="宋体" w:cs="Times New Roman"/>
                      <w:b w:val="0"/>
                      <w:bCs w:val="0"/>
                      <w:color w:val="000000" w:themeColor="text1"/>
                      <w:kern w:val="0"/>
                      <w:sz w:val="21"/>
                      <w:szCs w:val="21"/>
                      <w:highlight w:val="none"/>
                      <w14:textFill>
                        <w14:solidFill>
                          <w14:schemeClr w14:val="tx1"/>
                        </w14:solidFill>
                      </w14:textFill>
                    </w:rPr>
                  </w:pPr>
                </w:p>
              </w:tc>
              <w:tc>
                <w:tcPr>
                  <w:tcW w:w="549" w:type="pct"/>
                  <w:noWrap w:val="0"/>
                  <w:vAlign w:val="center"/>
                </w:tcPr>
                <w:p w14:paraId="1DC976A7">
                  <w:pPr>
                    <w:widowControl/>
                    <w:jc w:val="center"/>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t>一般固废库</w:t>
                  </w:r>
                </w:p>
              </w:tc>
              <w:tc>
                <w:tcPr>
                  <w:tcW w:w="1980" w:type="pct"/>
                  <w:vMerge w:val="restart"/>
                  <w:noWrap w:val="0"/>
                  <w:vAlign w:val="center"/>
                </w:tcPr>
                <w:p w14:paraId="76EC9EA6">
                  <w:pPr>
                    <w:widowControl/>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一般固废库暂存，定期外售综合利用</w:t>
                  </w:r>
                </w:p>
              </w:tc>
            </w:tr>
            <w:tr w14:paraId="26409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95" w:type="pct"/>
                  <w:noWrap w:val="0"/>
                  <w:vAlign w:val="center"/>
                </w:tcPr>
                <w:p w14:paraId="62922E4B">
                  <w:pPr>
                    <w:numPr>
                      <w:ilvl w:val="0"/>
                      <w:numId w:val="6"/>
                    </w:numPr>
                    <w:ind w:left="425" w:leftChars="0" w:hanging="425" w:firstLineChars="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808" w:type="pct"/>
                  <w:noWrap w:val="0"/>
                  <w:vAlign w:val="center"/>
                </w:tcPr>
                <w:p w14:paraId="3C03D1DB">
                  <w:pPr>
                    <w:widowControl/>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空压站废滤材</w:t>
                  </w:r>
                </w:p>
              </w:tc>
              <w:tc>
                <w:tcPr>
                  <w:tcW w:w="490" w:type="pct"/>
                  <w:noWrap w:val="0"/>
                  <w:vAlign w:val="center"/>
                </w:tcPr>
                <w:p w14:paraId="6C2D42A5">
                  <w:pPr>
                    <w:widowControl/>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2.5</w:t>
                  </w:r>
                </w:p>
              </w:tc>
              <w:tc>
                <w:tcPr>
                  <w:tcW w:w="504" w:type="pct"/>
                  <w:noWrap w:val="0"/>
                  <w:vAlign w:val="center"/>
                </w:tcPr>
                <w:p w14:paraId="7A926650">
                  <w:pPr>
                    <w:widowControl/>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SW59</w:t>
                  </w:r>
                </w:p>
                <w:p w14:paraId="47ABC622">
                  <w:pPr>
                    <w:widowControl/>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color w:val="000000" w:themeColor="text1"/>
                      <w:sz w:val="21"/>
                      <w:szCs w:val="21"/>
                      <w:lang w:val="en-US" w:eastAsia="zh-CN"/>
                      <w14:textFill>
                        <w14:solidFill>
                          <w14:schemeClr w14:val="tx1"/>
                        </w14:solidFill>
                      </w14:textFill>
                    </w:rPr>
                    <w:t>900-099-S06</w:t>
                  </w:r>
                </w:p>
              </w:tc>
              <w:tc>
                <w:tcPr>
                  <w:tcW w:w="370" w:type="pct"/>
                  <w:vMerge w:val="continue"/>
                  <w:noWrap w:val="0"/>
                  <w:vAlign w:val="center"/>
                </w:tcPr>
                <w:p w14:paraId="5E89B989">
                  <w:pPr>
                    <w:widowControl/>
                    <w:jc w:val="center"/>
                    <w:rPr>
                      <w:rFonts w:hint="default" w:ascii="Times New Roman" w:hAnsi="Times New Roman" w:eastAsia="宋体" w:cs="Times New Roman"/>
                      <w:b w:val="0"/>
                      <w:bCs w:val="0"/>
                      <w:color w:val="000000" w:themeColor="text1"/>
                      <w:kern w:val="0"/>
                      <w:sz w:val="21"/>
                      <w:szCs w:val="21"/>
                      <w:highlight w:val="none"/>
                      <w14:textFill>
                        <w14:solidFill>
                          <w14:schemeClr w14:val="tx1"/>
                        </w14:solidFill>
                      </w14:textFill>
                    </w:rPr>
                  </w:pPr>
                </w:p>
              </w:tc>
              <w:tc>
                <w:tcPr>
                  <w:tcW w:w="549" w:type="pct"/>
                  <w:noWrap w:val="0"/>
                  <w:vAlign w:val="center"/>
                </w:tcPr>
                <w:p w14:paraId="745815CC">
                  <w:pPr>
                    <w:widowControl/>
                    <w:jc w:val="center"/>
                    <w:rPr>
                      <w:rFonts w:hint="default" w:ascii="Times New Roman" w:hAnsi="Times New Roman" w:eastAsia="宋体" w:cs="Times New Roman"/>
                      <w:b w:val="0"/>
                      <w:bCs w:val="0"/>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t>一般固废库</w:t>
                  </w:r>
                </w:p>
              </w:tc>
              <w:tc>
                <w:tcPr>
                  <w:tcW w:w="1980" w:type="pct"/>
                  <w:vMerge w:val="continue"/>
                  <w:noWrap w:val="0"/>
                  <w:vAlign w:val="center"/>
                </w:tcPr>
                <w:p w14:paraId="54643D47">
                  <w:pPr>
                    <w:widowControl/>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r>
            <w:tr w14:paraId="41E6B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95" w:type="pct"/>
                  <w:noWrap w:val="0"/>
                  <w:vAlign w:val="center"/>
                </w:tcPr>
                <w:p w14:paraId="09902336">
                  <w:pPr>
                    <w:numPr>
                      <w:ilvl w:val="0"/>
                      <w:numId w:val="6"/>
                    </w:numPr>
                    <w:ind w:left="425" w:leftChars="0" w:hanging="425" w:firstLineChars="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808" w:type="pct"/>
                  <w:noWrap w:val="0"/>
                  <w:vAlign w:val="center"/>
                </w:tcPr>
                <w:p w14:paraId="6A791B64">
                  <w:pPr>
                    <w:widowControl/>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废油</w:t>
                  </w:r>
                </w:p>
              </w:tc>
              <w:tc>
                <w:tcPr>
                  <w:tcW w:w="490" w:type="pct"/>
                  <w:noWrap w:val="0"/>
                  <w:vAlign w:val="center"/>
                </w:tcPr>
                <w:p w14:paraId="48365FCB">
                  <w:pPr>
                    <w:widowControl/>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1</w:t>
                  </w:r>
                </w:p>
              </w:tc>
              <w:tc>
                <w:tcPr>
                  <w:tcW w:w="504" w:type="pct"/>
                  <w:noWrap w:val="0"/>
                  <w:vAlign w:val="center"/>
                </w:tcPr>
                <w:p w14:paraId="341EE307">
                  <w:pPr>
                    <w:widowControl/>
                    <w:jc w:val="center"/>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t>HW08</w:t>
                  </w:r>
                </w:p>
                <w:p w14:paraId="0E31E7E6">
                  <w:pPr>
                    <w:widowControl/>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t>900-214-08</w:t>
                  </w:r>
                </w:p>
              </w:tc>
              <w:tc>
                <w:tcPr>
                  <w:tcW w:w="370" w:type="pct"/>
                  <w:vMerge w:val="restart"/>
                  <w:noWrap w:val="0"/>
                  <w:vAlign w:val="center"/>
                </w:tcPr>
                <w:p w14:paraId="6DA0DE77">
                  <w:pPr>
                    <w:widowControl/>
                    <w:jc w:val="center"/>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t>危险废物</w:t>
                  </w:r>
                </w:p>
              </w:tc>
              <w:tc>
                <w:tcPr>
                  <w:tcW w:w="549" w:type="pct"/>
                  <w:vMerge w:val="restart"/>
                  <w:noWrap w:val="0"/>
                  <w:vAlign w:val="center"/>
                </w:tcPr>
                <w:p w14:paraId="36E37CD0">
                  <w:pPr>
                    <w:widowControl/>
                    <w:jc w:val="center"/>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t>危废库</w:t>
                  </w:r>
                </w:p>
              </w:tc>
              <w:tc>
                <w:tcPr>
                  <w:tcW w:w="1980" w:type="pct"/>
                  <w:vMerge w:val="restart"/>
                  <w:noWrap w:val="0"/>
                  <w:vAlign w:val="center"/>
                </w:tcPr>
                <w:p w14:paraId="12048BB6">
                  <w:pPr>
                    <w:widowControl/>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暂存危废库，</w:t>
                  </w:r>
                  <w:r>
                    <w:rPr>
                      <w:rFonts w:hint="eastAsia" w:ascii="Times New Roman" w:hAnsi="Times New Roman" w:cs="Times New Roman"/>
                      <w:color w:val="000000" w:themeColor="text1"/>
                      <w:spacing w:val="1"/>
                      <w:sz w:val="21"/>
                      <w:szCs w:val="21"/>
                      <w:highlight w:val="none"/>
                      <w:lang w:val="en-US" w:eastAsia="zh-CN"/>
                      <w14:textFill>
                        <w14:solidFill>
                          <w14:schemeClr w14:val="tx1"/>
                        </w14:solidFill>
                      </w14:textFill>
                    </w:rPr>
                    <w:t>按危废管理，</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定期委托有资质单位处置</w:t>
                  </w:r>
                </w:p>
              </w:tc>
            </w:tr>
            <w:tr w14:paraId="16A79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95" w:type="pct"/>
                  <w:noWrap w:val="0"/>
                  <w:vAlign w:val="center"/>
                </w:tcPr>
                <w:p w14:paraId="024E7591">
                  <w:pPr>
                    <w:numPr>
                      <w:ilvl w:val="0"/>
                      <w:numId w:val="6"/>
                    </w:numPr>
                    <w:ind w:left="425" w:leftChars="0" w:hanging="425" w:firstLineChars="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808" w:type="pct"/>
                  <w:noWrap w:val="0"/>
                  <w:vAlign w:val="center"/>
                </w:tcPr>
                <w:p w14:paraId="12BBA3BC">
                  <w:pPr>
                    <w:widowControl/>
                    <w:jc w:val="center"/>
                    <w:rPr>
                      <w:rFonts w:hint="default" w:ascii="Times New Roman" w:hAnsi="Times New Roman" w:eastAsia="宋体"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废油桶</w:t>
                  </w:r>
                </w:p>
              </w:tc>
              <w:tc>
                <w:tcPr>
                  <w:tcW w:w="490" w:type="pct"/>
                  <w:noWrap w:val="0"/>
                  <w:vAlign w:val="center"/>
                </w:tcPr>
                <w:p w14:paraId="1C7DFD11">
                  <w:pPr>
                    <w:widowControl/>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1</w:t>
                  </w:r>
                </w:p>
              </w:tc>
              <w:tc>
                <w:tcPr>
                  <w:tcW w:w="504" w:type="pct"/>
                  <w:noWrap w:val="0"/>
                  <w:vAlign w:val="center"/>
                </w:tcPr>
                <w:p w14:paraId="530B7484">
                  <w:pPr>
                    <w:widowControl/>
                    <w:jc w:val="center"/>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t>HW08</w:t>
                  </w:r>
                </w:p>
                <w:p w14:paraId="761D9541">
                  <w:pPr>
                    <w:widowControl/>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14:textFill>
                        <w14:solidFill>
                          <w14:schemeClr w14:val="tx1"/>
                        </w14:solidFill>
                      </w14:textFill>
                    </w:rPr>
                    <w:t>900-249-08</w:t>
                  </w:r>
                </w:p>
              </w:tc>
              <w:tc>
                <w:tcPr>
                  <w:tcW w:w="370" w:type="pct"/>
                  <w:vMerge w:val="continue"/>
                  <w:noWrap w:val="0"/>
                  <w:vAlign w:val="center"/>
                </w:tcPr>
                <w:p w14:paraId="0BABE010">
                  <w:pPr>
                    <w:widowControl/>
                    <w:jc w:val="center"/>
                    <w:rPr>
                      <w:rFonts w:hint="default" w:ascii="Times New Roman" w:hAnsi="Times New Roman" w:eastAsia="宋体" w:cs="Times New Roman"/>
                      <w:b w:val="0"/>
                      <w:bCs w:val="0"/>
                      <w:color w:val="000000" w:themeColor="text1"/>
                      <w:kern w:val="0"/>
                      <w:sz w:val="21"/>
                      <w:szCs w:val="21"/>
                      <w:highlight w:val="none"/>
                      <w14:textFill>
                        <w14:solidFill>
                          <w14:schemeClr w14:val="tx1"/>
                        </w14:solidFill>
                      </w14:textFill>
                    </w:rPr>
                  </w:pPr>
                </w:p>
              </w:tc>
              <w:tc>
                <w:tcPr>
                  <w:tcW w:w="549" w:type="pct"/>
                  <w:vMerge w:val="continue"/>
                  <w:noWrap w:val="0"/>
                  <w:vAlign w:val="center"/>
                </w:tcPr>
                <w:p w14:paraId="6DA6D087">
                  <w:pPr>
                    <w:widowControl/>
                    <w:jc w:val="center"/>
                    <w:rPr>
                      <w:rFonts w:hint="default" w:ascii="Times New Roman" w:hAnsi="Times New Roman" w:eastAsia="宋体" w:cs="Times New Roman"/>
                      <w:b w:val="0"/>
                      <w:bCs w:val="0"/>
                      <w:color w:val="000000" w:themeColor="text1"/>
                      <w:kern w:val="0"/>
                      <w:sz w:val="21"/>
                      <w:szCs w:val="21"/>
                      <w:highlight w:val="none"/>
                      <w14:textFill>
                        <w14:solidFill>
                          <w14:schemeClr w14:val="tx1"/>
                        </w14:solidFill>
                      </w14:textFill>
                    </w:rPr>
                  </w:pPr>
                </w:p>
              </w:tc>
              <w:tc>
                <w:tcPr>
                  <w:tcW w:w="1980" w:type="pct"/>
                  <w:vMerge w:val="continue"/>
                  <w:noWrap w:val="0"/>
                  <w:vAlign w:val="center"/>
                </w:tcPr>
                <w:p w14:paraId="06F583BD">
                  <w:pPr>
                    <w:widowControl/>
                    <w:jc w:val="center"/>
                    <w:rPr>
                      <w:rFonts w:hint="default" w:ascii="Times New Roman" w:hAnsi="Times New Roman" w:eastAsia="宋体" w:cs="Times New Roman"/>
                      <w:b w:val="0"/>
                      <w:bCs w:val="0"/>
                      <w:color w:val="000000" w:themeColor="text1"/>
                      <w:kern w:val="0"/>
                      <w:sz w:val="21"/>
                      <w:szCs w:val="21"/>
                      <w:highlight w:val="none"/>
                      <w14:textFill>
                        <w14:solidFill>
                          <w14:schemeClr w14:val="tx1"/>
                        </w14:solidFill>
                      </w14:textFill>
                    </w:rPr>
                  </w:pPr>
                </w:p>
              </w:tc>
            </w:tr>
            <w:tr w14:paraId="48C90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295" w:type="pct"/>
                  <w:noWrap w:val="0"/>
                  <w:vAlign w:val="center"/>
                </w:tcPr>
                <w:p w14:paraId="5978168D">
                  <w:pPr>
                    <w:numPr>
                      <w:ilvl w:val="0"/>
                      <w:numId w:val="6"/>
                    </w:numPr>
                    <w:ind w:left="425" w:leftChars="0" w:hanging="425" w:firstLineChars="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p>
              </w:tc>
              <w:tc>
                <w:tcPr>
                  <w:tcW w:w="808" w:type="pct"/>
                  <w:noWrap w:val="0"/>
                  <w:vAlign w:val="center"/>
                </w:tcPr>
                <w:p w14:paraId="7EC413C2">
                  <w:pPr>
                    <w:widowControl/>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脱硫废水污泥</w:t>
                  </w:r>
                </w:p>
              </w:tc>
              <w:tc>
                <w:tcPr>
                  <w:tcW w:w="490" w:type="pct"/>
                  <w:noWrap w:val="0"/>
                  <w:vAlign w:val="center"/>
                </w:tcPr>
                <w:p w14:paraId="2D1FC08A">
                  <w:pPr>
                    <w:widowControl/>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6</w:t>
                  </w:r>
                </w:p>
              </w:tc>
              <w:tc>
                <w:tcPr>
                  <w:tcW w:w="504" w:type="pct"/>
                  <w:noWrap w:val="0"/>
                  <w:vAlign w:val="center"/>
                </w:tcPr>
                <w:p w14:paraId="50684DB0">
                  <w:pPr>
                    <w:widowControl/>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w:t>
                  </w:r>
                </w:p>
              </w:tc>
              <w:tc>
                <w:tcPr>
                  <w:tcW w:w="370" w:type="pct"/>
                  <w:vMerge w:val="continue"/>
                  <w:noWrap w:val="0"/>
                  <w:vAlign w:val="center"/>
                </w:tcPr>
                <w:p w14:paraId="27799091">
                  <w:pPr>
                    <w:widowControl/>
                    <w:jc w:val="center"/>
                    <w:rPr>
                      <w:rFonts w:hint="default" w:ascii="Times New Roman" w:hAnsi="Times New Roman" w:eastAsia="宋体" w:cs="Times New Roman"/>
                      <w:b w:val="0"/>
                      <w:bCs w:val="0"/>
                      <w:color w:val="000000" w:themeColor="text1"/>
                      <w:kern w:val="0"/>
                      <w:sz w:val="21"/>
                      <w:szCs w:val="21"/>
                      <w:highlight w:val="none"/>
                      <w14:textFill>
                        <w14:solidFill>
                          <w14:schemeClr w14:val="tx1"/>
                        </w14:solidFill>
                      </w14:textFill>
                    </w:rPr>
                  </w:pPr>
                </w:p>
              </w:tc>
              <w:tc>
                <w:tcPr>
                  <w:tcW w:w="549" w:type="pct"/>
                  <w:vMerge w:val="continue"/>
                  <w:noWrap w:val="0"/>
                  <w:vAlign w:val="center"/>
                </w:tcPr>
                <w:p w14:paraId="2AC6DF47">
                  <w:pPr>
                    <w:widowControl/>
                    <w:jc w:val="center"/>
                    <w:rPr>
                      <w:rFonts w:hint="default" w:ascii="Times New Roman" w:hAnsi="Times New Roman" w:eastAsia="宋体" w:cs="Times New Roman"/>
                      <w:b w:val="0"/>
                      <w:bCs w:val="0"/>
                      <w:color w:val="000000" w:themeColor="text1"/>
                      <w:kern w:val="0"/>
                      <w:sz w:val="21"/>
                      <w:szCs w:val="21"/>
                      <w:highlight w:val="none"/>
                      <w14:textFill>
                        <w14:solidFill>
                          <w14:schemeClr w14:val="tx1"/>
                        </w14:solidFill>
                      </w14:textFill>
                    </w:rPr>
                  </w:pPr>
                </w:p>
              </w:tc>
              <w:tc>
                <w:tcPr>
                  <w:tcW w:w="1980" w:type="pct"/>
                  <w:noWrap w:val="0"/>
                  <w:vAlign w:val="center"/>
                </w:tcPr>
                <w:p w14:paraId="0AD74656">
                  <w:pPr>
                    <w:widowControl/>
                    <w:jc w:val="center"/>
                    <w:rPr>
                      <w:rFonts w:hint="default" w:ascii="Times New Roman" w:hAnsi="Times New Roman" w:eastAsia="宋体" w:cs="Times New Roman"/>
                      <w:b w:val="0"/>
                      <w:bCs w:val="0"/>
                      <w:color w:val="000000" w:themeColor="text1"/>
                      <w:kern w:val="0"/>
                      <w:sz w:val="21"/>
                      <w:szCs w:val="21"/>
                      <w:highlight w:val="none"/>
                      <w14:textFill>
                        <w14:solidFill>
                          <w14:schemeClr w14:val="tx1"/>
                        </w14:solidFill>
                      </w14:textFill>
                    </w:rPr>
                  </w:pPr>
                  <w:r>
                    <w:rPr>
                      <w:rFonts w:hint="default" w:ascii="Times New Roman" w:hAnsi="Times New Roman" w:cs="Times New Roman"/>
                      <w:color w:val="000000" w:themeColor="text1"/>
                      <w:spacing w:val="1"/>
                      <w:sz w:val="21"/>
                      <w:szCs w:val="21"/>
                      <w:highlight w:val="none"/>
                      <w:lang w:val="en-US" w:eastAsia="zh-CN"/>
                      <w14:textFill>
                        <w14:solidFill>
                          <w14:schemeClr w14:val="tx1"/>
                        </w14:solidFill>
                      </w14:textFill>
                    </w:rPr>
                    <w:t>鉴定后属于危废后，定期送有资质的处置，</w:t>
                  </w:r>
                  <w:r>
                    <w:rPr>
                      <w:rFonts w:hint="default" w:ascii="Times New Roman" w:hAnsi="Times New Roman" w:cs="Times New Roman"/>
                      <w:color w:val="000000" w:themeColor="text1"/>
                      <w:spacing w:val="1"/>
                      <w:sz w:val="21"/>
                      <w:szCs w:val="21"/>
                      <w:highlight w:val="none"/>
                      <w:lang w:eastAsia="zh-CN"/>
                      <w14:textFill>
                        <w14:solidFill>
                          <w14:schemeClr w14:val="tx1"/>
                        </w14:solidFill>
                      </w14:textFill>
                    </w:rPr>
                    <w:t>不外排。</w:t>
                  </w:r>
                </w:p>
              </w:tc>
            </w:tr>
          </w:tbl>
          <w:p w14:paraId="544AD45F">
            <w:pPr>
              <w:pStyle w:val="54"/>
              <w:keepNext w:val="0"/>
              <w:keepLines w:val="0"/>
              <w:pageBreakBefore w:val="0"/>
              <w:widowControl w:val="0"/>
              <w:kinsoku/>
              <w:wordWrap/>
              <w:overflowPunct/>
              <w:topLinePunct w:val="0"/>
              <w:bidi w:val="0"/>
              <w:spacing w:line="360" w:lineRule="auto"/>
              <w:ind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综上所述，本项目运营期产生的固废均得到有效处置，不会对环境造成二次污染，对周围环境影响不大。</w:t>
            </w:r>
          </w:p>
          <w:p w14:paraId="12436E3E">
            <w:pPr>
              <w:keepNext w:val="0"/>
              <w:keepLines w:val="0"/>
              <w:pageBreakBefore w:val="0"/>
              <w:widowControl w:val="0"/>
              <w:kinsoku/>
              <w:wordWrap/>
              <w:overflowPunct/>
              <w:topLinePunct w:val="0"/>
              <w:bidi w:val="0"/>
              <w:spacing w:line="360" w:lineRule="auto"/>
              <w:ind w:firstLine="482"/>
              <w:jc w:val="both"/>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lang w:eastAsia="zh-CN"/>
                <w14:textFill>
                  <w14:solidFill>
                    <w14:schemeClr w14:val="tx1"/>
                  </w14:solidFill>
                </w14:textFill>
              </w:rPr>
              <w:t>4.</w:t>
            </w:r>
            <w:r>
              <w:rPr>
                <w:rFonts w:hint="default" w:ascii="Times New Roman" w:hAnsi="Times New Roman" w:eastAsia="宋体" w:cs="Times New Roman"/>
                <w:b/>
                <w:bCs/>
                <w:color w:val="000000" w:themeColor="text1"/>
                <w:sz w:val="24"/>
                <w:highlight w:val="none"/>
                <w14:textFill>
                  <w14:solidFill>
                    <w14:schemeClr w14:val="tx1"/>
                  </w14:solidFill>
                </w14:textFill>
              </w:rPr>
              <w:t>噪声</w:t>
            </w:r>
          </w:p>
          <w:p w14:paraId="01847B84">
            <w:pPr>
              <w:keepNext w:val="0"/>
              <w:keepLines w:val="0"/>
              <w:pageBreakBefore w:val="0"/>
              <w:widowControl w:val="0"/>
              <w:kinsoku/>
              <w:wordWrap/>
              <w:overflowPunct/>
              <w:topLinePunct w:val="0"/>
              <w:bidi w:val="0"/>
              <w:snapToGrid w:val="0"/>
              <w:spacing w:line="360" w:lineRule="auto"/>
              <w:ind w:firstLine="482"/>
              <w:jc w:val="both"/>
              <w:outlineLvl w:val="3"/>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4.1噪声源强分析</w:t>
            </w:r>
          </w:p>
          <w:p w14:paraId="382117FB">
            <w:pPr>
              <w:pStyle w:val="54"/>
              <w:keepNext w:val="0"/>
              <w:keepLines w:val="0"/>
              <w:pageBreakBefore w:val="0"/>
              <w:widowControl w:val="0"/>
              <w:kinsoku/>
              <w:wordWrap/>
              <w:overflowPunct/>
              <w:topLinePunct w:val="0"/>
              <w:bidi w:val="0"/>
              <w:spacing w:line="360" w:lineRule="auto"/>
              <w:ind w:firstLine="480" w:firstLineChars="200"/>
              <w:jc w:val="both"/>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本项目噪声主要来源于</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空分、风机、各种泵、打散机、粉磨机</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、包装机</w:t>
            </w:r>
            <w:r>
              <w:rPr>
                <w:rFonts w:hint="default" w:ascii="Times New Roman" w:hAnsi="Times New Roman" w:eastAsia="宋体" w:cs="Times New Roman"/>
                <w:color w:val="000000" w:themeColor="text1"/>
                <w:sz w:val="24"/>
                <w:szCs w:val="24"/>
                <w:highlight w:val="none"/>
                <w14:textFill>
                  <w14:solidFill>
                    <w14:schemeClr w14:val="tx1"/>
                  </w14:solidFill>
                </w14:textFill>
              </w:rPr>
              <w:t>等设备的运行过程，噪声源强范围在70～90dB</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A</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，主要噪声源强详见下表。</w:t>
            </w:r>
          </w:p>
          <w:p w14:paraId="799EAB56">
            <w:pPr>
              <w:ind w:firstLine="482" w:firstLineChars="200"/>
              <w:jc w:val="center"/>
              <w:rPr>
                <w:rFonts w:hint="default" w:ascii="Times New Roman" w:hAnsi="Times New Roman" w:eastAsia="仿宋"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color w:val="000000" w:themeColor="text1"/>
                <w:sz w:val="24"/>
                <w:highlight w:val="none"/>
                <w14:textFill>
                  <w14:solidFill>
                    <w14:schemeClr w14:val="tx1"/>
                  </w14:solidFill>
                </w14:textFill>
              </w:rPr>
              <w:t>表</w:t>
            </w:r>
            <w:r>
              <w:rPr>
                <w:rFonts w:hint="default" w:ascii="Times New Roman" w:hAnsi="Times New Roman" w:eastAsia="宋体" w:cs="Times New Roman"/>
                <w:b/>
                <w:color w:val="000000" w:themeColor="text1"/>
                <w:sz w:val="24"/>
                <w:highlight w:val="none"/>
                <w:lang w:val="en-US" w:eastAsia="zh-CN"/>
                <w14:textFill>
                  <w14:solidFill>
                    <w14:schemeClr w14:val="tx1"/>
                  </w14:solidFill>
                </w14:textFill>
              </w:rPr>
              <w:t>4-</w:t>
            </w:r>
            <w:r>
              <w:rPr>
                <w:rFonts w:hint="eastAsia" w:cs="Times New Roman"/>
                <w:b/>
                <w:color w:val="000000" w:themeColor="text1"/>
                <w:sz w:val="24"/>
                <w:highlight w:val="none"/>
                <w:lang w:val="en-US" w:eastAsia="zh-CN"/>
                <w14:textFill>
                  <w14:solidFill>
                    <w14:schemeClr w14:val="tx1"/>
                  </w14:solidFill>
                </w14:textFill>
              </w:rPr>
              <w:t>20</w:t>
            </w:r>
            <w:r>
              <w:rPr>
                <w:rFonts w:hint="default" w:ascii="Times New Roman" w:hAnsi="Times New Roman" w:eastAsia="宋体" w:cs="Times New Roman"/>
                <w:b/>
                <w:color w:val="000000" w:themeColor="text1"/>
                <w:sz w:val="24"/>
                <w:highlight w:val="none"/>
                <w14:textFill>
                  <w14:solidFill>
                    <w14:schemeClr w14:val="tx1"/>
                  </w14:solidFill>
                </w14:textFill>
              </w:rPr>
              <w:t>主</w:t>
            </w:r>
            <w:r>
              <w:rPr>
                <w:rFonts w:hint="default" w:ascii="Times New Roman" w:hAnsi="Times New Roman" w:cs="Times New Roman"/>
                <w:b/>
                <w:color w:val="000000" w:themeColor="text1"/>
                <w:sz w:val="24"/>
                <w:highlight w:val="none"/>
                <w14:textFill>
                  <w14:solidFill>
                    <w14:schemeClr w14:val="tx1"/>
                  </w14:solidFill>
                </w14:textFill>
              </w:rPr>
              <w:t>要设备噪声源强一览表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7"/>
              <w:gridCol w:w="1868"/>
              <w:gridCol w:w="1808"/>
              <w:gridCol w:w="1762"/>
              <w:gridCol w:w="2071"/>
            </w:tblGrid>
            <w:tr w14:paraId="7DDCB6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50" w:type="pct"/>
                  <w:gridSpan w:val="2"/>
                  <w:noWrap w:val="0"/>
                  <w:vAlign w:val="center"/>
                </w:tcPr>
                <w:p w14:paraId="34B138DC">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噪声源及排放点</w:t>
                  </w:r>
                </w:p>
              </w:tc>
              <w:tc>
                <w:tcPr>
                  <w:tcW w:w="1137" w:type="pct"/>
                  <w:noWrap w:val="0"/>
                  <w:vAlign w:val="top"/>
                </w:tcPr>
                <w:p w14:paraId="51D2A659">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声源声级dB（A）</w:t>
                  </w:r>
                </w:p>
              </w:tc>
              <w:tc>
                <w:tcPr>
                  <w:tcW w:w="1108" w:type="pct"/>
                  <w:noWrap w:val="0"/>
                  <w:vAlign w:val="center"/>
                </w:tcPr>
                <w:p w14:paraId="1E20395A">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治理措施</w:t>
                  </w:r>
                </w:p>
              </w:tc>
              <w:tc>
                <w:tcPr>
                  <w:tcW w:w="1302" w:type="pct"/>
                  <w:noWrap w:val="0"/>
                  <w:vAlign w:val="center"/>
                </w:tcPr>
                <w:p w14:paraId="5FD68619">
                  <w:pPr>
                    <w:jc w:val="both"/>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降噪后源强dB（A）</w:t>
                  </w:r>
                </w:p>
              </w:tc>
            </w:tr>
            <w:tr w14:paraId="7BDFE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75" w:type="pct"/>
                  <w:vMerge w:val="restart"/>
                  <w:noWrap w:val="0"/>
                  <w:vAlign w:val="center"/>
                </w:tcPr>
                <w:p w14:paraId="2A0FD1A5">
                  <w:pPr>
                    <w:spacing w:line="240" w:lineRule="exact"/>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生产</w:t>
                  </w:r>
                </w:p>
                <w:p w14:paraId="79ACD8F8">
                  <w:pPr>
                    <w:spacing w:line="240" w:lineRule="exact"/>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装置</w:t>
                  </w:r>
                </w:p>
              </w:tc>
              <w:tc>
                <w:tcPr>
                  <w:tcW w:w="1175" w:type="pct"/>
                  <w:noWrap w:val="0"/>
                  <w:vAlign w:val="center"/>
                </w:tcPr>
                <w:p w14:paraId="69ED5F7D">
                  <w:pPr>
                    <w:pStyle w:val="85"/>
                    <w:rPr>
                      <w:rFonts w:hint="default" w:ascii="Times New Roman" w:hAnsi="Times New Roman" w:eastAsia="宋体" w:cs="Times New Roman"/>
                      <w:b w:val="0"/>
                      <w:bCs w:val="0"/>
                      <w:color w:val="000000" w:themeColor="text1"/>
                      <w:kern w:val="28"/>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8"/>
                      <w:sz w:val="21"/>
                      <w:szCs w:val="21"/>
                      <w:highlight w:val="none"/>
                      <w:lang w:val="en-US" w:eastAsia="zh-CN"/>
                      <w14:textFill>
                        <w14:solidFill>
                          <w14:schemeClr w14:val="tx1"/>
                        </w14:solidFill>
                      </w14:textFill>
                    </w:rPr>
                    <w:t>风机</w:t>
                  </w:r>
                </w:p>
              </w:tc>
              <w:tc>
                <w:tcPr>
                  <w:tcW w:w="1137" w:type="pct"/>
                  <w:noWrap w:val="0"/>
                  <w:vAlign w:val="center"/>
                </w:tcPr>
                <w:p w14:paraId="22778683">
                  <w:pPr>
                    <w:autoSpaceDE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90</w:t>
                  </w:r>
                </w:p>
              </w:tc>
              <w:tc>
                <w:tcPr>
                  <w:tcW w:w="1108" w:type="pct"/>
                  <w:vMerge w:val="restart"/>
                  <w:noWrap w:val="0"/>
                  <w:vAlign w:val="center"/>
                </w:tcPr>
                <w:p w14:paraId="564D0764">
                  <w:pPr>
                    <w:widowControl/>
                    <w:jc w:val="center"/>
                    <w:rPr>
                      <w:rFonts w:hint="default" w:ascii="Times New Roman" w:hAnsi="Times New Roman" w:cs="Times New Roman"/>
                      <w:b w:val="0"/>
                      <w:bCs w:val="0"/>
                      <w:color w:val="000000" w:themeColor="text1"/>
                      <w:kern w:val="0"/>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厂房隔声、基础减震、消声器</w:t>
                  </w:r>
                </w:p>
              </w:tc>
              <w:tc>
                <w:tcPr>
                  <w:tcW w:w="1302" w:type="pct"/>
                  <w:noWrap w:val="0"/>
                  <w:vAlign w:val="center"/>
                </w:tcPr>
                <w:p w14:paraId="035D474A">
                  <w:pPr>
                    <w:pStyle w:val="108"/>
                    <w:widowControl w:val="0"/>
                    <w:autoSpaceDE w:val="0"/>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70</w:t>
                  </w:r>
                </w:p>
              </w:tc>
            </w:tr>
            <w:tr w14:paraId="26375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75" w:type="pct"/>
                  <w:vMerge w:val="continue"/>
                  <w:noWrap w:val="0"/>
                  <w:vAlign w:val="center"/>
                </w:tcPr>
                <w:p w14:paraId="520C133B">
                  <w:pPr>
                    <w:spacing w:line="240" w:lineRule="exact"/>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1175" w:type="pct"/>
                  <w:noWrap w:val="0"/>
                  <w:vAlign w:val="center"/>
                </w:tcPr>
                <w:p w14:paraId="21480D9D">
                  <w:pPr>
                    <w:pStyle w:val="85"/>
                    <w:rPr>
                      <w:rFonts w:hint="default" w:ascii="Times New Roman" w:hAnsi="Times New Roman" w:eastAsia="宋体" w:cs="Times New Roman"/>
                      <w:b w:val="0"/>
                      <w:bCs w:val="0"/>
                      <w:color w:val="000000" w:themeColor="text1"/>
                      <w:kern w:val="28"/>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8"/>
                      <w:sz w:val="21"/>
                      <w:szCs w:val="21"/>
                      <w:highlight w:val="none"/>
                      <w:lang w:val="en-US" w:eastAsia="zh-CN"/>
                      <w14:textFill>
                        <w14:solidFill>
                          <w14:schemeClr w14:val="tx1"/>
                        </w14:solidFill>
                      </w14:textFill>
                    </w:rPr>
                    <w:t>空分</w:t>
                  </w:r>
                </w:p>
              </w:tc>
              <w:tc>
                <w:tcPr>
                  <w:tcW w:w="1137" w:type="pct"/>
                  <w:noWrap w:val="0"/>
                  <w:vAlign w:val="center"/>
                </w:tcPr>
                <w:p w14:paraId="7FC6A010">
                  <w:pPr>
                    <w:autoSpaceDE w:val="0"/>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95</w:t>
                  </w:r>
                </w:p>
              </w:tc>
              <w:tc>
                <w:tcPr>
                  <w:tcW w:w="1108" w:type="pct"/>
                  <w:vMerge w:val="continue"/>
                  <w:noWrap w:val="0"/>
                  <w:vAlign w:val="center"/>
                </w:tcPr>
                <w:p w14:paraId="1F732A31">
                  <w:pPr>
                    <w:widowControl/>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1302" w:type="pct"/>
                  <w:noWrap w:val="0"/>
                  <w:vAlign w:val="center"/>
                </w:tcPr>
                <w:p w14:paraId="53905BE0">
                  <w:pPr>
                    <w:pStyle w:val="108"/>
                    <w:widowControl w:val="0"/>
                    <w:autoSpaceDE w:val="0"/>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75</w:t>
                  </w:r>
                </w:p>
              </w:tc>
            </w:tr>
            <w:tr w14:paraId="6CDCC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5" w:type="pct"/>
                  <w:vMerge w:val="continue"/>
                  <w:noWrap w:val="0"/>
                  <w:vAlign w:val="center"/>
                </w:tcPr>
                <w:p w14:paraId="535F6C64">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1175" w:type="pct"/>
                  <w:noWrap w:val="0"/>
                  <w:vAlign w:val="center"/>
                </w:tcPr>
                <w:p w14:paraId="5D7A00A2">
                  <w:pPr>
                    <w:pStyle w:val="85"/>
                    <w:rPr>
                      <w:rFonts w:hint="default" w:ascii="Times New Roman" w:hAnsi="Times New Roman" w:eastAsia="宋体" w:cs="Times New Roman"/>
                      <w:b w:val="0"/>
                      <w:bCs w:val="0"/>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14:textFill>
                        <w14:solidFill>
                          <w14:schemeClr w14:val="tx1"/>
                        </w14:solidFill>
                      </w14:textFill>
                    </w:rPr>
                    <w:t>各种泵</w:t>
                  </w:r>
                </w:p>
              </w:tc>
              <w:tc>
                <w:tcPr>
                  <w:tcW w:w="1137" w:type="pct"/>
                  <w:noWrap w:val="0"/>
                  <w:vAlign w:val="center"/>
                </w:tcPr>
                <w:p w14:paraId="13BE85DA">
                  <w:pPr>
                    <w:autoSpaceDE w:val="0"/>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90</w:t>
                  </w:r>
                </w:p>
              </w:tc>
              <w:tc>
                <w:tcPr>
                  <w:tcW w:w="1108" w:type="pct"/>
                  <w:vMerge w:val="continue"/>
                  <w:noWrap w:val="0"/>
                  <w:vAlign w:val="center"/>
                </w:tcPr>
                <w:p w14:paraId="081930B6">
                  <w:pPr>
                    <w:jc w:val="center"/>
                    <w:rPr>
                      <w:rFonts w:hint="default" w:ascii="Times New Roman" w:hAnsi="Times New Roman" w:cs="Times New Roman"/>
                      <w:b w:val="0"/>
                      <w:bCs w:val="0"/>
                      <w:color w:val="000000" w:themeColor="text1"/>
                      <w:kern w:val="0"/>
                      <w:sz w:val="21"/>
                      <w:szCs w:val="21"/>
                      <w:highlight w:val="none"/>
                      <w14:textFill>
                        <w14:solidFill>
                          <w14:schemeClr w14:val="tx1"/>
                        </w14:solidFill>
                      </w14:textFill>
                    </w:rPr>
                  </w:pPr>
                </w:p>
              </w:tc>
              <w:tc>
                <w:tcPr>
                  <w:tcW w:w="1302" w:type="pct"/>
                  <w:noWrap w:val="0"/>
                  <w:vAlign w:val="center"/>
                </w:tcPr>
                <w:p w14:paraId="54E66113">
                  <w:pPr>
                    <w:pStyle w:val="108"/>
                    <w:widowControl w:val="0"/>
                    <w:autoSpaceDE w:val="0"/>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70</w:t>
                  </w:r>
                </w:p>
              </w:tc>
            </w:tr>
            <w:tr w14:paraId="28C08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5" w:type="pct"/>
                  <w:vMerge w:val="continue"/>
                  <w:noWrap w:val="0"/>
                  <w:vAlign w:val="center"/>
                </w:tcPr>
                <w:p w14:paraId="18AD5666">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1175" w:type="pct"/>
                  <w:noWrap w:val="0"/>
                  <w:vAlign w:val="center"/>
                </w:tcPr>
                <w:p w14:paraId="6E291390">
                  <w:pPr>
                    <w:pStyle w:val="85"/>
                    <w:rPr>
                      <w:rFonts w:hint="default" w:ascii="Times New Roman" w:hAnsi="Times New Roman" w:eastAsia="宋体" w:cs="Times New Roman"/>
                      <w:b w:val="0"/>
                      <w:bCs w:val="0"/>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14:textFill>
                        <w14:solidFill>
                          <w14:schemeClr w14:val="tx1"/>
                        </w14:solidFill>
                      </w14:textFill>
                    </w:rPr>
                    <w:t>打散机</w:t>
                  </w:r>
                </w:p>
              </w:tc>
              <w:tc>
                <w:tcPr>
                  <w:tcW w:w="1137" w:type="pct"/>
                  <w:noWrap w:val="0"/>
                  <w:vAlign w:val="center"/>
                </w:tcPr>
                <w:p w14:paraId="64C70FA7">
                  <w:pPr>
                    <w:autoSpaceDE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75</w:t>
                  </w:r>
                </w:p>
              </w:tc>
              <w:tc>
                <w:tcPr>
                  <w:tcW w:w="1108" w:type="pct"/>
                  <w:vMerge w:val="continue"/>
                  <w:noWrap w:val="0"/>
                  <w:vAlign w:val="center"/>
                </w:tcPr>
                <w:p w14:paraId="0CF1D13B">
                  <w:pPr>
                    <w:jc w:val="center"/>
                    <w:rPr>
                      <w:rFonts w:hint="default" w:ascii="Times New Roman" w:hAnsi="Times New Roman" w:cs="Times New Roman"/>
                      <w:b w:val="0"/>
                      <w:bCs w:val="0"/>
                      <w:color w:val="000000" w:themeColor="text1"/>
                      <w:kern w:val="0"/>
                      <w:sz w:val="21"/>
                      <w:szCs w:val="21"/>
                      <w:highlight w:val="none"/>
                      <w14:textFill>
                        <w14:solidFill>
                          <w14:schemeClr w14:val="tx1"/>
                        </w14:solidFill>
                      </w14:textFill>
                    </w:rPr>
                  </w:pPr>
                </w:p>
              </w:tc>
              <w:tc>
                <w:tcPr>
                  <w:tcW w:w="1302" w:type="pct"/>
                  <w:noWrap w:val="0"/>
                  <w:vAlign w:val="center"/>
                </w:tcPr>
                <w:p w14:paraId="4C209AD5">
                  <w:pPr>
                    <w:pStyle w:val="108"/>
                    <w:widowControl w:val="0"/>
                    <w:autoSpaceDE w:val="0"/>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55</w:t>
                  </w:r>
                </w:p>
              </w:tc>
            </w:tr>
            <w:tr w14:paraId="7BAC0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5" w:type="pct"/>
                  <w:vMerge w:val="continue"/>
                  <w:noWrap w:val="0"/>
                  <w:vAlign w:val="center"/>
                </w:tcPr>
                <w:p w14:paraId="7F252369">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1175" w:type="pct"/>
                  <w:noWrap w:val="0"/>
                  <w:vAlign w:val="center"/>
                </w:tcPr>
                <w:p w14:paraId="4AA336CD">
                  <w:pPr>
                    <w:pStyle w:val="85"/>
                    <w:rPr>
                      <w:rFonts w:hint="default" w:ascii="Times New Roman" w:hAnsi="Times New Roman" w:eastAsia="宋体" w:cs="Times New Roman"/>
                      <w:b w:val="0"/>
                      <w:bCs w:val="0"/>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14:textFill>
                        <w14:solidFill>
                          <w14:schemeClr w14:val="tx1"/>
                        </w14:solidFill>
                      </w14:textFill>
                    </w:rPr>
                    <w:t>粉磨机</w:t>
                  </w:r>
                </w:p>
              </w:tc>
              <w:tc>
                <w:tcPr>
                  <w:tcW w:w="1137" w:type="pct"/>
                  <w:noWrap w:val="0"/>
                  <w:vAlign w:val="center"/>
                </w:tcPr>
                <w:p w14:paraId="5D51AC8D">
                  <w:pPr>
                    <w:autoSpaceDE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85</w:t>
                  </w:r>
                </w:p>
              </w:tc>
              <w:tc>
                <w:tcPr>
                  <w:tcW w:w="1108" w:type="pct"/>
                  <w:vMerge w:val="continue"/>
                  <w:noWrap w:val="0"/>
                  <w:vAlign w:val="center"/>
                </w:tcPr>
                <w:p w14:paraId="7331483A">
                  <w:pPr>
                    <w:jc w:val="center"/>
                    <w:rPr>
                      <w:rFonts w:hint="default" w:ascii="Times New Roman" w:hAnsi="Times New Roman" w:cs="Times New Roman"/>
                      <w:b w:val="0"/>
                      <w:bCs w:val="0"/>
                      <w:color w:val="000000" w:themeColor="text1"/>
                      <w:kern w:val="0"/>
                      <w:sz w:val="21"/>
                      <w:szCs w:val="21"/>
                      <w:highlight w:val="none"/>
                      <w14:textFill>
                        <w14:solidFill>
                          <w14:schemeClr w14:val="tx1"/>
                        </w14:solidFill>
                      </w14:textFill>
                    </w:rPr>
                  </w:pPr>
                </w:p>
              </w:tc>
              <w:tc>
                <w:tcPr>
                  <w:tcW w:w="1302" w:type="pct"/>
                  <w:noWrap w:val="0"/>
                  <w:vAlign w:val="center"/>
                </w:tcPr>
                <w:p w14:paraId="58882B52">
                  <w:pPr>
                    <w:pStyle w:val="108"/>
                    <w:widowControl w:val="0"/>
                    <w:autoSpaceDE w:val="0"/>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65</w:t>
                  </w:r>
                </w:p>
              </w:tc>
            </w:tr>
            <w:tr w14:paraId="26BDE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75" w:type="pct"/>
                  <w:vMerge w:val="continue"/>
                  <w:noWrap w:val="0"/>
                  <w:vAlign w:val="center"/>
                </w:tcPr>
                <w:p w14:paraId="68597E2A">
                  <w:pPr>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1175" w:type="pct"/>
                  <w:noWrap w:val="0"/>
                  <w:vAlign w:val="center"/>
                </w:tcPr>
                <w:p w14:paraId="1A58D9F5">
                  <w:pPr>
                    <w:pStyle w:val="85"/>
                    <w:rPr>
                      <w:rFonts w:hint="default" w:ascii="Times New Roman" w:hAnsi="Times New Roman" w:eastAsia="宋体" w:cs="Times New Roman"/>
                      <w:b w:val="0"/>
                      <w:bCs w:val="0"/>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2"/>
                      <w:sz w:val="21"/>
                      <w:szCs w:val="21"/>
                      <w:highlight w:val="none"/>
                      <w:lang w:val="en-US" w:eastAsia="zh-CN"/>
                      <w14:textFill>
                        <w14:solidFill>
                          <w14:schemeClr w14:val="tx1"/>
                        </w14:solidFill>
                      </w14:textFill>
                    </w:rPr>
                    <w:t>包装</w:t>
                  </w:r>
                  <w:r>
                    <w:rPr>
                      <w:rFonts w:hint="eastAsia" w:ascii="Times New Roman" w:hAnsi="Times New Roman" w:cs="Times New Roman"/>
                      <w:b w:val="0"/>
                      <w:bCs w:val="0"/>
                      <w:color w:val="000000" w:themeColor="text1"/>
                      <w:kern w:val="2"/>
                      <w:sz w:val="21"/>
                      <w:szCs w:val="21"/>
                      <w:highlight w:val="none"/>
                      <w:lang w:val="en-US" w:eastAsia="zh-CN"/>
                      <w14:textFill>
                        <w14:solidFill>
                          <w14:schemeClr w14:val="tx1"/>
                        </w14:solidFill>
                      </w14:textFill>
                    </w:rPr>
                    <w:t>机</w:t>
                  </w:r>
                </w:p>
              </w:tc>
              <w:tc>
                <w:tcPr>
                  <w:tcW w:w="1137" w:type="pct"/>
                  <w:noWrap w:val="0"/>
                  <w:vAlign w:val="center"/>
                </w:tcPr>
                <w:p w14:paraId="4505FBFA">
                  <w:pPr>
                    <w:autoSpaceDE w:val="0"/>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80</w:t>
                  </w:r>
                </w:p>
              </w:tc>
              <w:tc>
                <w:tcPr>
                  <w:tcW w:w="1108" w:type="pct"/>
                  <w:vMerge w:val="continue"/>
                  <w:noWrap w:val="0"/>
                  <w:vAlign w:val="center"/>
                </w:tcPr>
                <w:p w14:paraId="7E406AB1">
                  <w:pPr>
                    <w:jc w:val="center"/>
                    <w:rPr>
                      <w:rFonts w:hint="default" w:ascii="Times New Roman" w:hAnsi="Times New Roman" w:cs="Times New Roman"/>
                      <w:b w:val="0"/>
                      <w:bCs w:val="0"/>
                      <w:color w:val="000000" w:themeColor="text1"/>
                      <w:kern w:val="0"/>
                      <w:sz w:val="21"/>
                      <w:szCs w:val="21"/>
                      <w:highlight w:val="none"/>
                      <w14:textFill>
                        <w14:solidFill>
                          <w14:schemeClr w14:val="tx1"/>
                        </w14:solidFill>
                      </w14:textFill>
                    </w:rPr>
                  </w:pPr>
                </w:p>
              </w:tc>
              <w:tc>
                <w:tcPr>
                  <w:tcW w:w="1302" w:type="pct"/>
                  <w:noWrap w:val="0"/>
                  <w:vAlign w:val="center"/>
                </w:tcPr>
                <w:p w14:paraId="75DC3FBA">
                  <w:pPr>
                    <w:pStyle w:val="108"/>
                    <w:widowControl w:val="0"/>
                    <w:autoSpaceDE w:val="0"/>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60</w:t>
                  </w:r>
                </w:p>
              </w:tc>
            </w:tr>
          </w:tbl>
          <w:p w14:paraId="5B59B7E2">
            <w:pPr>
              <w:keepNext w:val="0"/>
              <w:keepLines w:val="0"/>
              <w:pageBreakBefore w:val="0"/>
              <w:widowControl w:val="0"/>
              <w:kinsoku/>
              <w:wordWrap/>
              <w:overflowPunct/>
              <w:topLinePunct w:val="0"/>
              <w:bidi w:val="0"/>
              <w:snapToGrid w:val="0"/>
              <w:spacing w:line="360" w:lineRule="auto"/>
              <w:ind w:firstLine="482"/>
              <w:jc w:val="both"/>
              <w:outlineLvl w:val="3"/>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4.2噪声预测及影响分析</w:t>
            </w:r>
          </w:p>
          <w:p w14:paraId="0CF1AA7D">
            <w:pPr>
              <w:keepNext w:val="0"/>
              <w:keepLines w:val="0"/>
              <w:pageBreakBefore w:val="0"/>
              <w:widowControl w:val="0"/>
              <w:kinsoku/>
              <w:wordWrap/>
              <w:overflowPunct/>
              <w:topLinePunct w:val="0"/>
              <w:bidi w:val="0"/>
              <w:snapToGrid w:val="0"/>
              <w:spacing w:line="360" w:lineRule="auto"/>
              <w:ind w:firstLine="482"/>
              <w:jc w:val="both"/>
              <w:outlineLvl w:val="3"/>
              <w:rPr>
                <w:rFonts w:hint="default" w:ascii="Times New Roman" w:hAnsi="Times New Roman" w:eastAsia="宋体" w:cs="Times New Roman"/>
                <w:b w:val="0"/>
                <w:bCs w:val="0"/>
                <w:color w:val="000000" w:themeColor="text1"/>
                <w:sz w:val="24"/>
                <w:highlight w:val="none"/>
                <w14:textFill>
                  <w14:solidFill>
                    <w14:schemeClr w14:val="tx1"/>
                  </w14:solidFill>
                </w14:textFill>
              </w:rPr>
            </w:pPr>
            <w:r>
              <w:rPr>
                <w:rFonts w:hint="default" w:ascii="Times New Roman" w:hAnsi="Times New Roman" w:eastAsia="宋体" w:cs="Times New Roman"/>
                <w:b w:val="0"/>
                <w:bCs w:val="0"/>
                <w:color w:val="000000" w:themeColor="text1"/>
                <w:sz w:val="24"/>
                <w:highlight w:val="none"/>
                <w14:textFill>
                  <w14:solidFill>
                    <w14:schemeClr w14:val="tx1"/>
                  </w14:solidFill>
                </w14:textFill>
              </w:rPr>
              <w:t>本项目噪声预测模式采用《环境影响评价技术导则</w:t>
            </w:r>
            <w:r>
              <w:rPr>
                <w:rFonts w:hint="eastAsia" w:cs="Times New Roman"/>
                <w:b w:val="0"/>
                <w:bCs w:val="0"/>
                <w:color w:val="000000" w:themeColor="text1"/>
                <w:sz w:val="24"/>
                <w:highlight w:val="none"/>
                <w:lang w:val="en-US" w:eastAsia="zh-CN"/>
                <w14:textFill>
                  <w14:solidFill>
                    <w14:schemeClr w14:val="tx1"/>
                  </w14:solidFill>
                </w14:textFill>
              </w:rPr>
              <w:t xml:space="preserve"> </w:t>
            </w:r>
            <w:r>
              <w:rPr>
                <w:rFonts w:hint="default" w:ascii="Times New Roman" w:hAnsi="Times New Roman" w:eastAsia="宋体" w:cs="Times New Roman"/>
                <w:b w:val="0"/>
                <w:bCs w:val="0"/>
                <w:color w:val="000000" w:themeColor="text1"/>
                <w:sz w:val="24"/>
                <w:highlight w:val="none"/>
                <w14:textFill>
                  <w14:solidFill>
                    <w14:schemeClr w14:val="tx1"/>
                  </w14:solidFill>
                </w14:textFill>
              </w:rPr>
              <w:t>声环境》（HJ2.4-20</w:t>
            </w:r>
            <w:r>
              <w:rPr>
                <w:rFonts w:hint="default" w:ascii="Times New Roman" w:hAnsi="Times New Roman" w:eastAsia="宋体" w:cs="Times New Roman"/>
                <w:b w:val="0"/>
                <w:bCs w:val="0"/>
                <w:color w:val="000000" w:themeColor="text1"/>
                <w:sz w:val="24"/>
                <w:highlight w:val="none"/>
                <w:lang w:val="en-US" w:eastAsia="zh-CN"/>
                <w14:textFill>
                  <w14:solidFill>
                    <w14:schemeClr w14:val="tx1"/>
                  </w14:solidFill>
                </w14:textFill>
              </w:rPr>
              <w:t>21</w:t>
            </w:r>
            <w:r>
              <w:rPr>
                <w:rFonts w:hint="default" w:ascii="Times New Roman" w:hAnsi="Times New Roman" w:eastAsia="宋体" w:cs="Times New Roman"/>
                <w:b w:val="0"/>
                <w:bCs w:val="0"/>
                <w:color w:val="000000" w:themeColor="text1"/>
                <w:sz w:val="24"/>
                <w:highlight w:val="none"/>
                <w14:textFill>
                  <w14:solidFill>
                    <w14:schemeClr w14:val="tx1"/>
                  </w14:solidFill>
                </w14:textFill>
              </w:rPr>
              <w:t>）中推荐的噪声预测模式。</w:t>
            </w:r>
          </w:p>
          <w:p w14:paraId="248AAA70">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lang w:eastAsia="zh-CN"/>
                <w14:textFill>
                  <w14:solidFill>
                    <w14:schemeClr w14:val="tx1"/>
                  </w14:solidFill>
                </w14:textFill>
              </w:rPr>
              <w:t>采用</w:t>
            </w:r>
            <w:r>
              <w:rPr>
                <w:rFonts w:hint="default" w:ascii="Times New Roman" w:hAnsi="Times New Roman" w:cs="Times New Roman"/>
                <w:color w:val="000000" w:themeColor="text1"/>
                <w:sz w:val="24"/>
                <w:highlight w:val="none"/>
                <w14:textFill>
                  <w14:solidFill>
                    <w14:schemeClr w14:val="tx1"/>
                  </w14:solidFill>
                </w14:textFill>
              </w:rPr>
              <w:t>《环境影响评价技术导则声环境》（HJT2.4-20</w:t>
            </w:r>
            <w:r>
              <w:rPr>
                <w:rFonts w:hint="default" w:ascii="Times New Roman" w:hAnsi="Times New Roman" w:cs="Times New Roman"/>
                <w:color w:val="000000" w:themeColor="text1"/>
                <w:sz w:val="24"/>
                <w:highlight w:val="none"/>
                <w:lang w:val="en-US" w:eastAsia="zh-CN"/>
                <w14:textFill>
                  <w14:solidFill>
                    <w14:schemeClr w14:val="tx1"/>
                  </w14:solidFill>
                </w14:textFill>
              </w:rPr>
              <w:t>21</w:t>
            </w:r>
            <w:r>
              <w:rPr>
                <w:rFonts w:hint="default" w:ascii="Times New Roman" w:hAnsi="Times New Roman" w:cs="Times New Roman"/>
                <w:color w:val="000000" w:themeColor="text1"/>
                <w:sz w:val="24"/>
                <w:highlight w:val="none"/>
                <w14:textFill>
                  <w14:solidFill>
                    <w14:schemeClr w14:val="tx1"/>
                  </w14:solidFill>
                </w14:textFill>
              </w:rPr>
              <w:t>）中工业噪声预测模式。</w:t>
            </w:r>
          </w:p>
          <w:p w14:paraId="6535DA5E">
            <w:pPr>
              <w:adjustRightInd w:val="0"/>
              <w:snapToGrid w:val="0"/>
              <w:spacing w:line="360" w:lineRule="auto"/>
              <w:ind w:left="42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①单个室外点声源在预测点产生的声级计算基本公式</w:t>
            </w:r>
          </w:p>
          <w:p w14:paraId="434E49EF">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如已知声源的倍频带声功率级，预测点位置的倍频带声压级Lp（r）可按公式（1）计算：</w:t>
            </w:r>
          </w:p>
          <w:p w14:paraId="16D47EE5">
            <w:pPr>
              <w:adjustRightInd w:val="0"/>
              <w:snapToGrid w:val="0"/>
              <w:spacing w:line="360" w:lineRule="auto"/>
              <w:ind w:firstLine="480" w:firstLineChars="20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2516505" cy="392430"/>
                  <wp:effectExtent l="0" t="0" r="17145" b="7620"/>
                  <wp:docPr id="52" name="图片 14" descr="截图_2021372405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4" descr="截图_20213724053732"/>
                          <pic:cNvPicPr>
                            <a:picLocks noChangeAspect="1"/>
                          </pic:cNvPicPr>
                        </pic:nvPicPr>
                        <pic:blipFill>
                          <a:blip r:embed="rId30"/>
                          <a:stretch>
                            <a:fillRect/>
                          </a:stretch>
                        </pic:blipFill>
                        <pic:spPr>
                          <a:xfrm>
                            <a:off x="0" y="0"/>
                            <a:ext cx="2516505" cy="392430"/>
                          </a:xfrm>
                          <a:prstGeom prst="rect">
                            <a:avLst/>
                          </a:prstGeom>
                          <a:noFill/>
                          <a:ln>
                            <a:noFill/>
                          </a:ln>
                        </pic:spPr>
                      </pic:pic>
                    </a:graphicData>
                  </a:graphic>
                </wp:inline>
              </w:drawing>
            </w:r>
          </w:p>
          <w:p w14:paraId="68B3D57B">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式中：</w:t>
            </w:r>
          </w:p>
          <w:p w14:paraId="4A50AA3C">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Lw—倍频带声功率级，dB；</w:t>
            </w:r>
          </w:p>
          <w:p w14:paraId="25D23C27">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Dc—指向性校正，dB，对辐射到自由空间的全向点声源，为0；</w:t>
            </w:r>
          </w:p>
          <w:p w14:paraId="2D597C47">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倍频带衰减，dB；</w:t>
            </w:r>
          </w:p>
          <w:p w14:paraId="05629B10">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Adiv—几何发散引起的倍频带衰减，dB；</w:t>
            </w:r>
          </w:p>
          <w:p w14:paraId="546D0ED7">
            <w:pPr>
              <w:adjustRightInd w:val="0"/>
              <w:snapToGrid w:val="0"/>
              <w:spacing w:line="360" w:lineRule="auto"/>
              <w:ind w:firstLine="480" w:firstLineChars="200"/>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Aatm—大气吸收引起的倍频带衰减，dB；</w:t>
            </w:r>
          </w:p>
          <w:p w14:paraId="7452435A">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Agr—地面效应吸收引起的倍频带衰减，dB；</w:t>
            </w:r>
          </w:p>
          <w:p w14:paraId="22D7A561">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Abar—声屏障引起的倍频带衰减，dB；</w:t>
            </w:r>
          </w:p>
          <w:p w14:paraId="490E8546">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Amisc—其他多方面效应引起的倍频带衰减，dB。</w:t>
            </w:r>
          </w:p>
          <w:p w14:paraId="45B5888F">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如已知靠近声源处某点的倍频带声压级Lp（r0）时，相同方向预测点位置的倍频带声压级Lp（r）可按公式（2）计算：</w:t>
            </w:r>
          </w:p>
          <w:p w14:paraId="22BBD0C7">
            <w:pPr>
              <w:adjustRightInd w:val="0"/>
              <w:snapToGrid w:val="0"/>
              <w:spacing w:line="360" w:lineRule="auto"/>
              <w:ind w:firstLine="480" w:firstLineChars="20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2517775" cy="301625"/>
                  <wp:effectExtent l="0" t="0" r="9525" b="3175"/>
                  <wp:docPr id="53" name="图片 15" descr="截图_2021032511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5" descr="截图_20210325110311"/>
                          <pic:cNvPicPr>
                            <a:picLocks noChangeAspect="1"/>
                          </pic:cNvPicPr>
                        </pic:nvPicPr>
                        <pic:blipFill>
                          <a:blip r:embed="rId31"/>
                          <a:stretch>
                            <a:fillRect/>
                          </a:stretch>
                        </pic:blipFill>
                        <pic:spPr>
                          <a:xfrm>
                            <a:off x="0" y="0"/>
                            <a:ext cx="2517775" cy="301625"/>
                          </a:xfrm>
                          <a:prstGeom prst="rect">
                            <a:avLst/>
                          </a:prstGeom>
                          <a:noFill/>
                          <a:ln>
                            <a:noFill/>
                          </a:ln>
                        </pic:spPr>
                      </pic:pic>
                    </a:graphicData>
                  </a:graphic>
                </wp:inline>
              </w:drawing>
            </w:r>
          </w:p>
          <w:p w14:paraId="1E302995">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预测点的A声级LA（r），可利用8个倍频带的声压级公式（3）计算</w:t>
            </w:r>
          </w:p>
          <w:p w14:paraId="3016A58E">
            <w:pPr>
              <w:adjustRightInd w:val="0"/>
              <w:snapToGrid w:val="0"/>
              <w:spacing w:line="360" w:lineRule="auto"/>
              <w:ind w:firstLine="480" w:firstLineChars="20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3101975" cy="513715"/>
                  <wp:effectExtent l="0" t="0" r="9525" b="6985"/>
                  <wp:docPr id="54" name="图片 16" descr="截图_20210425110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6" descr="截图_20210425110434"/>
                          <pic:cNvPicPr>
                            <a:picLocks noChangeAspect="1"/>
                          </pic:cNvPicPr>
                        </pic:nvPicPr>
                        <pic:blipFill>
                          <a:blip r:embed="rId32"/>
                          <a:stretch>
                            <a:fillRect/>
                          </a:stretch>
                        </pic:blipFill>
                        <pic:spPr>
                          <a:xfrm>
                            <a:off x="0" y="0"/>
                            <a:ext cx="3101975" cy="513715"/>
                          </a:xfrm>
                          <a:prstGeom prst="rect">
                            <a:avLst/>
                          </a:prstGeom>
                          <a:noFill/>
                          <a:ln>
                            <a:noFill/>
                          </a:ln>
                        </pic:spPr>
                      </pic:pic>
                    </a:graphicData>
                  </a:graphic>
                </wp:inline>
              </w:drawing>
            </w:r>
          </w:p>
          <w:p w14:paraId="26033D67">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式中：</w:t>
            </w:r>
          </w:p>
          <w:p w14:paraId="7862D43C">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LPi（r）—预测点（r）处，第i倍频带声压级，dB；</w:t>
            </w:r>
          </w:p>
          <w:p w14:paraId="2692A2C2">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△Li—第i倍频带的A计权网络修正值，dB；</w:t>
            </w:r>
          </w:p>
          <w:p w14:paraId="6DDFA094">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在不能取得声源倍频带声功率级或倍频带声压级，只能获得A声功率级或某点的A声级时，可按公式（4）</w:t>
            </w:r>
            <w:r>
              <w:rPr>
                <w:rFonts w:hint="eastAsia" w:cs="Times New Roman"/>
                <w:color w:val="000000" w:themeColor="text1"/>
                <w:sz w:val="24"/>
                <w:highlight w:val="none"/>
                <w:lang w:eastAsia="zh-CN"/>
                <w14:textFill>
                  <w14:solidFill>
                    <w14:schemeClr w14:val="tx1"/>
                  </w14:solidFill>
                </w14:textFill>
              </w:rPr>
              <w:t>做</w:t>
            </w:r>
            <w:r>
              <w:rPr>
                <w:rFonts w:hint="default" w:ascii="Times New Roman" w:hAnsi="Times New Roman" w:cs="Times New Roman"/>
                <w:color w:val="000000" w:themeColor="text1"/>
                <w:sz w:val="24"/>
                <w:highlight w:val="none"/>
                <w14:textFill>
                  <w14:solidFill>
                    <w14:schemeClr w14:val="tx1"/>
                  </w14:solidFill>
                </w14:textFill>
              </w:rPr>
              <w:t>近似计算：</w:t>
            </w:r>
          </w:p>
          <w:p w14:paraId="03923ED8">
            <w:pPr>
              <w:adjustRightInd w:val="0"/>
              <w:snapToGrid w:val="0"/>
              <w:spacing w:line="360" w:lineRule="auto"/>
              <w:ind w:firstLine="480" w:firstLineChars="20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2532380" cy="798195"/>
                  <wp:effectExtent l="0" t="0" r="1270" b="1905"/>
                  <wp:docPr id="55" name="图片 17" descr="截图_20210625110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7" descr="截图_20210625110615"/>
                          <pic:cNvPicPr>
                            <a:picLocks noChangeAspect="1"/>
                          </pic:cNvPicPr>
                        </pic:nvPicPr>
                        <pic:blipFill>
                          <a:blip r:embed="rId33"/>
                          <a:stretch>
                            <a:fillRect/>
                          </a:stretch>
                        </pic:blipFill>
                        <pic:spPr>
                          <a:xfrm>
                            <a:off x="0" y="0"/>
                            <a:ext cx="2532380" cy="798195"/>
                          </a:xfrm>
                          <a:prstGeom prst="rect">
                            <a:avLst/>
                          </a:prstGeom>
                          <a:noFill/>
                          <a:ln>
                            <a:noFill/>
                          </a:ln>
                        </pic:spPr>
                      </pic:pic>
                    </a:graphicData>
                  </a:graphic>
                </wp:inline>
              </w:drawing>
            </w:r>
          </w:p>
          <w:p w14:paraId="338639B4">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A可选择对A声级影响最大的倍频带计算，一般可</w:t>
            </w:r>
            <w:r>
              <w:rPr>
                <w:rFonts w:hint="eastAsia" w:cs="Times New Roman"/>
                <w:color w:val="000000" w:themeColor="text1"/>
                <w:sz w:val="24"/>
                <w:highlight w:val="none"/>
                <w:lang w:eastAsia="zh-CN"/>
                <w14:textFill>
                  <w14:solidFill>
                    <w14:schemeClr w14:val="tx1"/>
                  </w14:solidFill>
                </w14:textFill>
              </w:rPr>
              <w:t>选择</w:t>
            </w:r>
            <w:r>
              <w:rPr>
                <w:rFonts w:hint="default" w:ascii="Times New Roman" w:hAnsi="Times New Roman" w:cs="Times New Roman"/>
                <w:color w:val="000000" w:themeColor="text1"/>
                <w:sz w:val="24"/>
                <w:highlight w:val="none"/>
                <w14:textFill>
                  <w14:solidFill>
                    <w14:schemeClr w14:val="tx1"/>
                  </w14:solidFill>
                </w14:textFill>
              </w:rPr>
              <w:t>中心频率为500Hz的倍频带估算。</w:t>
            </w:r>
          </w:p>
          <w:p w14:paraId="4F44E37D">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②室内声源等效室外声源声功率级计算方法</w:t>
            </w:r>
          </w:p>
          <w:p w14:paraId="5733C83D">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设靠近开口处（或窗户）室内，室外某倍频带的声压级分别为LP1和LP2。</w:t>
            </w:r>
          </w:p>
          <w:p w14:paraId="09DB12AA">
            <w:pPr>
              <w:adjustRightInd w:val="0"/>
              <w:snapToGrid w:val="0"/>
              <w:spacing w:line="360" w:lineRule="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若声源所在室内声场为近似扩散声场，则室外倍频声压级可</w:t>
            </w:r>
            <w:r>
              <w:rPr>
                <w:rFonts w:hint="default" w:ascii="Times New Roman" w:hAnsi="Times New Roman" w:cs="Times New Roman"/>
                <w:color w:val="000000" w:themeColor="text1"/>
                <w:sz w:val="24"/>
                <w:highlight w:val="none"/>
                <w:lang w:eastAsia="zh-CN"/>
                <w14:textFill>
                  <w14:solidFill>
                    <w14:schemeClr w14:val="tx1"/>
                  </w14:solidFill>
                </w14:textFill>
              </w:rPr>
              <w:t>按以下公式</w:t>
            </w:r>
            <w:r>
              <w:rPr>
                <w:rFonts w:hint="default" w:ascii="Times New Roman" w:hAnsi="Times New Roman" w:cs="Times New Roman"/>
                <w:color w:val="000000" w:themeColor="text1"/>
                <w:sz w:val="24"/>
                <w:highlight w:val="none"/>
                <w14:textFill>
                  <w14:solidFill>
                    <w14:schemeClr w14:val="tx1"/>
                  </w14:solidFill>
                </w14:textFill>
              </w:rPr>
              <w:t>近似求出：</w:t>
            </w:r>
          </w:p>
          <w:p w14:paraId="189F1160">
            <w:pPr>
              <w:adjustRightInd w:val="0"/>
              <w:snapToGrid w:val="0"/>
              <w:spacing w:line="360" w:lineRule="auto"/>
              <w:ind w:firstLine="480" w:firstLineChars="20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2259330" cy="389890"/>
                  <wp:effectExtent l="0" t="0" r="7620" b="10160"/>
                  <wp:docPr id="56" name="图片 18" descr="截图_20210725110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8" descr="截图_20210725110748"/>
                          <pic:cNvPicPr>
                            <a:picLocks noChangeAspect="1"/>
                          </pic:cNvPicPr>
                        </pic:nvPicPr>
                        <pic:blipFill>
                          <a:blip r:embed="rId34"/>
                          <a:stretch>
                            <a:fillRect/>
                          </a:stretch>
                        </pic:blipFill>
                        <pic:spPr>
                          <a:xfrm>
                            <a:off x="0" y="0"/>
                            <a:ext cx="2259330" cy="389890"/>
                          </a:xfrm>
                          <a:prstGeom prst="rect">
                            <a:avLst/>
                          </a:prstGeom>
                          <a:noFill/>
                          <a:ln>
                            <a:noFill/>
                          </a:ln>
                        </pic:spPr>
                      </pic:pic>
                    </a:graphicData>
                  </a:graphic>
                </wp:inline>
              </w:drawing>
            </w:r>
          </w:p>
          <w:p w14:paraId="47DC9FA2">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式中：</w:t>
            </w:r>
          </w:p>
          <w:p w14:paraId="2D08EFB2">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TL—隔墙或窗户倍频带的隔声量，dB。</w:t>
            </w:r>
          </w:p>
          <w:p w14:paraId="57D6E330">
            <w:pPr>
              <w:adjustRightInd w:val="0"/>
              <w:snapToGrid w:val="0"/>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③有限长线声源</w:t>
            </w:r>
          </w:p>
          <w:p w14:paraId="085EFBCA">
            <w:pPr>
              <w:adjustRightInd w:val="0"/>
              <w:snapToGrid w:val="0"/>
              <w:spacing w:line="360" w:lineRule="auto"/>
              <w:ind w:firstLine="480" w:firstLineChars="20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2356485" cy="490220"/>
                  <wp:effectExtent l="0" t="0" r="5715" b="5080"/>
                  <wp:docPr id="57" name="图片 19" descr="截图_20210925110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9" descr="截图_20210925110930"/>
                          <pic:cNvPicPr>
                            <a:picLocks noChangeAspect="1"/>
                          </pic:cNvPicPr>
                        </pic:nvPicPr>
                        <pic:blipFill>
                          <a:blip r:embed="rId35"/>
                          <a:stretch>
                            <a:fillRect/>
                          </a:stretch>
                        </pic:blipFill>
                        <pic:spPr>
                          <a:xfrm>
                            <a:off x="0" y="0"/>
                            <a:ext cx="2356485" cy="490220"/>
                          </a:xfrm>
                          <a:prstGeom prst="rect">
                            <a:avLst/>
                          </a:prstGeom>
                          <a:noFill/>
                          <a:ln>
                            <a:noFill/>
                          </a:ln>
                        </pic:spPr>
                      </pic:pic>
                    </a:graphicData>
                  </a:graphic>
                </wp:inline>
              </w:drawing>
            </w:r>
            <w:r>
              <w:rPr>
                <w:rFonts w:hint="eastAsia"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7</w:t>
            </w:r>
            <w:r>
              <w:rPr>
                <w:rFonts w:hint="eastAsia" w:cs="Times New Roman"/>
                <w:color w:val="000000" w:themeColor="text1"/>
                <w:sz w:val="24"/>
                <w:highlight w:val="none"/>
                <w:lang w:eastAsia="zh-CN"/>
                <w14:textFill>
                  <w14:solidFill>
                    <w14:schemeClr w14:val="tx1"/>
                  </w14:solidFill>
                </w14:textFill>
              </w:rPr>
              <w:t>)</w:t>
            </w:r>
          </w:p>
          <w:p w14:paraId="476C3726">
            <w:pPr>
              <w:adjustRightInd w:val="0"/>
              <w:snapToGrid w:val="0"/>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④噪声贡献值计算：</w:t>
            </w:r>
          </w:p>
          <w:p w14:paraId="5319D409">
            <w:pPr>
              <w:adjustRightInd w:val="0"/>
              <w:snapToGrid w:val="0"/>
              <w:spacing w:line="360" w:lineRule="auto"/>
              <w:ind w:firstLine="480" w:firstLineChars="200"/>
              <w:jc w:val="left"/>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设第i个室外声源在预测点产生的A声级为LAi，在T时间内该声源工作时间为ti；第j个等效室外声源在预测点产生的A声级为LAj，在T时间内该声源工作时间为tj；则拟建工程声源对预测点产生的贡献值为（Leqg）：</w:t>
            </w:r>
          </w:p>
          <w:p w14:paraId="61BAE35D">
            <w:pPr>
              <w:adjustRightInd w:val="0"/>
              <w:snapToGrid w:val="0"/>
              <w:spacing w:line="360" w:lineRule="auto"/>
              <w:ind w:firstLine="480" w:firstLineChars="20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drawing>
                <wp:inline distT="0" distB="0" distL="114300" distR="114300">
                  <wp:extent cx="2879090" cy="568325"/>
                  <wp:effectExtent l="0" t="0" r="16510" b="3175"/>
                  <wp:docPr id="58" name="图片 20" descr="截图_2021112511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0" descr="截图_20211125111104"/>
                          <pic:cNvPicPr>
                            <a:picLocks noChangeAspect="1"/>
                          </pic:cNvPicPr>
                        </pic:nvPicPr>
                        <pic:blipFill>
                          <a:blip r:embed="rId36"/>
                          <a:stretch>
                            <a:fillRect/>
                          </a:stretch>
                        </pic:blipFill>
                        <pic:spPr>
                          <a:xfrm>
                            <a:off x="0" y="0"/>
                            <a:ext cx="2879090" cy="568325"/>
                          </a:xfrm>
                          <a:prstGeom prst="rect">
                            <a:avLst/>
                          </a:prstGeom>
                          <a:noFill/>
                          <a:ln>
                            <a:noFill/>
                          </a:ln>
                        </pic:spPr>
                      </pic:pic>
                    </a:graphicData>
                  </a:graphic>
                </wp:inline>
              </w:drawing>
            </w:r>
            <w:r>
              <w:rPr>
                <w:rFonts w:hint="eastAsia"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8</w:t>
            </w:r>
            <w:r>
              <w:rPr>
                <w:rFonts w:hint="eastAsia" w:cs="Times New Roman"/>
                <w:color w:val="000000" w:themeColor="text1"/>
                <w:sz w:val="24"/>
                <w:highlight w:val="none"/>
                <w:lang w:eastAsia="zh-CN"/>
                <w14:textFill>
                  <w14:solidFill>
                    <w14:schemeClr w14:val="tx1"/>
                  </w14:solidFill>
                </w14:textFill>
              </w:rPr>
              <w:t>)</w:t>
            </w:r>
          </w:p>
          <w:p w14:paraId="0DE4681A">
            <w:pPr>
              <w:adjustRightInd w:val="0"/>
              <w:snapToGrid w:val="0"/>
              <w:spacing w:line="360" w:lineRule="auto"/>
              <w:ind w:firstLine="480" w:firstLineChars="200"/>
              <w:jc w:val="both"/>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式中</w:t>
            </w:r>
            <w:r>
              <w:rPr>
                <w:rFonts w:hint="default" w:ascii="Times New Roman" w:hAnsi="Times New Roman" w:cs="Times New Roman"/>
                <w:color w:val="000000" w:themeColor="text1"/>
                <w:sz w:val="24"/>
                <w:highlight w:val="none"/>
                <w:lang w:eastAsia="zh-CN"/>
                <w14:textFill>
                  <w14:solidFill>
                    <w14:schemeClr w14:val="tx1"/>
                  </w14:solidFill>
                </w14:textFill>
              </w:rPr>
              <w:t>：</w:t>
            </w:r>
          </w:p>
          <w:p w14:paraId="50020BD6">
            <w:pPr>
              <w:adjustRightInd w:val="0"/>
              <w:snapToGrid w:val="0"/>
              <w:spacing w:line="360" w:lineRule="auto"/>
              <w:ind w:firstLine="480" w:firstLineChars="200"/>
              <w:jc w:val="both"/>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tj—在T时间内j声源工作时间，s；</w:t>
            </w:r>
          </w:p>
          <w:p w14:paraId="16974FC4">
            <w:pPr>
              <w:adjustRightInd w:val="0"/>
              <w:snapToGrid w:val="0"/>
              <w:spacing w:line="360" w:lineRule="auto"/>
              <w:ind w:firstLine="480" w:firstLineChars="200"/>
              <w:jc w:val="both"/>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ti—在T时间内i声源工作时间，s；</w:t>
            </w:r>
          </w:p>
          <w:p w14:paraId="1DE4499C">
            <w:pPr>
              <w:adjustRightInd w:val="0"/>
              <w:snapToGrid w:val="0"/>
              <w:spacing w:line="360" w:lineRule="auto"/>
              <w:ind w:firstLine="480" w:firstLineChars="200"/>
              <w:jc w:val="both"/>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T—用于计算等效声级的时间，s；</w:t>
            </w:r>
          </w:p>
          <w:p w14:paraId="792183F0">
            <w:pPr>
              <w:adjustRightInd w:val="0"/>
              <w:snapToGrid w:val="0"/>
              <w:spacing w:line="360" w:lineRule="auto"/>
              <w:ind w:firstLine="480" w:firstLineChars="200"/>
              <w:jc w:val="both"/>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N—室外声源个数；</w:t>
            </w:r>
          </w:p>
          <w:p w14:paraId="76734958">
            <w:pPr>
              <w:adjustRightInd w:val="0"/>
              <w:snapToGrid w:val="0"/>
              <w:spacing w:line="360" w:lineRule="auto"/>
              <w:ind w:firstLine="480" w:firstLineChars="200"/>
              <w:jc w:val="both"/>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M—等效室外声源个数。</w:t>
            </w:r>
          </w:p>
          <w:p w14:paraId="7A42BA6D">
            <w:pPr>
              <w:adjustRightInd w:val="0"/>
              <w:snapToGrid w:val="0"/>
              <w:spacing w:line="360" w:lineRule="auto"/>
              <w:ind w:firstLine="480" w:firstLineChars="200"/>
              <w:jc w:val="both"/>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（2）预测结果</w:t>
            </w:r>
          </w:p>
          <w:p w14:paraId="1D32E7F4">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GB"/>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次环评中为了更准确、快速地进行噪声预测分析，采用了宁波环科院六五软件工作室开发的EIAN2.0噪声预测评价软件。预测点高度为15m。预测区内测算点的间隔为25m。预测范围为厂界200m范围内。坐标原点为规划厂界</w:t>
            </w: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西南处，原点以东方向为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X</w:t>
            </w: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轴正方向，原点以北方向为Y轴正方向。</w:t>
            </w:r>
          </w:p>
          <w:p w14:paraId="624E123A">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GB"/>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按导则中的噪声衰减模式预测噪声源对厂界的影响。各预测受声点的噪声评价值为受声点的贡献值，详见下表。</w:t>
            </w:r>
          </w:p>
          <w:p w14:paraId="780EE97B">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GB"/>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项目建成后</w:t>
            </w:r>
            <w:r>
              <w:rPr>
                <w:rFonts w:hint="default" w:ascii="Times New Roman" w:hAnsi="Times New Roman" w:eastAsia="宋体" w:cs="Times New Roman"/>
                <w:color w:val="000000" w:themeColor="text1"/>
                <w:sz w:val="24"/>
                <w:szCs w:val="24"/>
                <w:highlight w:val="none"/>
                <w:lang w:val="en-GB"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预测同时考虑厂区内噪声源</w:t>
            </w:r>
            <w:r>
              <w:rPr>
                <w:rFonts w:hint="default" w:ascii="Times New Roman" w:hAnsi="Times New Roman" w:eastAsia="宋体" w:cs="Times New Roman"/>
                <w:color w:val="000000" w:themeColor="text1"/>
                <w:sz w:val="24"/>
                <w:szCs w:val="24"/>
                <w:highlight w:val="none"/>
                <w:lang w:val="en-GB"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对厂界贡献值预测结果见</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下</w:t>
            </w: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表。</w:t>
            </w:r>
          </w:p>
          <w:p w14:paraId="6E3B53F4">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GB"/>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在考虑采取设备噪声消声、隔声和距离衰减的情况下，项目厂界噪声如下表所示。</w:t>
            </w:r>
          </w:p>
          <w:p w14:paraId="01327B6F">
            <w:pPr>
              <w:ind w:firstLine="482" w:firstLineChars="200"/>
              <w:jc w:val="center"/>
              <w:rPr>
                <w:rFonts w:hint="default" w:ascii="Times New Roman" w:hAnsi="Times New Roman" w:eastAsia="仿宋" w:cs="Times New Roman"/>
                <w:b/>
                <w:color w:val="000000" w:themeColor="text1"/>
                <w:sz w:val="24"/>
                <w:highlight w:val="none"/>
                <w14:textFill>
                  <w14:solidFill>
                    <w14:schemeClr w14:val="tx1"/>
                  </w14:solidFill>
                </w14:textFill>
              </w:rPr>
            </w:pPr>
            <w:r>
              <w:rPr>
                <w:rFonts w:hint="default" w:ascii="Times New Roman" w:hAnsi="Times New Roman" w:cs="Times New Roman"/>
                <w:b/>
                <w:bCs w:val="0"/>
                <w:color w:val="000000" w:themeColor="text1"/>
                <w:sz w:val="24"/>
                <w:szCs w:val="24"/>
                <w:highlight w:val="none"/>
                <w:lang w:val="en-GB"/>
                <w14:textFill>
                  <w14:solidFill>
                    <w14:schemeClr w14:val="tx1"/>
                  </w14:solidFill>
                </w14:textFill>
              </w:rPr>
              <w:t>表</w:t>
            </w:r>
            <w:r>
              <w:rPr>
                <w:rFonts w:hint="default" w:ascii="Times New Roman" w:hAnsi="Times New Roman" w:cs="Times New Roman"/>
                <w:b/>
                <w:bCs w:val="0"/>
                <w:color w:val="000000" w:themeColor="text1"/>
                <w:sz w:val="24"/>
                <w:szCs w:val="24"/>
                <w:highlight w:val="none"/>
                <w:lang w:val="en-US" w:eastAsia="zh-CN"/>
                <w14:textFill>
                  <w14:solidFill>
                    <w14:schemeClr w14:val="tx1"/>
                  </w14:solidFill>
                </w14:textFill>
              </w:rPr>
              <w:t>4-</w:t>
            </w:r>
            <w:r>
              <w:rPr>
                <w:rFonts w:hint="eastAsia" w:cs="Times New Roman"/>
                <w:b/>
                <w:bCs w:val="0"/>
                <w:color w:val="000000" w:themeColor="text1"/>
                <w:sz w:val="24"/>
                <w:szCs w:val="24"/>
                <w:highlight w:val="none"/>
                <w:lang w:val="en-US" w:eastAsia="zh-CN"/>
                <w14:textFill>
                  <w14:solidFill>
                    <w14:schemeClr w14:val="tx1"/>
                  </w14:solidFill>
                </w14:textFill>
              </w:rPr>
              <w:t>21</w:t>
            </w:r>
            <w:r>
              <w:rPr>
                <w:rFonts w:hint="default" w:ascii="Times New Roman" w:hAnsi="Times New Roman" w:cs="Times New Roman"/>
                <w:b/>
                <w:color w:val="000000" w:themeColor="text1"/>
                <w:sz w:val="24"/>
                <w:szCs w:val="24"/>
                <w:highlight w:val="none"/>
                <w:lang w:val="en-GB"/>
                <w14:textFill>
                  <w14:solidFill>
                    <w14:schemeClr w14:val="tx1"/>
                  </w14:solidFill>
                </w14:textFill>
              </w:rPr>
              <w:t>项</w:t>
            </w:r>
            <w:r>
              <w:rPr>
                <w:rFonts w:hint="default" w:ascii="Times New Roman" w:hAnsi="Times New Roman" w:cs="Times New Roman"/>
                <w:b/>
                <w:color w:val="000000" w:themeColor="text1"/>
                <w:sz w:val="24"/>
                <w:highlight w:val="none"/>
                <w:lang w:val="en-GB"/>
                <w14:textFill>
                  <w14:solidFill>
                    <w14:schemeClr w14:val="tx1"/>
                  </w14:solidFill>
                </w14:textFill>
              </w:rPr>
              <w:t>目</w:t>
            </w:r>
            <w:r>
              <w:rPr>
                <w:rFonts w:hint="default" w:ascii="Times New Roman" w:hAnsi="Times New Roman" w:cs="Times New Roman"/>
                <w:b/>
                <w:color w:val="000000" w:themeColor="text1"/>
                <w:sz w:val="24"/>
                <w:highlight w:val="none"/>
                <w14:textFill>
                  <w14:solidFill>
                    <w14:schemeClr w14:val="tx1"/>
                  </w14:solidFill>
                </w14:textFill>
              </w:rPr>
              <w:t>厂界噪声单位</w:t>
            </w:r>
            <w:r>
              <w:rPr>
                <w:rFonts w:hint="default" w:ascii="Times New Roman" w:hAnsi="Times New Roman" w:eastAsia="仿宋" w:cs="Times New Roman"/>
                <w:b/>
                <w:color w:val="000000" w:themeColor="text1"/>
                <w:sz w:val="24"/>
                <w:highlight w:val="none"/>
                <w14:textFill>
                  <w14:solidFill>
                    <w14:schemeClr w14:val="tx1"/>
                  </w14:solidFill>
                </w14:textFill>
              </w:rPr>
              <w:t>：dB（A）</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61"/>
              <w:gridCol w:w="1789"/>
              <w:gridCol w:w="1311"/>
              <w:gridCol w:w="1314"/>
              <w:gridCol w:w="1368"/>
            </w:tblGrid>
            <w:tr w14:paraId="13F2A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360" w:type="pct"/>
                  <w:vMerge w:val="restart"/>
                  <w:noWrap w:val="0"/>
                  <w:vAlign w:val="center"/>
                </w:tcPr>
                <w:p w14:paraId="203DF51A">
                  <w:pPr>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点位</w:t>
                  </w:r>
                </w:p>
              </w:tc>
              <w:tc>
                <w:tcPr>
                  <w:tcW w:w="1126" w:type="pct"/>
                  <w:vMerge w:val="restart"/>
                  <w:noWrap w:val="0"/>
                  <w:vAlign w:val="center"/>
                </w:tcPr>
                <w:p w14:paraId="3D3C648E">
                  <w:pPr>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贡献值</w:t>
                  </w:r>
                </w:p>
              </w:tc>
              <w:tc>
                <w:tcPr>
                  <w:tcW w:w="1652" w:type="pct"/>
                  <w:gridSpan w:val="2"/>
                  <w:noWrap w:val="0"/>
                  <w:vAlign w:val="center"/>
                </w:tcPr>
                <w:p w14:paraId="4F904773">
                  <w:pPr>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标准值</w:t>
                  </w:r>
                </w:p>
              </w:tc>
              <w:tc>
                <w:tcPr>
                  <w:tcW w:w="860" w:type="pct"/>
                  <w:vMerge w:val="restart"/>
                  <w:noWrap w:val="0"/>
                  <w:vAlign w:val="center"/>
                </w:tcPr>
                <w:p w14:paraId="6F0C6C7F">
                  <w:pPr>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评价结果</w:t>
                  </w:r>
                </w:p>
              </w:tc>
            </w:tr>
            <w:tr w14:paraId="7193C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0" w:type="pct"/>
                  <w:vMerge w:val="continue"/>
                  <w:noWrap w:val="0"/>
                  <w:vAlign w:val="center"/>
                </w:tcPr>
                <w:p w14:paraId="3F6A97DB">
                  <w:pPr>
                    <w:jc w:val="center"/>
                    <w:rPr>
                      <w:rFonts w:hint="default" w:ascii="Times New Roman" w:hAnsi="Times New Roman" w:cs="Times New Roman"/>
                      <w:b w:val="0"/>
                      <w:bCs/>
                      <w:color w:val="000000" w:themeColor="text1"/>
                      <w:sz w:val="21"/>
                      <w:szCs w:val="21"/>
                      <w:highlight w:val="none"/>
                      <w:lang w:val="en-GB"/>
                      <w14:textFill>
                        <w14:solidFill>
                          <w14:schemeClr w14:val="tx1"/>
                        </w14:solidFill>
                      </w14:textFill>
                    </w:rPr>
                  </w:pPr>
                </w:p>
              </w:tc>
              <w:tc>
                <w:tcPr>
                  <w:tcW w:w="1126" w:type="pct"/>
                  <w:vMerge w:val="continue"/>
                  <w:noWrap w:val="0"/>
                  <w:vAlign w:val="center"/>
                </w:tcPr>
                <w:p w14:paraId="4CE59695">
                  <w:pPr>
                    <w:jc w:val="center"/>
                    <w:rPr>
                      <w:rFonts w:hint="default" w:ascii="Times New Roman" w:hAnsi="Times New Roman" w:cs="Times New Roman"/>
                      <w:b w:val="0"/>
                      <w:bCs/>
                      <w:color w:val="000000" w:themeColor="text1"/>
                      <w:sz w:val="21"/>
                      <w:szCs w:val="21"/>
                      <w:highlight w:val="none"/>
                      <w:lang w:val="en-GB"/>
                      <w14:textFill>
                        <w14:solidFill>
                          <w14:schemeClr w14:val="tx1"/>
                        </w14:solidFill>
                      </w14:textFill>
                    </w:rPr>
                  </w:pPr>
                </w:p>
              </w:tc>
              <w:tc>
                <w:tcPr>
                  <w:tcW w:w="825" w:type="pct"/>
                  <w:noWrap w:val="0"/>
                  <w:vAlign w:val="center"/>
                </w:tcPr>
                <w:p w14:paraId="17AF326A">
                  <w:pPr>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昼间</w:t>
                  </w:r>
                </w:p>
              </w:tc>
              <w:tc>
                <w:tcPr>
                  <w:tcW w:w="826" w:type="pct"/>
                  <w:noWrap w:val="0"/>
                  <w:vAlign w:val="center"/>
                </w:tcPr>
                <w:p w14:paraId="6E631AE2">
                  <w:pPr>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夜间</w:t>
                  </w:r>
                </w:p>
              </w:tc>
              <w:tc>
                <w:tcPr>
                  <w:tcW w:w="860" w:type="pct"/>
                  <w:vMerge w:val="continue"/>
                  <w:noWrap w:val="0"/>
                  <w:vAlign w:val="center"/>
                </w:tcPr>
                <w:p w14:paraId="39614B1D">
                  <w:pPr>
                    <w:jc w:val="center"/>
                    <w:rPr>
                      <w:rFonts w:hint="default" w:ascii="Times New Roman" w:hAnsi="Times New Roman" w:cs="Times New Roman"/>
                      <w:b w:val="0"/>
                      <w:bCs/>
                      <w:color w:val="000000" w:themeColor="text1"/>
                      <w:sz w:val="21"/>
                      <w:szCs w:val="21"/>
                      <w:highlight w:val="none"/>
                      <w:lang w:val="en-GB"/>
                      <w14:textFill>
                        <w14:solidFill>
                          <w14:schemeClr w14:val="tx1"/>
                        </w14:solidFill>
                      </w14:textFill>
                    </w:rPr>
                  </w:pPr>
                </w:p>
              </w:tc>
            </w:tr>
            <w:tr w14:paraId="3C531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0" w:type="pct"/>
                  <w:noWrap w:val="0"/>
                  <w:vAlign w:val="center"/>
                </w:tcPr>
                <w:p w14:paraId="303EE375">
                  <w:pPr>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厂界东</w:t>
                  </w:r>
                </w:p>
              </w:tc>
              <w:tc>
                <w:tcPr>
                  <w:tcW w:w="1126" w:type="pct"/>
                  <w:noWrap w:val="0"/>
                  <w:vAlign w:val="center"/>
                </w:tcPr>
                <w:p w14:paraId="18AE2454">
                  <w:pPr>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47.01</w:t>
                  </w:r>
                </w:p>
              </w:tc>
              <w:tc>
                <w:tcPr>
                  <w:tcW w:w="825" w:type="pct"/>
                  <w:noWrap w:val="0"/>
                  <w:vAlign w:val="center"/>
                </w:tcPr>
                <w:p w14:paraId="69117CFC">
                  <w:pPr>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65</w:t>
                  </w:r>
                </w:p>
              </w:tc>
              <w:tc>
                <w:tcPr>
                  <w:tcW w:w="826" w:type="pct"/>
                  <w:noWrap w:val="0"/>
                  <w:vAlign w:val="center"/>
                </w:tcPr>
                <w:p w14:paraId="42D5D4F4">
                  <w:pPr>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55</w:t>
                  </w:r>
                </w:p>
              </w:tc>
              <w:tc>
                <w:tcPr>
                  <w:tcW w:w="860" w:type="pct"/>
                  <w:noWrap w:val="0"/>
                  <w:vAlign w:val="center"/>
                </w:tcPr>
                <w:p w14:paraId="4E9C6C69">
                  <w:pPr>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达标</w:t>
                  </w:r>
                </w:p>
              </w:tc>
            </w:tr>
            <w:tr w14:paraId="425A0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0" w:type="pct"/>
                  <w:noWrap w:val="0"/>
                  <w:vAlign w:val="center"/>
                </w:tcPr>
                <w:p w14:paraId="1A28B342">
                  <w:pPr>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厂界南</w:t>
                  </w:r>
                </w:p>
              </w:tc>
              <w:tc>
                <w:tcPr>
                  <w:tcW w:w="1126" w:type="pct"/>
                  <w:noWrap w:val="0"/>
                  <w:vAlign w:val="center"/>
                </w:tcPr>
                <w:p w14:paraId="3B6ED423">
                  <w:pPr>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49.51</w:t>
                  </w:r>
                </w:p>
              </w:tc>
              <w:tc>
                <w:tcPr>
                  <w:tcW w:w="825" w:type="pct"/>
                  <w:noWrap w:val="0"/>
                  <w:vAlign w:val="center"/>
                </w:tcPr>
                <w:p w14:paraId="3EC8BB93">
                  <w:pPr>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65</w:t>
                  </w:r>
                </w:p>
              </w:tc>
              <w:tc>
                <w:tcPr>
                  <w:tcW w:w="826" w:type="pct"/>
                  <w:noWrap w:val="0"/>
                  <w:vAlign w:val="center"/>
                </w:tcPr>
                <w:p w14:paraId="1D7F391E">
                  <w:pPr>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55</w:t>
                  </w:r>
                </w:p>
              </w:tc>
              <w:tc>
                <w:tcPr>
                  <w:tcW w:w="860" w:type="pct"/>
                  <w:noWrap w:val="0"/>
                  <w:vAlign w:val="center"/>
                </w:tcPr>
                <w:p w14:paraId="275D9104">
                  <w:pPr>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达标</w:t>
                  </w:r>
                </w:p>
              </w:tc>
            </w:tr>
            <w:tr w14:paraId="3D808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0" w:type="pct"/>
                  <w:noWrap w:val="0"/>
                  <w:vAlign w:val="center"/>
                </w:tcPr>
                <w:p w14:paraId="76492D99">
                  <w:pPr>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厂界西</w:t>
                  </w:r>
                </w:p>
              </w:tc>
              <w:tc>
                <w:tcPr>
                  <w:tcW w:w="1126" w:type="pct"/>
                  <w:noWrap w:val="0"/>
                  <w:vAlign w:val="center"/>
                </w:tcPr>
                <w:p w14:paraId="2EAF8E2D">
                  <w:pPr>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53.03</w:t>
                  </w:r>
                </w:p>
              </w:tc>
              <w:tc>
                <w:tcPr>
                  <w:tcW w:w="825" w:type="pct"/>
                  <w:noWrap w:val="0"/>
                  <w:vAlign w:val="center"/>
                </w:tcPr>
                <w:p w14:paraId="0B1AB704">
                  <w:pPr>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65</w:t>
                  </w:r>
                </w:p>
              </w:tc>
              <w:tc>
                <w:tcPr>
                  <w:tcW w:w="826" w:type="pct"/>
                  <w:noWrap w:val="0"/>
                  <w:vAlign w:val="center"/>
                </w:tcPr>
                <w:p w14:paraId="06DFD114">
                  <w:pPr>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55</w:t>
                  </w:r>
                </w:p>
              </w:tc>
              <w:tc>
                <w:tcPr>
                  <w:tcW w:w="860" w:type="pct"/>
                  <w:noWrap w:val="0"/>
                  <w:vAlign w:val="center"/>
                </w:tcPr>
                <w:p w14:paraId="3ABD0CE6">
                  <w:pPr>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达标</w:t>
                  </w:r>
                </w:p>
              </w:tc>
            </w:tr>
            <w:tr w14:paraId="6E25F4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60" w:type="pct"/>
                  <w:noWrap w:val="0"/>
                  <w:vAlign w:val="center"/>
                </w:tcPr>
                <w:p w14:paraId="7E007A3B">
                  <w:pPr>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厂界北</w:t>
                  </w:r>
                </w:p>
              </w:tc>
              <w:tc>
                <w:tcPr>
                  <w:tcW w:w="1126" w:type="pct"/>
                  <w:noWrap w:val="0"/>
                  <w:vAlign w:val="center"/>
                </w:tcPr>
                <w:p w14:paraId="30FA2F95">
                  <w:pPr>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50.73</w:t>
                  </w:r>
                </w:p>
              </w:tc>
              <w:tc>
                <w:tcPr>
                  <w:tcW w:w="825" w:type="pct"/>
                  <w:noWrap w:val="0"/>
                  <w:vAlign w:val="center"/>
                </w:tcPr>
                <w:p w14:paraId="59623F5F">
                  <w:pPr>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65</w:t>
                  </w:r>
                </w:p>
              </w:tc>
              <w:tc>
                <w:tcPr>
                  <w:tcW w:w="826" w:type="pct"/>
                  <w:noWrap w:val="0"/>
                  <w:vAlign w:val="center"/>
                </w:tcPr>
                <w:p w14:paraId="7E2D70FD">
                  <w:pPr>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55</w:t>
                  </w:r>
                </w:p>
              </w:tc>
              <w:tc>
                <w:tcPr>
                  <w:tcW w:w="860" w:type="pct"/>
                  <w:noWrap w:val="0"/>
                  <w:vAlign w:val="center"/>
                </w:tcPr>
                <w:p w14:paraId="6ADB737E">
                  <w:pPr>
                    <w:jc w:val="center"/>
                    <w:rPr>
                      <w:rFonts w:hint="default" w:ascii="Times New Roman" w:hAnsi="Times New Roman" w:cs="Times New Roman"/>
                      <w:b w:val="0"/>
                      <w:bCs/>
                      <w:color w:val="000000" w:themeColor="text1"/>
                      <w:sz w:val="21"/>
                      <w:szCs w:val="21"/>
                      <w:highlight w:val="none"/>
                      <w14:textFill>
                        <w14:solidFill>
                          <w14:schemeClr w14:val="tx1"/>
                        </w14:solidFill>
                      </w14:textFill>
                    </w:rPr>
                  </w:pPr>
                  <w:r>
                    <w:rPr>
                      <w:rFonts w:hint="default" w:ascii="Times New Roman" w:hAnsi="Times New Roman" w:cs="Times New Roman"/>
                      <w:b w:val="0"/>
                      <w:bCs/>
                      <w:color w:val="000000" w:themeColor="text1"/>
                      <w:sz w:val="21"/>
                      <w:szCs w:val="21"/>
                      <w:highlight w:val="none"/>
                      <w14:textFill>
                        <w14:solidFill>
                          <w14:schemeClr w14:val="tx1"/>
                        </w14:solidFill>
                      </w14:textFill>
                    </w:rPr>
                    <w:t>达标</w:t>
                  </w:r>
                </w:p>
              </w:tc>
            </w:tr>
          </w:tbl>
          <w:p w14:paraId="07A82849">
            <w:pPr>
              <w:spacing w:before="120" w:beforeLines="50" w:line="360" w:lineRule="auto"/>
              <w:ind w:firstLine="480" w:firstLineChars="200"/>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14:textFill>
                  <w14:solidFill>
                    <w14:schemeClr w14:val="tx1"/>
                  </w14:solidFill>
                </w14:textFill>
              </w:rPr>
              <w:t>由预测结果可知，项目正常工况下，</w:t>
            </w:r>
            <w:r>
              <w:rPr>
                <w:rFonts w:hint="default" w:ascii="Times New Roman" w:hAnsi="Times New Roman" w:eastAsia="宋体" w:cs="Times New Roman"/>
                <w:color w:val="000000" w:themeColor="text1"/>
                <w:sz w:val="24"/>
                <w:highlight w:val="none"/>
                <w:lang w:val="en-GB"/>
                <w14:textFill>
                  <w14:solidFill>
                    <w14:schemeClr w14:val="tx1"/>
                  </w14:solidFill>
                </w14:textFill>
              </w:rPr>
              <w:t>通过对高噪声设备采取相应的噪声控制措施，利用密闭隔声和距离衰减的情况下，项目厂界昼夜间噪声均能符合</w:t>
            </w:r>
            <w:r>
              <w:rPr>
                <w:rFonts w:hint="default" w:ascii="Times New Roman" w:hAnsi="Times New Roman" w:eastAsia="宋体" w:cs="Times New Roman"/>
                <w:color w:val="000000" w:themeColor="text1"/>
                <w:sz w:val="24"/>
                <w:highlight w:val="none"/>
                <w14:textFill>
                  <w14:solidFill>
                    <w14:schemeClr w14:val="tx1"/>
                  </w14:solidFill>
                </w14:textFill>
              </w:rPr>
              <w:t>《工业企业厂界环境噪声排放标准》（GB12348-2008）3类标准，影响较小。</w:t>
            </w:r>
          </w:p>
          <w:p w14:paraId="438627BC">
            <w:pPr>
              <w:spacing w:line="360" w:lineRule="auto"/>
              <w:ind w:firstLine="480" w:firstLineChars="200"/>
              <w:rPr>
                <w:rFonts w:hint="default" w:ascii="Times New Roman" w:hAnsi="Times New Roman" w:eastAsia="宋体" w:cs="Times New Roman"/>
                <w:color w:val="000000" w:themeColor="text1"/>
                <w:kern w:val="0"/>
                <w:sz w:val="24"/>
                <w:highlight w:val="none"/>
                <w14:textFill>
                  <w14:solidFill>
                    <w14:schemeClr w14:val="tx1"/>
                  </w14:solidFill>
                </w14:textFill>
              </w:rPr>
            </w:pPr>
            <w:r>
              <w:rPr>
                <w:rFonts w:hint="default" w:ascii="Times New Roman" w:hAnsi="Times New Roman" w:eastAsia="宋体" w:cs="Times New Roman"/>
                <w:color w:val="000000" w:themeColor="text1"/>
                <w:kern w:val="0"/>
                <w:sz w:val="24"/>
                <w:highlight w:val="none"/>
                <w14:textFill>
                  <w14:solidFill>
                    <w14:schemeClr w14:val="tx1"/>
                  </w14:solidFill>
                </w14:textFill>
              </w:rPr>
              <w:t>本项目对噪声源采取的措施主要有：</w:t>
            </w:r>
          </w:p>
          <w:p w14:paraId="65F9C10C">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GB"/>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防治噪声污染通常采用两种方法，首先从声源上降低噪声，选用低噪声的设备</w:t>
            </w:r>
            <w:r>
              <w:rPr>
                <w:rFonts w:hint="eastAsia" w:ascii="Times New Roman" w:hAnsi="Times New Roman" w:cs="Times New Roman"/>
                <w:color w:val="000000" w:themeColor="text1"/>
                <w:sz w:val="24"/>
                <w:szCs w:val="24"/>
                <w:highlight w:val="none"/>
                <w:lang w:val="en-GB" w:eastAsia="zh-CN"/>
                <w14:textFill>
                  <w14:solidFill>
                    <w14:schemeClr w14:val="tx1"/>
                  </w14:solidFill>
                </w14:textFill>
              </w:rPr>
              <w:t>，在</w:t>
            </w: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进行设备招标时，对重点噪声源严格控制，向设备制造厂家提出设备噪声限值和要求；其次从传播途径上降低噪声，采取加隔声罩等措施，使声源得到初步衰减，另外利用厂房隔声、绿化降噪等使噪声进一步衰减。具体措施如下：</w:t>
            </w:r>
          </w:p>
          <w:p w14:paraId="54EFCD89">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GB"/>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①从总平面布置上，在工艺合理的前</w:t>
            </w:r>
            <w:r>
              <w:rPr>
                <w:rFonts w:hint="default" w:ascii="Times New Roman" w:hAnsi="Times New Roman" w:eastAsia="宋体" w:cs="Times New Roman"/>
                <w:color w:val="000000" w:themeColor="text1"/>
                <w:sz w:val="24"/>
                <w:szCs w:val="24"/>
                <w:highlight w:val="none"/>
                <w:lang w:val="en-GB" w:eastAsia="zh-CN"/>
                <w14:textFill>
                  <w14:solidFill>
                    <w14:schemeClr w14:val="tx1"/>
                  </w14:solidFill>
                </w14:textFill>
              </w:rPr>
              <w:t>提</w:t>
            </w:r>
            <w:r>
              <w:rPr>
                <w:rFonts w:hint="eastAsia" w:ascii="Times New Roman" w:hAnsi="Times New Roman" w:cs="Times New Roman"/>
                <w:color w:val="000000" w:themeColor="text1"/>
                <w:sz w:val="24"/>
                <w:szCs w:val="24"/>
                <w:highlight w:val="none"/>
                <w:lang w:val="en-GB" w:eastAsia="zh-CN"/>
                <w14:textFill>
                  <w14:solidFill>
                    <w14:schemeClr w14:val="tx1"/>
                  </w14:solidFill>
                </w14:textFill>
              </w:rPr>
              <w:t>下</w:t>
            </w: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，优化布置，充分考虑重点噪声源的均匀布置，并尽量布置在场地中央。</w:t>
            </w:r>
          </w:p>
          <w:p w14:paraId="1AA5C57D">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GB"/>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②进行设备招标时，对重点噪声源严格控制，向设备制造厂家提出噪声控制要求。</w:t>
            </w:r>
          </w:p>
          <w:p w14:paraId="21464247">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GB"/>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③对引风机整个机组加隔音罩与外界隔离，同时采取减振措施，使之</w:t>
            </w:r>
            <w:r>
              <w:rPr>
                <w:rFonts w:hint="default" w:ascii="Times New Roman" w:hAnsi="Times New Roman" w:eastAsia="宋体" w:cs="Times New Roman"/>
                <w:color w:val="000000" w:themeColor="text1"/>
                <w:sz w:val="24"/>
                <w:szCs w:val="24"/>
                <w:highlight w:val="none"/>
                <w:lang w:val="en-GB"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距声源1m处</w:t>
            </w:r>
            <w:r>
              <w:rPr>
                <w:rFonts w:hint="default" w:ascii="Times New Roman" w:hAnsi="Times New Roman" w:eastAsia="宋体" w:cs="Times New Roman"/>
                <w:color w:val="000000" w:themeColor="text1"/>
                <w:sz w:val="24"/>
                <w:szCs w:val="24"/>
                <w:highlight w:val="none"/>
                <w:lang w:val="en-GB"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噪声值控制在80dB</w:t>
            </w:r>
            <w:r>
              <w:rPr>
                <w:rFonts w:hint="default" w:ascii="Times New Roman" w:hAnsi="Times New Roman" w:eastAsia="宋体" w:cs="Times New Roman"/>
                <w:color w:val="000000" w:themeColor="text1"/>
                <w:sz w:val="24"/>
                <w:szCs w:val="24"/>
                <w:highlight w:val="none"/>
                <w:lang w:val="en-GB"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A</w:t>
            </w:r>
            <w:r>
              <w:rPr>
                <w:rFonts w:hint="default" w:ascii="Times New Roman" w:hAnsi="Times New Roman" w:eastAsia="宋体" w:cs="Times New Roman"/>
                <w:color w:val="000000" w:themeColor="text1"/>
                <w:sz w:val="24"/>
                <w:szCs w:val="24"/>
                <w:highlight w:val="none"/>
                <w:lang w:val="en-GB"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之内。</w:t>
            </w:r>
          </w:p>
          <w:p w14:paraId="54936A50">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GB"/>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④各种噪声较大的泵，均采取</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隔</w:t>
            </w:r>
            <w:r>
              <w:rPr>
                <w:rFonts w:hint="default" w:ascii="Times New Roman" w:hAnsi="Times New Roman" w:eastAsia="宋体" w:cs="Times New Roman"/>
                <w:color w:val="000000" w:themeColor="text1"/>
                <w:sz w:val="24"/>
                <w:szCs w:val="24"/>
                <w:highlight w:val="none"/>
                <w:lang w:val="en-GB" w:eastAsia="zh-CN"/>
                <w14:textFill>
                  <w14:solidFill>
                    <w14:schemeClr w14:val="tx1"/>
                  </w14:solidFill>
                </w14:textFill>
              </w:rPr>
              <w:t>声</w:t>
            </w: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措施，使之</w:t>
            </w:r>
            <w:r>
              <w:rPr>
                <w:rFonts w:hint="default" w:ascii="Times New Roman" w:hAnsi="Times New Roman" w:eastAsia="宋体" w:cs="Times New Roman"/>
                <w:color w:val="000000" w:themeColor="text1"/>
                <w:sz w:val="24"/>
                <w:szCs w:val="24"/>
                <w:highlight w:val="none"/>
                <w:lang w:val="en-GB"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距声源1m处</w:t>
            </w:r>
            <w:r>
              <w:rPr>
                <w:rFonts w:hint="default" w:ascii="Times New Roman" w:hAnsi="Times New Roman" w:eastAsia="宋体" w:cs="Times New Roman"/>
                <w:color w:val="000000" w:themeColor="text1"/>
                <w:sz w:val="24"/>
                <w:szCs w:val="24"/>
                <w:highlight w:val="none"/>
                <w:lang w:val="en-GB"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噪声值控制在85dB</w:t>
            </w:r>
            <w:r>
              <w:rPr>
                <w:rFonts w:hint="default" w:ascii="Times New Roman" w:hAnsi="Times New Roman" w:eastAsia="宋体" w:cs="Times New Roman"/>
                <w:color w:val="000000" w:themeColor="text1"/>
                <w:sz w:val="24"/>
                <w:szCs w:val="24"/>
                <w:highlight w:val="none"/>
                <w:lang w:val="en-GB"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A</w:t>
            </w:r>
            <w:r>
              <w:rPr>
                <w:rFonts w:hint="default" w:ascii="Times New Roman" w:hAnsi="Times New Roman" w:eastAsia="宋体" w:cs="Times New Roman"/>
                <w:color w:val="000000" w:themeColor="text1"/>
                <w:sz w:val="24"/>
                <w:szCs w:val="24"/>
                <w:highlight w:val="none"/>
                <w:lang w:val="en-GB"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之内。</w:t>
            </w:r>
          </w:p>
          <w:p w14:paraId="259B5ABF">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GB"/>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⑤在人员活动较频繁的声源车间，结合车间环境，适当设置吸声壁面、隔声障壁等。</w:t>
            </w:r>
          </w:p>
          <w:p w14:paraId="01855726">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GB"/>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⑥厂区内植树绿化，以衰减噪声。</w:t>
            </w:r>
          </w:p>
          <w:p w14:paraId="4692B2A7">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GB"/>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⑦在设备安装及土建施工时，重点设备均应采取减振、防振措施，现场严格监督管理，提高安装质量，从声源上控制施工时的噪声水平。</w:t>
            </w:r>
          </w:p>
          <w:p w14:paraId="7302E8B4">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GB"/>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⑧避免夜间运输物料，减少运输过程的车辆噪声。</w:t>
            </w:r>
          </w:p>
          <w:p w14:paraId="6D8FE37B">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GB"/>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为减少项目噪声对环境污染，并且美化环境，改善职工的工作条件，本工程设计中对建设场地进行绿化，因地制宜选择树种，在厂房周围及道路两侧种植大量树木，以达到防尘、降噪、美化环境的目的。</w:t>
            </w:r>
          </w:p>
          <w:p w14:paraId="36B2F6CD">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000000" w:themeColor="text1"/>
                <w:sz w:val="24"/>
                <w:highlight w:val="none"/>
                <w14:textFill>
                  <w14:solidFill>
                    <w14:schemeClr w14:val="tx1"/>
                  </w14:solidFill>
                </w14:textFill>
              </w:rPr>
            </w:pPr>
            <w:r>
              <w:rPr>
                <w:rFonts w:hint="default" w:ascii="Times New Roman" w:hAnsi="Times New Roman" w:eastAsia="宋体" w:cs="Times New Roman"/>
                <w:b/>
                <w:bCs/>
                <w:color w:val="000000" w:themeColor="text1"/>
                <w:sz w:val="24"/>
                <w:highlight w:val="none"/>
                <w14:textFill>
                  <w14:solidFill>
                    <w14:schemeClr w14:val="tx1"/>
                  </w14:solidFill>
                </w14:textFill>
              </w:rPr>
              <w:t>4.3监测要求</w:t>
            </w:r>
          </w:p>
          <w:p w14:paraId="5BC3831C">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GB"/>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本次评价按照《排污单位自行监测技术指南总则》</w:t>
            </w:r>
            <w:r>
              <w:rPr>
                <w:rFonts w:hint="default" w:ascii="Times New Roman" w:hAnsi="Times New Roman" w:eastAsia="宋体" w:cs="Times New Roman"/>
                <w:color w:val="000000" w:themeColor="text1"/>
                <w:sz w:val="24"/>
                <w:szCs w:val="24"/>
                <w:highlight w:val="none"/>
                <w:lang w:val="en-GB"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HJ819-2017</w:t>
            </w:r>
            <w:r>
              <w:rPr>
                <w:rFonts w:hint="default" w:ascii="Times New Roman" w:hAnsi="Times New Roman" w:eastAsia="宋体" w:cs="Times New Roman"/>
                <w:color w:val="000000" w:themeColor="text1"/>
                <w:sz w:val="24"/>
                <w:szCs w:val="24"/>
                <w:highlight w:val="none"/>
                <w:lang w:val="en-GB"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制定项目运营期监测计划。</w:t>
            </w:r>
          </w:p>
          <w:p w14:paraId="6F59BDD9">
            <w:pPr>
              <w:pStyle w:val="14"/>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lang w:val="en-GB"/>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GB"/>
                <w14:textFill>
                  <w14:solidFill>
                    <w14:schemeClr w14:val="tx1"/>
                  </w14:solidFill>
                </w14:textFill>
              </w:rPr>
              <w:t>对运营期产生的噪声进行监测，监测内容和频次见下表。</w:t>
            </w:r>
          </w:p>
          <w:p w14:paraId="672668BB">
            <w:pPr>
              <w:keepNext w:val="0"/>
              <w:keepLines w:val="0"/>
              <w:pageBreakBefore w:val="0"/>
              <w:widowControl w:val="0"/>
              <w:kinsoku/>
              <w:wordWrap/>
              <w:overflowPunct/>
              <w:topLinePunct w:val="0"/>
              <w:autoSpaceDE/>
              <w:autoSpaceDN/>
              <w:bidi w:val="0"/>
              <w:adjustRightInd/>
              <w:snapToGrid/>
              <w:ind w:firstLine="482"/>
              <w:jc w:val="center"/>
              <w:textAlignment w:val="auto"/>
              <w:rPr>
                <w:rFonts w:hint="default" w:ascii="Times New Roman" w:hAnsi="Times New Roman" w:cs="Times New Roman"/>
                <w:b/>
                <w:color w:val="000000" w:themeColor="text1"/>
                <w:sz w:val="24"/>
                <w:highlight w:val="none"/>
                <w14:textFill>
                  <w14:solidFill>
                    <w14:schemeClr w14:val="tx1"/>
                  </w14:solidFill>
                </w14:textFill>
              </w:rPr>
            </w:pPr>
            <w:r>
              <w:rPr>
                <w:rFonts w:hint="default" w:ascii="Times New Roman" w:hAnsi="Times New Roman" w:eastAsia="宋体" w:cs="Times New Roman"/>
                <w:b/>
                <w:color w:val="000000" w:themeColor="text1"/>
                <w:sz w:val="24"/>
                <w:highlight w:val="none"/>
                <w14:textFill>
                  <w14:solidFill>
                    <w14:schemeClr w14:val="tx1"/>
                  </w14:solidFill>
                </w14:textFill>
              </w:rPr>
              <w:t>表</w:t>
            </w:r>
            <w:r>
              <w:rPr>
                <w:rFonts w:hint="default" w:ascii="Times New Roman" w:hAnsi="Times New Roman" w:eastAsia="宋体" w:cs="Times New Roman"/>
                <w:b/>
                <w:color w:val="000000" w:themeColor="text1"/>
                <w:sz w:val="24"/>
                <w:highlight w:val="none"/>
                <w:lang w:val="en-US" w:eastAsia="zh-CN"/>
                <w14:textFill>
                  <w14:solidFill>
                    <w14:schemeClr w14:val="tx1"/>
                  </w14:solidFill>
                </w14:textFill>
              </w:rPr>
              <w:t>4-</w:t>
            </w:r>
            <w:r>
              <w:rPr>
                <w:rFonts w:hint="eastAsia" w:cs="Times New Roman"/>
                <w:b/>
                <w:color w:val="000000" w:themeColor="text1"/>
                <w:sz w:val="24"/>
                <w:highlight w:val="none"/>
                <w:lang w:val="en-US" w:eastAsia="zh-CN"/>
                <w14:textFill>
                  <w14:solidFill>
                    <w14:schemeClr w14:val="tx1"/>
                  </w14:solidFill>
                </w14:textFill>
              </w:rPr>
              <w:t>22</w:t>
            </w:r>
            <w:r>
              <w:rPr>
                <w:rFonts w:hint="default" w:ascii="Times New Roman" w:hAnsi="Times New Roman" w:eastAsia="宋体" w:cs="Times New Roman"/>
                <w:b/>
                <w:color w:val="000000" w:themeColor="text1"/>
                <w:sz w:val="24"/>
                <w:highlight w:val="none"/>
                <w14:textFill>
                  <w14:solidFill>
                    <w14:schemeClr w14:val="tx1"/>
                  </w14:solidFill>
                </w14:textFill>
              </w:rPr>
              <w:t>运</w:t>
            </w:r>
            <w:r>
              <w:rPr>
                <w:rFonts w:hint="default" w:ascii="Times New Roman" w:hAnsi="Times New Roman" w:cs="Times New Roman"/>
                <w:b/>
                <w:color w:val="000000" w:themeColor="text1"/>
                <w:sz w:val="24"/>
                <w:highlight w:val="none"/>
                <w14:textFill>
                  <w14:solidFill>
                    <w14:schemeClr w14:val="tx1"/>
                  </w14:solidFill>
                </w14:textFill>
              </w:rPr>
              <w:t>营期环境监测计划表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96"/>
              <w:gridCol w:w="1701"/>
              <w:gridCol w:w="1417"/>
              <w:gridCol w:w="1276"/>
              <w:gridCol w:w="2956"/>
            </w:tblGrid>
            <w:tr w14:paraId="61FB6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09" w:hRule="atLeast"/>
                <w:jc w:val="center"/>
              </w:trPr>
              <w:tc>
                <w:tcPr>
                  <w:tcW w:w="596" w:type="dxa"/>
                  <w:noWrap w:val="0"/>
                  <w:vAlign w:val="center"/>
                </w:tcPr>
                <w:p w14:paraId="6FB83272">
                  <w:pPr>
                    <w:jc w:val="center"/>
                    <w:rPr>
                      <w:rFonts w:hint="default" w:ascii="Times New Roman" w:hAnsi="Times New Roman" w:cs="Times New Roman"/>
                      <w:b w:val="0"/>
                      <w:bCs w:val="0"/>
                      <w:color w:val="000000" w:themeColor="text1"/>
                      <w:szCs w:val="21"/>
                      <w:highlight w:val="none"/>
                      <w14:textFill>
                        <w14:solidFill>
                          <w14:schemeClr w14:val="tx1"/>
                        </w14:solidFill>
                      </w14:textFill>
                    </w:rPr>
                  </w:pPr>
                  <w:r>
                    <w:rPr>
                      <w:rFonts w:hint="default" w:ascii="Times New Roman" w:hAnsi="Times New Roman" w:cs="Times New Roman"/>
                      <w:b w:val="0"/>
                      <w:bCs w:val="0"/>
                      <w:color w:val="000000" w:themeColor="text1"/>
                      <w:szCs w:val="21"/>
                      <w:highlight w:val="none"/>
                      <w14:textFill>
                        <w14:solidFill>
                          <w14:schemeClr w14:val="tx1"/>
                        </w14:solidFill>
                      </w14:textFill>
                    </w:rPr>
                    <w:t>类别</w:t>
                  </w:r>
                </w:p>
              </w:tc>
              <w:tc>
                <w:tcPr>
                  <w:tcW w:w="1701" w:type="dxa"/>
                  <w:noWrap w:val="0"/>
                  <w:vAlign w:val="center"/>
                </w:tcPr>
                <w:p w14:paraId="5AA48FC0">
                  <w:pPr>
                    <w:jc w:val="center"/>
                    <w:rPr>
                      <w:rFonts w:hint="default" w:ascii="Times New Roman" w:hAnsi="Times New Roman" w:cs="Times New Roman"/>
                      <w:b w:val="0"/>
                      <w:bCs w:val="0"/>
                      <w:color w:val="000000" w:themeColor="text1"/>
                      <w:szCs w:val="21"/>
                      <w:highlight w:val="none"/>
                      <w14:textFill>
                        <w14:solidFill>
                          <w14:schemeClr w14:val="tx1"/>
                        </w14:solidFill>
                      </w14:textFill>
                    </w:rPr>
                  </w:pPr>
                  <w:r>
                    <w:rPr>
                      <w:rFonts w:hint="default" w:ascii="Times New Roman" w:hAnsi="Times New Roman" w:cs="Times New Roman"/>
                      <w:b w:val="0"/>
                      <w:bCs w:val="0"/>
                      <w:color w:val="000000" w:themeColor="text1"/>
                      <w:szCs w:val="21"/>
                      <w:highlight w:val="none"/>
                      <w14:textFill>
                        <w14:solidFill>
                          <w14:schemeClr w14:val="tx1"/>
                        </w14:solidFill>
                      </w14:textFill>
                    </w:rPr>
                    <w:t>监测位置</w:t>
                  </w:r>
                </w:p>
              </w:tc>
              <w:tc>
                <w:tcPr>
                  <w:tcW w:w="1417" w:type="dxa"/>
                  <w:noWrap w:val="0"/>
                  <w:vAlign w:val="center"/>
                </w:tcPr>
                <w:p w14:paraId="182D31AF">
                  <w:pPr>
                    <w:jc w:val="center"/>
                    <w:rPr>
                      <w:rFonts w:hint="default" w:ascii="Times New Roman" w:hAnsi="Times New Roman" w:cs="Times New Roman"/>
                      <w:b w:val="0"/>
                      <w:bCs w:val="0"/>
                      <w:color w:val="000000" w:themeColor="text1"/>
                      <w:szCs w:val="21"/>
                      <w:highlight w:val="none"/>
                      <w14:textFill>
                        <w14:solidFill>
                          <w14:schemeClr w14:val="tx1"/>
                        </w14:solidFill>
                      </w14:textFill>
                    </w:rPr>
                  </w:pPr>
                  <w:r>
                    <w:rPr>
                      <w:rFonts w:hint="default" w:ascii="Times New Roman" w:hAnsi="Times New Roman" w:cs="Times New Roman"/>
                      <w:b w:val="0"/>
                      <w:bCs w:val="0"/>
                      <w:color w:val="000000" w:themeColor="text1"/>
                      <w:szCs w:val="21"/>
                      <w:highlight w:val="none"/>
                      <w14:textFill>
                        <w14:solidFill>
                          <w14:schemeClr w14:val="tx1"/>
                        </w14:solidFill>
                      </w14:textFill>
                    </w:rPr>
                    <w:t>监测项目</w:t>
                  </w:r>
                </w:p>
              </w:tc>
              <w:tc>
                <w:tcPr>
                  <w:tcW w:w="1276" w:type="dxa"/>
                  <w:noWrap w:val="0"/>
                  <w:vAlign w:val="center"/>
                </w:tcPr>
                <w:p w14:paraId="6C489DAF">
                  <w:pPr>
                    <w:jc w:val="center"/>
                    <w:rPr>
                      <w:rFonts w:hint="default" w:ascii="Times New Roman" w:hAnsi="Times New Roman" w:cs="Times New Roman"/>
                      <w:b w:val="0"/>
                      <w:bCs w:val="0"/>
                      <w:color w:val="000000" w:themeColor="text1"/>
                      <w:szCs w:val="21"/>
                      <w:highlight w:val="none"/>
                      <w14:textFill>
                        <w14:solidFill>
                          <w14:schemeClr w14:val="tx1"/>
                        </w14:solidFill>
                      </w14:textFill>
                    </w:rPr>
                  </w:pPr>
                  <w:r>
                    <w:rPr>
                      <w:rFonts w:hint="default" w:ascii="Times New Roman" w:hAnsi="Times New Roman" w:cs="Times New Roman"/>
                      <w:b w:val="0"/>
                      <w:bCs w:val="0"/>
                      <w:color w:val="000000" w:themeColor="text1"/>
                      <w:szCs w:val="21"/>
                      <w:highlight w:val="none"/>
                      <w14:textFill>
                        <w14:solidFill>
                          <w14:schemeClr w14:val="tx1"/>
                        </w14:solidFill>
                      </w14:textFill>
                    </w:rPr>
                    <w:t>监测频次</w:t>
                  </w:r>
                </w:p>
              </w:tc>
              <w:tc>
                <w:tcPr>
                  <w:tcW w:w="2956" w:type="dxa"/>
                  <w:noWrap w:val="0"/>
                  <w:vAlign w:val="center"/>
                </w:tcPr>
                <w:p w14:paraId="5CFC5D1B">
                  <w:pPr>
                    <w:jc w:val="center"/>
                    <w:rPr>
                      <w:rFonts w:hint="default" w:ascii="Times New Roman" w:hAnsi="Times New Roman" w:cs="Times New Roman"/>
                      <w:b w:val="0"/>
                      <w:bCs w:val="0"/>
                      <w:color w:val="000000" w:themeColor="text1"/>
                      <w:szCs w:val="21"/>
                      <w:highlight w:val="none"/>
                      <w14:textFill>
                        <w14:solidFill>
                          <w14:schemeClr w14:val="tx1"/>
                        </w14:solidFill>
                      </w14:textFill>
                    </w:rPr>
                  </w:pPr>
                  <w:r>
                    <w:rPr>
                      <w:rFonts w:hint="default" w:ascii="Times New Roman" w:hAnsi="Times New Roman" w:cs="Times New Roman"/>
                      <w:b w:val="0"/>
                      <w:bCs w:val="0"/>
                      <w:color w:val="000000" w:themeColor="text1"/>
                      <w:szCs w:val="21"/>
                      <w:highlight w:val="none"/>
                      <w14:textFill>
                        <w14:solidFill>
                          <w14:schemeClr w14:val="tx1"/>
                        </w14:solidFill>
                      </w14:textFill>
                    </w:rPr>
                    <w:t>控制目标</w:t>
                  </w:r>
                </w:p>
              </w:tc>
            </w:tr>
            <w:tr w14:paraId="561A6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70" w:hRule="atLeast"/>
                <w:jc w:val="center"/>
              </w:trPr>
              <w:tc>
                <w:tcPr>
                  <w:tcW w:w="596" w:type="dxa"/>
                  <w:noWrap w:val="0"/>
                  <w:vAlign w:val="center"/>
                </w:tcPr>
                <w:p w14:paraId="6ABC3F90">
                  <w:pPr>
                    <w:jc w:val="center"/>
                    <w:rPr>
                      <w:rFonts w:hint="default" w:ascii="Times New Roman" w:hAnsi="Times New Roman" w:cs="Times New Roman"/>
                      <w:b w:val="0"/>
                      <w:bCs w:val="0"/>
                      <w:color w:val="000000" w:themeColor="text1"/>
                      <w:szCs w:val="21"/>
                      <w:highlight w:val="none"/>
                      <w14:textFill>
                        <w14:solidFill>
                          <w14:schemeClr w14:val="tx1"/>
                        </w14:solidFill>
                      </w14:textFill>
                    </w:rPr>
                  </w:pPr>
                  <w:r>
                    <w:rPr>
                      <w:rFonts w:hint="default" w:ascii="Times New Roman" w:hAnsi="Times New Roman" w:cs="Times New Roman"/>
                      <w:b w:val="0"/>
                      <w:bCs w:val="0"/>
                      <w:color w:val="000000" w:themeColor="text1"/>
                      <w:szCs w:val="21"/>
                      <w:highlight w:val="none"/>
                      <w14:textFill>
                        <w14:solidFill>
                          <w14:schemeClr w14:val="tx1"/>
                        </w14:solidFill>
                      </w14:textFill>
                    </w:rPr>
                    <w:t>噪声</w:t>
                  </w:r>
                </w:p>
              </w:tc>
              <w:tc>
                <w:tcPr>
                  <w:tcW w:w="1701" w:type="dxa"/>
                  <w:noWrap w:val="0"/>
                  <w:vAlign w:val="center"/>
                </w:tcPr>
                <w:p w14:paraId="0B60B330">
                  <w:pPr>
                    <w:jc w:val="center"/>
                    <w:rPr>
                      <w:rFonts w:hint="default" w:ascii="Times New Roman" w:hAnsi="Times New Roman" w:cs="Times New Roman"/>
                      <w:b w:val="0"/>
                      <w:bCs w:val="0"/>
                      <w:color w:val="000000" w:themeColor="text1"/>
                      <w:szCs w:val="21"/>
                      <w:highlight w:val="none"/>
                      <w14:textFill>
                        <w14:solidFill>
                          <w14:schemeClr w14:val="tx1"/>
                        </w14:solidFill>
                      </w14:textFill>
                    </w:rPr>
                  </w:pPr>
                  <w:r>
                    <w:rPr>
                      <w:rFonts w:hint="default" w:ascii="Times New Roman" w:hAnsi="Times New Roman" w:cs="Times New Roman"/>
                      <w:b w:val="0"/>
                      <w:bCs w:val="0"/>
                      <w:color w:val="000000" w:themeColor="text1"/>
                      <w:szCs w:val="21"/>
                      <w:highlight w:val="none"/>
                      <w14:textFill>
                        <w14:solidFill>
                          <w14:schemeClr w14:val="tx1"/>
                        </w14:solidFill>
                      </w14:textFill>
                    </w:rPr>
                    <w:t>厂界四周1m处</w:t>
                  </w:r>
                </w:p>
              </w:tc>
              <w:tc>
                <w:tcPr>
                  <w:tcW w:w="1417" w:type="dxa"/>
                  <w:noWrap w:val="0"/>
                  <w:vAlign w:val="center"/>
                </w:tcPr>
                <w:p w14:paraId="20B065C2">
                  <w:pPr>
                    <w:jc w:val="center"/>
                    <w:rPr>
                      <w:rFonts w:hint="default" w:ascii="Times New Roman" w:hAnsi="Times New Roman" w:cs="Times New Roman"/>
                      <w:b w:val="0"/>
                      <w:bCs w:val="0"/>
                      <w:color w:val="000000" w:themeColor="text1"/>
                      <w:szCs w:val="21"/>
                      <w:highlight w:val="none"/>
                      <w14:textFill>
                        <w14:solidFill>
                          <w14:schemeClr w14:val="tx1"/>
                        </w14:solidFill>
                      </w14:textFill>
                    </w:rPr>
                  </w:pPr>
                  <w:r>
                    <w:rPr>
                      <w:rFonts w:hint="default" w:ascii="Times New Roman" w:hAnsi="Times New Roman" w:cs="Times New Roman"/>
                      <w:b w:val="0"/>
                      <w:bCs w:val="0"/>
                      <w:color w:val="000000" w:themeColor="text1"/>
                      <w:szCs w:val="21"/>
                      <w:highlight w:val="none"/>
                      <w14:textFill>
                        <w14:solidFill>
                          <w14:schemeClr w14:val="tx1"/>
                        </w14:solidFill>
                      </w14:textFill>
                    </w:rPr>
                    <w:t>等效A声级</w:t>
                  </w:r>
                </w:p>
              </w:tc>
              <w:tc>
                <w:tcPr>
                  <w:tcW w:w="1276" w:type="dxa"/>
                  <w:noWrap w:val="0"/>
                  <w:vAlign w:val="center"/>
                </w:tcPr>
                <w:p w14:paraId="48EBFFA2">
                  <w:pPr>
                    <w:jc w:val="center"/>
                    <w:rPr>
                      <w:rFonts w:hint="default" w:ascii="Times New Roman" w:hAnsi="Times New Roman" w:cs="Times New Roman"/>
                      <w:b w:val="0"/>
                      <w:bCs w:val="0"/>
                      <w:color w:val="000000" w:themeColor="text1"/>
                      <w:szCs w:val="21"/>
                      <w:highlight w:val="none"/>
                      <w14:textFill>
                        <w14:solidFill>
                          <w14:schemeClr w14:val="tx1"/>
                        </w14:solidFill>
                      </w14:textFill>
                    </w:rPr>
                  </w:pPr>
                  <w:r>
                    <w:rPr>
                      <w:rFonts w:hint="default" w:ascii="Times New Roman" w:hAnsi="Times New Roman" w:cs="Times New Roman"/>
                      <w:b w:val="0"/>
                      <w:bCs w:val="0"/>
                      <w:color w:val="000000" w:themeColor="text1"/>
                      <w:szCs w:val="21"/>
                      <w:highlight w:val="none"/>
                      <w14:textFill>
                        <w14:solidFill>
                          <w14:schemeClr w14:val="tx1"/>
                        </w14:solidFill>
                      </w14:textFill>
                    </w:rPr>
                    <w:t>1次/季度</w:t>
                  </w:r>
                </w:p>
                <w:p w14:paraId="3B9C5572">
                  <w:pPr>
                    <w:jc w:val="center"/>
                    <w:rPr>
                      <w:rFonts w:hint="default" w:ascii="Times New Roman" w:hAnsi="Times New Roman" w:cs="Times New Roman"/>
                      <w:b w:val="0"/>
                      <w:bCs w:val="0"/>
                      <w:color w:val="000000" w:themeColor="text1"/>
                      <w:szCs w:val="21"/>
                      <w:highlight w:val="none"/>
                      <w14:textFill>
                        <w14:solidFill>
                          <w14:schemeClr w14:val="tx1"/>
                        </w14:solidFill>
                      </w14:textFill>
                    </w:rPr>
                  </w:pPr>
                  <w:r>
                    <w:rPr>
                      <w:rFonts w:hint="default" w:ascii="Times New Roman" w:hAnsi="Times New Roman" w:cs="Times New Roman"/>
                      <w:b w:val="0"/>
                      <w:bCs w:val="0"/>
                      <w:color w:val="000000" w:themeColor="text1"/>
                      <w:szCs w:val="21"/>
                      <w:highlight w:val="none"/>
                      <w14:textFill>
                        <w14:solidFill>
                          <w14:schemeClr w14:val="tx1"/>
                        </w14:solidFill>
                      </w14:textFill>
                    </w:rPr>
                    <w:t>（昼夜均测）</w:t>
                  </w:r>
                </w:p>
              </w:tc>
              <w:tc>
                <w:tcPr>
                  <w:tcW w:w="2956" w:type="dxa"/>
                  <w:noWrap w:val="0"/>
                  <w:vAlign w:val="center"/>
                </w:tcPr>
                <w:p w14:paraId="5D729108">
                  <w:pPr>
                    <w:jc w:val="center"/>
                    <w:rPr>
                      <w:rFonts w:hint="default" w:ascii="Times New Roman" w:hAnsi="Times New Roman" w:cs="Times New Roman"/>
                      <w:b w:val="0"/>
                      <w:bCs w:val="0"/>
                      <w:color w:val="000000" w:themeColor="text1"/>
                      <w:szCs w:val="21"/>
                      <w:highlight w:val="none"/>
                      <w14:textFill>
                        <w14:solidFill>
                          <w14:schemeClr w14:val="tx1"/>
                        </w14:solidFill>
                      </w14:textFill>
                    </w:rPr>
                  </w:pPr>
                  <w:r>
                    <w:rPr>
                      <w:rFonts w:hint="default" w:ascii="Times New Roman" w:hAnsi="Times New Roman" w:cs="Times New Roman"/>
                      <w:b w:val="0"/>
                      <w:bCs w:val="0"/>
                      <w:color w:val="000000" w:themeColor="text1"/>
                      <w:szCs w:val="21"/>
                      <w:highlight w:val="none"/>
                      <w14:textFill>
                        <w14:solidFill>
                          <w14:schemeClr w14:val="tx1"/>
                        </w14:solidFill>
                      </w14:textFill>
                    </w:rPr>
                    <w:t>《工业企业厂界环境噪声</w:t>
                  </w:r>
                  <w:r>
                    <w:rPr>
                      <w:rFonts w:hint="default" w:ascii="Times New Roman" w:hAnsi="Times New Roman" w:cs="Times New Roman"/>
                      <w:b w:val="0"/>
                      <w:bCs w:val="0"/>
                      <w:color w:val="000000" w:themeColor="text1"/>
                      <w:szCs w:val="21"/>
                      <w:highlight w:val="none"/>
                      <w:lang w:val="en-US" w:eastAsia="zh-CN"/>
                      <w14:textFill>
                        <w14:solidFill>
                          <w14:schemeClr w14:val="tx1"/>
                        </w14:solidFill>
                      </w14:textFill>
                    </w:rPr>
                    <w:t>排放</w:t>
                  </w:r>
                  <w:r>
                    <w:rPr>
                      <w:rFonts w:hint="default" w:ascii="Times New Roman" w:hAnsi="Times New Roman" w:cs="Times New Roman"/>
                      <w:b w:val="0"/>
                      <w:bCs w:val="0"/>
                      <w:color w:val="000000" w:themeColor="text1"/>
                      <w:szCs w:val="21"/>
                      <w:highlight w:val="none"/>
                      <w14:textFill>
                        <w14:solidFill>
                          <w14:schemeClr w14:val="tx1"/>
                        </w14:solidFill>
                      </w14:textFill>
                    </w:rPr>
                    <w:t>标准》（GB12348-2008）3类标准</w:t>
                  </w:r>
                </w:p>
              </w:tc>
            </w:tr>
          </w:tbl>
          <w:p w14:paraId="67546872">
            <w:pPr>
              <w:widowControl/>
              <w:spacing w:before="120" w:beforeLines="50"/>
              <w:ind w:firstLine="482"/>
              <w:jc w:val="left"/>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lang w:eastAsia="zh-CN"/>
                <w14:textFill>
                  <w14:solidFill>
                    <w14:schemeClr w14:val="tx1"/>
                  </w14:solidFill>
                </w14:textFill>
              </w:rPr>
              <w:t>5.</w:t>
            </w: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环境</w:t>
            </w:r>
            <w:r>
              <w:rPr>
                <w:rFonts w:hint="eastAsia" w:cs="Times New Roman"/>
                <w:b/>
                <w:bCs/>
                <w:color w:val="000000" w:themeColor="text1"/>
                <w:sz w:val="24"/>
                <w:highlight w:val="none"/>
                <w:lang w:val="en-US" w:eastAsia="zh-CN"/>
                <w14:textFill>
                  <w14:solidFill>
                    <w14:schemeClr w14:val="tx1"/>
                  </w14:solidFill>
                </w14:textFill>
              </w:rPr>
              <w:t>风险</w:t>
            </w: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分析与评价</w:t>
            </w:r>
          </w:p>
          <w:p w14:paraId="5A145832">
            <w:pPr>
              <w:pStyle w:val="14"/>
              <w:spacing w:line="500" w:lineRule="exact"/>
              <w:ind w:firstLine="480" w:firstLineChars="200"/>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根据《建设项目环境风险评价技术导则》（HJ169-2018），涉及有毒有害和易燃易爆危险物质生产、使用、储存的可能发生突发性事故（不包括人为破坏及自然灾害引发的事故）的建设项目应进行环境风险评价，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14:paraId="77365EDF">
            <w:pPr>
              <w:pStyle w:val="14"/>
              <w:spacing w:line="500" w:lineRule="exact"/>
              <w:ind w:firstLine="482" w:firstLineChars="200"/>
              <w:rPr>
                <w:rFonts w:hint="default" w:ascii="Times New Roman" w:hAnsi="Times New Roman" w:eastAsia="宋体" w:cs="Times New Roman"/>
                <w:b/>
                <w:bCs/>
                <w:color w:val="000000" w:themeColor="text1"/>
                <w:sz w:val="24"/>
                <w:szCs w:val="24"/>
                <w:highlight w:val="none"/>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
                <w:bCs/>
                <w:color w:val="000000" w:themeColor="text1"/>
                <w:sz w:val="24"/>
                <w:szCs w:val="24"/>
                <w:highlight w:val="none"/>
                <w14:textFill>
                  <w14:solidFill>
                    <w14:schemeClr w14:val="tx1"/>
                  </w14:solidFill>
                </w14:textFill>
              </w:rPr>
              <w:t>.1风险识别</w:t>
            </w:r>
          </w:p>
          <w:p w14:paraId="26825F3C">
            <w:pPr>
              <w:pStyle w:val="14"/>
              <w:spacing w:line="500" w:lineRule="exact"/>
              <w:ind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zh-CN"/>
                <w14:textFill>
                  <w14:solidFill>
                    <w14:schemeClr w14:val="tx1"/>
                  </w14:solidFill>
                </w14:textFill>
              </w:rPr>
              <w:t>本项目回转窑使用的燃料为</w:t>
            </w:r>
            <w:r>
              <w:rPr>
                <w:rFonts w:hint="default" w:ascii="Times New Roman" w:hAnsi="Times New Roman" w:eastAsia="宋体" w:cs="Times New Roman"/>
                <w:color w:val="000000" w:themeColor="text1"/>
                <w:sz w:val="24"/>
                <w:szCs w:val="24"/>
                <w:highlight w:val="none"/>
                <w:lang w:val="zh-CN" w:eastAsia="zh-CN"/>
                <w14:textFill>
                  <w14:solidFill>
                    <w14:schemeClr w14:val="tx1"/>
                  </w14:solidFill>
                </w14:textFill>
              </w:rPr>
              <w:t>园区内蒙古伊东东方能源公司</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产生的煤气，本项目不自建煤气发生装置和储气装置，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煤气</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直接使用管道输送至热风炉。本项目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煤气</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管道总长</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0.3k</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m，内径0.</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m，管道压力10KPa，本项目</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煤气</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在线量约</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376.8</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0B6B12D7">
            <w:pPr>
              <w:pStyle w:val="14"/>
              <w:spacing w:line="500" w:lineRule="exact"/>
              <w:ind w:firstLine="480" w:firstLineChars="200"/>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zh-CN"/>
                <w14:textFill>
                  <w14:solidFill>
                    <w14:schemeClr w14:val="tx1"/>
                  </w14:solidFill>
                </w14:textFill>
              </w:rPr>
              <w:t>在</w:t>
            </w:r>
            <w:r>
              <w:rPr>
                <w:rFonts w:hint="eastAsia" w:ascii="Times New Roman" w:hAnsi="Times New Roman" w:cs="Times New Roman"/>
                <w:color w:val="000000" w:themeColor="text1"/>
                <w:sz w:val="24"/>
                <w:szCs w:val="24"/>
                <w:highlight w:val="none"/>
                <w:lang w:val="zh-CN"/>
                <w14:textFill>
                  <w14:solidFill>
                    <w14:schemeClr w14:val="tx1"/>
                  </w14:solidFill>
                </w14:textFill>
              </w:rPr>
              <w:t>煤气</w:t>
            </w:r>
            <w:r>
              <w:rPr>
                <w:rFonts w:hint="default" w:ascii="Times New Roman" w:hAnsi="Times New Roman" w:eastAsia="宋体" w:cs="Times New Roman"/>
                <w:color w:val="000000" w:themeColor="text1"/>
                <w:sz w:val="24"/>
                <w:szCs w:val="24"/>
                <w:highlight w:val="none"/>
                <w:lang w:val="zh-CN"/>
                <w14:textFill>
                  <w14:solidFill>
                    <w14:schemeClr w14:val="tx1"/>
                  </w14:solidFill>
                </w14:textFill>
              </w:rPr>
              <w:t>的运输过程中，从原料到产品均有毒、易燃、易爆等危险因素，因此在生产过程中存在火灾、爆炸和泄漏等风险，其风险类型和原因分析见下表：</w:t>
            </w:r>
          </w:p>
          <w:p w14:paraId="545B636A">
            <w:pPr>
              <w:spacing w:line="440" w:lineRule="exact"/>
              <w:ind w:firstLine="482" w:firstLineChars="200"/>
              <w:jc w:val="center"/>
              <w:rPr>
                <w:rFonts w:hint="default" w:ascii="Times New Roman" w:hAnsi="Times New Roman" w:cs="Times New Roman"/>
                <w:b/>
                <w:color w:val="000000" w:themeColor="text1"/>
                <w:sz w:val="24"/>
                <w:szCs w:val="24"/>
                <w:highlight w:val="none"/>
                <w14:textFill>
                  <w14:solidFill>
                    <w14:schemeClr w14:val="tx1"/>
                  </w14:solidFill>
                </w14:textFill>
              </w:rPr>
            </w:pPr>
            <w:r>
              <w:rPr>
                <w:rFonts w:hint="default" w:ascii="Times New Roman" w:hAnsi="Times New Roman" w:cs="Times New Roman"/>
                <w:b/>
                <w:color w:val="000000" w:themeColor="text1"/>
                <w:sz w:val="24"/>
                <w:szCs w:val="24"/>
                <w:highlight w:val="none"/>
                <w14:textFill>
                  <w14:solidFill>
                    <w14:schemeClr w14:val="tx1"/>
                  </w14:solidFill>
                </w14:textFill>
              </w:rPr>
              <w:t>表</w:t>
            </w:r>
            <w:r>
              <w:rPr>
                <w:rFonts w:hint="default" w:ascii="Times New Roman" w:hAnsi="Times New Roman" w:cs="Times New Roman"/>
                <w:b/>
                <w:color w:val="000000" w:themeColor="text1"/>
                <w:sz w:val="24"/>
                <w:szCs w:val="24"/>
                <w:highlight w:val="none"/>
                <w:lang w:val="en-US" w:eastAsia="zh-CN"/>
                <w14:textFill>
                  <w14:solidFill>
                    <w14:schemeClr w14:val="tx1"/>
                  </w14:solidFill>
                </w14:textFill>
              </w:rPr>
              <w:t>4-</w:t>
            </w:r>
            <w:r>
              <w:rPr>
                <w:rFonts w:hint="eastAsia" w:cs="Times New Roman"/>
                <w:b/>
                <w:color w:val="000000" w:themeColor="text1"/>
                <w:sz w:val="24"/>
                <w:szCs w:val="24"/>
                <w:highlight w:val="none"/>
                <w:lang w:val="en-US" w:eastAsia="zh-CN"/>
                <w14:textFill>
                  <w14:solidFill>
                    <w14:schemeClr w14:val="tx1"/>
                  </w14:solidFill>
                </w14:textFill>
              </w:rPr>
              <w:t>23</w:t>
            </w:r>
            <w:r>
              <w:rPr>
                <w:rFonts w:hint="default" w:ascii="Times New Roman" w:hAnsi="Times New Roman" w:cs="Times New Roman"/>
                <w:b/>
                <w:color w:val="000000" w:themeColor="text1"/>
                <w:sz w:val="24"/>
                <w:szCs w:val="24"/>
                <w:highlight w:val="none"/>
                <w14:textFill>
                  <w14:solidFill>
                    <w14:schemeClr w14:val="tx1"/>
                  </w14:solidFill>
                </w14:textFill>
              </w:rPr>
              <w:t>生产装置风险类别和原因分析</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1"/>
              <w:gridCol w:w="773"/>
              <w:gridCol w:w="790"/>
              <w:gridCol w:w="4691"/>
              <w:gridCol w:w="1091"/>
            </w:tblGrid>
            <w:tr w14:paraId="49D271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dxa"/>
                  <w:noWrap w:val="0"/>
                  <w:vAlign w:val="center"/>
                </w:tcPr>
                <w:p w14:paraId="1C6C4C6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序号</w:t>
                  </w:r>
                </w:p>
              </w:tc>
              <w:tc>
                <w:tcPr>
                  <w:tcW w:w="773" w:type="dxa"/>
                  <w:noWrap w:val="0"/>
                  <w:vAlign w:val="center"/>
                </w:tcPr>
                <w:p w14:paraId="64FE864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危险介质</w:t>
                  </w:r>
                </w:p>
              </w:tc>
              <w:tc>
                <w:tcPr>
                  <w:tcW w:w="790" w:type="dxa"/>
                  <w:noWrap w:val="0"/>
                  <w:vAlign w:val="center"/>
                </w:tcPr>
                <w:p w14:paraId="37B5280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风险类型</w:t>
                  </w:r>
                </w:p>
              </w:tc>
              <w:tc>
                <w:tcPr>
                  <w:tcW w:w="4691" w:type="dxa"/>
                  <w:noWrap w:val="0"/>
                  <w:vAlign w:val="center"/>
                </w:tcPr>
                <w:p w14:paraId="3D6EB8B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原因分析</w:t>
                  </w:r>
                </w:p>
              </w:tc>
              <w:tc>
                <w:tcPr>
                  <w:tcW w:w="1091" w:type="dxa"/>
                  <w:noWrap w:val="0"/>
                  <w:vAlign w:val="center"/>
                </w:tcPr>
                <w:p w14:paraId="048AFF7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危害</w:t>
                  </w:r>
                </w:p>
              </w:tc>
            </w:tr>
            <w:tr w14:paraId="665C7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dxa"/>
                  <w:noWrap w:val="0"/>
                  <w:vAlign w:val="center"/>
                </w:tcPr>
                <w:p w14:paraId="02108D3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1</w:t>
                  </w:r>
                </w:p>
              </w:tc>
              <w:tc>
                <w:tcPr>
                  <w:tcW w:w="773" w:type="dxa"/>
                  <w:noWrap w:val="0"/>
                  <w:vAlign w:val="center"/>
                </w:tcPr>
                <w:p w14:paraId="03C278F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煤气</w:t>
                  </w:r>
                </w:p>
              </w:tc>
              <w:tc>
                <w:tcPr>
                  <w:tcW w:w="790" w:type="dxa"/>
                  <w:noWrap w:val="0"/>
                  <w:vAlign w:val="center"/>
                </w:tcPr>
                <w:p w14:paraId="3E89A05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火灾、爆炸</w:t>
                  </w:r>
                </w:p>
              </w:tc>
              <w:tc>
                <w:tcPr>
                  <w:tcW w:w="4691" w:type="dxa"/>
                  <w:noWrap w:val="0"/>
                  <w:vAlign w:val="center"/>
                </w:tcPr>
                <w:p w14:paraId="52F820C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①生产装置温度超过物质闪点或生产装置发出的物质蒸汽与空气混合物达到爆炸极限，并遇明火发生燃烧或爆炸。</w:t>
                  </w:r>
                </w:p>
                <w:p w14:paraId="5D84B2E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②生产设备损坏，泵、阀门等损坏，管道破裂，误操作等造成物质泄漏遇明火引发火灾。</w:t>
                  </w:r>
                </w:p>
                <w:p w14:paraId="16CED20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③有毒物质挥发引起人员中毒等。</w:t>
                  </w:r>
                </w:p>
              </w:tc>
              <w:tc>
                <w:tcPr>
                  <w:tcW w:w="1091" w:type="dxa"/>
                  <w:noWrap w:val="0"/>
                  <w:vAlign w:val="center"/>
                </w:tcPr>
                <w:p w14:paraId="626616B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财产损失、人员伤亡、环境污染</w:t>
                  </w:r>
                </w:p>
              </w:tc>
            </w:tr>
            <w:tr w14:paraId="1A92A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dxa"/>
                  <w:noWrap w:val="0"/>
                  <w:vAlign w:val="center"/>
                </w:tcPr>
                <w:p w14:paraId="722DCF1A">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2</w:t>
                  </w:r>
                </w:p>
              </w:tc>
              <w:tc>
                <w:tcPr>
                  <w:tcW w:w="773" w:type="dxa"/>
                  <w:noWrap w:val="0"/>
                  <w:vAlign w:val="center"/>
                </w:tcPr>
                <w:p w14:paraId="3B0AFA77">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氨水</w:t>
                  </w:r>
                </w:p>
              </w:tc>
              <w:tc>
                <w:tcPr>
                  <w:tcW w:w="790" w:type="dxa"/>
                  <w:noWrap w:val="0"/>
                  <w:vAlign w:val="center"/>
                </w:tcPr>
                <w:p w14:paraId="22E2D18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泄漏</w:t>
                  </w:r>
                </w:p>
              </w:tc>
              <w:tc>
                <w:tcPr>
                  <w:tcW w:w="4691" w:type="dxa"/>
                  <w:noWrap w:val="0"/>
                  <w:vAlign w:val="center"/>
                </w:tcPr>
                <w:p w14:paraId="0C962C1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①生产设备损坏，泵、阀门等损坏，管道破裂，误操作等造成物质泄漏。</w:t>
                  </w:r>
                </w:p>
                <w:p w14:paraId="7A038B8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②有毒物质挥发引起人员中毒等。</w:t>
                  </w:r>
                </w:p>
              </w:tc>
              <w:tc>
                <w:tcPr>
                  <w:tcW w:w="1091" w:type="dxa"/>
                  <w:noWrap w:val="0"/>
                  <w:vAlign w:val="center"/>
                </w:tcPr>
                <w:p w14:paraId="3C0872D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财产损失、人员伤亡、环境污染</w:t>
                  </w:r>
                </w:p>
              </w:tc>
            </w:tr>
            <w:tr w14:paraId="6D3AD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1" w:type="dxa"/>
                  <w:noWrap w:val="0"/>
                  <w:vAlign w:val="center"/>
                </w:tcPr>
                <w:p w14:paraId="264F673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3</w:t>
                  </w:r>
                </w:p>
              </w:tc>
              <w:tc>
                <w:tcPr>
                  <w:tcW w:w="773" w:type="dxa"/>
                  <w:noWrap w:val="0"/>
                  <w:vAlign w:val="center"/>
                </w:tcPr>
                <w:p w14:paraId="20D4999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废油</w:t>
                  </w:r>
                </w:p>
              </w:tc>
              <w:tc>
                <w:tcPr>
                  <w:tcW w:w="790" w:type="dxa"/>
                  <w:noWrap w:val="0"/>
                  <w:vAlign w:val="center"/>
                </w:tcPr>
                <w:p w14:paraId="0A7F5855">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泄漏、火灾</w:t>
                  </w:r>
                </w:p>
              </w:tc>
              <w:tc>
                <w:tcPr>
                  <w:tcW w:w="4691" w:type="dxa"/>
                  <w:noWrap w:val="0"/>
                  <w:vAlign w:val="center"/>
                </w:tcPr>
                <w:p w14:paraId="1A31F050">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①</w:t>
                  </w: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存放点物料的环境</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温度超过物质闪点，并遇明火发生燃烧或爆炸。</w:t>
                  </w:r>
                </w:p>
                <w:p w14:paraId="15A6694D">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②有毒物质挥发引起人员中毒等。</w:t>
                  </w:r>
                </w:p>
              </w:tc>
              <w:tc>
                <w:tcPr>
                  <w:tcW w:w="1091" w:type="dxa"/>
                  <w:noWrap w:val="0"/>
                  <w:vAlign w:val="center"/>
                </w:tcPr>
                <w:p w14:paraId="5C1949E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环境污染</w:t>
                  </w:r>
                </w:p>
              </w:tc>
            </w:tr>
          </w:tbl>
          <w:p w14:paraId="4EAF47CD">
            <w:pPr>
              <w:spacing w:line="360" w:lineRule="auto"/>
              <w:ind w:firstLine="482" w:firstLineChars="200"/>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b/>
                <w:bCs w:val="0"/>
                <w:color w:val="000000" w:themeColor="text1"/>
                <w:sz w:val="24"/>
                <w:szCs w:val="24"/>
                <w:highlight w:val="none"/>
                <w14:textFill>
                  <w14:solidFill>
                    <w14:schemeClr w14:val="tx1"/>
                  </w14:solidFill>
                </w14:textFill>
              </w:rPr>
              <w:t>.2</w:t>
            </w: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环境风险</w:t>
            </w:r>
            <w:r>
              <w:rPr>
                <w:rFonts w:hint="eastAsia" w:cs="Times New Roman"/>
                <w:b/>
                <w:bCs w:val="0"/>
                <w:color w:val="000000" w:themeColor="text1"/>
                <w:sz w:val="24"/>
                <w:szCs w:val="24"/>
                <w:highlight w:val="none"/>
                <w:lang w:val="en-US" w:eastAsia="zh-CN"/>
                <w14:textFill>
                  <w14:solidFill>
                    <w14:schemeClr w14:val="tx1"/>
                  </w14:solidFill>
                </w14:textFill>
              </w:rPr>
              <w:t>物质识别及等级判断</w:t>
            </w:r>
          </w:p>
          <w:p w14:paraId="17E7CF80">
            <w:pPr>
              <w:pStyle w:val="116"/>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color w:val="000000" w:themeColor="text1"/>
                <w:spacing w:val="-2"/>
                <w:sz w:val="24"/>
                <w:szCs w:val="24"/>
                <w:highlight w:val="none"/>
                <w14:textFill>
                  <w14:solidFill>
                    <w14:schemeClr w14:val="tx1"/>
                  </w14:solidFill>
                </w14:textFill>
              </w:rPr>
            </w:pP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根据《建设项目环境影响报告表编制技术指南</w:t>
            </w:r>
            <w:r>
              <w:rPr>
                <w:rFonts w:hint="default" w:ascii="Times New Roman" w:hAnsi="Times New Roman" w:eastAsia="宋体" w:cs="Times New Roman"/>
                <w:color w:val="000000" w:themeColor="text1"/>
                <w:spacing w:val="-2"/>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污染影响类</w:t>
            </w:r>
            <w:r>
              <w:rPr>
                <w:rFonts w:hint="default" w:ascii="Times New Roman" w:hAnsi="Times New Roman" w:eastAsia="宋体" w:cs="Times New Roman"/>
                <w:color w:val="000000" w:themeColor="text1"/>
                <w:spacing w:val="-2"/>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试行</w:t>
            </w:r>
            <w:r>
              <w:rPr>
                <w:rFonts w:hint="default" w:ascii="Times New Roman" w:hAnsi="Times New Roman" w:eastAsia="宋体" w:cs="Times New Roman"/>
                <w:color w:val="000000" w:themeColor="text1"/>
                <w:spacing w:val="-2"/>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环办环评</w:t>
            </w:r>
            <w:r>
              <w:rPr>
                <w:rFonts w:hint="default" w:ascii="Times New Roman" w:hAnsi="Times New Roman" w:eastAsia="宋体" w:cs="Times New Roman"/>
                <w:color w:val="000000" w:themeColor="text1"/>
                <w:spacing w:val="-2"/>
                <w:sz w:val="24"/>
                <w:szCs w:val="24"/>
                <w:highlight w:val="none"/>
                <w:lang w:eastAsia="zh-CN"/>
                <w14:textFill>
                  <w14:solidFill>
                    <w14:schemeClr w14:val="tx1"/>
                  </w14:solidFill>
                </w14:textFill>
              </w:rPr>
              <w:t>〔2020〕33号），</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项目有毒有害和易燃易爆危险物质储存量不超过临界量，可不设环境风险专项评价。根据《建设项目环境风险评价技术导则》</w:t>
            </w:r>
            <w:r>
              <w:rPr>
                <w:rFonts w:hint="default" w:ascii="Times New Roman" w:hAnsi="Times New Roman" w:eastAsia="宋体" w:cs="Times New Roman"/>
                <w:color w:val="000000" w:themeColor="text1"/>
                <w:spacing w:val="-2"/>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HJ169-2018</w:t>
            </w:r>
            <w:r>
              <w:rPr>
                <w:rFonts w:hint="default" w:ascii="Times New Roman" w:hAnsi="Times New Roman" w:eastAsia="宋体" w:cs="Times New Roman"/>
                <w:color w:val="000000" w:themeColor="text1"/>
                <w:spacing w:val="-2"/>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附录B</w:t>
            </w:r>
            <w:r>
              <w:rPr>
                <w:rFonts w:hint="default" w:ascii="Times New Roman" w:hAnsi="Times New Roman" w:eastAsia="宋体" w:cs="Times New Roman"/>
                <w:color w:val="000000" w:themeColor="text1"/>
                <w:spacing w:val="-2"/>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本项目</w:t>
            </w:r>
            <w:r>
              <w:rPr>
                <w:rFonts w:hint="default" w:ascii="Times New Roman" w:hAnsi="Times New Roman" w:eastAsia="宋体" w:cs="Times New Roman"/>
                <w:color w:val="000000" w:themeColor="text1"/>
                <w:spacing w:val="-2"/>
                <w:sz w:val="24"/>
                <w:szCs w:val="24"/>
                <w:highlight w:val="none"/>
                <w:lang w:eastAsia="zh-CN"/>
                <w14:textFill>
                  <w14:solidFill>
                    <w14:schemeClr w14:val="tx1"/>
                  </w14:solidFill>
                </w14:textFill>
              </w:rPr>
              <w:t>涉及</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的主要风险物质为</w:t>
            </w:r>
            <w:r>
              <w:rPr>
                <w:rFonts w:hint="eastAsia" w:ascii="Times New Roman" w:hAnsi="Times New Roman" w:eastAsia="宋体" w:cs="Times New Roman"/>
                <w:color w:val="000000" w:themeColor="text1"/>
                <w:spacing w:val="-2"/>
                <w:sz w:val="24"/>
                <w:szCs w:val="24"/>
                <w:highlight w:val="none"/>
                <w:lang w:eastAsia="zh-CN"/>
                <w14:textFill>
                  <w14:solidFill>
                    <w14:schemeClr w14:val="tx1"/>
                  </w14:solidFill>
                </w14:textFill>
              </w:rPr>
              <w:t>煤</w:t>
            </w:r>
            <w:r>
              <w:rPr>
                <w:rFonts w:hint="eastAsia" w:ascii="Times New Roman" w:hAnsi="Times New Roman" w:cs="Times New Roman"/>
                <w:color w:val="000000" w:themeColor="text1"/>
                <w:spacing w:val="-2"/>
                <w:sz w:val="24"/>
                <w:szCs w:val="24"/>
                <w:highlight w:val="none"/>
                <w:lang w:val="en-US" w:eastAsia="zh-CN"/>
                <w14:textFill>
                  <w14:solidFill>
                    <w14:schemeClr w14:val="tx1"/>
                  </w14:solidFill>
                </w14:textFill>
              </w:rPr>
              <w:t>气、氨水</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w:t>
            </w:r>
          </w:p>
          <w:p w14:paraId="34B017FE">
            <w:pPr>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hint="default" w:ascii="Times New Roman" w:hAnsi="Times New Roman" w:eastAsia="宋体" w:cs="Times New Roman"/>
                <w:b/>
                <w:color w:val="000000" w:themeColor="text1"/>
                <w:sz w:val="24"/>
                <w:szCs w:val="24"/>
                <w:highlight w:val="none"/>
                <w14:textFill>
                  <w14:solidFill>
                    <w14:schemeClr w14:val="tx1"/>
                  </w14:solidFill>
                </w14:textFill>
              </w:rPr>
            </w:pPr>
            <w:r>
              <w:rPr>
                <w:rFonts w:hint="default" w:ascii="Times New Roman" w:hAnsi="Times New Roman" w:eastAsia="宋体" w:cs="Times New Roman"/>
                <w:b/>
                <w:color w:val="000000" w:themeColor="text1"/>
                <w:sz w:val="24"/>
                <w:szCs w:val="24"/>
                <w:highlight w:val="none"/>
                <w14:textFill>
                  <w14:solidFill>
                    <w14:schemeClr w14:val="tx1"/>
                  </w14:solidFill>
                </w14:textFill>
              </w:rPr>
              <w:t>表4</w:t>
            </w:r>
            <w:r>
              <w:rPr>
                <w:rFonts w:hint="default" w:ascii="Times New Roman" w:hAnsi="Times New Roman" w:eastAsia="宋体" w:cs="Times New Roman"/>
                <w:b/>
                <w:color w:val="000000" w:themeColor="text1"/>
                <w:sz w:val="24"/>
                <w:szCs w:val="24"/>
                <w:highlight w:val="none"/>
                <w:lang w:val="en-US" w:eastAsia="zh-CN"/>
                <w14:textFill>
                  <w14:solidFill>
                    <w14:schemeClr w14:val="tx1"/>
                  </w14:solidFill>
                </w14:textFill>
              </w:rPr>
              <w:t>-2</w:t>
            </w:r>
            <w:r>
              <w:rPr>
                <w:rFonts w:hint="eastAsia" w:cs="Times New Roman"/>
                <w:b/>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b/>
                <w:color w:val="000000" w:themeColor="text1"/>
                <w:sz w:val="24"/>
                <w:szCs w:val="24"/>
                <w:highlight w:val="none"/>
                <w14:textFill>
                  <w14:solidFill>
                    <w14:schemeClr w14:val="tx1"/>
                  </w14:solidFill>
                </w14:textFill>
              </w:rPr>
              <w:t>本项目化学危险物质在线量及贮存量表</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2"/>
              <w:gridCol w:w="2552"/>
              <w:gridCol w:w="1705"/>
              <w:gridCol w:w="1149"/>
              <w:gridCol w:w="1175"/>
            </w:tblGrid>
            <w:tr w14:paraId="64DFB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pct"/>
                  <w:noWrap w:val="0"/>
                  <w:vAlign w:val="center"/>
                </w:tcPr>
                <w:p w14:paraId="62E8E27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风险物质</w:t>
                  </w:r>
                </w:p>
              </w:tc>
              <w:tc>
                <w:tcPr>
                  <w:tcW w:w="1606" w:type="pct"/>
                  <w:noWrap w:val="0"/>
                  <w:vAlign w:val="center"/>
                </w:tcPr>
                <w:p w14:paraId="0F4E5F2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在线量、存储量（t）</w:t>
                  </w:r>
                </w:p>
              </w:tc>
              <w:tc>
                <w:tcPr>
                  <w:tcW w:w="1073" w:type="pct"/>
                  <w:noWrap w:val="0"/>
                  <w:vAlign w:val="center"/>
                </w:tcPr>
                <w:p w14:paraId="09B0B88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最大存在总量qi（t）</w:t>
                  </w:r>
                </w:p>
              </w:tc>
              <w:tc>
                <w:tcPr>
                  <w:tcW w:w="723" w:type="pct"/>
                  <w:noWrap w:val="0"/>
                  <w:vAlign w:val="center"/>
                </w:tcPr>
                <w:p w14:paraId="11FC2B3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临界量Qi（t）</w:t>
                  </w:r>
                </w:p>
              </w:tc>
              <w:tc>
                <w:tcPr>
                  <w:tcW w:w="739" w:type="pct"/>
                  <w:noWrap w:val="0"/>
                  <w:vAlign w:val="center"/>
                </w:tcPr>
                <w:p w14:paraId="3E0D5FF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qi/Qi</w:t>
                  </w:r>
                </w:p>
              </w:tc>
            </w:tr>
            <w:tr w14:paraId="3B2A1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7" w:hRule="atLeast"/>
              </w:trPr>
              <w:tc>
                <w:tcPr>
                  <w:tcW w:w="857" w:type="pct"/>
                  <w:noWrap w:val="0"/>
                  <w:vAlign w:val="center"/>
                </w:tcPr>
                <w:p w14:paraId="75DC0A27">
                  <w:pPr>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煤气</w:t>
                  </w:r>
                </w:p>
                <w:p w14:paraId="4D7F3FF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CO</w:t>
                  </w: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w:t>
                  </w:r>
                </w:p>
              </w:tc>
              <w:tc>
                <w:tcPr>
                  <w:tcW w:w="1606" w:type="pct"/>
                  <w:noWrap w:val="0"/>
                  <w:vAlign w:val="center"/>
                </w:tcPr>
                <w:p w14:paraId="4AD93E2A">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在线量为</w:t>
                  </w: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0.36</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t（厂区内管线长度</w:t>
                  </w: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0.3k</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m，DN</w:t>
                  </w: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4</w:t>
                  </w: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00）</w:t>
                  </w:r>
                </w:p>
              </w:tc>
              <w:tc>
                <w:tcPr>
                  <w:tcW w:w="1073" w:type="pct"/>
                  <w:noWrap w:val="0"/>
                  <w:vAlign w:val="center"/>
                </w:tcPr>
                <w:p w14:paraId="1B3D5D8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0.36</w:t>
                  </w:r>
                </w:p>
              </w:tc>
              <w:tc>
                <w:tcPr>
                  <w:tcW w:w="723" w:type="pct"/>
                  <w:noWrap w:val="0"/>
                  <w:vAlign w:val="center"/>
                </w:tcPr>
                <w:p w14:paraId="4AA13FAE">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7.5</w:t>
                  </w:r>
                </w:p>
              </w:tc>
              <w:tc>
                <w:tcPr>
                  <w:tcW w:w="739" w:type="pct"/>
                  <w:noWrap w:val="0"/>
                  <w:vAlign w:val="center"/>
                </w:tcPr>
                <w:p w14:paraId="0054143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0.</w:t>
                  </w: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048</w:t>
                  </w:r>
                </w:p>
              </w:tc>
            </w:tr>
            <w:tr w14:paraId="12118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pct"/>
                  <w:noWrap w:val="0"/>
                  <w:vAlign w:val="center"/>
                </w:tcPr>
                <w:p w14:paraId="5E63F6C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氨水</w:t>
                  </w: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2</w:t>
                  </w: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0%</w:t>
                  </w:r>
                </w:p>
              </w:tc>
              <w:tc>
                <w:tcPr>
                  <w:tcW w:w="1606" w:type="pct"/>
                  <w:noWrap w:val="0"/>
                  <w:vAlign w:val="center"/>
                </w:tcPr>
                <w:p w14:paraId="337C35D2">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8</w:t>
                  </w:r>
                </w:p>
              </w:tc>
              <w:tc>
                <w:tcPr>
                  <w:tcW w:w="1073" w:type="pct"/>
                  <w:noWrap w:val="0"/>
                  <w:vAlign w:val="center"/>
                </w:tcPr>
                <w:p w14:paraId="0CDBFDD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8</w:t>
                  </w:r>
                </w:p>
              </w:tc>
              <w:tc>
                <w:tcPr>
                  <w:tcW w:w="723" w:type="pct"/>
                  <w:noWrap w:val="0"/>
                  <w:vAlign w:val="center"/>
                </w:tcPr>
                <w:p w14:paraId="2C718EC9">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10</w:t>
                  </w:r>
                </w:p>
              </w:tc>
              <w:tc>
                <w:tcPr>
                  <w:tcW w:w="739" w:type="pct"/>
                  <w:noWrap w:val="0"/>
                  <w:vAlign w:val="center"/>
                </w:tcPr>
                <w:p w14:paraId="741D7ABC">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t>0.</w:t>
                  </w: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88</w:t>
                  </w:r>
                </w:p>
              </w:tc>
            </w:tr>
            <w:tr w14:paraId="61DB1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pct"/>
                  <w:noWrap w:val="0"/>
                  <w:vAlign w:val="center"/>
                </w:tcPr>
                <w:p w14:paraId="465FF856">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废油</w:t>
                  </w:r>
                </w:p>
              </w:tc>
              <w:tc>
                <w:tcPr>
                  <w:tcW w:w="1606" w:type="pct"/>
                  <w:noWrap w:val="0"/>
                  <w:vAlign w:val="center"/>
                </w:tcPr>
                <w:p w14:paraId="27D295F1">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1</w:t>
                  </w:r>
                </w:p>
              </w:tc>
              <w:tc>
                <w:tcPr>
                  <w:tcW w:w="1073" w:type="pct"/>
                  <w:noWrap w:val="0"/>
                  <w:vAlign w:val="center"/>
                </w:tcPr>
                <w:p w14:paraId="14BB8F3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1</w:t>
                  </w:r>
                </w:p>
              </w:tc>
              <w:tc>
                <w:tcPr>
                  <w:tcW w:w="723" w:type="pct"/>
                  <w:noWrap w:val="0"/>
                  <w:vAlign w:val="center"/>
                </w:tcPr>
                <w:p w14:paraId="391496D4">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2500</w:t>
                  </w:r>
                </w:p>
              </w:tc>
              <w:tc>
                <w:tcPr>
                  <w:tcW w:w="739" w:type="pct"/>
                  <w:noWrap w:val="0"/>
                  <w:vAlign w:val="center"/>
                </w:tcPr>
                <w:p w14:paraId="6D63B45D">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color w:val="000000" w:themeColor="text1"/>
                      <w:sz w:val="21"/>
                      <w:szCs w:val="21"/>
                      <w:highlight w:val="none"/>
                      <w:vertAlign w:val="baseline"/>
                      <w:lang w:val="en-US" w:eastAsia="zh-CN"/>
                      <w14:textFill>
                        <w14:solidFill>
                          <w14:schemeClr w14:val="tx1"/>
                        </w14:solidFill>
                      </w14:textFill>
                    </w:rPr>
                  </w:pP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0.00004</w:t>
                  </w:r>
                </w:p>
              </w:tc>
            </w:tr>
            <w:tr w14:paraId="00B07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7" w:type="pct"/>
                  <w:noWrap w:val="0"/>
                  <w:vAlign w:val="center"/>
                </w:tcPr>
                <w:p w14:paraId="758068D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合计</w:t>
                  </w:r>
                </w:p>
              </w:tc>
              <w:tc>
                <w:tcPr>
                  <w:tcW w:w="1606" w:type="pct"/>
                  <w:noWrap w:val="0"/>
                  <w:vAlign w:val="center"/>
                </w:tcPr>
                <w:p w14:paraId="4F55C5F8">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w:t>
                  </w:r>
                </w:p>
              </w:tc>
              <w:tc>
                <w:tcPr>
                  <w:tcW w:w="1073" w:type="pct"/>
                  <w:noWrap w:val="0"/>
                  <w:vAlign w:val="center"/>
                </w:tcPr>
                <w:p w14:paraId="3B3DDC03">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w:t>
                  </w:r>
                </w:p>
              </w:tc>
              <w:tc>
                <w:tcPr>
                  <w:tcW w:w="723" w:type="pct"/>
                  <w:noWrap w:val="0"/>
                  <w:vAlign w:val="center"/>
                </w:tcPr>
                <w:p w14:paraId="6F7FEF2F">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w:t>
                  </w:r>
                </w:p>
              </w:tc>
              <w:tc>
                <w:tcPr>
                  <w:tcW w:w="739" w:type="pct"/>
                  <w:noWrap w:val="0"/>
                  <w:vAlign w:val="center"/>
                </w:tcPr>
                <w:p w14:paraId="63AEE65B">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vertAlign w:val="baseline"/>
                      <w:lang w:val="en-US" w:eastAsia="zh-CN"/>
                      <w14:textFill>
                        <w14:solidFill>
                          <w14:schemeClr w14:val="tx1"/>
                        </w14:solidFill>
                      </w14:textFill>
                    </w:rPr>
                    <w:t>0.</w:t>
                  </w:r>
                  <w:r>
                    <w:rPr>
                      <w:rFonts w:hint="eastAsia" w:cs="Times New Roman"/>
                      <w:b w:val="0"/>
                      <w:bCs w:val="0"/>
                      <w:color w:val="000000" w:themeColor="text1"/>
                      <w:sz w:val="21"/>
                      <w:szCs w:val="21"/>
                      <w:highlight w:val="none"/>
                      <w:vertAlign w:val="baseline"/>
                      <w:lang w:val="en-US" w:eastAsia="zh-CN"/>
                      <w14:textFill>
                        <w14:solidFill>
                          <w14:schemeClr w14:val="tx1"/>
                        </w14:solidFill>
                      </w14:textFill>
                    </w:rPr>
                    <w:t>93</w:t>
                  </w:r>
                </w:p>
              </w:tc>
            </w:tr>
          </w:tbl>
          <w:p w14:paraId="6C4C0AA7">
            <w:pPr>
              <w:pStyle w:val="116"/>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eastAsia="宋体" w:cs="Times New Roman"/>
                <w:color w:val="000000" w:themeColor="text1"/>
                <w:spacing w:val="-2"/>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根据HJ169-2018附录C</w:t>
            </w:r>
            <w:r>
              <w:rPr>
                <w:rFonts w:hint="default" w:ascii="Times New Roman" w:hAnsi="Times New Roman" w:eastAsia="宋体" w:cs="Times New Roman"/>
                <w:color w:val="000000" w:themeColor="text1"/>
                <w:spacing w:val="-2"/>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当Q&lt;1时，环境风险潜势为I</w:t>
            </w:r>
            <w:r>
              <w:rPr>
                <w:rFonts w:hint="default" w:ascii="Times New Roman" w:hAnsi="Times New Roman" w:eastAsia="宋体" w:cs="Times New Roman"/>
                <w:color w:val="000000" w:themeColor="text1"/>
                <w:spacing w:val="-2"/>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2"/>
                <w:sz w:val="24"/>
                <w:szCs w:val="24"/>
                <w:highlight w:val="none"/>
                <w14:textFill>
                  <w14:solidFill>
                    <w14:schemeClr w14:val="tx1"/>
                  </w14:solidFill>
                </w14:textFill>
              </w:rPr>
              <w:t>因此，该项目环境风险评价工作等级为简单分析。</w:t>
            </w:r>
          </w:p>
          <w:p w14:paraId="2282D31F">
            <w:pPr>
              <w:spacing w:line="360" w:lineRule="auto"/>
              <w:ind w:firstLine="482" w:firstLineChars="200"/>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t>5.3环境风险措施</w:t>
            </w:r>
          </w:p>
          <w:p w14:paraId="0153CB5F">
            <w:pPr>
              <w:pStyle w:val="116"/>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pacing w:val="-2"/>
                <w:sz w:val="24"/>
                <w:szCs w:val="24"/>
                <w:highlight w:val="none"/>
                <w14:textFill>
                  <w14:solidFill>
                    <w14:schemeClr w14:val="tx1"/>
                  </w14:solidFill>
                </w14:textFill>
              </w:rPr>
              <w:t>企业已经组建了安全环保管理机构，配备管理人员，并通过技能培训，承担企业的环保安全工作。结合公司运行情况，制定了严格的生产操作规</w:t>
            </w:r>
            <w:r>
              <w:rPr>
                <w:rFonts w:hint="default" w:ascii="Times New Roman" w:hAnsi="Times New Roman" w:cs="Times New Roman"/>
                <w:color w:val="000000" w:themeColor="text1"/>
                <w:spacing w:val="-1"/>
                <w:sz w:val="24"/>
                <w:szCs w:val="24"/>
                <w:highlight w:val="none"/>
                <w14:textFill>
                  <w14:solidFill>
                    <w14:schemeClr w14:val="tx1"/>
                  </w14:solidFill>
                </w14:textFill>
              </w:rPr>
              <w:t>则、部分安全生产管理制度和事故应急计划，开展厂区环境风险评价工作，完善事故应急处理手段和设施，同时加强安全教育，以提高职工的安全意识和安全防范能力。本项目建成后纳入风险管理措施和防范措施</w:t>
            </w:r>
            <w:r>
              <w:rPr>
                <w:rFonts w:hint="default" w:ascii="Times New Roman" w:hAnsi="Times New Roman" w:cs="Times New Roman"/>
                <w:color w:val="000000" w:themeColor="text1"/>
                <w:spacing w:val="-19"/>
                <w:sz w:val="24"/>
                <w:szCs w:val="24"/>
                <w:highlight w:val="none"/>
                <w14:textFill>
                  <w14:solidFill>
                    <w14:schemeClr w14:val="tx1"/>
                  </w14:solidFill>
                </w14:textFill>
              </w:rPr>
              <w:t>内。</w:t>
            </w:r>
          </w:p>
          <w:p w14:paraId="0FE0A123">
            <w:pPr>
              <w:pStyle w:val="116"/>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本项目潜在的风险为</w:t>
            </w:r>
            <w:r>
              <w:rPr>
                <w:rFonts w:hint="eastAsia" w:ascii="Times New Roman" w:hAnsi="Times New Roman" w:cs="Times New Roman"/>
                <w:color w:val="000000" w:themeColor="text1"/>
                <w:sz w:val="24"/>
                <w:szCs w:val="24"/>
                <w:highlight w:val="none"/>
                <w:lang w:eastAsia="zh-CN"/>
                <w14:textFill>
                  <w14:solidFill>
                    <w14:schemeClr w14:val="tx1"/>
                  </w14:solidFill>
                </w14:textFill>
              </w:rPr>
              <w:t>煤气</w:t>
            </w:r>
            <w:r>
              <w:rPr>
                <w:rFonts w:hint="default" w:ascii="Times New Roman" w:hAnsi="Times New Roman" w:cs="Times New Roman"/>
                <w:color w:val="000000" w:themeColor="text1"/>
                <w:sz w:val="24"/>
                <w:szCs w:val="24"/>
                <w:highlight w:val="none"/>
                <w14:textFill>
                  <w14:solidFill>
                    <w14:schemeClr w14:val="tx1"/>
                  </w14:solidFill>
                </w14:textFill>
              </w:rPr>
              <w:t>管道泄漏引发的</w:t>
            </w:r>
            <w:r>
              <w:rPr>
                <w:rFonts w:hint="default" w:ascii="Times New Roman" w:hAnsi="Times New Roman" w:cs="Times New Roman"/>
                <w:color w:val="000000" w:themeColor="text1"/>
                <w:spacing w:val="-1"/>
                <w:sz w:val="24"/>
                <w:szCs w:val="24"/>
                <w:highlight w:val="none"/>
                <w14:textFill>
                  <w14:solidFill>
                    <w14:schemeClr w14:val="tx1"/>
                  </w14:solidFill>
                </w14:textFill>
              </w:rPr>
              <w:t>火灾、爆炸。</w:t>
            </w:r>
            <w:r>
              <w:rPr>
                <w:rFonts w:hint="default" w:ascii="Times New Roman" w:hAnsi="Times New Roman" w:cs="Times New Roman"/>
                <w:color w:val="000000" w:themeColor="text1"/>
                <w:sz w:val="24"/>
                <w:szCs w:val="24"/>
                <w:highlight w:val="none"/>
                <w14:textFill>
                  <w14:solidFill>
                    <w14:schemeClr w14:val="tx1"/>
                  </w14:solidFill>
                </w14:textFill>
              </w:rPr>
              <w:t>企业应严格执行安全生产制度，严格管理，提高操作人员的</w:t>
            </w:r>
            <w:r>
              <w:rPr>
                <w:rFonts w:hint="default" w:ascii="Times New Roman" w:hAnsi="Times New Roman" w:cs="Times New Roman"/>
                <w:color w:val="000000" w:themeColor="text1"/>
                <w:spacing w:val="-1"/>
                <w:sz w:val="24"/>
                <w:szCs w:val="24"/>
                <w:highlight w:val="none"/>
                <w14:textFill>
                  <w14:solidFill>
                    <w14:schemeClr w14:val="tx1"/>
                  </w14:solidFill>
                </w14:textFill>
              </w:rPr>
              <w:t>素质和水平，</w:t>
            </w:r>
            <w:r>
              <w:rPr>
                <w:rFonts w:hint="default" w:ascii="Times New Roman" w:hAnsi="Times New Roman" w:eastAsia="宋体" w:cs="Times New Roman"/>
                <w:color w:val="000000" w:themeColor="text1"/>
                <w:sz w:val="24"/>
                <w:szCs w:val="24"/>
                <w:highlight w:val="none"/>
                <w14:textFill>
                  <w14:solidFill>
                    <w14:schemeClr w14:val="tx1"/>
                  </w14:solidFill>
                </w14:textFill>
              </w:rPr>
              <w:t>同时制定有效的应急方案，使事故发生后对环境的影响减少到最低程度。建设单位在按照本环评报告的要求，做好各项风险的预防和应急措施的前</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提</w:t>
            </w:r>
            <w:r>
              <w:rPr>
                <w:rFonts w:hint="eastAsia" w:ascii="Times New Roman" w:hAnsi="Times New Roman" w:cs="Times New Roman"/>
                <w:color w:val="000000" w:themeColor="text1"/>
                <w:sz w:val="24"/>
                <w:szCs w:val="24"/>
                <w:highlight w:val="none"/>
                <w:lang w:eastAsia="zh-CN"/>
                <w14:textFill>
                  <w14:solidFill>
                    <w14:schemeClr w14:val="tx1"/>
                  </w14:solidFill>
                </w14:textFill>
              </w:rPr>
              <w:t>下</w:t>
            </w:r>
            <w:r>
              <w:rPr>
                <w:rFonts w:hint="default" w:ascii="Times New Roman" w:hAnsi="Times New Roman" w:eastAsia="宋体" w:cs="Times New Roman"/>
                <w:color w:val="000000" w:themeColor="text1"/>
                <w:sz w:val="24"/>
                <w:szCs w:val="24"/>
                <w:highlight w:val="none"/>
                <w14:textFill>
                  <w14:solidFill>
                    <w14:schemeClr w14:val="tx1"/>
                  </w14:solidFill>
                </w14:textFill>
              </w:rPr>
              <w:t>，所产生的环境风险可以控制在可接受风险水平之内。</w:t>
            </w:r>
          </w:p>
          <w:p w14:paraId="4C5A2AA2">
            <w:pPr>
              <w:pStyle w:val="116"/>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针对项目可能产生的环境风险情形，评价提出以下风险防范措施：</w:t>
            </w:r>
          </w:p>
          <w:p w14:paraId="4327EFDF">
            <w:pPr>
              <w:pStyle w:val="116"/>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1</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防止</w:t>
            </w:r>
            <w:r>
              <w:rPr>
                <w:rFonts w:hint="eastAsia" w:ascii="Times New Roman" w:hAnsi="Times New Roman" w:cs="Times New Roman"/>
                <w:color w:val="000000" w:themeColor="text1"/>
                <w:sz w:val="24"/>
                <w:szCs w:val="24"/>
                <w:highlight w:val="none"/>
                <w:lang w:eastAsia="zh-CN"/>
                <w14:textFill>
                  <w14:solidFill>
                    <w14:schemeClr w14:val="tx1"/>
                  </w14:solidFill>
                </w14:textFill>
              </w:rPr>
              <w:t>煤气</w:t>
            </w:r>
            <w:r>
              <w:rPr>
                <w:rFonts w:hint="default" w:ascii="Times New Roman" w:hAnsi="Times New Roman" w:eastAsia="宋体" w:cs="Times New Roman"/>
                <w:color w:val="000000" w:themeColor="text1"/>
                <w:sz w:val="24"/>
                <w:szCs w:val="24"/>
                <w:highlight w:val="none"/>
                <w14:textFill>
                  <w14:solidFill>
                    <w14:schemeClr w14:val="tx1"/>
                  </w14:solidFill>
                </w14:textFill>
              </w:rPr>
              <w:t>泄漏、爆炸的对策措施</w:t>
            </w:r>
          </w:p>
          <w:p w14:paraId="37021500">
            <w:pPr>
              <w:pStyle w:val="116"/>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①设备的选材、设计、制造、安装、试压等符合国家现行标准和规范要求。</w:t>
            </w:r>
          </w:p>
          <w:p w14:paraId="5C6487F2">
            <w:pPr>
              <w:pStyle w:val="116"/>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②管道、阀门、垫片应选用耐腐蚀</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的</w:t>
            </w:r>
            <w:r>
              <w:rPr>
                <w:rFonts w:hint="default" w:ascii="Times New Roman" w:hAnsi="Times New Roman" w:eastAsia="宋体" w:cs="Times New Roman"/>
                <w:color w:val="000000" w:themeColor="text1"/>
                <w:sz w:val="24"/>
                <w:szCs w:val="24"/>
                <w:highlight w:val="none"/>
                <w14:textFill>
                  <w14:solidFill>
                    <w14:schemeClr w14:val="tx1"/>
                  </w14:solidFill>
                </w14:textFill>
              </w:rPr>
              <w:t>材质。</w:t>
            </w:r>
          </w:p>
          <w:p w14:paraId="47AAA774">
            <w:pPr>
              <w:pStyle w:val="116"/>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③管道附件必须经常检查、维护，定期检测，不能故障使用，发现故障及时处理。</w:t>
            </w:r>
          </w:p>
          <w:p w14:paraId="70B9418F">
            <w:pPr>
              <w:pStyle w:val="116"/>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④对各类设备、管道、配电装置、电气设备的外露可导电部分，按《工业与民用电力装置的接地设计规范》</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GBJ65-83</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的要求设置可靠的接地装置。法兰、阀门必须用铜片搭接。</w:t>
            </w:r>
          </w:p>
          <w:p w14:paraId="7A2056E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bCs w:val="0"/>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⑤在</w:t>
            </w:r>
            <w:r>
              <w:rPr>
                <w:rFonts w:hint="eastAsia" w:cs="Times New Roman"/>
                <w:color w:val="000000" w:themeColor="text1"/>
                <w:sz w:val="24"/>
                <w:szCs w:val="24"/>
                <w:highlight w:val="none"/>
                <w:lang w:eastAsia="zh-CN"/>
                <w14:textFill>
                  <w14:solidFill>
                    <w14:schemeClr w14:val="tx1"/>
                  </w14:solidFill>
                </w14:textFill>
              </w:rPr>
              <w:t>煤气</w:t>
            </w:r>
            <w:r>
              <w:rPr>
                <w:rFonts w:hint="default" w:ascii="Times New Roman" w:hAnsi="Times New Roman" w:eastAsia="宋体" w:cs="Times New Roman"/>
                <w:color w:val="000000" w:themeColor="text1"/>
                <w:sz w:val="24"/>
                <w:szCs w:val="24"/>
                <w:highlight w:val="none"/>
                <w14:textFill>
                  <w14:solidFill>
                    <w14:schemeClr w14:val="tx1"/>
                  </w14:solidFill>
                </w14:textFill>
              </w:rPr>
              <w:t>供气母管及炉前各组燃烧器入口处设置快速</w:t>
            </w:r>
            <w:r>
              <w:rPr>
                <w:rFonts w:hint="eastAsia" w:cs="Times New Roman"/>
                <w:color w:val="000000" w:themeColor="text1"/>
                <w:sz w:val="24"/>
                <w:szCs w:val="24"/>
                <w:highlight w:val="none"/>
                <w:lang w:eastAsia="zh-CN"/>
                <w14:textFill>
                  <w14:solidFill>
                    <w14:schemeClr w14:val="tx1"/>
                  </w14:solidFill>
                </w14:textFill>
              </w:rPr>
              <w:t>切断阀</w:t>
            </w:r>
            <w:r>
              <w:rPr>
                <w:rFonts w:hint="default" w:ascii="Times New Roman" w:hAnsi="Times New Roman" w:eastAsia="宋体" w:cs="Times New Roman"/>
                <w:color w:val="000000" w:themeColor="text1"/>
                <w:sz w:val="24"/>
                <w:szCs w:val="24"/>
                <w:highlight w:val="none"/>
                <w14:textFill>
                  <w14:solidFill>
                    <w14:schemeClr w14:val="tx1"/>
                  </w14:solidFill>
                </w14:textFill>
              </w:rPr>
              <w:t>，并与炉膛熄火保护系统相连接。为防止回火，严格控制炉</w:t>
            </w:r>
            <w:r>
              <w:rPr>
                <w:rFonts w:hint="eastAsia" w:cs="Times New Roman"/>
                <w:color w:val="000000" w:themeColor="text1"/>
                <w:sz w:val="24"/>
                <w:szCs w:val="24"/>
                <w:highlight w:val="none"/>
                <w:lang w:eastAsia="zh-CN"/>
                <w14:textFill>
                  <w14:solidFill>
                    <w14:schemeClr w14:val="tx1"/>
                  </w14:solidFill>
                </w14:textFill>
              </w:rPr>
              <w:t>内煤气</w:t>
            </w:r>
            <w:r>
              <w:rPr>
                <w:rFonts w:hint="default" w:ascii="Times New Roman" w:hAnsi="Times New Roman" w:eastAsia="宋体" w:cs="Times New Roman"/>
                <w:color w:val="000000" w:themeColor="text1"/>
                <w:sz w:val="24"/>
                <w:szCs w:val="24"/>
                <w:highlight w:val="none"/>
                <w14:textFill>
                  <w14:solidFill>
                    <w14:schemeClr w14:val="tx1"/>
                  </w14:solidFill>
                </w14:textFill>
              </w:rPr>
              <w:t>压力。设置</w:t>
            </w:r>
            <w:r>
              <w:rPr>
                <w:rFonts w:hint="eastAsia" w:cs="Times New Roman"/>
                <w:color w:val="000000" w:themeColor="text1"/>
                <w:sz w:val="24"/>
                <w:szCs w:val="24"/>
                <w:highlight w:val="none"/>
                <w:lang w:eastAsia="zh-CN"/>
                <w14:textFill>
                  <w14:solidFill>
                    <w14:schemeClr w14:val="tx1"/>
                  </w14:solidFill>
                </w14:textFill>
              </w:rPr>
              <w:t>煤气</w:t>
            </w:r>
            <w:r>
              <w:rPr>
                <w:rFonts w:hint="default" w:ascii="Times New Roman" w:hAnsi="Times New Roman" w:eastAsia="宋体" w:cs="Times New Roman"/>
                <w:color w:val="000000" w:themeColor="text1"/>
                <w:sz w:val="24"/>
                <w:szCs w:val="24"/>
                <w:highlight w:val="none"/>
                <w14:textFill>
                  <w14:solidFill>
                    <w14:schemeClr w14:val="tx1"/>
                  </w14:solidFill>
                </w14:textFill>
              </w:rPr>
              <w:t>低压报警及保护装置。当</w:t>
            </w:r>
            <w:r>
              <w:rPr>
                <w:rFonts w:hint="eastAsia" w:cs="Times New Roman"/>
                <w:color w:val="000000" w:themeColor="text1"/>
                <w:sz w:val="24"/>
                <w:szCs w:val="24"/>
                <w:highlight w:val="none"/>
                <w:lang w:eastAsia="zh-CN"/>
                <w14:textFill>
                  <w14:solidFill>
                    <w14:schemeClr w14:val="tx1"/>
                  </w14:solidFill>
                </w14:textFill>
              </w:rPr>
              <w:t>煤气</w:t>
            </w:r>
            <w:r>
              <w:rPr>
                <w:rFonts w:hint="default" w:ascii="Times New Roman" w:hAnsi="Times New Roman" w:eastAsia="宋体" w:cs="Times New Roman"/>
                <w:color w:val="000000" w:themeColor="text1"/>
                <w:sz w:val="24"/>
                <w:szCs w:val="24"/>
                <w:highlight w:val="none"/>
                <w14:textFill>
                  <w14:solidFill>
                    <w14:schemeClr w14:val="tx1"/>
                  </w14:solidFill>
                </w14:textFill>
              </w:rPr>
              <w:t>压力过低或炉膛突然熄火时能迅速</w:t>
            </w:r>
            <w:r>
              <w:rPr>
                <w:rFonts w:hint="eastAsia" w:cs="Times New Roman"/>
                <w:color w:val="000000" w:themeColor="text1"/>
                <w:sz w:val="24"/>
                <w:szCs w:val="24"/>
                <w:highlight w:val="none"/>
                <w:lang w:eastAsia="zh-CN"/>
                <w14:textFill>
                  <w14:solidFill>
                    <w14:schemeClr w14:val="tx1"/>
                  </w14:solidFill>
                </w14:textFill>
              </w:rPr>
              <w:t>切断</w:t>
            </w:r>
            <w:r>
              <w:rPr>
                <w:rFonts w:hint="default" w:ascii="Times New Roman" w:hAnsi="Times New Roman" w:eastAsia="宋体" w:cs="Times New Roman"/>
                <w:color w:val="000000" w:themeColor="text1"/>
                <w:sz w:val="24"/>
                <w:szCs w:val="24"/>
                <w:highlight w:val="none"/>
                <w14:textFill>
                  <w14:solidFill>
                    <w14:schemeClr w14:val="tx1"/>
                  </w14:solidFill>
                </w14:textFill>
              </w:rPr>
              <w:t>供气，以免引起爆炸。在</w:t>
            </w:r>
            <w:r>
              <w:rPr>
                <w:rFonts w:hint="eastAsia" w:cs="Times New Roman"/>
                <w:color w:val="000000" w:themeColor="text1"/>
                <w:sz w:val="24"/>
                <w:szCs w:val="24"/>
                <w:highlight w:val="none"/>
                <w:lang w:eastAsia="zh-CN"/>
                <w14:textFill>
                  <w14:solidFill>
                    <w14:schemeClr w14:val="tx1"/>
                  </w14:solidFill>
                </w14:textFill>
              </w:rPr>
              <w:t>煤气</w:t>
            </w:r>
            <w:r>
              <w:rPr>
                <w:rFonts w:hint="default" w:ascii="Times New Roman" w:hAnsi="Times New Roman" w:eastAsia="宋体" w:cs="Times New Roman"/>
                <w:color w:val="000000" w:themeColor="text1"/>
                <w:sz w:val="24"/>
                <w:szCs w:val="24"/>
                <w:highlight w:val="none"/>
                <w14:textFill>
                  <w14:solidFill>
                    <w14:schemeClr w14:val="tx1"/>
                  </w14:solidFill>
                </w14:textFill>
              </w:rPr>
              <w:t>管路设计时设置氮气吹扫放散系统。为防止</w:t>
            </w:r>
            <w:r>
              <w:rPr>
                <w:rFonts w:hint="eastAsia" w:cs="Times New Roman"/>
                <w:color w:val="000000" w:themeColor="text1"/>
                <w:sz w:val="24"/>
                <w:szCs w:val="24"/>
                <w:highlight w:val="none"/>
                <w:lang w:eastAsia="zh-CN"/>
                <w14:textFill>
                  <w14:solidFill>
                    <w14:schemeClr w14:val="tx1"/>
                  </w14:solidFill>
                </w14:textFill>
              </w:rPr>
              <w:t>煤气</w:t>
            </w:r>
            <w:r>
              <w:rPr>
                <w:rFonts w:hint="default" w:ascii="Times New Roman" w:hAnsi="Times New Roman" w:eastAsia="宋体" w:cs="Times New Roman"/>
                <w:color w:val="000000" w:themeColor="text1"/>
                <w:sz w:val="24"/>
                <w:szCs w:val="24"/>
                <w:highlight w:val="none"/>
                <w14:textFill>
                  <w14:solidFill>
                    <w14:schemeClr w14:val="tx1"/>
                  </w14:solidFill>
                </w14:textFill>
              </w:rPr>
              <w:t>设备和管道泄漏的可燃气体聚集，用气单位采用半露天布置，</w:t>
            </w:r>
            <w:r>
              <w:rPr>
                <w:rFonts w:hint="eastAsia" w:cs="Times New Roman"/>
                <w:color w:val="000000" w:themeColor="text1"/>
                <w:sz w:val="24"/>
                <w:szCs w:val="24"/>
                <w:highlight w:val="none"/>
                <w:lang w:eastAsia="zh-CN"/>
                <w14:textFill>
                  <w14:solidFill>
                    <w14:schemeClr w14:val="tx1"/>
                  </w14:solidFill>
                </w14:textFill>
              </w:rPr>
              <w:t>煤气</w:t>
            </w:r>
            <w:r>
              <w:rPr>
                <w:rFonts w:hint="default" w:ascii="Times New Roman" w:hAnsi="Times New Roman" w:eastAsia="宋体" w:cs="Times New Roman"/>
                <w:color w:val="000000" w:themeColor="text1"/>
                <w:sz w:val="24"/>
                <w:szCs w:val="24"/>
                <w:highlight w:val="none"/>
                <w14:textFill>
                  <w14:solidFill>
                    <w14:schemeClr w14:val="tx1"/>
                  </w14:solidFill>
                </w14:textFill>
              </w:rPr>
              <w:t>调压站布置于炉后的运行站上，以利于疏散。在煅烧窑每一个楼层、烟道、煤气管道等可能泄漏</w:t>
            </w:r>
            <w:r>
              <w:rPr>
                <w:rFonts w:hint="eastAsia" w:cs="Times New Roman"/>
                <w:color w:val="000000" w:themeColor="text1"/>
                <w:sz w:val="24"/>
                <w:szCs w:val="24"/>
                <w:highlight w:val="none"/>
                <w:lang w:eastAsia="zh-CN"/>
                <w14:textFill>
                  <w14:solidFill>
                    <w14:schemeClr w14:val="tx1"/>
                  </w14:solidFill>
                </w14:textFill>
              </w:rPr>
              <w:t>煤气</w:t>
            </w:r>
            <w:r>
              <w:rPr>
                <w:rFonts w:hint="default" w:ascii="Times New Roman" w:hAnsi="Times New Roman" w:eastAsia="宋体" w:cs="Times New Roman"/>
                <w:color w:val="000000" w:themeColor="text1"/>
                <w:sz w:val="24"/>
                <w:szCs w:val="24"/>
                <w:highlight w:val="none"/>
                <w14:textFill>
                  <w14:solidFill>
                    <w14:schemeClr w14:val="tx1"/>
                  </w14:solidFill>
                </w14:textFill>
              </w:rPr>
              <w:t>的位置装设可燃气体检测报警装置，当可燃气体含量超标时报警，便于人员疏散。运行层调压站处、底层和可燃气体管道穿过的封闭区域加强通风。在经常检修的部位设置可靠的盲板法兰组合隔断装置。可燃气体管道设有</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漏电保护装置</w:t>
            </w:r>
            <w:r>
              <w:rPr>
                <w:rFonts w:hint="default" w:ascii="Times New Roman" w:hAnsi="Times New Roman" w:eastAsia="宋体" w:cs="Times New Roman"/>
                <w:color w:val="000000" w:themeColor="text1"/>
                <w:sz w:val="24"/>
                <w:szCs w:val="24"/>
                <w:highlight w:val="none"/>
                <w14:textFill>
                  <w14:solidFill>
                    <w14:schemeClr w14:val="tx1"/>
                  </w14:solidFill>
                </w14:textFill>
              </w:rPr>
              <w:t>。烧成车间工作人员佩戴便携式可燃气体检测仪。</w:t>
            </w:r>
          </w:p>
          <w:p w14:paraId="4D99797D">
            <w:pPr>
              <w:spacing w:line="360" w:lineRule="auto"/>
              <w:ind w:firstLine="482"/>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（2）危废暂存间风险防范措施</w:t>
            </w:r>
          </w:p>
          <w:p w14:paraId="7BE45BFC">
            <w:pPr>
              <w:pStyle w:val="8"/>
              <w:spacing w:line="360" w:lineRule="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1）火灾爆炸防范措施</w:t>
            </w:r>
          </w:p>
          <w:p w14:paraId="4C6B97F9">
            <w:pPr>
              <w:pStyle w:val="8"/>
              <w:spacing w:line="360" w:lineRule="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①防火距离</w:t>
            </w:r>
          </w:p>
          <w:p w14:paraId="656C444F">
            <w:pPr>
              <w:pStyle w:val="8"/>
              <w:spacing w:line="360" w:lineRule="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本项目各建筑物之间防火间距应满足《石油化工企业设计防火规范》（GB50160-2008）要求。厂内道路保证消防车辆畅通无阻。此外，对油品输送系统安装排风探头确保安全操作。设计完整高效的消防报警系统。</w:t>
            </w:r>
          </w:p>
          <w:p w14:paraId="463F3DA5">
            <w:pPr>
              <w:pStyle w:val="8"/>
              <w:spacing w:line="360" w:lineRule="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②加强安全管理</w:t>
            </w:r>
          </w:p>
          <w:p w14:paraId="47A6B0E6">
            <w:pPr>
              <w:pStyle w:val="8"/>
              <w:spacing w:line="360" w:lineRule="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定期对储油区进行防火安全检查，保存记录。安全检测应根据设备的安全性、危险性设定检测频次。完善疏散通道及设施。</w:t>
            </w:r>
          </w:p>
          <w:p w14:paraId="44168A8E">
            <w:pPr>
              <w:pStyle w:val="8"/>
              <w:spacing w:line="360" w:lineRule="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③火源的管理</w:t>
            </w:r>
          </w:p>
          <w:p w14:paraId="736AC2EE">
            <w:pPr>
              <w:pStyle w:val="8"/>
              <w:spacing w:line="360" w:lineRule="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明火控制，其发生源为火柴、打火机等，维修用火控制，在设备维修检</w:t>
            </w:r>
          </w:p>
          <w:p w14:paraId="4DB682E4">
            <w:pPr>
              <w:pStyle w:val="8"/>
              <w:spacing w:line="360" w:lineRule="auto"/>
              <w:ind w:left="0" w:leftChars="0" w:firstLine="0" w:firstLineChars="0"/>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查需进行维修焊接，应记录在案并有监管人员在场方可进行。严禁穿戴铁钉的鞋进入。机动车在厂内行驶，应安装阻火器。</w:t>
            </w:r>
          </w:p>
          <w:p w14:paraId="180D8B2C">
            <w:pPr>
              <w:pStyle w:val="8"/>
              <w:spacing w:line="360" w:lineRule="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④火灾控制措施</w:t>
            </w:r>
          </w:p>
          <w:p w14:paraId="2017430D">
            <w:pPr>
              <w:pStyle w:val="8"/>
              <w:spacing w:line="360" w:lineRule="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严格按照防火、防爆设计规范进行设计，按规范布设消防系统，配置相应的灭火装置和设施。设置火焰探测器和火警报警系统，并经常检查设施的</w:t>
            </w:r>
          </w:p>
          <w:p w14:paraId="14B2C9F3">
            <w:pPr>
              <w:pStyle w:val="8"/>
              <w:spacing w:line="360" w:lineRule="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正常运转。按照设计规范要求选用电气设备并采取静电接地措施。加强对设施的检查，防止跑冒滴漏。设立危险、有毒等标志。</w:t>
            </w:r>
          </w:p>
          <w:p w14:paraId="37A5820C">
            <w:pPr>
              <w:pStyle w:val="8"/>
              <w:spacing w:line="360" w:lineRule="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此外，企业应开展安全生产定期检查，及时发现并消除隐患，制定防止事故发生的各种规章制度并严格执行。按规定对操作人员进行安全操作技术培训，考试合格后方可上岗。</w:t>
            </w:r>
          </w:p>
          <w:p w14:paraId="5FBFDF4D">
            <w:pPr>
              <w:pStyle w:val="8"/>
              <w:spacing w:line="360" w:lineRule="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2）地下水风险防范措施</w:t>
            </w:r>
          </w:p>
          <w:p w14:paraId="61903B17">
            <w:pPr>
              <w:pStyle w:val="8"/>
              <w:spacing w:line="360" w:lineRule="auto"/>
              <w:rPr>
                <w:rFonts w:hint="eastAsia"/>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对危废库按照规定进行重点防渗，采用</w:t>
            </w:r>
            <w:r>
              <w:rPr>
                <w:rFonts w:hint="default"/>
                <w:color w:val="000000" w:themeColor="text1"/>
                <w:highlight w:val="none"/>
                <w:lang w:val="en-US" w:eastAsia="zh-CN"/>
                <w14:textFill>
                  <w14:solidFill>
                    <w14:schemeClr w14:val="tx1"/>
                  </w14:solidFill>
                </w14:textFill>
              </w:rPr>
              <w:t>2mm</w:t>
            </w:r>
            <w:r>
              <w:rPr>
                <w:rFonts w:hint="eastAsia"/>
                <w:color w:val="000000" w:themeColor="text1"/>
                <w:highlight w:val="none"/>
                <w:lang w:val="en-US" w:eastAsia="zh-CN"/>
                <w14:textFill>
                  <w14:solidFill>
                    <w14:schemeClr w14:val="tx1"/>
                  </w14:solidFill>
                </w14:textFill>
              </w:rPr>
              <w:t>厚高密度聚乙烯膜人工防渗材料（渗透系数不大于</w:t>
            </w:r>
            <w:r>
              <w:rPr>
                <w:rFonts w:hint="default"/>
                <w:color w:val="000000" w:themeColor="text1"/>
                <w:highlight w:val="none"/>
                <w:lang w:val="en-US" w:eastAsia="zh-CN"/>
                <w14:textFill>
                  <w14:solidFill>
                    <w14:schemeClr w14:val="tx1"/>
                  </w14:solidFill>
                </w14:textFill>
              </w:rPr>
              <w:t>10</w:t>
            </w:r>
            <w:r>
              <w:rPr>
                <w:rFonts w:hint="eastAsia"/>
                <w:color w:val="000000" w:themeColor="text1"/>
                <w:highlight w:val="none"/>
                <w:vertAlign w:val="superscript"/>
                <w:lang w:val="en-US" w:eastAsia="zh-CN"/>
                <w14:textFill>
                  <w14:solidFill>
                    <w14:schemeClr w14:val="tx1"/>
                  </w14:solidFill>
                </w14:textFill>
              </w:rPr>
              <w:t>—</w:t>
            </w:r>
            <w:r>
              <w:rPr>
                <w:rFonts w:hint="default"/>
                <w:color w:val="000000" w:themeColor="text1"/>
                <w:highlight w:val="none"/>
                <w:vertAlign w:val="superscript"/>
                <w:lang w:val="en-US" w:eastAsia="zh-CN"/>
                <w14:textFill>
                  <w14:solidFill>
                    <w14:schemeClr w14:val="tx1"/>
                  </w14:solidFill>
                </w14:textFill>
              </w:rPr>
              <w:t>10</w:t>
            </w:r>
            <w:r>
              <w:rPr>
                <w:rFonts w:hint="default"/>
                <w:color w:val="000000" w:themeColor="text1"/>
                <w:highlight w:val="none"/>
                <w:lang w:val="en-US" w:eastAsia="zh-CN"/>
                <w14:textFill>
                  <w14:solidFill>
                    <w14:schemeClr w14:val="tx1"/>
                  </w14:solidFill>
                </w14:textFill>
              </w:rPr>
              <w:t>cm/s</w:t>
            </w:r>
            <w:r>
              <w:rPr>
                <w:rFonts w:hint="eastAsia"/>
                <w:color w:val="000000" w:themeColor="text1"/>
                <w:highlight w:val="none"/>
                <w:lang w:val="en-US" w:eastAsia="zh-CN"/>
                <w14:textFill>
                  <w14:solidFill>
                    <w14:schemeClr w14:val="tx1"/>
                  </w14:solidFill>
                </w14:textFill>
              </w:rPr>
              <w:t>），防止对地下水造成污染。</w:t>
            </w:r>
          </w:p>
          <w:p w14:paraId="538566EC">
            <w:pPr>
              <w:spacing w:line="360" w:lineRule="auto"/>
              <w:ind w:firstLine="482"/>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（3）</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企业目前氨水泄漏采取风险防范措施：</w:t>
            </w:r>
          </w:p>
          <w:p w14:paraId="63C2933B">
            <w:pPr>
              <w:spacing w:line="360" w:lineRule="auto"/>
              <w:ind w:firstLine="480" w:firstLineChars="200"/>
              <w:rPr>
                <w:rFonts w:hint="eastAsia" w:ascii="Times New Roman" w:hAnsi="Times New Roman" w:eastAsia="宋体" w:cs="Times New Roman"/>
                <w:b w:val="0"/>
                <w:color w:val="000000" w:themeColor="text1"/>
                <w:sz w:val="24"/>
                <w:highlight w:val="none"/>
                <w14:textFill>
                  <w14:solidFill>
                    <w14:schemeClr w14:val="tx1"/>
                  </w14:solidFill>
                </w14:textFill>
              </w:rPr>
            </w:pPr>
            <w:r>
              <w:rPr>
                <w:rFonts w:hint="eastAsia" w:ascii="Times New Roman" w:hAnsi="Times New Roman" w:eastAsia="宋体" w:cs="Times New Roman"/>
                <w:b w:val="0"/>
                <w:color w:val="000000" w:themeColor="text1"/>
                <w:sz w:val="24"/>
                <w:highlight w:val="none"/>
                <w:lang w:val="en-US" w:eastAsia="zh-CN"/>
                <w14:textFill>
                  <w14:solidFill>
                    <w14:schemeClr w14:val="tx1"/>
                  </w14:solidFill>
                </w14:textFill>
              </w:rPr>
              <w:t>1</w:t>
            </w:r>
            <w:r>
              <w:rPr>
                <w:rFonts w:hint="eastAsia" w:ascii="Times New Roman" w:hAnsi="Times New Roman" w:eastAsia="宋体" w:cs="Times New Roman"/>
                <w:b w:val="0"/>
                <w:color w:val="000000" w:themeColor="text1"/>
                <w:sz w:val="24"/>
                <w:highlight w:val="none"/>
                <w:lang w:eastAsia="zh-CN"/>
                <w14:textFill>
                  <w14:solidFill>
                    <w14:schemeClr w14:val="tx1"/>
                  </w14:solidFill>
                </w14:textFill>
              </w:rPr>
              <w:t>）</w:t>
            </w:r>
            <w:r>
              <w:rPr>
                <w:rFonts w:hint="eastAsia" w:ascii="Times New Roman" w:hAnsi="Times New Roman" w:eastAsia="宋体" w:cs="Times New Roman"/>
                <w:b w:val="0"/>
                <w:color w:val="000000" w:themeColor="text1"/>
                <w:sz w:val="24"/>
                <w:highlight w:val="none"/>
                <w14:textFill>
                  <w14:solidFill>
                    <w14:schemeClr w14:val="tx1"/>
                  </w14:solidFill>
                </w14:textFill>
              </w:rPr>
              <w:t>风险防范、减缓措施</w:t>
            </w:r>
          </w:p>
          <w:p w14:paraId="177E95DC">
            <w:pPr>
              <w:spacing w:line="360" w:lineRule="auto"/>
              <w:ind w:firstLine="480" w:firstLineChars="200"/>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①</w:t>
            </w:r>
            <w:r>
              <w:rPr>
                <w:rFonts w:hint="eastAsia" w:ascii="Times New Roman" w:hAnsi="Times New Roman" w:eastAsia="宋体" w:cs="Times New Roman"/>
                <w:color w:val="000000" w:themeColor="text1"/>
                <w:sz w:val="24"/>
                <w:highlight w:val="none"/>
                <w14:textFill>
                  <w14:solidFill>
                    <w14:schemeClr w14:val="tx1"/>
                  </w14:solidFill>
                </w14:textFill>
              </w:rPr>
              <w:t>在含有有毒气体的装置区及储运区设置有毒气体检测及自动报警系统；</w:t>
            </w:r>
          </w:p>
          <w:p w14:paraId="2C10CC1B">
            <w:pPr>
              <w:spacing w:line="360" w:lineRule="auto"/>
              <w:ind w:firstLine="480" w:firstLineChars="200"/>
              <w:rPr>
                <w:rFonts w:hint="eastAsia" w:ascii="Times New Roman" w:hAnsi="Times New Roman" w:eastAsia="宋体" w:cs="Times New Roman"/>
                <w:color w:val="000000" w:themeColor="text1"/>
                <w:sz w:val="24"/>
                <w:highlight w:val="none"/>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②</w:t>
            </w:r>
            <w:r>
              <w:rPr>
                <w:rFonts w:hint="eastAsia" w:ascii="Times New Roman" w:hAnsi="Times New Roman" w:eastAsia="宋体" w:cs="Times New Roman"/>
                <w:color w:val="000000" w:themeColor="text1"/>
                <w:sz w:val="24"/>
                <w:highlight w:val="none"/>
                <w14:textFill>
                  <w14:solidFill>
                    <w14:schemeClr w14:val="tx1"/>
                  </w14:solidFill>
                </w14:textFill>
              </w:rPr>
              <w:t>根据《工业企业设计卫生标准》</w:t>
            </w:r>
            <w:r>
              <w:rPr>
                <w:rFonts w:hint="eastAsia" w:ascii="Times New Roman" w:hAnsi="Times New Roman" w:eastAsia="宋体" w:cs="Times New Roman"/>
                <w:color w:val="000000" w:themeColor="text1"/>
                <w:sz w:val="24"/>
                <w:highlight w:val="none"/>
                <w:lang w:eastAsia="zh-CN"/>
                <w14:textFill>
                  <w14:solidFill>
                    <w14:schemeClr w14:val="tx1"/>
                  </w14:solidFill>
                </w14:textFill>
              </w:rPr>
              <w:t>（GBZ1-2010）</w:t>
            </w:r>
            <w:r>
              <w:rPr>
                <w:rFonts w:hint="eastAsia" w:ascii="Times New Roman" w:hAnsi="Times New Roman" w:eastAsia="宋体" w:cs="Times New Roman"/>
                <w:color w:val="000000" w:themeColor="text1"/>
                <w:sz w:val="24"/>
                <w:highlight w:val="none"/>
                <w14:textFill>
                  <w14:solidFill>
                    <w14:schemeClr w14:val="tx1"/>
                  </w14:solidFill>
                </w14:textFill>
              </w:rPr>
              <w:t>在厂区消防站内设有毒气体防护站；</w:t>
            </w:r>
          </w:p>
          <w:p w14:paraId="7C6D61ED">
            <w:pPr>
              <w:spacing w:line="360" w:lineRule="auto"/>
              <w:ind w:firstLine="480" w:firstLineChars="200"/>
              <w:rPr>
                <w:rFonts w:hint="eastAsia" w:ascii="Times New Roman" w:hAnsi="Times New Roman" w:eastAsia="宋体" w:cs="Times New Roman"/>
                <w:color w:val="000000" w:themeColor="text1"/>
                <w:sz w:val="24"/>
                <w:highlight w:val="none"/>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③</w:t>
            </w:r>
            <w:r>
              <w:rPr>
                <w:rFonts w:hint="eastAsia" w:ascii="Times New Roman" w:hAnsi="Times New Roman" w:eastAsia="宋体" w:cs="Times New Roman"/>
                <w:color w:val="000000" w:themeColor="text1"/>
                <w:sz w:val="24"/>
                <w:highlight w:val="none"/>
                <w14:textFill>
                  <w14:solidFill>
                    <w14:schemeClr w14:val="tx1"/>
                  </w14:solidFill>
                </w14:textFill>
              </w:rPr>
              <w:t>设置应急监测机构及配备必要的应急监测设备；</w:t>
            </w:r>
          </w:p>
          <w:p w14:paraId="68C52944">
            <w:pPr>
              <w:spacing w:line="360" w:lineRule="auto"/>
              <w:ind w:firstLine="480" w:firstLineChars="200"/>
              <w:rPr>
                <w:rFonts w:hint="eastAsia" w:ascii="Times New Roman" w:hAnsi="Times New Roman" w:eastAsia="宋体" w:cs="Times New Roman"/>
                <w:color w:val="000000" w:themeColor="text1"/>
                <w:sz w:val="24"/>
                <w:highlight w:val="none"/>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④</w:t>
            </w:r>
            <w:r>
              <w:rPr>
                <w:rFonts w:hint="eastAsia" w:ascii="Times New Roman" w:hAnsi="Times New Roman" w:eastAsia="宋体" w:cs="Times New Roman"/>
                <w:color w:val="000000" w:themeColor="text1"/>
                <w:sz w:val="24"/>
                <w:highlight w:val="none"/>
                <w14:textFill>
                  <w14:solidFill>
                    <w14:schemeClr w14:val="tx1"/>
                  </w14:solidFill>
                </w14:textFill>
              </w:rPr>
              <w:t>各装置内设有紧急事故泄压排放系统，重点危险源废气系统应设置收集装置并与火炬相接。出现风险事故造成停车或局部停车时，装置自动</w:t>
            </w:r>
            <w:r>
              <w:rPr>
                <w:rFonts w:hint="eastAsia" w:cs="Times New Roman"/>
                <w:color w:val="000000" w:themeColor="text1"/>
                <w:sz w:val="24"/>
                <w:highlight w:val="none"/>
                <w:lang w:eastAsia="zh-CN"/>
                <w14:textFill>
                  <w14:solidFill>
                    <w14:schemeClr w14:val="tx1"/>
                  </w14:solidFill>
                </w14:textFill>
              </w:rPr>
              <w:t>联锁</w:t>
            </w:r>
            <w:r>
              <w:rPr>
                <w:rFonts w:hint="eastAsia" w:ascii="Times New Roman" w:hAnsi="Times New Roman" w:eastAsia="宋体" w:cs="Times New Roman"/>
                <w:color w:val="000000" w:themeColor="text1"/>
                <w:sz w:val="24"/>
                <w:highlight w:val="none"/>
                <w14:textFill>
                  <w14:solidFill>
                    <w14:schemeClr w14:val="tx1"/>
                  </w14:solidFill>
                </w14:textFill>
              </w:rPr>
              <w:t>系统自动切断进料系统，事故停车造成的装置及连带上、下游装置无法回收的气体以及收集的事故废气全部排入火炬系统焚烧；</w:t>
            </w:r>
          </w:p>
          <w:p w14:paraId="62FA75C0">
            <w:pPr>
              <w:spacing w:line="360" w:lineRule="auto"/>
              <w:ind w:firstLine="480" w:firstLineChars="200"/>
              <w:rPr>
                <w:rFonts w:hint="eastAsia" w:ascii="Times New Roman" w:hAnsi="Times New Roman" w:eastAsia="宋体" w:cs="Times New Roman"/>
                <w:color w:val="000000" w:themeColor="text1"/>
                <w:sz w:val="24"/>
                <w:highlight w:val="none"/>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⑤</w:t>
            </w:r>
            <w:r>
              <w:rPr>
                <w:rFonts w:hint="eastAsia" w:ascii="Times New Roman" w:hAnsi="Times New Roman" w:eastAsia="宋体" w:cs="Times New Roman"/>
                <w:color w:val="000000" w:themeColor="text1"/>
                <w:sz w:val="24"/>
                <w:highlight w:val="none"/>
                <w14:textFill>
                  <w14:solidFill>
                    <w14:schemeClr w14:val="tx1"/>
                  </w14:solidFill>
                </w14:textFill>
              </w:rPr>
              <w:t>适当位置安装风向仪，用于观测准确风向。当发生毒害物泄漏事故，组织人员向事故发生源上风向疏散；</w:t>
            </w:r>
          </w:p>
          <w:p w14:paraId="674AB357">
            <w:pPr>
              <w:spacing w:line="360" w:lineRule="auto"/>
              <w:ind w:firstLine="480" w:firstLineChars="200"/>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⑥</w:t>
            </w:r>
            <w:r>
              <w:rPr>
                <w:rFonts w:hint="eastAsia" w:ascii="Times New Roman" w:hAnsi="Times New Roman" w:eastAsia="宋体" w:cs="Times New Roman"/>
                <w:color w:val="000000" w:themeColor="text1"/>
                <w:sz w:val="24"/>
                <w:highlight w:val="none"/>
                <w14:textFill>
                  <w14:solidFill>
                    <w14:schemeClr w14:val="tx1"/>
                  </w14:solidFill>
                </w14:textFill>
              </w:rPr>
              <w:t>为有效预防火灾，及早发现火情，保障安全生产，本项目设置火灾报警系统，各单元的火灾报警系统均接入全厂火灾报警系统。</w:t>
            </w:r>
          </w:p>
          <w:p w14:paraId="5D00243F">
            <w:pPr>
              <w:spacing w:line="360" w:lineRule="auto"/>
              <w:ind w:firstLine="480" w:firstLineChars="200"/>
              <w:rPr>
                <w:rFonts w:hint="eastAsia" w:ascii="Times New Roman" w:hAnsi="Times New Roman" w:eastAsia="宋体" w:cs="Times New Roman"/>
                <w:color w:val="000000" w:themeColor="text1"/>
                <w:sz w:val="24"/>
                <w:highlight w:val="none"/>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⑦</w:t>
            </w:r>
            <w:r>
              <w:rPr>
                <w:rFonts w:hint="eastAsia" w:ascii="Times New Roman" w:hAnsi="Times New Roman" w:eastAsia="宋体" w:cs="Times New Roman"/>
                <w:color w:val="000000" w:themeColor="text1"/>
                <w:sz w:val="24"/>
                <w:highlight w:val="none"/>
                <w14:textFill>
                  <w14:solidFill>
                    <w14:schemeClr w14:val="tx1"/>
                  </w14:solidFill>
                </w14:textFill>
              </w:rPr>
              <w:t>设立消防气防站，对有毒、窒息性工作场所进行监护和对中毒和</w:t>
            </w:r>
            <w:r>
              <w:rPr>
                <w:rFonts w:hint="eastAsia" w:cs="Times New Roman"/>
                <w:color w:val="000000" w:themeColor="text1"/>
                <w:sz w:val="24"/>
                <w:highlight w:val="none"/>
                <w:lang w:eastAsia="zh-CN"/>
                <w14:textFill>
                  <w14:solidFill>
                    <w14:schemeClr w14:val="tx1"/>
                  </w14:solidFill>
                </w14:textFill>
              </w:rPr>
              <w:t>其他事故</w:t>
            </w:r>
            <w:r>
              <w:rPr>
                <w:rFonts w:hint="eastAsia" w:ascii="Times New Roman" w:hAnsi="Times New Roman" w:eastAsia="宋体" w:cs="Times New Roman"/>
                <w:color w:val="000000" w:themeColor="text1"/>
                <w:sz w:val="24"/>
                <w:highlight w:val="none"/>
                <w14:textFill>
                  <w14:solidFill>
                    <w14:schemeClr w14:val="tx1"/>
                  </w14:solidFill>
                </w14:textFill>
              </w:rPr>
              <w:t>的现场进行抢救工作，以及会同安全卫生部门和生产车间对职工进行防毒知识教育，组织事故抢救演习，负责防毒器具的发放、管理、维护、检验。</w:t>
            </w:r>
          </w:p>
          <w:p w14:paraId="7DC7A57D">
            <w:pPr>
              <w:spacing w:line="360" w:lineRule="auto"/>
              <w:ind w:firstLine="480" w:firstLineChars="200"/>
              <w:rPr>
                <w:rFonts w:hint="eastAsia" w:ascii="Times New Roman" w:hAnsi="Times New Roman" w:eastAsia="宋体" w:cs="Times New Roman"/>
                <w:b w:val="0"/>
                <w:color w:val="000000" w:themeColor="text1"/>
                <w:sz w:val="24"/>
                <w:highlight w:val="none"/>
                <w14:textFill>
                  <w14:solidFill>
                    <w14:schemeClr w14:val="tx1"/>
                  </w14:solidFill>
                </w14:textFill>
              </w:rPr>
            </w:pPr>
            <w:r>
              <w:rPr>
                <w:rFonts w:hint="eastAsia" w:ascii="Times New Roman" w:hAnsi="Times New Roman" w:eastAsia="宋体" w:cs="Times New Roman"/>
                <w:b w:val="0"/>
                <w:color w:val="000000" w:themeColor="text1"/>
                <w:sz w:val="24"/>
                <w:highlight w:val="none"/>
                <w:lang w:val="en-US" w:eastAsia="zh-CN"/>
                <w14:textFill>
                  <w14:solidFill>
                    <w14:schemeClr w14:val="tx1"/>
                  </w14:solidFill>
                </w14:textFill>
              </w:rPr>
              <w:t>2</w:t>
            </w:r>
            <w:r>
              <w:rPr>
                <w:rFonts w:hint="eastAsia" w:ascii="Times New Roman" w:hAnsi="Times New Roman" w:eastAsia="宋体" w:cs="Times New Roman"/>
                <w:b w:val="0"/>
                <w:color w:val="000000" w:themeColor="text1"/>
                <w:sz w:val="24"/>
                <w:highlight w:val="none"/>
                <w:lang w:eastAsia="zh-CN"/>
                <w14:textFill>
                  <w14:solidFill>
                    <w14:schemeClr w14:val="tx1"/>
                  </w14:solidFill>
                </w14:textFill>
              </w:rPr>
              <w:t>）</w:t>
            </w:r>
            <w:r>
              <w:rPr>
                <w:rFonts w:hint="eastAsia" w:ascii="Times New Roman" w:hAnsi="Times New Roman" w:eastAsia="宋体" w:cs="Times New Roman"/>
                <w:b w:val="0"/>
                <w:color w:val="000000" w:themeColor="text1"/>
                <w:sz w:val="24"/>
                <w:highlight w:val="none"/>
                <w14:textFill>
                  <w14:solidFill>
                    <w14:schemeClr w14:val="tx1"/>
                  </w14:solidFill>
                </w14:textFill>
              </w:rPr>
              <w:t>防止事故气态污染物向环境转移</w:t>
            </w:r>
          </w:p>
          <w:p w14:paraId="6D7EFC4E">
            <w:pPr>
              <w:spacing w:line="360" w:lineRule="auto"/>
              <w:ind w:firstLine="480" w:firstLineChars="200"/>
              <w:rPr>
                <w:rFonts w:hint="eastAsia" w:ascii="Times New Roman" w:hAnsi="Times New Roman" w:eastAsia="宋体" w:cs="Times New Roman"/>
                <w:color w:val="000000" w:themeColor="text1"/>
                <w:sz w:val="24"/>
                <w:highlight w:val="none"/>
                <w14:textFill>
                  <w14:solidFill>
                    <w14:schemeClr w14:val="tx1"/>
                  </w14:solidFill>
                </w14:textFill>
              </w:rPr>
            </w:pPr>
            <w:r>
              <w:rPr>
                <w:rFonts w:hint="eastAsia" w:ascii="Times New Roman" w:hAnsi="Times New Roman" w:eastAsia="宋体" w:cs="Times New Roman"/>
                <w:color w:val="000000" w:themeColor="text1"/>
                <w:sz w:val="24"/>
                <w:highlight w:val="none"/>
                <w14:textFill>
                  <w14:solidFill>
                    <w14:schemeClr w14:val="tx1"/>
                  </w14:solidFill>
                </w14:textFill>
              </w:rPr>
              <w:t>控制和减少事故情况下毒物和污染物从大气途径进入环境，重点危险源废气系统设置收集装置并与火炬相接，事故时收集事故废气转入火炬系统焚烧。</w:t>
            </w:r>
          </w:p>
          <w:p w14:paraId="6D386B2D">
            <w:pPr>
              <w:spacing w:line="360" w:lineRule="auto"/>
              <w:ind w:firstLine="480" w:firstLineChars="200"/>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eastAsia" w:ascii="Times New Roman" w:hAnsi="Times New Roman" w:eastAsia="宋体" w:cs="Times New Roman"/>
                <w:color w:val="000000" w:themeColor="text1"/>
                <w:sz w:val="24"/>
                <w:highlight w:val="none"/>
                <w14:textFill>
                  <w14:solidFill>
                    <w14:schemeClr w14:val="tx1"/>
                  </w14:solidFill>
                </w14:textFill>
              </w:rPr>
              <w:t>燃烧、爆炸过程中产生一氧化碳、二氧化碳及水等通过消防水吸收或被消防泡沫覆盖，减少对大气环境的污染。</w:t>
            </w:r>
          </w:p>
          <w:p w14:paraId="594AC0A4">
            <w:pPr>
              <w:spacing w:line="360" w:lineRule="auto"/>
              <w:ind w:firstLine="480" w:firstLineChars="200"/>
              <w:rPr>
                <w:rFonts w:hint="eastAsia" w:ascii="Times New Roman" w:hAnsi="Times New Roman" w:eastAsia="宋体" w:cs="Times New Roman"/>
                <w:color w:val="000000" w:themeColor="text1"/>
                <w:sz w:val="24"/>
                <w:highlight w:val="none"/>
                <w14:textFill>
                  <w14:solidFill>
                    <w14:schemeClr w14:val="tx1"/>
                  </w14:solidFill>
                </w14:textFill>
              </w:rPr>
            </w:pPr>
            <w:r>
              <w:rPr>
                <w:rFonts w:hint="eastAsia" w:ascii="Times New Roman" w:hAnsi="Times New Roman" w:eastAsia="宋体" w:cs="Times New Roman"/>
                <w:color w:val="000000" w:themeColor="text1"/>
                <w:sz w:val="24"/>
                <w:highlight w:val="none"/>
                <w14:textFill>
                  <w14:solidFill>
                    <w14:schemeClr w14:val="tx1"/>
                  </w14:solidFill>
                </w14:textFill>
              </w:rPr>
              <w:t>对于泄漏的气态有毒物料，应尽快切断泄漏源，防止进入排水沟等</w:t>
            </w:r>
            <w:r>
              <w:rPr>
                <w:rFonts w:hint="eastAsia" w:cs="Times New Roman"/>
                <w:color w:val="000000" w:themeColor="text1"/>
                <w:sz w:val="24"/>
                <w:highlight w:val="none"/>
                <w:lang w:eastAsia="zh-CN"/>
                <w14:textFill>
                  <w14:solidFill>
                    <w14:schemeClr w14:val="tx1"/>
                  </w14:solidFill>
                </w14:textFill>
              </w:rPr>
              <w:t>限制性</w:t>
            </w:r>
            <w:r>
              <w:rPr>
                <w:rFonts w:hint="eastAsia" w:ascii="Times New Roman" w:hAnsi="Times New Roman" w:eastAsia="宋体" w:cs="Times New Roman"/>
                <w:color w:val="000000" w:themeColor="text1"/>
                <w:sz w:val="24"/>
                <w:highlight w:val="none"/>
                <w14:textFill>
                  <w14:solidFill>
                    <w14:schemeClr w14:val="tx1"/>
                  </w14:solidFill>
                </w14:textFill>
              </w:rPr>
              <w:t>空间；对于小量的泄漏可用砂土或</w:t>
            </w:r>
            <w:r>
              <w:rPr>
                <w:rFonts w:hint="eastAsia" w:cs="Times New Roman"/>
                <w:color w:val="000000" w:themeColor="text1"/>
                <w:sz w:val="24"/>
                <w:highlight w:val="none"/>
                <w:lang w:eastAsia="zh-CN"/>
                <w14:textFill>
                  <w14:solidFill>
                    <w14:schemeClr w14:val="tx1"/>
                  </w14:solidFill>
                </w14:textFill>
              </w:rPr>
              <w:t>其他不</w:t>
            </w:r>
            <w:r>
              <w:rPr>
                <w:rFonts w:hint="eastAsia" w:ascii="Times New Roman" w:hAnsi="Times New Roman" w:eastAsia="宋体" w:cs="Times New Roman"/>
                <w:color w:val="000000" w:themeColor="text1"/>
                <w:sz w:val="24"/>
                <w:highlight w:val="none"/>
                <w14:textFill>
                  <w14:solidFill>
                    <w14:schemeClr w14:val="tx1"/>
                  </w14:solidFill>
                </w14:textFill>
              </w:rPr>
              <w:t>燃材料吸附，也可用大量水冲洗，冲洗后的污染须经稀释后方可排放废水系统；对于泄漏量大的，应构筑围堤或挖坑收容，也可用泡沫覆盖，降低蒸气灾害，用防爆泵转移至槽车或专用收集器内，回收或运至废物处理场所处置。</w:t>
            </w:r>
          </w:p>
          <w:p w14:paraId="5919CA28">
            <w:pPr>
              <w:spacing w:line="360" w:lineRule="auto"/>
              <w:ind w:firstLine="480" w:firstLineChars="200"/>
              <w:rPr>
                <w:rFonts w:hint="eastAsia" w:ascii="Times New Roman" w:hAnsi="Times New Roman" w:eastAsia="宋体" w:cs="Times New Roman"/>
                <w:b w:val="0"/>
                <w:color w:val="000000" w:themeColor="text1"/>
                <w:sz w:val="24"/>
                <w:highlight w:val="none"/>
                <w14:textFill>
                  <w14:solidFill>
                    <w14:schemeClr w14:val="tx1"/>
                  </w14:solidFill>
                </w14:textFill>
              </w:rPr>
            </w:pPr>
            <w:r>
              <w:rPr>
                <w:rFonts w:hint="eastAsia" w:ascii="Times New Roman" w:hAnsi="Times New Roman" w:eastAsia="宋体" w:cs="Times New Roman"/>
                <w:b w:val="0"/>
                <w:color w:val="000000" w:themeColor="text1"/>
                <w:sz w:val="24"/>
                <w:highlight w:val="none"/>
                <w:lang w:val="en-US" w:eastAsia="zh-CN"/>
                <w14:textFill>
                  <w14:solidFill>
                    <w14:schemeClr w14:val="tx1"/>
                  </w14:solidFill>
                </w14:textFill>
              </w:rPr>
              <w:t>3</w:t>
            </w:r>
            <w:r>
              <w:rPr>
                <w:rFonts w:hint="eastAsia" w:ascii="Times New Roman" w:hAnsi="Times New Roman" w:eastAsia="宋体" w:cs="Times New Roman"/>
                <w:b w:val="0"/>
                <w:color w:val="000000" w:themeColor="text1"/>
                <w:sz w:val="24"/>
                <w:highlight w:val="none"/>
                <w:lang w:eastAsia="zh-CN"/>
                <w14:textFill>
                  <w14:solidFill>
                    <w14:schemeClr w14:val="tx1"/>
                  </w14:solidFill>
                </w14:textFill>
              </w:rPr>
              <w:t>）</w:t>
            </w:r>
            <w:r>
              <w:rPr>
                <w:rFonts w:hint="eastAsia" w:ascii="Times New Roman" w:hAnsi="Times New Roman" w:eastAsia="宋体" w:cs="Times New Roman"/>
                <w:b w:val="0"/>
                <w:color w:val="000000" w:themeColor="text1"/>
                <w:sz w:val="24"/>
                <w:highlight w:val="none"/>
                <w14:textFill>
                  <w14:solidFill>
                    <w14:schemeClr w14:val="tx1"/>
                  </w14:solidFill>
                </w14:textFill>
              </w:rPr>
              <w:t>人员疏散、安置建议措施</w:t>
            </w:r>
          </w:p>
          <w:p w14:paraId="60BBB4EA">
            <w:pPr>
              <w:spacing w:line="360" w:lineRule="auto"/>
              <w:ind w:firstLine="480" w:firstLineChars="200"/>
              <w:rPr>
                <w:rFonts w:hint="eastAsia" w:ascii="Times New Roman" w:hAnsi="Times New Roman" w:eastAsia="宋体" w:cs="Times New Roman"/>
                <w:color w:val="000000" w:themeColor="text1"/>
                <w:sz w:val="24"/>
                <w:highlight w:val="none"/>
                <w14:textFill>
                  <w14:solidFill>
                    <w14:schemeClr w14:val="tx1"/>
                  </w14:solidFill>
                </w14:textFill>
              </w:rPr>
            </w:pPr>
            <w:r>
              <w:rPr>
                <w:rFonts w:hint="eastAsia" w:ascii="Times New Roman" w:hAnsi="Times New Roman" w:eastAsia="宋体" w:cs="Times New Roman"/>
                <w:color w:val="000000" w:themeColor="text1"/>
                <w:sz w:val="24"/>
                <w:highlight w:val="none"/>
                <w14:textFill>
                  <w14:solidFill>
                    <w14:schemeClr w14:val="tx1"/>
                  </w14:solidFill>
                </w14:textFill>
              </w:rPr>
              <w:t>建议业主根据最大影响范围设定环境风险防范区，环境风险防范区内的人群应作为紧急撤离目标，并确保能够在60min内撤离至安全地点。</w:t>
            </w:r>
          </w:p>
          <w:p w14:paraId="4AF92F9F">
            <w:pPr>
              <w:spacing w:line="360" w:lineRule="auto"/>
              <w:ind w:firstLine="480" w:firstLineChars="200"/>
              <w:rPr>
                <w:rFonts w:hint="eastAsia" w:ascii="Times New Roman" w:hAnsi="Times New Roman" w:eastAsia="宋体" w:cs="Times New Roman"/>
                <w:color w:val="000000" w:themeColor="text1"/>
                <w:sz w:val="24"/>
                <w:highlight w:val="none"/>
                <w14:textFill>
                  <w14:solidFill>
                    <w14:schemeClr w14:val="tx1"/>
                  </w14:solidFill>
                </w14:textFill>
              </w:rPr>
            </w:pPr>
            <w:r>
              <w:rPr>
                <w:rFonts w:hint="eastAsia" w:ascii="Times New Roman" w:hAnsi="Times New Roman" w:eastAsia="宋体" w:cs="Times New Roman"/>
                <w:color w:val="000000" w:themeColor="text1"/>
                <w:sz w:val="24"/>
                <w:highlight w:val="none"/>
                <w14:textFill>
                  <w14:solidFill>
                    <w14:schemeClr w14:val="tx1"/>
                  </w14:solidFill>
                </w14:textFill>
              </w:rPr>
              <w:t>现场紧急撤离时，应按照事故现场风向、周边居民分布及公众对毒物应急剂量控制的规定，制定人员紧急撤离、疏散计划和医疗救护方案。同时厂内需要在高点设立明显的风向标，确定安全疏散路线。事故发生后，应根据化学品泄漏的扩散情况及时通知政府相关部门，并通过厂区高音喇叭通知周边人群及时疏散。紧急疏散时应注意：</w:t>
            </w:r>
          </w:p>
          <w:p w14:paraId="2F8386B1">
            <w:pPr>
              <w:spacing w:line="360" w:lineRule="auto"/>
              <w:ind w:firstLine="480" w:firstLineChars="200"/>
              <w:rPr>
                <w:rFonts w:hint="eastAsia" w:ascii="Times New Roman" w:hAnsi="Times New Roman" w:eastAsia="宋体" w:cs="Times New Roman"/>
                <w:color w:val="000000" w:themeColor="text1"/>
                <w:sz w:val="24"/>
                <w:highlight w:val="none"/>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①</w:t>
            </w:r>
            <w:r>
              <w:rPr>
                <w:rFonts w:hint="eastAsia" w:ascii="Times New Roman" w:hAnsi="Times New Roman" w:eastAsia="宋体" w:cs="Times New Roman"/>
                <w:color w:val="000000" w:themeColor="text1"/>
                <w:sz w:val="24"/>
                <w:highlight w:val="none"/>
                <w14:textFill>
                  <w14:solidFill>
                    <w14:schemeClr w14:val="tx1"/>
                  </w14:solidFill>
                </w14:textFill>
              </w:rPr>
              <w:t>必要时采取佩戴呼吸器具、佩戴个人防护用品或采用其他简易有效的防护措施（戴防护眼镜或用浸湿毛巾捂住口鼻、减少皮肤外露等各种措施进行自身防护）。</w:t>
            </w:r>
          </w:p>
          <w:p w14:paraId="119802A9">
            <w:pPr>
              <w:spacing w:line="360" w:lineRule="auto"/>
              <w:ind w:firstLine="480" w:firstLineChars="200"/>
              <w:rPr>
                <w:rFonts w:hint="eastAsia" w:ascii="Times New Roman" w:hAnsi="Times New Roman" w:eastAsia="宋体" w:cs="Times New Roman"/>
                <w:color w:val="000000" w:themeColor="text1"/>
                <w:sz w:val="24"/>
                <w:highlight w:val="none"/>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②</w:t>
            </w:r>
            <w:r>
              <w:rPr>
                <w:rFonts w:hint="eastAsia" w:ascii="Times New Roman" w:hAnsi="Times New Roman" w:eastAsia="宋体" w:cs="Times New Roman"/>
                <w:color w:val="000000" w:themeColor="text1"/>
                <w:sz w:val="24"/>
                <w:highlight w:val="none"/>
                <w14:textFill>
                  <w14:solidFill>
                    <w14:schemeClr w14:val="tx1"/>
                  </w14:solidFill>
                </w14:textFill>
              </w:rPr>
              <w:t>应向上风向、高地势转移，迅速撤出危险区域可能受到危害的人员（在上风向无撤离通道时，也应避免沿下风向撤离），并由专人引导和护送疏散人员到安全区域，在疏散或撤离的路线上设立哨位，指明疏散、撤离的方向。</w:t>
            </w:r>
          </w:p>
          <w:p w14:paraId="21A65C02">
            <w:pPr>
              <w:spacing w:line="360" w:lineRule="auto"/>
              <w:ind w:firstLine="480" w:firstLineChars="200"/>
              <w:rPr>
                <w:rFonts w:hint="eastAsia" w:ascii="Times New Roman" w:hAnsi="Times New Roman" w:eastAsia="宋体" w:cs="Times New Roman"/>
                <w:color w:val="000000" w:themeColor="text1"/>
                <w:sz w:val="24"/>
                <w:highlight w:val="none"/>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③</w:t>
            </w:r>
            <w:r>
              <w:rPr>
                <w:rFonts w:hint="eastAsia" w:ascii="Times New Roman" w:hAnsi="Times New Roman" w:eastAsia="宋体" w:cs="Times New Roman"/>
                <w:color w:val="000000" w:themeColor="text1"/>
                <w:sz w:val="24"/>
                <w:highlight w:val="none"/>
                <w14:textFill>
                  <w14:solidFill>
                    <w14:schemeClr w14:val="tx1"/>
                  </w14:solidFill>
                </w14:textFill>
              </w:rPr>
              <w:t>按照设定的危险区域，设立警戒线，并在通往事故现场的主要干道上实行交通管制。</w:t>
            </w:r>
          </w:p>
          <w:p w14:paraId="3B1ADF5F">
            <w:pPr>
              <w:spacing w:line="360" w:lineRule="auto"/>
              <w:ind w:firstLine="480" w:firstLineChars="200"/>
              <w:rPr>
                <w:rFonts w:hint="eastAsia" w:ascii="Times New Roman" w:hAnsi="Times New Roman" w:eastAsia="宋体" w:cs="Times New Roman"/>
                <w:color w:val="000000" w:themeColor="text1"/>
                <w:sz w:val="24"/>
                <w:highlight w:val="none"/>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④</w:t>
            </w:r>
            <w:r>
              <w:rPr>
                <w:rFonts w:hint="eastAsia" w:ascii="Times New Roman" w:hAnsi="Times New Roman" w:eastAsia="宋体" w:cs="Times New Roman"/>
                <w:color w:val="000000" w:themeColor="text1"/>
                <w:sz w:val="24"/>
                <w:highlight w:val="none"/>
                <w14:textFill>
                  <w14:solidFill>
                    <w14:schemeClr w14:val="tx1"/>
                  </w14:solidFill>
                </w14:textFill>
              </w:rPr>
              <w:t>在污染区域和可能污染区域立即进行布点监测，根据监测数据及时调整疏散范围。</w:t>
            </w:r>
          </w:p>
          <w:p w14:paraId="458DB99E">
            <w:pPr>
              <w:spacing w:line="360" w:lineRule="auto"/>
              <w:ind w:firstLine="480" w:firstLineChars="200"/>
              <w:rPr>
                <w:rFonts w:hint="eastAsia" w:ascii="Times New Roman" w:hAnsi="Times New Roman" w:eastAsia="宋体" w:cs="Times New Roman"/>
                <w:color w:val="000000" w:themeColor="text1"/>
                <w:sz w:val="24"/>
                <w:highlight w:val="none"/>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⑤</w:t>
            </w:r>
            <w:r>
              <w:rPr>
                <w:rFonts w:hint="eastAsia" w:ascii="Times New Roman" w:hAnsi="Times New Roman" w:eastAsia="宋体" w:cs="Times New Roman"/>
                <w:color w:val="000000" w:themeColor="text1"/>
                <w:sz w:val="24"/>
                <w:highlight w:val="none"/>
                <w14:textFill>
                  <w14:solidFill>
                    <w14:schemeClr w14:val="tx1"/>
                  </w14:solidFill>
                </w14:textFill>
              </w:rPr>
              <w:t>为受灾群众提供避难场所以及必要的基本生活保障，配合政府部门进行受灾群众的医疗救助、疾病控制、生活救助。</w:t>
            </w:r>
          </w:p>
          <w:p w14:paraId="6AE82D34">
            <w:pPr>
              <w:spacing w:line="360" w:lineRule="auto"/>
              <w:ind w:firstLine="480" w:firstLineChars="200"/>
              <w:rPr>
                <w:rFonts w:hint="default" w:ascii="Times New Roman" w:hAnsi="Times New Roman" w:eastAsia="宋体" w:cs="Times New Roman"/>
                <w:b/>
                <w:bCs w:val="0"/>
                <w:color w:val="000000" w:themeColor="text1"/>
                <w:sz w:val="24"/>
                <w:szCs w:val="24"/>
                <w:highlight w:val="none"/>
                <w14:textFill>
                  <w14:solidFill>
                    <w14:schemeClr w14:val="tx1"/>
                  </w14:solidFill>
                </w14:textFill>
              </w:rPr>
            </w:pPr>
            <w:r>
              <w:rPr>
                <w:rFonts w:hint="eastAsia" w:ascii="Times New Roman" w:hAnsi="Times New Roman" w:eastAsia="宋体" w:cs="Times New Roman"/>
                <w:color w:val="000000" w:themeColor="text1"/>
                <w:sz w:val="24"/>
                <w:highlight w:val="none"/>
                <w14:textFill>
                  <w14:solidFill>
                    <w14:schemeClr w14:val="tx1"/>
                  </w14:solidFill>
                </w14:textFill>
              </w:rPr>
              <w:t>目前园区尚未规划紧急避难场所，园区内绿地、空地可作为临时避难场所。</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采取上述措施后，本项目大气环境风险可控</w:t>
            </w:r>
            <w:r>
              <w:rPr>
                <w:rFonts w:hint="eastAsia" w:ascii="Times New Roman" w:hAnsi="Times New Roman" w:eastAsia="宋体" w:cs="Times New Roman"/>
                <w:color w:val="000000" w:themeColor="text1"/>
                <w:sz w:val="24"/>
                <w:highlight w:val="none"/>
                <w14:textFill>
                  <w14:solidFill>
                    <w14:schemeClr w14:val="tx1"/>
                  </w14:solidFill>
                </w14:textFill>
              </w:rPr>
              <w:t>。</w:t>
            </w:r>
          </w:p>
          <w:p w14:paraId="18C8E3A0">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t>6.地下水环境影响分析</w:t>
            </w:r>
          </w:p>
          <w:p w14:paraId="06BA7452">
            <w:pPr>
              <w:keepNext w:val="0"/>
              <w:keepLines w:val="0"/>
              <w:pageBreakBefore w:val="0"/>
              <w:widowControl w:val="0"/>
              <w:kinsoku/>
              <w:wordWrap/>
              <w:overflowPunct/>
              <w:topLinePunct w:val="0"/>
              <w:autoSpaceDE/>
              <w:autoSpaceDN/>
              <w:bidi w:val="0"/>
              <w:adjustRightInd/>
              <w:snapToGrid/>
              <w:spacing w:line="360" w:lineRule="auto"/>
              <w:ind w:firstLine="466"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cs="Times New Roman"/>
                <w:b/>
                <w:bCs/>
                <w:color w:val="000000" w:themeColor="text1"/>
                <w:spacing w:val="-4"/>
                <w:sz w:val="24"/>
                <w:szCs w:val="24"/>
                <w:highlight w:val="none"/>
                <w:lang w:val="en-US" w:eastAsia="zh-CN"/>
                <w14:textFill>
                  <w14:solidFill>
                    <w14:schemeClr w14:val="tx1"/>
                  </w14:solidFill>
                </w14:textFill>
              </w:rPr>
              <w:t>6</w:t>
            </w:r>
            <w:r>
              <w:rPr>
                <w:rFonts w:hint="default" w:ascii="Times New Roman" w:hAnsi="Times New Roman" w:cs="Times New Roman"/>
                <w:b/>
                <w:bCs/>
                <w:color w:val="000000" w:themeColor="text1"/>
                <w:spacing w:val="-4"/>
                <w:sz w:val="24"/>
                <w:szCs w:val="24"/>
                <w:highlight w:val="none"/>
                <w14:textFill>
                  <w14:solidFill>
                    <w14:schemeClr w14:val="tx1"/>
                  </w14:solidFill>
                </w14:textFill>
              </w:rPr>
              <w:t>.1地下水污染源及污染途径</w:t>
            </w:r>
          </w:p>
          <w:p w14:paraId="0002AD5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本项目物料干燥且均储存在筒仓内，场区地面做硬化，不存在地下水、土壤污染途径。且项目厂界外500m范围内无地下水集中式饮用水水源和热水、矿泉水、温泉等特殊地下水资源。项目防渗分区图见附图。</w:t>
            </w:r>
          </w:p>
          <w:p w14:paraId="213B4138">
            <w:pPr>
              <w:pStyle w:val="116"/>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pacing w:val="-2"/>
                <w:sz w:val="24"/>
                <w:szCs w:val="24"/>
                <w:highlight w:val="none"/>
                <w14:textFill>
                  <w14:solidFill>
                    <w14:schemeClr w14:val="tx1"/>
                  </w14:solidFill>
                </w14:textFill>
              </w:rPr>
              <w:t>根据项目排污特点，本项目污染地下水、土壤的途径主要有以</w:t>
            </w:r>
            <w:r>
              <w:rPr>
                <w:rFonts w:hint="default" w:ascii="Times New Roman" w:hAnsi="Times New Roman" w:cs="Times New Roman"/>
                <w:color w:val="000000" w:themeColor="text1"/>
                <w:spacing w:val="-3"/>
                <w:sz w:val="24"/>
                <w:szCs w:val="24"/>
                <w:highlight w:val="none"/>
                <w14:textFill>
                  <w14:solidFill>
                    <w14:schemeClr w14:val="tx1"/>
                  </w14:solidFill>
                </w14:textFill>
              </w:rPr>
              <w:t>下三种：</w:t>
            </w:r>
          </w:p>
          <w:p w14:paraId="7C1268E8">
            <w:pPr>
              <w:pStyle w:val="116"/>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①大气污染物通过沉降或降水进入土壤，造成</w:t>
            </w:r>
            <w:r>
              <w:rPr>
                <w:rFonts w:hint="default" w:ascii="Times New Roman" w:hAnsi="Times New Roman" w:cs="Times New Roman"/>
                <w:color w:val="000000" w:themeColor="text1"/>
                <w:spacing w:val="-1"/>
                <w:sz w:val="24"/>
                <w:szCs w:val="24"/>
                <w:highlight w:val="none"/>
                <w14:textFill>
                  <w14:solidFill>
                    <w14:schemeClr w14:val="tx1"/>
                  </w14:solidFill>
                </w14:textFill>
              </w:rPr>
              <w:t>地下水、土壤污染。本</w:t>
            </w:r>
            <w:r>
              <w:rPr>
                <w:rFonts w:hint="default" w:ascii="Times New Roman" w:hAnsi="Times New Roman" w:cs="Times New Roman"/>
                <w:color w:val="000000" w:themeColor="text1"/>
                <w:sz w:val="24"/>
                <w:szCs w:val="24"/>
                <w:highlight w:val="none"/>
                <w14:textFill>
                  <w14:solidFill>
                    <w14:schemeClr w14:val="tx1"/>
                  </w14:solidFill>
                </w14:textFill>
              </w:rPr>
              <w:t>项目对废气污染物排放采取了相应的处理措施</w:t>
            </w:r>
            <w:r>
              <w:rPr>
                <w:rFonts w:hint="default" w:ascii="Times New Roman" w:hAnsi="Times New Roman" w:cs="Times New Roman"/>
                <w:color w:val="000000" w:themeColor="text1"/>
                <w:spacing w:val="-1"/>
                <w:sz w:val="24"/>
                <w:szCs w:val="24"/>
                <w:highlight w:val="none"/>
                <w14:textFill>
                  <w14:solidFill>
                    <w14:schemeClr w14:val="tx1"/>
                  </w14:solidFill>
                </w14:textFill>
              </w:rPr>
              <w:t>，达标排放。</w:t>
            </w:r>
          </w:p>
          <w:p w14:paraId="7216FEB6">
            <w:pPr>
              <w:pStyle w:val="116"/>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②项目产生的废水处理设施等防渗措施不到位或</w:t>
            </w:r>
            <w:r>
              <w:rPr>
                <w:rFonts w:hint="default" w:ascii="Times New Roman" w:hAnsi="Times New Roman" w:cs="Times New Roman"/>
                <w:color w:val="000000" w:themeColor="text1"/>
                <w:spacing w:val="-1"/>
                <w:sz w:val="24"/>
                <w:szCs w:val="24"/>
                <w:highlight w:val="none"/>
                <w14:textFill>
                  <w14:solidFill>
                    <w14:schemeClr w14:val="tx1"/>
                  </w14:solidFill>
                </w14:textFill>
              </w:rPr>
              <w:t>发生事故性排放，废</w:t>
            </w:r>
            <w:r>
              <w:rPr>
                <w:rFonts w:hint="default" w:ascii="Times New Roman" w:hAnsi="Times New Roman" w:cs="Times New Roman"/>
                <w:color w:val="000000" w:themeColor="text1"/>
                <w:sz w:val="24"/>
                <w:szCs w:val="24"/>
                <w:highlight w:val="none"/>
                <w14:textFill>
                  <w14:solidFill>
                    <w14:schemeClr w14:val="tx1"/>
                  </w14:solidFill>
                </w14:textFill>
              </w:rPr>
              <w:t>水可能会下渗对地下水、土壤产生污染。本项目工作人员产生生活垃圾集中收集后委托当地环卫部门要求统一处理。</w:t>
            </w:r>
          </w:p>
          <w:p w14:paraId="769E9094">
            <w:pPr>
              <w:pStyle w:val="116"/>
              <w:keepNext w:val="0"/>
              <w:keepLines w:val="0"/>
              <w:pageBreakBefore w:val="0"/>
              <w:widowControl w:val="0"/>
              <w:kinsoku w:val="0"/>
              <w:wordWrap/>
              <w:overflowPunct/>
              <w:topLinePunct w:val="0"/>
              <w:autoSpaceDE w:val="0"/>
              <w:autoSpaceDN w:val="0"/>
              <w:bidi w:val="0"/>
              <w:adjustRightInd w:val="0"/>
              <w:snapToGrid w:val="0"/>
              <w:spacing w:line="360" w:lineRule="auto"/>
              <w:ind w:left="0" w:right="0" w:firstLine="466" w:firstLineChars="200"/>
              <w:jc w:val="both"/>
              <w:textAlignment w:val="baseline"/>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b/>
                <w:bCs/>
                <w:color w:val="000000" w:themeColor="text1"/>
                <w:spacing w:val="-4"/>
                <w:sz w:val="24"/>
                <w:szCs w:val="24"/>
                <w:highlight w:val="none"/>
                <w:lang w:val="en-US" w:eastAsia="zh-CN"/>
                <w14:textFill>
                  <w14:solidFill>
                    <w14:schemeClr w14:val="tx1"/>
                  </w14:solidFill>
                </w14:textFill>
              </w:rPr>
              <w:t>6</w:t>
            </w:r>
            <w:r>
              <w:rPr>
                <w:rFonts w:hint="default" w:ascii="Times New Roman" w:hAnsi="Times New Roman" w:cs="Times New Roman"/>
                <w:b/>
                <w:bCs/>
                <w:color w:val="000000" w:themeColor="text1"/>
                <w:spacing w:val="-4"/>
                <w:sz w:val="24"/>
                <w:szCs w:val="24"/>
                <w:highlight w:val="none"/>
                <w14:textFill>
                  <w14:solidFill>
                    <w14:schemeClr w14:val="tx1"/>
                  </w14:solidFill>
                </w14:textFill>
              </w:rPr>
              <w:t>.2分区防控要求</w:t>
            </w:r>
          </w:p>
          <w:p w14:paraId="0615B1B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为了最大程度</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减少</w:t>
            </w:r>
            <w:r>
              <w:rPr>
                <w:rFonts w:hint="default" w:ascii="Times New Roman" w:hAnsi="Times New Roman" w:eastAsia="宋体" w:cs="Times New Roman"/>
                <w:color w:val="000000" w:themeColor="text1"/>
                <w:sz w:val="24"/>
                <w:szCs w:val="24"/>
                <w:highlight w:val="none"/>
                <w14:textFill>
                  <w14:solidFill>
                    <w14:schemeClr w14:val="tx1"/>
                  </w14:solidFill>
                </w14:textFill>
              </w:rPr>
              <w:t>项目对地下水及土壤环境产生影响，本项目采取源头控制、分区防渗措施，具体防治措施如下：</w:t>
            </w:r>
          </w:p>
          <w:p w14:paraId="6E4663C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①源头控制措施</w:t>
            </w:r>
          </w:p>
          <w:p w14:paraId="04AE786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本次环评要求从源头上采取措施防止和降低污染物的跑、冒、滴、漏，主要包括：加强</w:t>
            </w:r>
            <w:r>
              <w:rPr>
                <w:rFonts w:hint="eastAsia" w:cs="Times New Roman"/>
                <w:color w:val="000000" w:themeColor="text1"/>
                <w:sz w:val="24"/>
                <w:szCs w:val="24"/>
                <w:highlight w:val="none"/>
                <w:lang w:val="en-US" w:eastAsia="zh-CN"/>
                <w14:textFill>
                  <w14:solidFill>
                    <w14:schemeClr w14:val="tx1"/>
                  </w14:solidFill>
                </w14:textFill>
              </w:rPr>
              <w:t>脱硫设施</w:t>
            </w:r>
            <w:r>
              <w:rPr>
                <w:rFonts w:hint="default" w:ascii="Times New Roman" w:hAnsi="Times New Roman" w:eastAsia="宋体" w:cs="Times New Roman"/>
                <w:color w:val="000000" w:themeColor="text1"/>
                <w:sz w:val="24"/>
                <w:szCs w:val="24"/>
                <w:highlight w:val="none"/>
                <w14:textFill>
                  <w14:solidFill>
                    <w14:schemeClr w14:val="tx1"/>
                  </w14:solidFill>
                </w14:textFill>
              </w:rPr>
              <w:t>、生产装置日常操作管理，尽量减少物料</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泄漏</w:t>
            </w:r>
            <w:r>
              <w:rPr>
                <w:rFonts w:hint="default" w:ascii="Times New Roman" w:hAnsi="Times New Roman" w:eastAsia="宋体" w:cs="Times New Roman"/>
                <w:color w:val="000000" w:themeColor="text1"/>
                <w:sz w:val="24"/>
                <w:szCs w:val="24"/>
                <w:highlight w:val="none"/>
                <w14:textFill>
                  <w14:solidFill>
                    <w14:schemeClr w14:val="tx1"/>
                  </w14:solidFill>
                </w14:textFill>
              </w:rPr>
              <w:t>；废水收集系统采用防渗、防腐、防漏处理，并进行定期检查，确保消除跑、冒、滴、漏现象发生；加强危险废物收集过程的检查维护，避免发生跑、冒、滴、漏现象，严格按照《危险废物贮存污染控制标准》</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GB18597-2023</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14:textFill>
                  <w14:solidFill>
                    <w14:schemeClr w14:val="tx1"/>
                  </w14:solidFill>
                </w14:textFill>
              </w:rPr>
              <w:t>做好日常维护工作。</w:t>
            </w:r>
          </w:p>
          <w:p w14:paraId="628E31E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②分区防渗措施</w:t>
            </w:r>
          </w:p>
          <w:p w14:paraId="063074F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本工程应根据污水产生排放特点划分污染防治区，主要针对厂区提出不同区域的地面防渗方案，本项目防渗分区方案见</w:t>
            </w:r>
            <w:r>
              <w:rPr>
                <w:rFonts w:hint="eastAsia" w:cs="Times New Roman"/>
                <w:color w:val="000000" w:themeColor="text1"/>
                <w:sz w:val="24"/>
                <w:szCs w:val="24"/>
                <w:highlight w:val="none"/>
                <w:lang w:val="en-US" w:eastAsia="zh-CN"/>
                <w14:textFill>
                  <w14:solidFill>
                    <w14:schemeClr w14:val="tx1"/>
                  </w14:solidFill>
                </w14:textFill>
              </w:rPr>
              <w:t>下</w:t>
            </w:r>
            <w:r>
              <w:rPr>
                <w:rFonts w:hint="default" w:ascii="Times New Roman" w:hAnsi="Times New Roman" w:eastAsia="宋体" w:cs="Times New Roman"/>
                <w:color w:val="000000" w:themeColor="text1"/>
                <w:sz w:val="24"/>
                <w:szCs w:val="24"/>
                <w:highlight w:val="none"/>
                <w14:textFill>
                  <w14:solidFill>
                    <w14:schemeClr w14:val="tx1"/>
                  </w14:solidFill>
                </w14:textFill>
              </w:rPr>
              <w:t>表。</w:t>
            </w:r>
          </w:p>
          <w:p w14:paraId="65983B31">
            <w:pPr>
              <w:ind w:firstLine="482" w:firstLineChars="200"/>
              <w:jc w:val="center"/>
              <w:rPr>
                <w:rFonts w:hint="default" w:ascii="Times New Roman" w:hAnsi="Times New Roman" w:eastAsia="宋体" w:cs="Times New Roman"/>
                <w:b/>
                <w:color w:val="000000" w:themeColor="text1"/>
                <w:sz w:val="24"/>
                <w:highlight w:val="none"/>
                <w14:textFill>
                  <w14:solidFill>
                    <w14:schemeClr w14:val="tx1"/>
                  </w14:solidFill>
                </w14:textFill>
              </w:rPr>
            </w:pPr>
          </w:p>
          <w:p w14:paraId="22FFEE01">
            <w:pPr>
              <w:ind w:firstLine="482" w:firstLineChars="200"/>
              <w:jc w:val="center"/>
              <w:rPr>
                <w:rFonts w:hint="default" w:ascii="Times New Roman" w:hAnsi="Times New Roman" w:eastAsia="宋体" w:cs="Times New Roman"/>
                <w:b/>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sz w:val="24"/>
                <w:highlight w:val="none"/>
                <w14:textFill>
                  <w14:solidFill>
                    <w14:schemeClr w14:val="tx1"/>
                  </w14:solidFill>
                </w14:textFill>
              </w:rPr>
              <w:t>表4</w:t>
            </w:r>
            <w:r>
              <w:rPr>
                <w:rFonts w:hint="default" w:ascii="Times New Roman" w:hAnsi="Times New Roman" w:eastAsia="宋体" w:cs="Times New Roman"/>
                <w:b/>
                <w:color w:val="000000" w:themeColor="text1"/>
                <w:sz w:val="24"/>
                <w:highlight w:val="none"/>
                <w:lang w:val="en-US" w:eastAsia="zh-CN"/>
                <w14:textFill>
                  <w14:solidFill>
                    <w14:schemeClr w14:val="tx1"/>
                  </w14:solidFill>
                </w14:textFill>
              </w:rPr>
              <w:t>-2</w:t>
            </w:r>
            <w:r>
              <w:rPr>
                <w:rFonts w:hint="eastAsia" w:cs="Times New Roman"/>
                <w:b/>
                <w:color w:val="000000" w:themeColor="text1"/>
                <w:sz w:val="24"/>
                <w:highlight w:val="none"/>
                <w:lang w:val="en-US" w:eastAsia="zh-CN"/>
                <w14:textFill>
                  <w14:solidFill>
                    <w14:schemeClr w14:val="tx1"/>
                  </w14:solidFill>
                </w14:textFill>
              </w:rPr>
              <w:t>5</w:t>
            </w:r>
            <w:r>
              <w:rPr>
                <w:rFonts w:hint="default" w:ascii="Times New Roman" w:hAnsi="Times New Roman" w:eastAsia="宋体" w:cs="Times New Roman"/>
                <w:b/>
                <w:color w:val="000000" w:themeColor="text1"/>
                <w:sz w:val="24"/>
                <w:highlight w:val="none"/>
                <w14:textFill>
                  <w14:solidFill>
                    <w14:schemeClr w14:val="tx1"/>
                  </w14:solidFill>
                </w14:textFill>
              </w:rPr>
              <w:t>防渗分区表</w:t>
            </w:r>
          </w:p>
          <w:tbl>
            <w:tblPr>
              <w:tblStyle w:val="25"/>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38"/>
              <w:gridCol w:w="1214"/>
              <w:gridCol w:w="3492"/>
            </w:tblGrid>
            <w:tr w14:paraId="0E7F1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7" w:type="pct"/>
                  <w:noWrap w:val="0"/>
                  <w:vAlign w:val="center"/>
                </w:tcPr>
                <w:p w14:paraId="5D2F3FEA">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pacing w:val="8"/>
                      <w:sz w:val="21"/>
                      <w:szCs w:val="21"/>
                      <w:highlight w:val="none"/>
                      <w14:textFill>
                        <w14:solidFill>
                          <w14:schemeClr w14:val="tx1"/>
                        </w14:solidFill>
                      </w14:textFill>
                    </w:rPr>
                    <w:t>区域</w:t>
                  </w:r>
                  <w:r>
                    <w:rPr>
                      <w:rFonts w:hint="default" w:ascii="Times New Roman" w:hAnsi="Times New Roman" w:cs="Times New Roman"/>
                      <w:color w:val="000000" w:themeColor="text1"/>
                      <w:spacing w:val="8"/>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8"/>
                      <w:sz w:val="21"/>
                      <w:szCs w:val="21"/>
                      <w:highlight w:val="none"/>
                      <w14:textFill>
                        <w14:solidFill>
                          <w14:schemeClr w14:val="tx1"/>
                        </w14:solidFill>
                      </w14:textFill>
                    </w:rPr>
                    <w:t>设施</w:t>
                  </w:r>
                  <w:r>
                    <w:rPr>
                      <w:rFonts w:hint="default" w:ascii="Times New Roman" w:hAnsi="Times New Roman" w:cs="Times New Roman"/>
                      <w:color w:val="000000" w:themeColor="text1"/>
                      <w:spacing w:val="8"/>
                      <w:sz w:val="21"/>
                      <w:szCs w:val="21"/>
                      <w:highlight w:val="none"/>
                      <w:lang w:eastAsia="zh-CN"/>
                      <w14:textFill>
                        <w14:solidFill>
                          <w14:schemeClr w14:val="tx1"/>
                        </w14:solidFill>
                      </w14:textFill>
                    </w:rPr>
                    <w:t>）</w:t>
                  </w:r>
                </w:p>
              </w:tc>
              <w:tc>
                <w:tcPr>
                  <w:tcW w:w="764" w:type="pct"/>
                  <w:noWrap w:val="0"/>
                  <w:vAlign w:val="center"/>
                </w:tcPr>
                <w:p w14:paraId="3A2827A1">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pacing w:val="3"/>
                      <w:sz w:val="21"/>
                      <w:szCs w:val="21"/>
                      <w:highlight w:val="none"/>
                      <w14:textFill>
                        <w14:solidFill>
                          <w14:schemeClr w14:val="tx1"/>
                        </w14:solidFill>
                      </w14:textFill>
                    </w:rPr>
                    <w:t>防渗等级</w:t>
                  </w:r>
                </w:p>
              </w:tc>
              <w:tc>
                <w:tcPr>
                  <w:tcW w:w="2197" w:type="pct"/>
                  <w:noWrap w:val="0"/>
                  <w:vAlign w:val="center"/>
                </w:tcPr>
                <w:p w14:paraId="733047AF">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防渗技术要求</w:t>
                  </w:r>
                </w:p>
              </w:tc>
            </w:tr>
            <w:tr w14:paraId="2A593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7" w:type="pct"/>
                  <w:noWrap w:val="0"/>
                  <w:vAlign w:val="center"/>
                </w:tcPr>
                <w:p w14:paraId="55EA15BB">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石灰石-石膏脱硫装置区、三联箱处理装置区等</w:t>
                  </w:r>
                </w:p>
              </w:tc>
              <w:tc>
                <w:tcPr>
                  <w:tcW w:w="764" w:type="pct"/>
                  <w:vMerge w:val="restart"/>
                  <w:noWrap w:val="0"/>
                  <w:vAlign w:val="center"/>
                </w:tcPr>
                <w:p w14:paraId="48A8F646">
                  <w:pPr>
                    <w:pStyle w:val="11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000000" w:themeColor="text1"/>
                      <w:spacing w:val="-1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12"/>
                      <w:sz w:val="21"/>
                      <w:szCs w:val="21"/>
                      <w:highlight w:val="none"/>
                      <w14:textFill>
                        <w14:solidFill>
                          <w14:schemeClr w14:val="tx1"/>
                        </w14:solidFill>
                      </w14:textFill>
                    </w:rPr>
                    <w:t>重点</w:t>
                  </w:r>
                </w:p>
                <w:p w14:paraId="3E05AC92">
                  <w:pPr>
                    <w:pStyle w:val="11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pacing w:val="-12"/>
                      <w:sz w:val="21"/>
                      <w:szCs w:val="21"/>
                      <w:highlight w:val="none"/>
                      <w14:textFill>
                        <w14:solidFill>
                          <w14:schemeClr w14:val="tx1"/>
                        </w14:solidFill>
                      </w14:textFill>
                    </w:rPr>
                    <w:t>防渗区</w:t>
                  </w:r>
                </w:p>
              </w:tc>
              <w:tc>
                <w:tcPr>
                  <w:tcW w:w="2197" w:type="pct"/>
                  <w:vMerge w:val="restart"/>
                  <w:noWrap w:val="0"/>
                  <w:vAlign w:val="center"/>
                </w:tcPr>
                <w:p w14:paraId="46885167">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等效于M=6m厚粘土，渗透系数不大于10</w:t>
                  </w:r>
                  <w:r>
                    <w:rPr>
                      <w:rFonts w:hint="default" w:ascii="Times New Roman" w:hAnsi="Times New Roman" w:eastAsia="宋体" w:cs="Times New Roman"/>
                      <w:color w:val="000000" w:themeColor="text1"/>
                      <w:spacing w:val="1"/>
                      <w:sz w:val="21"/>
                      <w:szCs w:val="21"/>
                      <w:highlight w:val="none"/>
                      <w:vertAlign w:val="superscript"/>
                      <w14:textFill>
                        <w14:solidFill>
                          <w14:schemeClr w14:val="tx1"/>
                        </w14:solidFill>
                      </w14:textFill>
                    </w:rPr>
                    <w:t>-</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⁷cm/s</w:t>
                  </w:r>
                  <w:r>
                    <w:rPr>
                      <w:rFonts w:hint="default" w:ascii="Times New Roman" w:hAnsi="Times New Roman" w:eastAsia="宋体" w:cs="Times New Roman"/>
                      <w:color w:val="000000" w:themeColor="text1"/>
                      <w:spacing w:val="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或等效于M=2mm厚高密度聚乙烯防渗层，渗透系数不大于10</w:t>
                  </w:r>
                  <w:r>
                    <w:rPr>
                      <w:rFonts w:hint="default" w:ascii="Times New Roman" w:hAnsi="Times New Roman" w:eastAsia="宋体" w:cs="Times New Roman"/>
                      <w:color w:val="000000" w:themeColor="text1"/>
                      <w:spacing w:val="1"/>
                      <w:sz w:val="21"/>
                      <w:szCs w:val="21"/>
                      <w:highlight w:val="none"/>
                      <w:vertAlign w:val="superscript"/>
                      <w14:textFill>
                        <w14:solidFill>
                          <w14:schemeClr w14:val="tx1"/>
                        </w14:solidFill>
                      </w14:textFill>
                    </w:rPr>
                    <w:t>-1</w:t>
                  </w:r>
                  <w:r>
                    <w:rPr>
                      <w:rFonts w:hint="default" w:ascii="Times New Roman" w:hAnsi="Times New Roman" w:eastAsia="宋体" w:cs="Times New Roman"/>
                      <w:color w:val="000000" w:themeColor="text1"/>
                      <w:spacing w:val="1"/>
                      <w:sz w:val="21"/>
                      <w:szCs w:val="21"/>
                      <w:highlight w:val="none"/>
                      <w:vertAlign w:val="superscript"/>
                      <w:lang w:val="en-US" w:eastAsia="zh-CN"/>
                      <w14:textFill>
                        <w14:solidFill>
                          <w14:schemeClr w14:val="tx1"/>
                        </w14:solidFill>
                      </w14:textFill>
                    </w:rPr>
                    <w:t>0</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cm/s</w:t>
                  </w:r>
                </w:p>
              </w:tc>
            </w:tr>
            <w:tr w14:paraId="5F0AF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7" w:type="pct"/>
                  <w:noWrap w:val="0"/>
                  <w:vAlign w:val="center"/>
                </w:tcPr>
                <w:p w14:paraId="24521624">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1"/>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危废</w:t>
                  </w:r>
                  <w: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间</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w:t>
                  </w:r>
                  <w:r>
                    <w:rPr>
                      <w:rFonts w:hint="eastAsia" w:ascii="Times New Roman" w:hAnsi="Times New Roman" w:cs="Times New Roman"/>
                      <w:color w:val="000000" w:themeColor="text1"/>
                      <w:spacing w:val="1"/>
                      <w:sz w:val="21"/>
                      <w:szCs w:val="21"/>
                      <w:highlight w:val="none"/>
                      <w:lang w:val="en-US" w:eastAsia="zh-CN"/>
                      <w14:textFill>
                        <w14:solidFill>
                          <w14:schemeClr w14:val="tx1"/>
                        </w14:solidFill>
                      </w14:textFill>
                    </w:rPr>
                    <w:t>氨水罐区</w:t>
                  </w:r>
                </w:p>
              </w:tc>
              <w:tc>
                <w:tcPr>
                  <w:tcW w:w="764" w:type="pct"/>
                  <w:vMerge w:val="continue"/>
                  <w:noWrap w:val="0"/>
                  <w:vAlign w:val="center"/>
                </w:tcPr>
                <w:p w14:paraId="2DFBD78C">
                  <w:pPr>
                    <w:pStyle w:val="11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000000" w:themeColor="text1"/>
                      <w:spacing w:val="-12"/>
                      <w:sz w:val="21"/>
                      <w:szCs w:val="21"/>
                      <w:highlight w:val="none"/>
                      <w14:textFill>
                        <w14:solidFill>
                          <w14:schemeClr w14:val="tx1"/>
                        </w14:solidFill>
                      </w14:textFill>
                    </w:rPr>
                  </w:pPr>
                </w:p>
              </w:tc>
              <w:tc>
                <w:tcPr>
                  <w:tcW w:w="2197" w:type="pct"/>
                  <w:vMerge w:val="continue"/>
                  <w:noWrap w:val="0"/>
                  <w:vAlign w:val="center"/>
                </w:tcPr>
                <w:p w14:paraId="15AB7391">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1"/>
                      <w:sz w:val="21"/>
                      <w:szCs w:val="21"/>
                      <w:highlight w:val="none"/>
                      <w14:textFill>
                        <w14:solidFill>
                          <w14:schemeClr w14:val="tx1"/>
                        </w14:solidFill>
                      </w14:textFill>
                    </w:rPr>
                  </w:pPr>
                </w:p>
              </w:tc>
            </w:tr>
            <w:tr w14:paraId="45547E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7" w:type="pct"/>
                  <w:noWrap w:val="0"/>
                  <w:vAlign w:val="center"/>
                </w:tcPr>
                <w:p w14:paraId="418D4AAD">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pacing w:val="1"/>
                      <w:sz w:val="21"/>
                      <w:szCs w:val="21"/>
                      <w:highlight w:val="none"/>
                      <w:lang w:val="en-US" w:eastAsia="zh-CN"/>
                      <w14:textFill>
                        <w14:solidFill>
                          <w14:schemeClr w14:val="tx1"/>
                        </w14:solidFill>
                      </w14:textFill>
                    </w:rPr>
                    <w:t>原料粉</w:t>
                  </w:r>
                  <w: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筒仓、机修车间</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分选</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车间、</w:t>
                  </w:r>
                  <w: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悬浮炉和回转窑区</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w:t>
                  </w:r>
                  <w:r>
                    <w:rPr>
                      <w:rFonts w:hint="default" w:ascii="Times New Roman" w:hAnsi="Times New Roman" w:cs="Times New Roman"/>
                      <w:color w:val="000000" w:themeColor="text1"/>
                      <w:spacing w:val="1"/>
                      <w:sz w:val="21"/>
                      <w:szCs w:val="21"/>
                      <w:highlight w:val="none"/>
                      <w:lang w:val="en-US" w:eastAsia="zh-CN"/>
                      <w14:textFill>
                        <w14:solidFill>
                          <w14:schemeClr w14:val="tx1"/>
                        </w14:solidFill>
                      </w14:textFill>
                    </w:rPr>
                    <w:t>冷却系统区、</w:t>
                  </w:r>
                  <w: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成品</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堆棚、</w:t>
                  </w:r>
                  <w: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黄料筒仓</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等</w:t>
                  </w:r>
                </w:p>
              </w:tc>
              <w:tc>
                <w:tcPr>
                  <w:tcW w:w="764" w:type="pct"/>
                  <w:noWrap w:val="0"/>
                  <w:vAlign w:val="center"/>
                </w:tcPr>
                <w:p w14:paraId="29E3FF5E">
                  <w:pPr>
                    <w:pStyle w:val="11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000000" w:themeColor="text1"/>
                      <w:spacing w:val="-1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12"/>
                      <w:sz w:val="21"/>
                      <w:szCs w:val="21"/>
                      <w:highlight w:val="none"/>
                      <w14:textFill>
                        <w14:solidFill>
                          <w14:schemeClr w14:val="tx1"/>
                        </w14:solidFill>
                      </w14:textFill>
                    </w:rPr>
                    <w:t>一般</w:t>
                  </w:r>
                </w:p>
                <w:p w14:paraId="63D6255E">
                  <w:pPr>
                    <w:pStyle w:val="11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pacing w:val="-12"/>
                      <w:sz w:val="21"/>
                      <w:szCs w:val="21"/>
                      <w:highlight w:val="none"/>
                      <w14:textFill>
                        <w14:solidFill>
                          <w14:schemeClr w14:val="tx1"/>
                        </w14:solidFill>
                      </w14:textFill>
                    </w:rPr>
                    <w:t>防渗区</w:t>
                  </w:r>
                </w:p>
              </w:tc>
              <w:tc>
                <w:tcPr>
                  <w:tcW w:w="2197" w:type="pct"/>
                  <w:noWrap w:val="0"/>
                  <w:vAlign w:val="center"/>
                </w:tcPr>
                <w:p w14:paraId="0648955F">
                  <w:pPr>
                    <w:pStyle w:val="116"/>
                    <w:keepNext w:val="0"/>
                    <w:keepLines w:val="0"/>
                    <w:pageBreakBefore w:val="0"/>
                    <w:widowControl w:val="0"/>
                    <w:kinsoku/>
                    <w:wordWrap/>
                    <w:overflowPunct/>
                    <w:topLinePunct w:val="0"/>
                    <w:autoSpaceDE/>
                    <w:autoSpaceDN/>
                    <w:bidi w:val="0"/>
                    <w:adjustRightInd/>
                    <w:snapToGrid/>
                    <w:spacing w:line="240" w:lineRule="auto"/>
                    <w:ind w:left="0" w:leftChars="0" w:right="11" w:rightChars="0" w:hanging="210" w:firstLineChars="0"/>
                    <w:jc w:val="center"/>
                    <w:textAlignment w:val="auto"/>
                    <w:rPr>
                      <w:rFonts w:hint="default" w:ascii="Times New Roman" w:hAnsi="Times New Roman" w:cs="Times New Roman"/>
                      <w:color w:val="000000" w:themeColor="text1"/>
                      <w:spacing w:val="-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等效黏土防渗层Mb≥1.5m</w:t>
                  </w:r>
                  <w:r>
                    <w:rPr>
                      <w:rFonts w:hint="default" w:ascii="Times New Roman" w:hAnsi="Times New Roman" w:cs="Times New Roman"/>
                      <w:color w:val="000000" w:themeColor="text1"/>
                      <w:spacing w:val="-1"/>
                      <w:sz w:val="21"/>
                      <w:szCs w:val="21"/>
                      <w:highlight w:val="none"/>
                      <w:lang w:eastAsia="zh-CN"/>
                      <w14:textFill>
                        <w14:solidFill>
                          <w14:schemeClr w14:val="tx1"/>
                        </w14:solidFill>
                      </w14:textFill>
                    </w:rPr>
                    <w:t>，</w:t>
                  </w:r>
                </w:p>
                <w:p w14:paraId="62A5F06E">
                  <w:pPr>
                    <w:pStyle w:val="116"/>
                    <w:keepNext w:val="0"/>
                    <w:keepLines w:val="0"/>
                    <w:pageBreakBefore w:val="0"/>
                    <w:widowControl w:val="0"/>
                    <w:kinsoku/>
                    <w:wordWrap/>
                    <w:overflowPunct/>
                    <w:topLinePunct w:val="0"/>
                    <w:autoSpaceDE/>
                    <w:autoSpaceDN/>
                    <w:bidi w:val="0"/>
                    <w:adjustRightInd/>
                    <w:snapToGrid/>
                    <w:spacing w:line="240" w:lineRule="auto"/>
                    <w:ind w:left="0" w:leftChars="0" w:right="11" w:rightChars="0" w:hanging="210" w:firstLineChars="0"/>
                    <w:jc w:val="center"/>
                    <w:textAlignment w:val="auto"/>
                    <w:rPr>
                      <w:rFonts w:hint="default" w:ascii="Times New Roman" w:hAnsi="Times New Roman" w:eastAsia="宋体"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渗</w:t>
                  </w:r>
                  <w:r>
                    <w:rPr>
                      <w:rFonts w:hint="default" w:ascii="Times New Roman" w:hAnsi="Times New Roman" w:eastAsia="宋体" w:cs="Times New Roman"/>
                      <w:color w:val="000000" w:themeColor="text1"/>
                      <w:sz w:val="21"/>
                      <w:szCs w:val="21"/>
                      <w:highlight w:val="none"/>
                      <w14:textFill>
                        <w14:solidFill>
                          <w14:schemeClr w14:val="tx1"/>
                        </w14:solidFill>
                      </w14:textFill>
                    </w:rPr>
                    <w:t>透系数≤1.0×10</w:t>
                  </w:r>
                  <w:r>
                    <w:rPr>
                      <w:rFonts w:hint="default" w:ascii="Times New Roman" w:hAnsi="Times New Roman" w:cs="Times New Roman"/>
                      <w:color w:val="000000" w:themeColor="text1"/>
                      <w:sz w:val="21"/>
                      <w:szCs w:val="21"/>
                      <w:highlight w:val="none"/>
                      <w:vertAlign w:val="superscript"/>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vertAlign w:val="superscript"/>
                      <w14:textFill>
                        <w14:solidFill>
                          <w14:schemeClr w14:val="tx1"/>
                        </w14:solidFill>
                      </w14:textFill>
                    </w:rPr>
                    <w:t>7</w:t>
                  </w:r>
                  <w:r>
                    <w:rPr>
                      <w:rFonts w:hint="default" w:ascii="Times New Roman" w:hAnsi="Times New Roman" w:eastAsia="宋体" w:cs="Times New Roman"/>
                      <w:color w:val="000000" w:themeColor="text1"/>
                      <w:sz w:val="21"/>
                      <w:szCs w:val="21"/>
                      <w:highlight w:val="none"/>
                      <w14:textFill>
                        <w14:solidFill>
                          <w14:schemeClr w14:val="tx1"/>
                        </w14:solidFill>
                      </w14:textFill>
                    </w:rPr>
                    <w:t>cm/s</w:t>
                  </w:r>
                </w:p>
              </w:tc>
            </w:tr>
            <w:tr w14:paraId="4CADF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37" w:type="pct"/>
                  <w:noWrap w:val="0"/>
                  <w:vAlign w:val="center"/>
                </w:tcPr>
                <w:p w14:paraId="2F1EAB2E">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办公生活区、</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换热站、</w:t>
                  </w:r>
                  <w:r>
                    <w:rPr>
                      <w:rFonts w:hint="default" w:ascii="Times New Roman" w:hAnsi="Times New Roman" w:eastAsia="宋体" w:cs="Times New Roman"/>
                      <w:color w:val="000000" w:themeColor="text1"/>
                      <w:sz w:val="21"/>
                      <w:szCs w:val="21"/>
                      <w:highlight w:val="none"/>
                      <w14:textFill>
                        <w14:solidFill>
                          <w14:schemeClr w14:val="tx1"/>
                        </w14:solidFill>
                      </w14:textFill>
                    </w:rPr>
                    <w:t>空压站、门卫</w:t>
                  </w:r>
                </w:p>
              </w:tc>
              <w:tc>
                <w:tcPr>
                  <w:tcW w:w="764" w:type="pct"/>
                  <w:noWrap w:val="0"/>
                  <w:vAlign w:val="center"/>
                </w:tcPr>
                <w:p w14:paraId="1A64739F">
                  <w:pPr>
                    <w:pStyle w:val="11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000000" w:themeColor="text1"/>
                      <w:spacing w:val="-12"/>
                      <w:sz w:val="21"/>
                      <w:szCs w:val="21"/>
                      <w:highlight w:val="none"/>
                      <w14:textFill>
                        <w14:solidFill>
                          <w14:schemeClr w14:val="tx1"/>
                        </w14:solidFill>
                      </w14:textFill>
                    </w:rPr>
                  </w:pPr>
                  <w:r>
                    <w:rPr>
                      <w:rFonts w:hint="default" w:ascii="Times New Roman" w:hAnsi="Times New Roman" w:eastAsia="宋体" w:cs="Times New Roman"/>
                      <w:color w:val="000000" w:themeColor="text1"/>
                      <w:spacing w:val="-12"/>
                      <w:sz w:val="21"/>
                      <w:szCs w:val="21"/>
                      <w:highlight w:val="none"/>
                      <w14:textFill>
                        <w14:solidFill>
                          <w14:schemeClr w14:val="tx1"/>
                        </w14:solidFill>
                      </w14:textFill>
                    </w:rPr>
                    <w:t>简单</w:t>
                  </w:r>
                </w:p>
                <w:p w14:paraId="1873D9E3">
                  <w:pPr>
                    <w:pStyle w:val="116"/>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pacing w:val="-12"/>
                      <w:sz w:val="21"/>
                      <w:szCs w:val="21"/>
                      <w:highlight w:val="none"/>
                      <w14:textFill>
                        <w14:solidFill>
                          <w14:schemeClr w14:val="tx1"/>
                        </w14:solidFill>
                      </w14:textFill>
                    </w:rPr>
                    <w:t>防渗区</w:t>
                  </w:r>
                </w:p>
              </w:tc>
              <w:tc>
                <w:tcPr>
                  <w:tcW w:w="2197" w:type="pct"/>
                  <w:noWrap w:val="0"/>
                  <w:vAlign w:val="center"/>
                </w:tcPr>
                <w:p w14:paraId="40AF916E">
                  <w:pPr>
                    <w:pStyle w:val="116"/>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color w:val="000000" w:themeColor="text1"/>
                      <w:spacing w:val="-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一般地面硬化</w:t>
                  </w:r>
                </w:p>
              </w:tc>
            </w:tr>
          </w:tbl>
          <w:p w14:paraId="277701C5">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cs="Times New Roman"/>
                <w:b/>
                <w:bCs/>
                <w:color w:val="000000" w:themeColor="text1"/>
                <w:sz w:val="24"/>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highlight w:val="none"/>
                <w:lang w:val="en-US" w:eastAsia="zh-CN"/>
                <w14:textFill>
                  <w14:solidFill>
                    <w14:schemeClr w14:val="tx1"/>
                  </w14:solidFill>
                </w14:textFill>
              </w:rPr>
              <w:t>7.土壤环境影响分析</w:t>
            </w:r>
          </w:p>
          <w:p w14:paraId="0A5AAFE9">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（1）土壤环境影响类型与影响途径识别</w:t>
            </w:r>
          </w:p>
          <w:p w14:paraId="7F2C31AD">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根据工程分析可知，本工程施工期主要工程内容为基础施工、设备安装等，因此对土壤的污染影响很小。运营期发生泄漏情况时污染物将垂直入渗进入土壤，对厂区内土壤环境产生直接影响。</w:t>
            </w:r>
          </w:p>
          <w:p w14:paraId="4BF12061">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（2）影响源及影响因子</w:t>
            </w:r>
          </w:p>
          <w:p w14:paraId="2740F4CB">
            <w:pPr>
              <w:pStyle w:val="121"/>
              <w:ind w:firstLine="48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项目土壤污染途径为垂直入渗，特征因子为</w:t>
            </w:r>
            <w:r>
              <w:rPr>
                <w:rFonts w:hint="eastAsia" w:cs="Times New Roman"/>
                <w:color w:val="000000" w:themeColor="text1"/>
                <w:sz w:val="24"/>
                <w:szCs w:val="24"/>
                <w:highlight w:val="none"/>
                <w:lang w:val="en-US" w:eastAsia="zh-CN"/>
                <w14:textFill>
                  <w14:solidFill>
                    <w14:schemeClr w14:val="tx1"/>
                  </w14:solidFill>
                </w14:textFill>
              </w:rPr>
              <w:t>主要为石油类、</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氨水</w:t>
            </w:r>
            <w:r>
              <w:rPr>
                <w:rFonts w:hint="default" w:ascii="Times New Roman" w:hAnsi="Times New Roman" w:cs="Times New Roman"/>
                <w:color w:val="000000" w:themeColor="text1"/>
                <w:sz w:val="24"/>
                <w:szCs w:val="24"/>
                <w:highlight w:val="none"/>
                <w14:textFill>
                  <w14:solidFill>
                    <w14:schemeClr w14:val="tx1"/>
                  </w14:solidFill>
                </w14:textFill>
              </w:rPr>
              <w:t>，发生情形在</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氨水储罐</w:t>
            </w:r>
            <w:r>
              <w:rPr>
                <w:rFonts w:hint="default" w:ascii="Times New Roman" w:hAnsi="Times New Roman" w:cs="Times New Roman"/>
                <w:color w:val="000000" w:themeColor="text1"/>
                <w:sz w:val="24"/>
                <w:szCs w:val="24"/>
                <w:highlight w:val="none"/>
                <w14:textFill>
                  <w14:solidFill>
                    <w14:schemeClr w14:val="tx1"/>
                  </w14:solidFill>
                </w14:textFill>
              </w:rPr>
              <w:t>区防渗层出现破裂、破损的情况下</w:t>
            </w:r>
            <w:r>
              <w:rPr>
                <w:rFonts w:hint="eastAsia" w:cs="Times New Roman"/>
                <w:color w:val="000000" w:themeColor="text1"/>
                <w:sz w:val="24"/>
                <w:szCs w:val="24"/>
                <w:highlight w:val="none"/>
                <w:lang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氨水垂直入渗；发生情形在危废暂存间地面破损且防渗层不具备防渗情况下，石油类垂直入渗</w:t>
            </w:r>
            <w:r>
              <w:rPr>
                <w:rFonts w:hint="default" w:ascii="Times New Roman" w:hAnsi="Times New Roman" w:cs="Times New Roman"/>
                <w:color w:val="000000" w:themeColor="text1"/>
                <w:sz w:val="24"/>
                <w:szCs w:val="24"/>
                <w:highlight w:val="none"/>
                <w14:textFill>
                  <w14:solidFill>
                    <w14:schemeClr w14:val="tx1"/>
                  </w14:solidFill>
                </w14:textFill>
              </w:rPr>
              <w:t>。</w:t>
            </w:r>
          </w:p>
          <w:p w14:paraId="71E5F0C6">
            <w:pPr>
              <w:pStyle w:val="121"/>
              <w:ind w:firstLine="48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（3）土壤环境影响</w:t>
            </w:r>
          </w:p>
          <w:p w14:paraId="0FB29A5F">
            <w:pPr>
              <w:pStyle w:val="121"/>
              <w:ind w:firstLine="48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氨水储罐区氨水</w:t>
            </w:r>
            <w:r>
              <w:rPr>
                <w:rFonts w:hint="default" w:ascii="Times New Roman" w:hAnsi="Times New Roman" w:cs="Times New Roman"/>
                <w:color w:val="000000" w:themeColor="text1"/>
                <w:sz w:val="24"/>
                <w:szCs w:val="24"/>
                <w:highlight w:val="none"/>
                <w14:textFill>
                  <w14:solidFill>
                    <w14:schemeClr w14:val="tx1"/>
                  </w14:solidFill>
                </w14:textFill>
              </w:rPr>
              <w:t>的泄漏或渗漏</w:t>
            </w:r>
            <w:r>
              <w:rPr>
                <w:rFonts w:hint="eastAsia" w:cs="Times New Roman"/>
                <w:color w:val="000000" w:themeColor="text1"/>
                <w:sz w:val="24"/>
                <w:szCs w:val="24"/>
                <w:highlight w:val="none"/>
                <w:lang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危废暂存间地面破损后石油类容器破损导致石油类垂直入渗</w:t>
            </w:r>
            <w:r>
              <w:rPr>
                <w:rFonts w:hint="default" w:ascii="Times New Roman" w:hAnsi="Times New Roman" w:cs="Times New Roman"/>
                <w:color w:val="000000" w:themeColor="text1"/>
                <w:sz w:val="24"/>
                <w:szCs w:val="24"/>
                <w:highlight w:val="none"/>
                <w14:textFill>
                  <w14:solidFill>
                    <w14:schemeClr w14:val="tx1"/>
                  </w14:solidFill>
                </w14:textFill>
              </w:rPr>
              <w:t>穿过较厚的土壤层，使土壤层大量吸附，不仅会造成植物生物的死亡，而且还会随着地表水的下渗对土壤层的冲刷作用补充到地下水。</w:t>
            </w:r>
          </w:p>
          <w:p w14:paraId="6DAC3256">
            <w:pPr>
              <w:pStyle w:val="121"/>
              <w:ind w:firstLine="48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（4）保护措施</w:t>
            </w:r>
          </w:p>
          <w:p w14:paraId="06B9DA7D">
            <w:pPr>
              <w:pStyle w:val="121"/>
              <w:ind w:firstLine="48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highlight w:val="none"/>
                <w:lang w:val="en-US" w:eastAsia="zh-CN"/>
                <w14:textFill>
                  <w14:solidFill>
                    <w14:schemeClr w14:val="tx1"/>
                  </w14:solidFill>
                </w14:textFill>
              </w:rPr>
              <w:t>本次项目主要建设区域为氨水储槽区</w:t>
            </w:r>
            <w:r>
              <w:rPr>
                <w:rFonts w:hint="eastAsia" w:cs="Times New Roman"/>
                <w:color w:val="000000" w:themeColor="text1"/>
                <w:sz w:val="24"/>
                <w:highlight w:val="none"/>
                <w:lang w:val="en-US" w:eastAsia="zh-CN"/>
                <w14:textFill>
                  <w14:solidFill>
                    <w14:schemeClr w14:val="tx1"/>
                  </w14:solidFill>
                </w14:textFill>
              </w:rPr>
              <w:t>和危废暂存间</w:t>
            </w:r>
            <w:r>
              <w:rPr>
                <w:rFonts w:hint="default" w:ascii="Times New Roman" w:hAnsi="Times New Roman" w:cs="Times New Roman"/>
                <w:color w:val="000000" w:themeColor="text1"/>
                <w:sz w:val="24"/>
                <w:highlight w:val="none"/>
                <w:lang w:val="en-US" w:eastAsia="zh-CN"/>
                <w14:textFill>
                  <w14:solidFill>
                    <w14:schemeClr w14:val="tx1"/>
                  </w14:solidFill>
                </w14:textFill>
              </w:rPr>
              <w:t>，氨水储槽区</w:t>
            </w:r>
            <w:r>
              <w:rPr>
                <w:rFonts w:hint="eastAsia" w:cs="Times New Roman"/>
                <w:color w:val="000000" w:themeColor="text1"/>
                <w:sz w:val="24"/>
                <w:highlight w:val="none"/>
                <w:lang w:val="en-US" w:eastAsia="zh-CN"/>
                <w14:textFill>
                  <w14:solidFill>
                    <w14:schemeClr w14:val="tx1"/>
                  </w14:solidFill>
                </w14:textFill>
              </w:rPr>
              <w:t>和危废暂存间</w:t>
            </w:r>
            <w:r>
              <w:rPr>
                <w:rFonts w:hint="default" w:ascii="Times New Roman" w:hAnsi="Times New Roman" w:cs="Times New Roman"/>
                <w:color w:val="000000" w:themeColor="text1"/>
                <w:sz w:val="24"/>
                <w:highlight w:val="none"/>
                <w:lang w:val="en-US" w:eastAsia="zh-CN"/>
                <w14:textFill>
                  <w14:solidFill>
                    <w14:schemeClr w14:val="tx1"/>
                  </w14:solidFill>
                </w14:textFill>
              </w:rPr>
              <w:t>地面均为硬化钢筋混凝土防渗措施</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表面防渗材料应与所接触的物料或污染物相容，可采用抗渗混凝土、高密度聚乙烯膜、钠基膨润土防水毯或其他防渗性能等效的材料。贮存的危险废物直接接触地面的，还应进行基础防渗，防渗层为至少</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1m</w:t>
            </w: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厚黏土层（渗透系数不大于</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10</w:t>
            </w:r>
            <w:r>
              <w:rPr>
                <w:rFonts w:hint="eastAsia" w:cs="Times New Roman"/>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vertAlign w:val="superscript"/>
                <w:lang w:val="en-US" w:eastAsia="zh-CN" w:bidi="ar"/>
                <w14:textFill>
                  <w14:solidFill>
                    <w14:schemeClr w14:val="tx1"/>
                  </w14:solidFill>
                </w14:textFill>
              </w:rPr>
              <w:t>7</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cm/s</w:t>
            </w: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），或至少</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2mm</w:t>
            </w: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厚高密度聚乙烯膜等人工防渗材料（渗透系数不大于</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10</w:t>
            </w:r>
            <w:r>
              <w:rPr>
                <w:rFonts w:hint="eastAsia" w:cs="Times New Roman"/>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highlight w:val="none"/>
                <w:vertAlign w:val="superscript"/>
                <w:lang w:val="en-US" w:eastAsia="zh-CN" w:bidi="ar"/>
                <w14:textFill>
                  <w14:solidFill>
                    <w14:schemeClr w14:val="tx1"/>
                  </w14:solidFill>
                </w14:textFill>
              </w:rPr>
              <w:t>10</w:t>
            </w: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cm/s</w:t>
            </w:r>
            <w:r>
              <w:rPr>
                <w:rFonts w:hint="eastAsia" w:ascii="宋体" w:hAnsi="宋体" w:eastAsia="宋体" w:cs="宋体"/>
                <w:color w:val="000000" w:themeColor="text1"/>
                <w:kern w:val="0"/>
                <w:sz w:val="24"/>
                <w:szCs w:val="24"/>
                <w:highlight w:val="none"/>
                <w:lang w:val="en-US" w:eastAsia="zh-CN" w:bidi="ar"/>
                <w14:textFill>
                  <w14:solidFill>
                    <w14:schemeClr w14:val="tx1"/>
                  </w14:solidFill>
                </w14:textFill>
              </w:rPr>
              <w:t>），或其他防渗性能等效的材料</w:t>
            </w:r>
            <w:r>
              <w:rPr>
                <w:rFonts w:hint="default" w:ascii="Times New Roman" w:hAnsi="Times New Roman" w:cs="Times New Roman"/>
                <w:color w:val="000000" w:themeColor="text1"/>
                <w:kern w:val="44"/>
                <w:sz w:val="24"/>
                <w:highlight w:val="none"/>
                <w14:textFill>
                  <w14:solidFill>
                    <w14:schemeClr w14:val="tx1"/>
                  </w14:solidFill>
                </w14:textFill>
              </w:rPr>
              <w:t>。</w:t>
            </w:r>
            <w:r>
              <w:rPr>
                <w:rFonts w:hint="default" w:ascii="Times New Roman" w:hAnsi="Times New Roman" w:cs="Times New Roman"/>
                <w:color w:val="000000" w:themeColor="text1"/>
                <w:sz w:val="24"/>
                <w:szCs w:val="24"/>
                <w:highlight w:val="none"/>
                <w14:textFill>
                  <w14:solidFill>
                    <w14:schemeClr w14:val="tx1"/>
                  </w14:solidFill>
                </w14:textFill>
              </w:rPr>
              <w:t>在加强管理的情况下，可以将土壤累积影响控制在现有厂区同等水平，对土壤的影响程度较轻、影响范围较小。</w:t>
            </w:r>
          </w:p>
          <w:p w14:paraId="6FCC755C">
            <w:pPr>
              <w:pStyle w:val="121"/>
              <w:ind w:firstLine="48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综上所述，本项目实施后对周边土壤的影响是可接受的。</w:t>
            </w:r>
          </w:p>
          <w:p w14:paraId="0D2CA1CD">
            <w:pPr>
              <w:adjustRightInd w:val="0"/>
              <w:snapToGrid w:val="0"/>
              <w:spacing w:line="360" w:lineRule="auto"/>
              <w:ind w:firstLine="482" w:firstLineChars="200"/>
              <w:rPr>
                <w:b/>
                <w:color w:val="000000" w:themeColor="text1"/>
                <w:sz w:val="24"/>
                <w:highlight w:val="none"/>
                <w14:textFill>
                  <w14:solidFill>
                    <w14:schemeClr w14:val="tx1"/>
                  </w14:solidFill>
                </w14:textFill>
              </w:rPr>
            </w:pPr>
            <w:r>
              <w:rPr>
                <w:rFonts w:hint="eastAsia"/>
                <w:b/>
                <w:color w:val="000000" w:themeColor="text1"/>
                <w:sz w:val="24"/>
                <w:highlight w:val="none"/>
                <w:lang w:val="en-US" w:eastAsia="zh-CN"/>
                <w14:textFill>
                  <w14:solidFill>
                    <w14:schemeClr w14:val="tx1"/>
                  </w14:solidFill>
                </w14:textFill>
              </w:rPr>
              <w:t>8.</w:t>
            </w:r>
            <w:r>
              <w:rPr>
                <w:rFonts w:hint="eastAsia"/>
                <w:b/>
                <w:color w:val="000000" w:themeColor="text1"/>
                <w:sz w:val="24"/>
                <w:highlight w:val="none"/>
                <w14:textFill>
                  <w14:solidFill>
                    <w14:schemeClr w14:val="tx1"/>
                  </w14:solidFill>
                </w14:textFill>
              </w:rPr>
              <w:t>监测计划</w:t>
            </w:r>
          </w:p>
          <w:p w14:paraId="1A7DD5E5">
            <w:pPr>
              <w:spacing w:line="360" w:lineRule="auto"/>
              <w:ind w:firstLine="480" w:firstLineChars="200"/>
              <w:rPr>
                <w:color w:val="000000" w:themeColor="text1"/>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本工程监测计划。</w:t>
            </w:r>
          </w:p>
          <w:p w14:paraId="452F8AAF">
            <w:pPr>
              <w:keepNext w:val="0"/>
              <w:keepLines w:val="0"/>
              <w:pageBreakBefore w:val="0"/>
              <w:widowControl/>
              <w:kinsoku/>
              <w:wordWrap/>
              <w:overflowPunct/>
              <w:topLinePunct w:val="0"/>
              <w:autoSpaceDE/>
              <w:autoSpaceDN/>
              <w:bidi w:val="0"/>
              <w:adjustRightInd/>
              <w:snapToGrid/>
              <w:jc w:val="center"/>
              <w:textAlignment w:val="auto"/>
              <w:rPr>
                <w:rFonts w:ascii="Times New Roman" w:hAnsi="Times New Roman" w:eastAsia="宋体" w:cs="Times New Roman"/>
                <w:b/>
                <w:bCs/>
                <w:color w:val="000000" w:themeColor="text1"/>
                <w:kern w:val="0"/>
                <w:sz w:val="24"/>
                <w:szCs w:val="24"/>
                <w:highlight w:val="none"/>
                <w:lang w:eastAsia="zh-CN"/>
                <w14:textFill>
                  <w14:solidFill>
                    <w14:schemeClr w14:val="tx1"/>
                  </w14:solidFill>
                </w14:textFill>
              </w:rPr>
            </w:pPr>
            <w:r>
              <w:rPr>
                <w:rFonts w:ascii="Times New Roman" w:hAnsi="Times New Roman" w:eastAsia="宋体" w:cs="Times New Roman"/>
                <w:b/>
                <w:bCs/>
                <w:color w:val="000000" w:themeColor="text1"/>
                <w:kern w:val="0"/>
                <w:sz w:val="24"/>
                <w:szCs w:val="24"/>
                <w:highlight w:val="none"/>
                <w:lang w:eastAsia="zh-CN"/>
                <w14:textFill>
                  <w14:solidFill>
                    <w14:schemeClr w14:val="tx1"/>
                  </w14:solidFill>
                </w14:textFill>
              </w:rPr>
              <w:t>表</w:t>
            </w:r>
            <w:r>
              <w:rPr>
                <w:rFonts w:hint="eastAsia"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t>4-2</w:t>
            </w:r>
            <w:r>
              <w:rPr>
                <w:rFonts w:hint="eastAsia" w:cs="Times New Roman"/>
                <w:b/>
                <w:bCs/>
                <w:color w:val="000000" w:themeColor="text1"/>
                <w:kern w:val="0"/>
                <w:sz w:val="24"/>
                <w:szCs w:val="24"/>
                <w:highlight w:val="none"/>
                <w:lang w:val="en-US" w:eastAsia="zh-CN"/>
                <w14:textFill>
                  <w14:solidFill>
                    <w14:schemeClr w14:val="tx1"/>
                  </w14:solidFill>
                </w14:textFill>
              </w:rPr>
              <w:t>6</w:t>
            </w:r>
            <w:r>
              <w:rPr>
                <w:rFonts w:hint="eastAsia" w:ascii="Times New Roman" w:hAnsi="Times New Roman" w:eastAsia="宋体" w:cs="Times New Roman"/>
                <w:b/>
                <w:bCs/>
                <w:color w:val="000000" w:themeColor="text1"/>
                <w:kern w:val="0"/>
                <w:sz w:val="24"/>
                <w:szCs w:val="24"/>
                <w:highlight w:val="none"/>
                <w:lang w:val="en-US" w:eastAsia="zh-CN"/>
                <w14:textFill>
                  <w14:solidFill>
                    <w14:schemeClr w14:val="tx1"/>
                  </w14:solidFill>
                </w14:textFill>
              </w:rPr>
              <w:t>项目</w:t>
            </w:r>
            <w:r>
              <w:rPr>
                <w:rFonts w:ascii="Times New Roman" w:hAnsi="Times New Roman" w:eastAsia="宋体" w:cs="Times New Roman"/>
                <w:b/>
                <w:bCs/>
                <w:color w:val="000000" w:themeColor="text1"/>
                <w:kern w:val="0"/>
                <w:sz w:val="24"/>
                <w:szCs w:val="24"/>
                <w:highlight w:val="none"/>
                <w:lang w:eastAsia="zh-CN"/>
                <w14:textFill>
                  <w14:solidFill>
                    <w14:schemeClr w14:val="tx1"/>
                  </w14:solidFill>
                </w14:textFill>
              </w:rPr>
              <w:t>监测计划表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7"/>
              <w:gridCol w:w="792"/>
              <w:gridCol w:w="1282"/>
              <w:gridCol w:w="1989"/>
              <w:gridCol w:w="771"/>
              <w:gridCol w:w="1954"/>
              <w:gridCol w:w="651"/>
            </w:tblGrid>
            <w:tr w14:paraId="13E2E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319" w:type="pct"/>
                  <w:noWrap w:val="0"/>
                  <w:vAlign w:val="center"/>
                </w:tcPr>
                <w:p w14:paraId="6316E389">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r>
                    <w:rPr>
                      <w:rFonts w:ascii="Times New Roman"/>
                      <w:color w:val="000000" w:themeColor="text1"/>
                      <w:sz w:val="21"/>
                      <w:szCs w:val="21"/>
                      <w:highlight w:val="none"/>
                      <w14:textFill>
                        <w14:solidFill>
                          <w14:schemeClr w14:val="tx1"/>
                        </w14:solidFill>
                      </w14:textFill>
                    </w:rPr>
                    <w:t>项目</w:t>
                  </w:r>
                </w:p>
              </w:tc>
              <w:tc>
                <w:tcPr>
                  <w:tcW w:w="498" w:type="pct"/>
                  <w:noWrap w:val="0"/>
                  <w:vAlign w:val="center"/>
                </w:tcPr>
                <w:p w14:paraId="540C38BF">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r>
                    <w:rPr>
                      <w:rFonts w:ascii="Times New Roman"/>
                      <w:color w:val="000000" w:themeColor="text1"/>
                      <w:sz w:val="21"/>
                      <w:szCs w:val="21"/>
                      <w:highlight w:val="none"/>
                      <w14:textFill>
                        <w14:solidFill>
                          <w14:schemeClr w14:val="tx1"/>
                        </w14:solidFill>
                      </w14:textFill>
                    </w:rPr>
                    <w:t>监测要素</w:t>
                  </w:r>
                </w:p>
              </w:tc>
              <w:tc>
                <w:tcPr>
                  <w:tcW w:w="806" w:type="pct"/>
                  <w:noWrap w:val="0"/>
                  <w:vAlign w:val="center"/>
                </w:tcPr>
                <w:p w14:paraId="6F3C7539">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r>
                    <w:rPr>
                      <w:rFonts w:ascii="Times New Roman"/>
                      <w:color w:val="000000" w:themeColor="text1"/>
                      <w:sz w:val="21"/>
                      <w:szCs w:val="21"/>
                      <w:highlight w:val="none"/>
                      <w14:textFill>
                        <w14:solidFill>
                          <w14:schemeClr w14:val="tx1"/>
                        </w14:solidFill>
                      </w14:textFill>
                    </w:rPr>
                    <w:t>监测点位</w:t>
                  </w:r>
                </w:p>
              </w:tc>
              <w:tc>
                <w:tcPr>
                  <w:tcW w:w="1251" w:type="pct"/>
                  <w:noWrap w:val="0"/>
                  <w:vAlign w:val="center"/>
                </w:tcPr>
                <w:p w14:paraId="24070611">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r>
                    <w:rPr>
                      <w:rFonts w:ascii="Times New Roman"/>
                      <w:color w:val="000000" w:themeColor="text1"/>
                      <w:sz w:val="21"/>
                      <w:szCs w:val="21"/>
                      <w:highlight w:val="none"/>
                      <w14:textFill>
                        <w14:solidFill>
                          <w14:schemeClr w14:val="tx1"/>
                        </w14:solidFill>
                      </w14:textFill>
                    </w:rPr>
                    <w:t>监测指标</w:t>
                  </w:r>
                </w:p>
              </w:tc>
              <w:tc>
                <w:tcPr>
                  <w:tcW w:w="485" w:type="pct"/>
                  <w:noWrap w:val="0"/>
                  <w:vAlign w:val="center"/>
                </w:tcPr>
                <w:p w14:paraId="7278E328">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r>
                    <w:rPr>
                      <w:rFonts w:ascii="Times New Roman"/>
                      <w:color w:val="000000" w:themeColor="text1"/>
                      <w:sz w:val="21"/>
                      <w:szCs w:val="21"/>
                      <w:highlight w:val="none"/>
                      <w14:textFill>
                        <w14:solidFill>
                          <w14:schemeClr w14:val="tx1"/>
                        </w14:solidFill>
                      </w14:textFill>
                    </w:rPr>
                    <w:t>监测频次</w:t>
                  </w:r>
                </w:p>
              </w:tc>
              <w:tc>
                <w:tcPr>
                  <w:tcW w:w="1229" w:type="pct"/>
                  <w:noWrap w:val="0"/>
                  <w:vAlign w:val="center"/>
                </w:tcPr>
                <w:p w14:paraId="7B2B6B22">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r>
                    <w:rPr>
                      <w:rFonts w:ascii="Times New Roman"/>
                      <w:color w:val="000000" w:themeColor="text1"/>
                      <w:sz w:val="21"/>
                      <w:szCs w:val="21"/>
                      <w:highlight w:val="none"/>
                      <w14:textFill>
                        <w14:solidFill>
                          <w14:schemeClr w14:val="tx1"/>
                        </w14:solidFill>
                      </w14:textFill>
                    </w:rPr>
                    <w:t>执行标准</w:t>
                  </w:r>
                </w:p>
              </w:tc>
              <w:tc>
                <w:tcPr>
                  <w:tcW w:w="409" w:type="pct"/>
                  <w:noWrap w:val="0"/>
                  <w:vAlign w:val="center"/>
                </w:tcPr>
                <w:p w14:paraId="7255FFB2">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r>
                    <w:rPr>
                      <w:rFonts w:ascii="Times New Roman"/>
                      <w:color w:val="000000" w:themeColor="text1"/>
                      <w:sz w:val="21"/>
                      <w:szCs w:val="21"/>
                      <w:highlight w:val="none"/>
                      <w14:textFill>
                        <w14:solidFill>
                          <w14:schemeClr w14:val="tx1"/>
                        </w14:solidFill>
                      </w14:textFill>
                    </w:rPr>
                    <w:t>备注</w:t>
                  </w:r>
                </w:p>
              </w:tc>
            </w:tr>
            <w:tr w14:paraId="2AC52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319" w:type="pct"/>
                  <w:vMerge w:val="restart"/>
                  <w:noWrap w:val="0"/>
                  <w:vAlign w:val="center"/>
                </w:tcPr>
                <w:p w14:paraId="2883E223">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r>
                    <w:rPr>
                      <w:rFonts w:ascii="Times New Roman"/>
                      <w:color w:val="000000" w:themeColor="text1"/>
                      <w:sz w:val="21"/>
                      <w:szCs w:val="21"/>
                      <w:highlight w:val="none"/>
                      <w14:textFill>
                        <w14:solidFill>
                          <w14:schemeClr w14:val="tx1"/>
                        </w14:solidFill>
                      </w14:textFill>
                    </w:rPr>
                    <w:t>污染源监测计划</w:t>
                  </w:r>
                </w:p>
              </w:tc>
              <w:tc>
                <w:tcPr>
                  <w:tcW w:w="498" w:type="pct"/>
                  <w:vMerge w:val="restart"/>
                  <w:noWrap w:val="0"/>
                  <w:vAlign w:val="center"/>
                </w:tcPr>
                <w:p w14:paraId="48E7F62D">
                  <w:pPr>
                    <w:spacing w:line="240" w:lineRule="exact"/>
                    <w:ind w:firstLine="0" w:firstLineChars="0"/>
                    <w:jc w:val="center"/>
                    <w:rPr>
                      <w:rFonts w:hint="default" w:ascii="Times New Roman"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有组织废气监测</w:t>
                  </w:r>
                </w:p>
              </w:tc>
              <w:tc>
                <w:tcPr>
                  <w:tcW w:w="806" w:type="pct"/>
                  <w:vMerge w:val="restart"/>
                  <w:noWrap w:val="0"/>
                  <w:vAlign w:val="center"/>
                </w:tcPr>
                <w:p w14:paraId="4848A035">
                  <w:pPr>
                    <w:spacing w:line="240" w:lineRule="exact"/>
                    <w:ind w:firstLine="0" w:firstLineChars="0"/>
                    <w:jc w:val="center"/>
                    <w:rPr>
                      <w:rFonts w:ascii="Times New Roman"/>
                      <w:color w:val="000000" w:themeColor="text1"/>
                      <w:sz w:val="21"/>
                      <w:szCs w:val="21"/>
                      <w:highlight w:val="none"/>
                      <w:lang w:val="zh-CN"/>
                      <w14:textFill>
                        <w14:solidFill>
                          <w14:schemeClr w14:val="tx1"/>
                        </w14:solidFill>
                      </w14:textFill>
                    </w:rPr>
                  </w:pPr>
                  <w:r>
                    <w:rPr>
                      <w:rFonts w:hint="default" w:ascii="Times New Roman" w:hAnsi="Times New Roman" w:eastAsia="宋体" w:cs="Times New Roman"/>
                      <w:color w:val="000000" w:themeColor="text1"/>
                      <w:kern w:val="0"/>
                      <w:sz w:val="20"/>
                      <w:szCs w:val="20"/>
                      <w:highlight w:val="none"/>
                      <w:lang w:val="en-US" w:eastAsia="zh-CN" w:bidi="ar"/>
                      <w14:textFill>
                        <w14:solidFill>
                          <w14:schemeClr w14:val="tx1"/>
                        </w14:solidFill>
                      </w14:textFill>
                    </w:rPr>
                    <w:t>DA006</w:t>
                  </w:r>
                </w:p>
              </w:tc>
              <w:tc>
                <w:tcPr>
                  <w:tcW w:w="1251" w:type="pct"/>
                  <w:noWrap w:val="0"/>
                  <w:vAlign w:val="center"/>
                </w:tcPr>
                <w:p w14:paraId="2DAB7F25">
                  <w:pPr>
                    <w:spacing w:line="240" w:lineRule="exact"/>
                    <w:ind w:firstLine="0" w:firstLineChars="0"/>
                    <w:jc w:val="center"/>
                    <w:rPr>
                      <w:rFonts w:hint="eastAsia" w:ascii="Times New Roman"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氮氧化物</w:t>
                  </w:r>
                </w:p>
              </w:tc>
              <w:tc>
                <w:tcPr>
                  <w:tcW w:w="485" w:type="pct"/>
                  <w:vMerge w:val="restart"/>
                  <w:noWrap w:val="0"/>
                  <w:vAlign w:val="center"/>
                </w:tcPr>
                <w:p w14:paraId="7866AE29">
                  <w:pPr>
                    <w:spacing w:line="240" w:lineRule="exact"/>
                    <w:ind w:firstLine="0" w:firstLineChars="0"/>
                    <w:jc w:val="center"/>
                    <w:rPr>
                      <w:rFonts w:hint="eastAsia" w:ascii="Times New Roman" w:eastAsia="宋体"/>
                      <w:color w:val="000000" w:themeColor="text1"/>
                      <w:sz w:val="21"/>
                      <w:szCs w:val="21"/>
                      <w:highlight w:val="none"/>
                      <w:lang w:val="en-US" w:eastAsia="zh-CN"/>
                      <w14:textFill>
                        <w14:solidFill>
                          <w14:schemeClr w14:val="tx1"/>
                        </w14:solidFill>
                      </w14:textFill>
                    </w:rPr>
                  </w:pPr>
                  <w:r>
                    <w:rPr>
                      <w:rFonts w:ascii="Times New Roman"/>
                      <w:color w:val="000000" w:themeColor="text1"/>
                      <w:sz w:val="21"/>
                      <w:szCs w:val="21"/>
                      <w:highlight w:val="none"/>
                      <w14:textFill>
                        <w14:solidFill>
                          <w14:schemeClr w14:val="tx1"/>
                        </w14:solidFill>
                      </w14:textFill>
                    </w:rPr>
                    <w:t>季</w:t>
                  </w:r>
                </w:p>
              </w:tc>
              <w:tc>
                <w:tcPr>
                  <w:tcW w:w="1229" w:type="pct"/>
                  <w:vMerge w:val="restart"/>
                  <w:noWrap w:val="0"/>
                  <w:vAlign w:val="center"/>
                </w:tcPr>
                <w:p w14:paraId="455D285B">
                  <w:pPr>
                    <w:adjustRightInd w:val="0"/>
                    <w:spacing w:line="240" w:lineRule="auto"/>
                    <w:ind w:firstLine="0" w:firstLineChars="0"/>
                    <w:jc w:val="center"/>
                    <w:textAlignment w:val="baseline"/>
                    <w:rPr>
                      <w:rFonts w:ascii="Times New Roman"/>
                      <w:color w:val="000000" w:themeColor="text1"/>
                      <w:sz w:val="21"/>
                      <w:szCs w:val="18"/>
                      <w:highlight w:val="none"/>
                      <w14:textFill>
                        <w14:solidFill>
                          <w14:schemeClr w14:val="tx1"/>
                        </w14:solidFill>
                      </w14:textFill>
                    </w:rPr>
                  </w:pPr>
                  <w:r>
                    <w:rPr>
                      <w:rFonts w:hint="default" w:ascii="Times New Roman"/>
                      <w:color w:val="000000" w:themeColor="text1"/>
                      <w:sz w:val="21"/>
                      <w:szCs w:val="18"/>
                      <w:highlight w:val="none"/>
                      <w:lang w:val="en-US" w:eastAsia="zh-CN"/>
                      <w14:textFill>
                        <w14:solidFill>
                          <w14:schemeClr w14:val="tx1"/>
                        </w14:solidFill>
                      </w14:textFill>
                    </w:rPr>
                    <w:t>《耐火材料工业大气污染物排放标准》（GB46790-2025）表1</w:t>
                  </w:r>
                </w:p>
              </w:tc>
              <w:tc>
                <w:tcPr>
                  <w:tcW w:w="409" w:type="pct"/>
                  <w:vMerge w:val="restart"/>
                  <w:noWrap w:val="0"/>
                  <w:vAlign w:val="center"/>
                </w:tcPr>
                <w:p w14:paraId="4E672E00">
                  <w:pPr>
                    <w:adjustRightInd w:val="0"/>
                    <w:spacing w:line="240" w:lineRule="auto"/>
                    <w:ind w:firstLine="0" w:firstLineChars="0"/>
                    <w:jc w:val="center"/>
                    <w:textAlignment w:val="baseline"/>
                    <w:rPr>
                      <w:rFonts w:ascii="Times New Roman"/>
                      <w:color w:val="000000" w:themeColor="text1"/>
                      <w:sz w:val="21"/>
                      <w:szCs w:val="18"/>
                      <w:highlight w:val="none"/>
                      <w14:textFill>
                        <w14:solidFill>
                          <w14:schemeClr w14:val="tx1"/>
                        </w14:solidFill>
                      </w14:textFill>
                    </w:rPr>
                  </w:pPr>
                </w:p>
              </w:tc>
            </w:tr>
            <w:tr w14:paraId="74DFB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319" w:type="pct"/>
                  <w:vMerge w:val="continue"/>
                  <w:noWrap w:val="0"/>
                  <w:vAlign w:val="center"/>
                </w:tcPr>
                <w:p w14:paraId="13D88A6C">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p>
              </w:tc>
              <w:tc>
                <w:tcPr>
                  <w:tcW w:w="498" w:type="pct"/>
                  <w:vMerge w:val="continue"/>
                  <w:noWrap w:val="0"/>
                  <w:vAlign w:val="center"/>
                </w:tcPr>
                <w:p w14:paraId="24AD883E">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p>
              </w:tc>
              <w:tc>
                <w:tcPr>
                  <w:tcW w:w="806" w:type="pct"/>
                  <w:vMerge w:val="continue"/>
                  <w:noWrap w:val="0"/>
                  <w:vAlign w:val="center"/>
                </w:tcPr>
                <w:p w14:paraId="6D041430">
                  <w:pPr>
                    <w:spacing w:line="240" w:lineRule="exact"/>
                    <w:ind w:firstLine="0" w:firstLineChars="0"/>
                    <w:jc w:val="center"/>
                    <w:rPr>
                      <w:rFonts w:ascii="Times New Roman"/>
                      <w:color w:val="000000" w:themeColor="text1"/>
                      <w:sz w:val="21"/>
                      <w:szCs w:val="21"/>
                      <w:highlight w:val="none"/>
                      <w:lang w:val="zh-CN"/>
                      <w14:textFill>
                        <w14:solidFill>
                          <w14:schemeClr w14:val="tx1"/>
                        </w14:solidFill>
                      </w14:textFill>
                    </w:rPr>
                  </w:pPr>
                </w:p>
              </w:tc>
              <w:tc>
                <w:tcPr>
                  <w:tcW w:w="1251" w:type="pct"/>
                  <w:noWrap w:val="0"/>
                  <w:vAlign w:val="center"/>
                </w:tcPr>
                <w:p w14:paraId="67272542">
                  <w:pPr>
                    <w:spacing w:line="240" w:lineRule="exact"/>
                    <w:ind w:firstLine="0" w:firstLine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二氧化硫</w:t>
                  </w:r>
                </w:p>
              </w:tc>
              <w:tc>
                <w:tcPr>
                  <w:tcW w:w="485" w:type="pct"/>
                  <w:vMerge w:val="continue"/>
                  <w:noWrap w:val="0"/>
                  <w:vAlign w:val="center"/>
                </w:tcPr>
                <w:p w14:paraId="234F2F5F">
                  <w:pPr>
                    <w:spacing w:line="240" w:lineRule="exact"/>
                    <w:ind w:firstLine="0" w:firstLineChars="0"/>
                    <w:jc w:val="center"/>
                    <w:rPr>
                      <w:rFonts w:hint="eastAsia"/>
                      <w:color w:val="000000" w:themeColor="text1"/>
                      <w:sz w:val="21"/>
                      <w:szCs w:val="21"/>
                      <w:highlight w:val="none"/>
                      <w:lang w:val="en-US" w:eastAsia="zh-CN"/>
                      <w14:textFill>
                        <w14:solidFill>
                          <w14:schemeClr w14:val="tx1"/>
                        </w14:solidFill>
                      </w14:textFill>
                    </w:rPr>
                  </w:pPr>
                </w:p>
              </w:tc>
              <w:tc>
                <w:tcPr>
                  <w:tcW w:w="1229" w:type="pct"/>
                  <w:vMerge w:val="continue"/>
                  <w:noWrap w:val="0"/>
                  <w:vAlign w:val="center"/>
                </w:tcPr>
                <w:p w14:paraId="5A98284B">
                  <w:pPr>
                    <w:adjustRightInd w:val="0"/>
                    <w:spacing w:line="240" w:lineRule="auto"/>
                    <w:ind w:firstLine="0" w:firstLineChars="0"/>
                    <w:jc w:val="center"/>
                    <w:textAlignment w:val="baseline"/>
                    <w:rPr>
                      <w:rFonts w:ascii="Times New Roman"/>
                      <w:color w:val="000000" w:themeColor="text1"/>
                      <w:sz w:val="21"/>
                      <w:szCs w:val="18"/>
                      <w:highlight w:val="none"/>
                      <w14:textFill>
                        <w14:solidFill>
                          <w14:schemeClr w14:val="tx1"/>
                        </w14:solidFill>
                      </w14:textFill>
                    </w:rPr>
                  </w:pPr>
                </w:p>
              </w:tc>
              <w:tc>
                <w:tcPr>
                  <w:tcW w:w="409" w:type="pct"/>
                  <w:vMerge w:val="continue"/>
                  <w:noWrap w:val="0"/>
                  <w:vAlign w:val="center"/>
                </w:tcPr>
                <w:p w14:paraId="6821A27B">
                  <w:pPr>
                    <w:adjustRightInd w:val="0"/>
                    <w:spacing w:line="240" w:lineRule="auto"/>
                    <w:ind w:firstLine="0" w:firstLineChars="0"/>
                    <w:jc w:val="center"/>
                    <w:textAlignment w:val="baseline"/>
                    <w:rPr>
                      <w:rFonts w:ascii="Times New Roman"/>
                      <w:color w:val="000000" w:themeColor="text1"/>
                      <w:sz w:val="21"/>
                      <w:szCs w:val="18"/>
                      <w:highlight w:val="none"/>
                      <w14:textFill>
                        <w14:solidFill>
                          <w14:schemeClr w14:val="tx1"/>
                        </w14:solidFill>
                      </w14:textFill>
                    </w:rPr>
                  </w:pPr>
                </w:p>
              </w:tc>
            </w:tr>
            <w:tr w14:paraId="70667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319" w:type="pct"/>
                  <w:vMerge w:val="continue"/>
                  <w:noWrap w:val="0"/>
                  <w:vAlign w:val="center"/>
                </w:tcPr>
                <w:p w14:paraId="53067D57">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p>
              </w:tc>
              <w:tc>
                <w:tcPr>
                  <w:tcW w:w="498" w:type="pct"/>
                  <w:vMerge w:val="continue"/>
                  <w:noWrap w:val="0"/>
                  <w:vAlign w:val="center"/>
                </w:tcPr>
                <w:p w14:paraId="6A36F5A8">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p>
              </w:tc>
              <w:tc>
                <w:tcPr>
                  <w:tcW w:w="806" w:type="pct"/>
                  <w:vMerge w:val="continue"/>
                  <w:noWrap w:val="0"/>
                  <w:vAlign w:val="center"/>
                </w:tcPr>
                <w:p w14:paraId="246C39C4">
                  <w:pPr>
                    <w:spacing w:line="240" w:lineRule="exact"/>
                    <w:ind w:firstLine="0" w:firstLineChars="0"/>
                    <w:jc w:val="center"/>
                    <w:rPr>
                      <w:rFonts w:ascii="Times New Roman"/>
                      <w:color w:val="000000" w:themeColor="text1"/>
                      <w:sz w:val="21"/>
                      <w:szCs w:val="21"/>
                      <w:highlight w:val="none"/>
                      <w:lang w:val="zh-CN"/>
                      <w14:textFill>
                        <w14:solidFill>
                          <w14:schemeClr w14:val="tx1"/>
                        </w14:solidFill>
                      </w14:textFill>
                    </w:rPr>
                  </w:pPr>
                </w:p>
              </w:tc>
              <w:tc>
                <w:tcPr>
                  <w:tcW w:w="1251" w:type="pct"/>
                  <w:noWrap w:val="0"/>
                  <w:vAlign w:val="center"/>
                </w:tcPr>
                <w:p w14:paraId="2187B88B">
                  <w:pPr>
                    <w:spacing w:line="240" w:lineRule="exact"/>
                    <w:ind w:firstLine="0" w:firstLineChars="0"/>
                    <w:jc w:val="center"/>
                    <w:rPr>
                      <w:rFonts w:hint="default"/>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氨气</w:t>
                  </w:r>
                </w:p>
              </w:tc>
              <w:tc>
                <w:tcPr>
                  <w:tcW w:w="485" w:type="pct"/>
                  <w:vMerge w:val="continue"/>
                  <w:noWrap w:val="0"/>
                  <w:vAlign w:val="center"/>
                </w:tcPr>
                <w:p w14:paraId="0C508358">
                  <w:pPr>
                    <w:spacing w:line="240" w:lineRule="exact"/>
                    <w:ind w:firstLine="0" w:firstLineChars="0"/>
                    <w:jc w:val="center"/>
                    <w:rPr>
                      <w:rFonts w:hint="eastAsia" w:ascii="Times New Roman" w:eastAsia="宋体"/>
                      <w:color w:val="000000" w:themeColor="text1"/>
                      <w:sz w:val="21"/>
                      <w:szCs w:val="21"/>
                      <w:highlight w:val="none"/>
                      <w:lang w:val="en-US" w:eastAsia="zh-CN"/>
                      <w14:textFill>
                        <w14:solidFill>
                          <w14:schemeClr w14:val="tx1"/>
                        </w14:solidFill>
                      </w14:textFill>
                    </w:rPr>
                  </w:pPr>
                </w:p>
              </w:tc>
              <w:tc>
                <w:tcPr>
                  <w:tcW w:w="1229" w:type="pct"/>
                  <w:vMerge w:val="continue"/>
                  <w:noWrap w:val="0"/>
                  <w:vAlign w:val="center"/>
                </w:tcPr>
                <w:p w14:paraId="62D9CAEA">
                  <w:pPr>
                    <w:adjustRightInd w:val="0"/>
                    <w:spacing w:line="240" w:lineRule="auto"/>
                    <w:ind w:firstLine="0" w:firstLineChars="0"/>
                    <w:jc w:val="center"/>
                    <w:textAlignment w:val="baseline"/>
                    <w:rPr>
                      <w:rFonts w:ascii="Times New Roman"/>
                      <w:color w:val="000000" w:themeColor="text1"/>
                      <w:sz w:val="21"/>
                      <w:szCs w:val="18"/>
                      <w:highlight w:val="none"/>
                      <w14:textFill>
                        <w14:solidFill>
                          <w14:schemeClr w14:val="tx1"/>
                        </w14:solidFill>
                      </w14:textFill>
                    </w:rPr>
                  </w:pPr>
                </w:p>
              </w:tc>
              <w:tc>
                <w:tcPr>
                  <w:tcW w:w="409" w:type="pct"/>
                  <w:vMerge w:val="continue"/>
                  <w:noWrap w:val="0"/>
                  <w:vAlign w:val="center"/>
                </w:tcPr>
                <w:p w14:paraId="7A2DB9F6">
                  <w:pPr>
                    <w:adjustRightInd w:val="0"/>
                    <w:spacing w:line="240" w:lineRule="auto"/>
                    <w:ind w:firstLine="0" w:firstLineChars="0"/>
                    <w:jc w:val="center"/>
                    <w:textAlignment w:val="baseline"/>
                    <w:rPr>
                      <w:rFonts w:ascii="Times New Roman"/>
                      <w:color w:val="000000" w:themeColor="text1"/>
                      <w:sz w:val="21"/>
                      <w:szCs w:val="18"/>
                      <w:highlight w:val="none"/>
                      <w14:textFill>
                        <w14:solidFill>
                          <w14:schemeClr w14:val="tx1"/>
                        </w14:solidFill>
                      </w14:textFill>
                    </w:rPr>
                  </w:pPr>
                </w:p>
              </w:tc>
            </w:tr>
            <w:tr w14:paraId="2FB58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3" w:hRule="atLeast"/>
                <w:jc w:val="center"/>
              </w:trPr>
              <w:tc>
                <w:tcPr>
                  <w:tcW w:w="319" w:type="pct"/>
                  <w:vMerge w:val="continue"/>
                  <w:noWrap w:val="0"/>
                  <w:vAlign w:val="center"/>
                </w:tcPr>
                <w:p w14:paraId="72AF3861">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p>
              </w:tc>
              <w:tc>
                <w:tcPr>
                  <w:tcW w:w="498" w:type="pct"/>
                  <w:vMerge w:val="continue"/>
                  <w:noWrap w:val="0"/>
                  <w:vAlign w:val="center"/>
                </w:tcPr>
                <w:p w14:paraId="439B3FC8">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p>
              </w:tc>
              <w:tc>
                <w:tcPr>
                  <w:tcW w:w="806" w:type="pct"/>
                  <w:vMerge w:val="continue"/>
                  <w:noWrap w:val="0"/>
                  <w:vAlign w:val="center"/>
                </w:tcPr>
                <w:p w14:paraId="5099C823">
                  <w:pPr>
                    <w:spacing w:line="240" w:lineRule="exact"/>
                    <w:ind w:firstLine="0" w:firstLineChars="0"/>
                    <w:jc w:val="center"/>
                    <w:rPr>
                      <w:rFonts w:ascii="Times New Roman"/>
                      <w:color w:val="000000" w:themeColor="text1"/>
                      <w:sz w:val="21"/>
                      <w:szCs w:val="21"/>
                      <w:highlight w:val="none"/>
                      <w:lang w:val="zh-CN"/>
                      <w14:textFill>
                        <w14:solidFill>
                          <w14:schemeClr w14:val="tx1"/>
                        </w14:solidFill>
                      </w14:textFill>
                    </w:rPr>
                  </w:pPr>
                </w:p>
              </w:tc>
              <w:tc>
                <w:tcPr>
                  <w:tcW w:w="1251" w:type="pct"/>
                  <w:noWrap w:val="0"/>
                  <w:vAlign w:val="center"/>
                </w:tcPr>
                <w:p w14:paraId="4721F1BC">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颗粒物</w:t>
                  </w:r>
                </w:p>
              </w:tc>
              <w:tc>
                <w:tcPr>
                  <w:tcW w:w="485" w:type="pct"/>
                  <w:vMerge w:val="continue"/>
                  <w:noWrap w:val="0"/>
                  <w:vAlign w:val="center"/>
                </w:tcPr>
                <w:p w14:paraId="03B3E6B7">
                  <w:pPr>
                    <w:spacing w:line="240" w:lineRule="exact"/>
                    <w:ind w:firstLine="0" w:firstLineChars="0"/>
                    <w:jc w:val="center"/>
                    <w:rPr>
                      <w:rFonts w:hint="eastAsia" w:ascii="Times New Roman" w:eastAsia="宋体"/>
                      <w:color w:val="000000" w:themeColor="text1"/>
                      <w:sz w:val="21"/>
                      <w:szCs w:val="21"/>
                      <w:highlight w:val="none"/>
                      <w:lang w:val="en-US" w:eastAsia="zh-CN"/>
                      <w14:textFill>
                        <w14:solidFill>
                          <w14:schemeClr w14:val="tx1"/>
                        </w14:solidFill>
                      </w14:textFill>
                    </w:rPr>
                  </w:pPr>
                </w:p>
              </w:tc>
              <w:tc>
                <w:tcPr>
                  <w:tcW w:w="1229" w:type="pct"/>
                  <w:vMerge w:val="continue"/>
                  <w:noWrap w:val="0"/>
                  <w:vAlign w:val="center"/>
                </w:tcPr>
                <w:p w14:paraId="713620E0">
                  <w:pPr>
                    <w:adjustRightInd w:val="0"/>
                    <w:spacing w:line="240" w:lineRule="auto"/>
                    <w:ind w:firstLine="0" w:firstLineChars="0"/>
                    <w:jc w:val="center"/>
                    <w:textAlignment w:val="baseline"/>
                    <w:rPr>
                      <w:rFonts w:ascii="Times New Roman"/>
                      <w:color w:val="000000" w:themeColor="text1"/>
                      <w:sz w:val="21"/>
                      <w:szCs w:val="18"/>
                      <w:highlight w:val="none"/>
                      <w14:textFill>
                        <w14:solidFill>
                          <w14:schemeClr w14:val="tx1"/>
                        </w14:solidFill>
                      </w14:textFill>
                    </w:rPr>
                  </w:pPr>
                </w:p>
              </w:tc>
              <w:tc>
                <w:tcPr>
                  <w:tcW w:w="409" w:type="pct"/>
                  <w:vMerge w:val="continue"/>
                  <w:noWrap w:val="0"/>
                  <w:vAlign w:val="center"/>
                </w:tcPr>
                <w:p w14:paraId="60E465AD">
                  <w:pPr>
                    <w:adjustRightInd w:val="0"/>
                    <w:spacing w:line="240" w:lineRule="auto"/>
                    <w:ind w:firstLine="0" w:firstLineChars="0"/>
                    <w:jc w:val="center"/>
                    <w:textAlignment w:val="baseline"/>
                    <w:rPr>
                      <w:rFonts w:ascii="Times New Roman"/>
                      <w:color w:val="000000" w:themeColor="text1"/>
                      <w:sz w:val="21"/>
                      <w:szCs w:val="18"/>
                      <w:highlight w:val="none"/>
                      <w14:textFill>
                        <w14:solidFill>
                          <w14:schemeClr w14:val="tx1"/>
                        </w14:solidFill>
                      </w14:textFill>
                    </w:rPr>
                  </w:pPr>
                </w:p>
              </w:tc>
            </w:tr>
            <w:tr w14:paraId="12D632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319" w:type="pct"/>
                  <w:vMerge w:val="continue"/>
                  <w:noWrap w:val="0"/>
                  <w:vAlign w:val="center"/>
                </w:tcPr>
                <w:p w14:paraId="677D5499">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p>
              </w:tc>
              <w:tc>
                <w:tcPr>
                  <w:tcW w:w="498" w:type="pct"/>
                  <w:vMerge w:val="restart"/>
                  <w:noWrap w:val="0"/>
                  <w:vAlign w:val="center"/>
                </w:tcPr>
                <w:p w14:paraId="1BFDAE18">
                  <w:pPr>
                    <w:spacing w:line="240" w:lineRule="exact"/>
                    <w:ind w:firstLine="0" w:firstLineChars="0"/>
                    <w:jc w:val="center"/>
                    <w:rPr>
                      <w:rFonts w:hint="eastAsia" w:ascii="Times New Roman"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无组织废气监测</w:t>
                  </w:r>
                </w:p>
              </w:tc>
              <w:tc>
                <w:tcPr>
                  <w:tcW w:w="806" w:type="pct"/>
                  <w:noWrap w:val="0"/>
                  <w:vAlign w:val="center"/>
                </w:tcPr>
                <w:p w14:paraId="0D35FBAF">
                  <w:pPr>
                    <w:spacing w:line="240" w:lineRule="exact"/>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厂房外</w:t>
                  </w:r>
                </w:p>
              </w:tc>
              <w:tc>
                <w:tcPr>
                  <w:tcW w:w="1251" w:type="pct"/>
                  <w:noWrap w:val="0"/>
                  <w:vAlign w:val="center"/>
                </w:tcPr>
                <w:p w14:paraId="05121AED">
                  <w:pPr>
                    <w:spacing w:line="240" w:lineRule="exact"/>
                    <w:ind w:firstLine="0" w:firstLineChars="0"/>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颗粒物</w:t>
                  </w:r>
                </w:p>
              </w:tc>
              <w:tc>
                <w:tcPr>
                  <w:tcW w:w="485" w:type="pct"/>
                  <w:noWrap w:val="0"/>
                  <w:vAlign w:val="center"/>
                </w:tcPr>
                <w:p w14:paraId="60818A76">
                  <w:pPr>
                    <w:spacing w:line="240" w:lineRule="exact"/>
                    <w:ind w:firstLine="0" w:firstLineChars="0"/>
                    <w:jc w:val="center"/>
                    <w:rPr>
                      <w:rFonts w:hint="eastAsia" w:ascii="Times New Roman" w:eastAsia="宋体"/>
                      <w:color w:val="000000" w:themeColor="text1"/>
                      <w:sz w:val="21"/>
                      <w:szCs w:val="21"/>
                      <w:highlight w:val="none"/>
                      <w:lang w:val="en-US" w:eastAsia="zh-CN"/>
                      <w14:textFill>
                        <w14:solidFill>
                          <w14:schemeClr w14:val="tx1"/>
                        </w14:solidFill>
                      </w14:textFill>
                    </w:rPr>
                  </w:pPr>
                  <w:r>
                    <w:rPr>
                      <w:rFonts w:ascii="Times New Roman"/>
                      <w:color w:val="000000" w:themeColor="text1"/>
                      <w:sz w:val="21"/>
                      <w:szCs w:val="21"/>
                      <w:highlight w:val="none"/>
                      <w14:textFill>
                        <w14:solidFill>
                          <w14:schemeClr w14:val="tx1"/>
                        </w14:solidFill>
                      </w14:textFill>
                    </w:rPr>
                    <w:t>季</w:t>
                  </w:r>
                </w:p>
              </w:tc>
              <w:tc>
                <w:tcPr>
                  <w:tcW w:w="1229" w:type="pct"/>
                  <w:noWrap w:val="0"/>
                  <w:vAlign w:val="center"/>
                </w:tcPr>
                <w:p w14:paraId="4D9047ED">
                  <w:pPr>
                    <w:adjustRightInd w:val="0"/>
                    <w:spacing w:line="240" w:lineRule="auto"/>
                    <w:ind w:firstLine="0" w:firstLineChars="0"/>
                    <w:jc w:val="center"/>
                    <w:textAlignment w:val="baseline"/>
                    <w:rPr>
                      <w:rFonts w:ascii="Times New Roman"/>
                      <w:color w:val="000000" w:themeColor="text1"/>
                      <w:sz w:val="21"/>
                      <w:szCs w:val="18"/>
                      <w:highlight w:val="none"/>
                      <w14:textFill>
                        <w14:solidFill>
                          <w14:schemeClr w14:val="tx1"/>
                        </w14:solidFill>
                      </w14:textFill>
                    </w:rPr>
                  </w:pPr>
                  <w:r>
                    <w:rPr>
                      <w:rFonts w:hint="default" w:ascii="Times New Roman"/>
                      <w:color w:val="000000" w:themeColor="text1"/>
                      <w:sz w:val="21"/>
                      <w:szCs w:val="18"/>
                      <w:highlight w:val="none"/>
                      <w:lang w:val="en-US" w:eastAsia="zh-CN"/>
                      <w14:textFill>
                        <w14:solidFill>
                          <w14:schemeClr w14:val="tx1"/>
                        </w14:solidFill>
                      </w14:textFill>
                    </w:rPr>
                    <w:t>《耐火材料工业大气污染物排放标准》（GB46790-2025）表4</w:t>
                  </w:r>
                </w:p>
              </w:tc>
              <w:tc>
                <w:tcPr>
                  <w:tcW w:w="409" w:type="pct"/>
                  <w:noWrap w:val="0"/>
                  <w:vAlign w:val="center"/>
                </w:tcPr>
                <w:p w14:paraId="001A309D">
                  <w:pPr>
                    <w:adjustRightInd w:val="0"/>
                    <w:spacing w:line="240" w:lineRule="auto"/>
                    <w:ind w:firstLine="0" w:firstLineChars="0"/>
                    <w:jc w:val="center"/>
                    <w:textAlignment w:val="baseline"/>
                    <w:rPr>
                      <w:rFonts w:ascii="Times New Roman"/>
                      <w:color w:val="000000" w:themeColor="text1"/>
                      <w:sz w:val="21"/>
                      <w:szCs w:val="18"/>
                      <w:highlight w:val="none"/>
                      <w14:textFill>
                        <w14:solidFill>
                          <w14:schemeClr w14:val="tx1"/>
                        </w14:solidFill>
                      </w14:textFill>
                    </w:rPr>
                  </w:pPr>
                </w:p>
              </w:tc>
            </w:tr>
            <w:tr w14:paraId="0B626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319" w:type="pct"/>
                  <w:vMerge w:val="continue"/>
                  <w:noWrap w:val="0"/>
                  <w:vAlign w:val="center"/>
                </w:tcPr>
                <w:p w14:paraId="57D10DC4">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p>
              </w:tc>
              <w:tc>
                <w:tcPr>
                  <w:tcW w:w="498" w:type="pct"/>
                  <w:vMerge w:val="continue"/>
                  <w:noWrap w:val="0"/>
                  <w:vAlign w:val="center"/>
                </w:tcPr>
                <w:p w14:paraId="551EE7CF">
                  <w:pPr>
                    <w:spacing w:line="240" w:lineRule="exact"/>
                    <w:ind w:firstLine="0" w:firstLineChars="0"/>
                    <w:jc w:val="center"/>
                    <w:rPr>
                      <w:rFonts w:hint="eastAsia" w:ascii="Times New Roman" w:eastAsia="宋体"/>
                      <w:color w:val="000000" w:themeColor="text1"/>
                      <w:sz w:val="21"/>
                      <w:szCs w:val="21"/>
                      <w:highlight w:val="none"/>
                      <w:lang w:eastAsia="zh-CN"/>
                      <w14:textFill>
                        <w14:solidFill>
                          <w14:schemeClr w14:val="tx1"/>
                        </w14:solidFill>
                      </w14:textFill>
                    </w:rPr>
                  </w:pPr>
                </w:p>
              </w:tc>
              <w:tc>
                <w:tcPr>
                  <w:tcW w:w="806" w:type="pct"/>
                  <w:noWrap w:val="0"/>
                  <w:vAlign w:val="center"/>
                </w:tcPr>
                <w:p w14:paraId="0144E671">
                  <w:pPr>
                    <w:spacing w:line="240" w:lineRule="exact"/>
                    <w:ind w:firstLine="0" w:firstLineChars="0"/>
                    <w:jc w:val="center"/>
                    <w:rPr>
                      <w:rFonts w:hint="default" w:ascii="Times New Roman" w:eastAsia="宋体"/>
                      <w:color w:val="000000" w:themeColor="text1"/>
                      <w:sz w:val="21"/>
                      <w:szCs w:val="21"/>
                      <w:highlight w:val="none"/>
                      <w:lang w:val="en-US" w:eastAsia="zh-CN"/>
                      <w14:textFill>
                        <w14:solidFill>
                          <w14:schemeClr w14:val="tx1"/>
                        </w14:solidFill>
                      </w14:textFill>
                    </w:rPr>
                  </w:pPr>
                  <w:r>
                    <w:rPr>
                      <w:rFonts w:ascii="Times New Roman"/>
                      <w:color w:val="000000" w:themeColor="text1"/>
                      <w:sz w:val="21"/>
                      <w:szCs w:val="21"/>
                      <w:highlight w:val="none"/>
                      <w:lang w:val="zh-CN"/>
                      <w14:textFill>
                        <w14:solidFill>
                          <w14:schemeClr w14:val="tx1"/>
                        </w14:solidFill>
                      </w14:textFill>
                    </w:rPr>
                    <w:t>厂界</w:t>
                  </w:r>
                  <w:r>
                    <w:rPr>
                      <w:rFonts w:hint="eastAsia"/>
                      <w:color w:val="000000" w:themeColor="text1"/>
                      <w:sz w:val="21"/>
                      <w:szCs w:val="21"/>
                      <w:highlight w:val="none"/>
                      <w:lang w:val="en-US" w:eastAsia="zh-CN"/>
                      <w14:textFill>
                        <w14:solidFill>
                          <w14:schemeClr w14:val="tx1"/>
                        </w14:solidFill>
                      </w14:textFill>
                    </w:rPr>
                    <w:t>上、下风向</w:t>
                  </w:r>
                </w:p>
              </w:tc>
              <w:tc>
                <w:tcPr>
                  <w:tcW w:w="1251" w:type="pct"/>
                  <w:noWrap w:val="0"/>
                  <w:vAlign w:val="center"/>
                </w:tcPr>
                <w:p w14:paraId="00C9D5B6">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r>
                    <w:rPr>
                      <w:rFonts w:hint="eastAsia" w:ascii="Times New Roman"/>
                      <w:color w:val="000000" w:themeColor="text1"/>
                      <w:sz w:val="21"/>
                      <w:szCs w:val="21"/>
                      <w:highlight w:val="none"/>
                      <w:lang w:val="en-US" w:eastAsia="zh-CN"/>
                      <w14:textFill>
                        <w14:solidFill>
                          <w14:schemeClr w14:val="tx1"/>
                        </w14:solidFill>
                      </w14:textFill>
                    </w:rPr>
                    <w:t>颗粒物</w:t>
                  </w:r>
                </w:p>
              </w:tc>
              <w:tc>
                <w:tcPr>
                  <w:tcW w:w="485" w:type="pct"/>
                  <w:noWrap w:val="0"/>
                  <w:vAlign w:val="center"/>
                </w:tcPr>
                <w:p w14:paraId="029FE52B">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r>
                    <w:rPr>
                      <w:rFonts w:hint="eastAsia" w:ascii="Times New Roman"/>
                      <w:color w:val="000000" w:themeColor="text1"/>
                      <w:sz w:val="21"/>
                      <w:szCs w:val="21"/>
                      <w:highlight w:val="none"/>
                      <w:lang w:val="en-US" w:eastAsia="zh-CN"/>
                      <w14:textFill>
                        <w14:solidFill>
                          <w14:schemeClr w14:val="tx1"/>
                        </w14:solidFill>
                      </w14:textFill>
                    </w:rPr>
                    <w:t>季</w:t>
                  </w:r>
                </w:p>
              </w:tc>
              <w:tc>
                <w:tcPr>
                  <w:tcW w:w="1229" w:type="pct"/>
                  <w:noWrap w:val="0"/>
                  <w:vAlign w:val="center"/>
                </w:tcPr>
                <w:p w14:paraId="24D608CB">
                  <w:pPr>
                    <w:adjustRightInd w:val="0"/>
                    <w:spacing w:line="240" w:lineRule="auto"/>
                    <w:ind w:firstLine="0" w:firstLineChars="0"/>
                    <w:jc w:val="center"/>
                    <w:textAlignment w:val="baseline"/>
                    <w:rPr>
                      <w:rFonts w:ascii="Times New Roman"/>
                      <w:color w:val="000000" w:themeColor="text1"/>
                      <w:sz w:val="21"/>
                      <w:szCs w:val="18"/>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《大气污染物综合排放标准》（GB16297-1996）表</w:t>
                  </w:r>
                  <w:r>
                    <w:rPr>
                      <w:rFonts w:hint="default"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2中</w:t>
                  </w:r>
                  <w:r>
                    <w:rPr>
                      <w:rFonts w:hint="eastAsia" w:ascii="Times New Roman" w:hAnsi="Times New Roman" w:eastAsia="宋体" w:cs="Times New Roman"/>
                      <w:color w:val="000000" w:themeColor="text1"/>
                      <w:sz w:val="21"/>
                      <w:szCs w:val="21"/>
                      <w:highlight w:val="none"/>
                      <w:vertAlign w:val="baseline"/>
                      <w:lang w:val="en-US" w:eastAsia="zh-CN"/>
                      <w14:textFill>
                        <w14:solidFill>
                          <w14:schemeClr w14:val="tx1"/>
                        </w14:solidFill>
                      </w14:textFill>
                    </w:rPr>
                    <w:t>无组织排放限值</w:t>
                  </w:r>
                </w:p>
              </w:tc>
              <w:tc>
                <w:tcPr>
                  <w:tcW w:w="409" w:type="pct"/>
                  <w:noWrap w:val="0"/>
                  <w:vAlign w:val="center"/>
                </w:tcPr>
                <w:p w14:paraId="3F79A9D1">
                  <w:pPr>
                    <w:adjustRightInd w:val="0"/>
                    <w:spacing w:line="240" w:lineRule="auto"/>
                    <w:ind w:firstLine="0" w:firstLineChars="0"/>
                    <w:jc w:val="center"/>
                    <w:textAlignment w:val="baseline"/>
                    <w:rPr>
                      <w:rFonts w:ascii="Times New Roman"/>
                      <w:color w:val="000000" w:themeColor="text1"/>
                      <w:sz w:val="21"/>
                      <w:szCs w:val="18"/>
                      <w:highlight w:val="none"/>
                      <w14:textFill>
                        <w14:solidFill>
                          <w14:schemeClr w14:val="tx1"/>
                        </w14:solidFill>
                      </w14:textFill>
                    </w:rPr>
                  </w:pPr>
                </w:p>
              </w:tc>
            </w:tr>
            <w:tr w14:paraId="6BDC5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319" w:type="pct"/>
                  <w:vMerge w:val="continue"/>
                  <w:noWrap w:val="0"/>
                  <w:vAlign w:val="center"/>
                </w:tcPr>
                <w:p w14:paraId="4FBB1CA1">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p>
              </w:tc>
              <w:tc>
                <w:tcPr>
                  <w:tcW w:w="498" w:type="pct"/>
                  <w:vMerge w:val="continue"/>
                  <w:noWrap w:val="0"/>
                  <w:vAlign w:val="center"/>
                </w:tcPr>
                <w:p w14:paraId="1857139B">
                  <w:pPr>
                    <w:spacing w:line="240" w:lineRule="exact"/>
                    <w:ind w:firstLine="0" w:firstLineChars="0"/>
                    <w:jc w:val="center"/>
                    <w:rPr>
                      <w:rFonts w:hint="eastAsia" w:ascii="Times New Roman" w:eastAsia="宋体"/>
                      <w:color w:val="000000" w:themeColor="text1"/>
                      <w:sz w:val="21"/>
                      <w:szCs w:val="21"/>
                      <w:highlight w:val="none"/>
                      <w:lang w:eastAsia="zh-CN"/>
                      <w14:textFill>
                        <w14:solidFill>
                          <w14:schemeClr w14:val="tx1"/>
                        </w14:solidFill>
                      </w14:textFill>
                    </w:rPr>
                  </w:pPr>
                </w:p>
              </w:tc>
              <w:tc>
                <w:tcPr>
                  <w:tcW w:w="806" w:type="pct"/>
                  <w:vMerge w:val="restart"/>
                  <w:noWrap w:val="0"/>
                  <w:vAlign w:val="center"/>
                </w:tcPr>
                <w:p w14:paraId="0917F24D">
                  <w:pPr>
                    <w:spacing w:line="240" w:lineRule="exact"/>
                    <w:ind w:firstLine="0" w:firstLineChars="0"/>
                    <w:jc w:val="center"/>
                    <w:rPr>
                      <w:rFonts w:hint="eastAsia" w:ascii="Times New Roman" w:eastAsia="宋体"/>
                      <w:color w:val="000000" w:themeColor="text1"/>
                      <w:sz w:val="21"/>
                      <w:szCs w:val="21"/>
                      <w:highlight w:val="none"/>
                      <w:lang w:val="en-US" w:eastAsia="zh-CN"/>
                      <w14:textFill>
                        <w14:solidFill>
                          <w14:schemeClr w14:val="tx1"/>
                        </w14:solidFill>
                      </w14:textFill>
                    </w:rPr>
                  </w:pPr>
                  <w:r>
                    <w:rPr>
                      <w:rFonts w:ascii="Times New Roman"/>
                      <w:color w:val="000000" w:themeColor="text1"/>
                      <w:sz w:val="21"/>
                      <w:szCs w:val="21"/>
                      <w:highlight w:val="none"/>
                      <w:lang w:val="zh-CN"/>
                      <w14:textFill>
                        <w14:solidFill>
                          <w14:schemeClr w14:val="tx1"/>
                        </w14:solidFill>
                      </w14:textFill>
                    </w:rPr>
                    <w:t>厂界</w:t>
                  </w:r>
                  <w:r>
                    <w:rPr>
                      <w:rFonts w:hint="eastAsia" w:ascii="Times New Roman"/>
                      <w:color w:val="000000" w:themeColor="text1"/>
                      <w:sz w:val="21"/>
                      <w:szCs w:val="21"/>
                      <w:highlight w:val="none"/>
                      <w:lang w:val="en-US" w:eastAsia="zh-CN"/>
                      <w14:textFill>
                        <w14:solidFill>
                          <w14:schemeClr w14:val="tx1"/>
                        </w14:solidFill>
                      </w14:textFill>
                    </w:rPr>
                    <w:t>四周</w:t>
                  </w:r>
                </w:p>
              </w:tc>
              <w:tc>
                <w:tcPr>
                  <w:tcW w:w="1251" w:type="pct"/>
                  <w:noWrap w:val="0"/>
                  <w:vAlign w:val="center"/>
                </w:tcPr>
                <w:p w14:paraId="2DF6FAAF">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r>
                    <w:rPr>
                      <w:rFonts w:ascii="Times New Roman"/>
                      <w:color w:val="000000" w:themeColor="text1"/>
                      <w:sz w:val="21"/>
                      <w:szCs w:val="21"/>
                      <w:highlight w:val="none"/>
                      <w14:textFill>
                        <w14:solidFill>
                          <w14:schemeClr w14:val="tx1"/>
                        </w14:solidFill>
                      </w14:textFill>
                    </w:rPr>
                    <w:t>氨</w:t>
                  </w:r>
                </w:p>
              </w:tc>
              <w:tc>
                <w:tcPr>
                  <w:tcW w:w="485" w:type="pct"/>
                  <w:vMerge w:val="restart"/>
                  <w:noWrap w:val="0"/>
                  <w:vAlign w:val="center"/>
                </w:tcPr>
                <w:p w14:paraId="51A5073B">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r>
                    <w:rPr>
                      <w:rFonts w:ascii="Times New Roman"/>
                      <w:color w:val="000000" w:themeColor="text1"/>
                      <w:sz w:val="21"/>
                      <w:szCs w:val="21"/>
                      <w:highlight w:val="none"/>
                      <w14:textFill>
                        <w14:solidFill>
                          <w14:schemeClr w14:val="tx1"/>
                        </w14:solidFill>
                      </w14:textFill>
                    </w:rPr>
                    <w:t>季</w:t>
                  </w:r>
                </w:p>
              </w:tc>
              <w:tc>
                <w:tcPr>
                  <w:tcW w:w="1229" w:type="pct"/>
                  <w:vMerge w:val="restart"/>
                  <w:noWrap w:val="0"/>
                  <w:vAlign w:val="center"/>
                </w:tcPr>
                <w:p w14:paraId="34B7A430">
                  <w:pPr>
                    <w:adjustRightInd w:val="0"/>
                    <w:spacing w:line="240" w:lineRule="auto"/>
                    <w:ind w:firstLine="0" w:firstLineChars="0"/>
                    <w:jc w:val="center"/>
                    <w:textAlignment w:val="baseline"/>
                    <w:rPr>
                      <w:rFonts w:ascii="Times New Roman"/>
                      <w:color w:val="000000" w:themeColor="text1"/>
                      <w:sz w:val="21"/>
                      <w:szCs w:val="21"/>
                      <w:highlight w:val="none"/>
                      <w14:textFill>
                        <w14:solidFill>
                          <w14:schemeClr w14:val="tx1"/>
                        </w14:solidFill>
                      </w14:textFill>
                    </w:rPr>
                  </w:pPr>
                  <w:r>
                    <w:rPr>
                      <w:rFonts w:ascii="Times New Roman"/>
                      <w:color w:val="000000" w:themeColor="text1"/>
                      <w:sz w:val="21"/>
                      <w:szCs w:val="18"/>
                      <w:highlight w:val="none"/>
                      <w14:textFill>
                        <w14:solidFill>
                          <w14:schemeClr w14:val="tx1"/>
                        </w14:solidFill>
                      </w14:textFill>
                    </w:rPr>
                    <w:t>《恶臭污染物排放标准》（GB14554-93）厂界标准值要求</w:t>
                  </w:r>
                </w:p>
              </w:tc>
              <w:tc>
                <w:tcPr>
                  <w:tcW w:w="409" w:type="pct"/>
                  <w:vMerge w:val="restart"/>
                  <w:noWrap w:val="0"/>
                  <w:vAlign w:val="center"/>
                </w:tcPr>
                <w:p w14:paraId="788106B3">
                  <w:pPr>
                    <w:adjustRightInd w:val="0"/>
                    <w:spacing w:line="240" w:lineRule="auto"/>
                    <w:ind w:firstLine="0" w:firstLineChars="0"/>
                    <w:jc w:val="center"/>
                    <w:textAlignment w:val="baseline"/>
                    <w:rPr>
                      <w:rFonts w:ascii="Times New Roman"/>
                      <w:color w:val="000000" w:themeColor="text1"/>
                      <w:sz w:val="21"/>
                      <w:szCs w:val="18"/>
                      <w:highlight w:val="none"/>
                      <w14:textFill>
                        <w14:solidFill>
                          <w14:schemeClr w14:val="tx1"/>
                        </w14:solidFill>
                      </w14:textFill>
                    </w:rPr>
                  </w:pPr>
                </w:p>
              </w:tc>
            </w:tr>
            <w:tr w14:paraId="0A8B4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319" w:type="pct"/>
                  <w:vMerge w:val="continue"/>
                  <w:noWrap w:val="0"/>
                  <w:vAlign w:val="center"/>
                </w:tcPr>
                <w:p w14:paraId="1994452F">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p>
              </w:tc>
              <w:tc>
                <w:tcPr>
                  <w:tcW w:w="498" w:type="pct"/>
                  <w:vMerge w:val="continue"/>
                  <w:noWrap w:val="0"/>
                  <w:vAlign w:val="center"/>
                </w:tcPr>
                <w:p w14:paraId="3ED56190">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p>
              </w:tc>
              <w:tc>
                <w:tcPr>
                  <w:tcW w:w="806" w:type="pct"/>
                  <w:vMerge w:val="continue"/>
                  <w:noWrap w:val="0"/>
                  <w:vAlign w:val="center"/>
                </w:tcPr>
                <w:p w14:paraId="06775957">
                  <w:pPr>
                    <w:spacing w:line="240" w:lineRule="exact"/>
                    <w:ind w:firstLine="0" w:firstLineChars="0"/>
                    <w:jc w:val="center"/>
                    <w:rPr>
                      <w:rFonts w:ascii="Times New Roman"/>
                      <w:color w:val="000000" w:themeColor="text1"/>
                      <w:sz w:val="21"/>
                      <w:szCs w:val="21"/>
                      <w:highlight w:val="none"/>
                      <w:lang w:val="zh-CN"/>
                      <w14:textFill>
                        <w14:solidFill>
                          <w14:schemeClr w14:val="tx1"/>
                        </w14:solidFill>
                      </w14:textFill>
                    </w:rPr>
                  </w:pPr>
                </w:p>
              </w:tc>
              <w:tc>
                <w:tcPr>
                  <w:tcW w:w="1251" w:type="pct"/>
                  <w:noWrap w:val="0"/>
                  <w:vAlign w:val="center"/>
                </w:tcPr>
                <w:p w14:paraId="5B563014">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r>
                    <w:rPr>
                      <w:rFonts w:ascii="Times New Roman"/>
                      <w:color w:val="000000" w:themeColor="text1"/>
                      <w:sz w:val="21"/>
                      <w:szCs w:val="21"/>
                      <w:highlight w:val="none"/>
                      <w14:textFill>
                        <w14:solidFill>
                          <w14:schemeClr w14:val="tx1"/>
                        </w14:solidFill>
                      </w14:textFill>
                    </w:rPr>
                    <w:t>臭气浓度</w:t>
                  </w:r>
                </w:p>
              </w:tc>
              <w:tc>
                <w:tcPr>
                  <w:tcW w:w="485" w:type="pct"/>
                  <w:vMerge w:val="continue"/>
                  <w:noWrap w:val="0"/>
                  <w:vAlign w:val="center"/>
                </w:tcPr>
                <w:p w14:paraId="212B778A">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p>
              </w:tc>
              <w:tc>
                <w:tcPr>
                  <w:tcW w:w="1229" w:type="pct"/>
                  <w:vMerge w:val="continue"/>
                  <w:noWrap w:val="0"/>
                  <w:vAlign w:val="center"/>
                </w:tcPr>
                <w:p w14:paraId="1F59AB73">
                  <w:pPr>
                    <w:adjustRightInd w:val="0"/>
                    <w:spacing w:line="240" w:lineRule="auto"/>
                    <w:ind w:firstLine="0" w:firstLineChars="0"/>
                    <w:jc w:val="center"/>
                    <w:textAlignment w:val="baseline"/>
                    <w:rPr>
                      <w:rFonts w:ascii="Times New Roman"/>
                      <w:color w:val="000000" w:themeColor="text1"/>
                      <w:sz w:val="21"/>
                      <w:szCs w:val="18"/>
                      <w:highlight w:val="none"/>
                      <w14:textFill>
                        <w14:solidFill>
                          <w14:schemeClr w14:val="tx1"/>
                        </w14:solidFill>
                      </w14:textFill>
                    </w:rPr>
                  </w:pPr>
                </w:p>
              </w:tc>
              <w:tc>
                <w:tcPr>
                  <w:tcW w:w="409" w:type="pct"/>
                  <w:vMerge w:val="continue"/>
                  <w:noWrap w:val="0"/>
                  <w:vAlign w:val="center"/>
                </w:tcPr>
                <w:p w14:paraId="6DB3C34D">
                  <w:pPr>
                    <w:adjustRightInd w:val="0"/>
                    <w:spacing w:line="240" w:lineRule="auto"/>
                    <w:ind w:firstLine="0" w:firstLineChars="0"/>
                    <w:jc w:val="center"/>
                    <w:textAlignment w:val="baseline"/>
                    <w:rPr>
                      <w:rFonts w:ascii="Times New Roman"/>
                      <w:color w:val="000000" w:themeColor="text1"/>
                      <w:sz w:val="21"/>
                      <w:szCs w:val="18"/>
                      <w:highlight w:val="none"/>
                      <w14:textFill>
                        <w14:solidFill>
                          <w14:schemeClr w14:val="tx1"/>
                        </w14:solidFill>
                      </w14:textFill>
                    </w:rPr>
                  </w:pPr>
                </w:p>
              </w:tc>
            </w:tr>
            <w:tr w14:paraId="5742E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9" w:type="pct"/>
                  <w:vMerge w:val="continue"/>
                  <w:noWrap w:val="0"/>
                  <w:vAlign w:val="center"/>
                </w:tcPr>
                <w:p w14:paraId="69E78C93">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p>
              </w:tc>
              <w:tc>
                <w:tcPr>
                  <w:tcW w:w="498" w:type="pct"/>
                  <w:vMerge w:val="restart"/>
                  <w:noWrap w:val="0"/>
                  <w:vAlign w:val="center"/>
                </w:tcPr>
                <w:p w14:paraId="5F786C67">
                  <w:pPr>
                    <w:spacing w:line="240" w:lineRule="exact"/>
                    <w:ind w:firstLine="0" w:firstLineChars="0"/>
                    <w:jc w:val="center"/>
                    <w:rPr>
                      <w:rFonts w:hint="eastAsia" w:ascii="Times New Roman" w:eastAsia="宋体"/>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废水</w:t>
                  </w:r>
                </w:p>
              </w:tc>
              <w:tc>
                <w:tcPr>
                  <w:tcW w:w="806" w:type="pct"/>
                  <w:noWrap w:val="0"/>
                  <w:vAlign w:val="center"/>
                </w:tcPr>
                <w:p w14:paraId="0107AFFF">
                  <w:pPr>
                    <w:spacing w:line="240" w:lineRule="exact"/>
                    <w:ind w:firstLine="0" w:firstLineChars="0"/>
                    <w:jc w:val="center"/>
                    <w:rPr>
                      <w:rFonts w:hint="eastAsia"/>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脱硫废水</w:t>
                  </w:r>
                </w:p>
              </w:tc>
              <w:tc>
                <w:tcPr>
                  <w:tcW w:w="1251" w:type="pct"/>
                  <w:noWrap w:val="0"/>
                  <w:vAlign w:val="center"/>
                </w:tcPr>
                <w:p w14:paraId="1D5291B2">
                  <w:pPr>
                    <w:spacing w:line="240" w:lineRule="exact"/>
                    <w:ind w:firstLine="0" w:firstLineChars="0"/>
                    <w:jc w:val="center"/>
                    <w:rPr>
                      <w:rFonts w:hint="eastAsia" w:eastAsia="新宋体"/>
                      <w:color w:val="000000" w:themeColor="text1"/>
                      <w:kern w:val="2"/>
                      <w:sz w:val="21"/>
                      <w:szCs w:val="21"/>
                      <w:highlight w:val="none"/>
                      <w:lang w:val="en-US" w:eastAsia="zh-CN"/>
                      <w14:textFill>
                        <w14:solidFill>
                          <w14:schemeClr w14:val="tx1"/>
                        </w14:solidFill>
                      </w14:textFill>
                    </w:rPr>
                  </w:pPr>
                  <w:r>
                    <w:rPr>
                      <w:rFonts w:hint="eastAsia" w:ascii="Times New Roman"/>
                      <w:color w:val="000000" w:themeColor="text1"/>
                      <w:sz w:val="21"/>
                      <w:szCs w:val="21"/>
                      <w:highlight w:val="none"/>
                      <w:lang w:val="en-US" w:eastAsia="zh-CN"/>
                      <w14:textFill>
                        <w14:solidFill>
                          <w14:schemeClr w14:val="tx1"/>
                        </w14:solidFill>
                      </w14:textFill>
                    </w:rPr>
                    <w:t>pH值、总砷、总铅、总汞、总镉</w:t>
                  </w:r>
                </w:p>
              </w:tc>
              <w:tc>
                <w:tcPr>
                  <w:tcW w:w="485" w:type="pct"/>
                  <w:noWrap w:val="0"/>
                  <w:vAlign w:val="center"/>
                </w:tcPr>
                <w:p w14:paraId="1D525A82">
                  <w:pPr>
                    <w:spacing w:line="240" w:lineRule="exact"/>
                    <w:ind w:firstLine="0" w:firstLineChars="0"/>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年</w:t>
                  </w:r>
                </w:p>
              </w:tc>
              <w:tc>
                <w:tcPr>
                  <w:tcW w:w="1229" w:type="pct"/>
                  <w:vMerge w:val="restart"/>
                  <w:noWrap w:val="0"/>
                  <w:vAlign w:val="center"/>
                </w:tcPr>
                <w:p w14:paraId="640674F1">
                  <w:pPr>
                    <w:spacing w:line="240" w:lineRule="auto"/>
                    <w:ind w:firstLine="0" w:firstLineChars="0"/>
                    <w:jc w:val="center"/>
                    <w:rPr>
                      <w:rFonts w:hint="default" w:ascii="Times New Roman"/>
                      <w:color w:val="000000" w:themeColor="text1"/>
                      <w:kern w:val="2"/>
                      <w:sz w:val="21"/>
                      <w:szCs w:val="21"/>
                      <w:highlight w:val="none"/>
                      <w:lang w:val="en-US"/>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污水处理厂废水水质接纳标准</w:t>
                  </w:r>
                  <w:r>
                    <w:rPr>
                      <w:rFonts w:hint="eastAsia" w:ascii="Times New Roman" w:hAnsi="Times New Roman" w:cs="Times New Roman"/>
                      <w:color w:val="000000" w:themeColor="text1"/>
                      <w:sz w:val="21"/>
                      <w:szCs w:val="18"/>
                      <w:highlight w:val="none"/>
                      <w:lang w:val="en-US" w:eastAsia="zh-CN"/>
                      <w14:textFill>
                        <w14:solidFill>
                          <w14:schemeClr w14:val="tx1"/>
                        </w14:solidFill>
                      </w14:textFill>
                    </w:rPr>
                    <w:t>，详见表3-</w:t>
                  </w:r>
                  <w:r>
                    <w:rPr>
                      <w:rFonts w:hint="eastAsia" w:cs="Times New Roman"/>
                      <w:color w:val="000000" w:themeColor="text1"/>
                      <w:sz w:val="21"/>
                      <w:szCs w:val="18"/>
                      <w:highlight w:val="none"/>
                      <w:lang w:val="en-US" w:eastAsia="zh-CN"/>
                      <w14:textFill>
                        <w14:solidFill>
                          <w14:schemeClr w14:val="tx1"/>
                        </w14:solidFill>
                      </w14:textFill>
                    </w:rPr>
                    <w:t>25</w:t>
                  </w:r>
                </w:p>
              </w:tc>
              <w:tc>
                <w:tcPr>
                  <w:tcW w:w="409" w:type="pct"/>
                  <w:noWrap w:val="0"/>
                  <w:vAlign w:val="center"/>
                </w:tcPr>
                <w:p w14:paraId="6123FE3C">
                  <w:pPr>
                    <w:spacing w:line="240" w:lineRule="auto"/>
                    <w:ind w:firstLine="0" w:firstLineChars="0"/>
                    <w:jc w:val="center"/>
                    <w:rPr>
                      <w:rFonts w:ascii="Times New Roman"/>
                      <w:color w:val="000000" w:themeColor="text1"/>
                      <w:kern w:val="2"/>
                      <w:sz w:val="21"/>
                      <w:szCs w:val="21"/>
                      <w:highlight w:val="none"/>
                      <w14:textFill>
                        <w14:solidFill>
                          <w14:schemeClr w14:val="tx1"/>
                        </w14:solidFill>
                      </w14:textFill>
                    </w:rPr>
                  </w:pPr>
                </w:p>
              </w:tc>
            </w:tr>
            <w:tr w14:paraId="3E5CA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319" w:type="pct"/>
                  <w:vMerge w:val="continue"/>
                  <w:noWrap w:val="0"/>
                  <w:vAlign w:val="center"/>
                </w:tcPr>
                <w:p w14:paraId="3AC6F732">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p>
              </w:tc>
              <w:tc>
                <w:tcPr>
                  <w:tcW w:w="498" w:type="pct"/>
                  <w:vMerge w:val="continue"/>
                  <w:noWrap w:val="0"/>
                  <w:vAlign w:val="center"/>
                </w:tcPr>
                <w:p w14:paraId="4D1576AA">
                  <w:pPr>
                    <w:spacing w:line="240" w:lineRule="exact"/>
                    <w:ind w:firstLine="0" w:firstLineChars="0"/>
                    <w:jc w:val="center"/>
                    <w:rPr>
                      <w:rFonts w:hint="eastAsia" w:ascii="Times New Roman" w:eastAsia="宋体"/>
                      <w:color w:val="000000" w:themeColor="text1"/>
                      <w:sz w:val="21"/>
                      <w:szCs w:val="21"/>
                      <w:highlight w:val="none"/>
                      <w:lang w:val="en-US" w:eastAsia="zh-CN"/>
                      <w14:textFill>
                        <w14:solidFill>
                          <w14:schemeClr w14:val="tx1"/>
                        </w14:solidFill>
                      </w14:textFill>
                    </w:rPr>
                  </w:pPr>
                </w:p>
              </w:tc>
              <w:tc>
                <w:tcPr>
                  <w:tcW w:w="806" w:type="pct"/>
                  <w:noWrap w:val="0"/>
                  <w:vAlign w:val="center"/>
                </w:tcPr>
                <w:p w14:paraId="5AF4BE70">
                  <w:pPr>
                    <w:spacing w:line="240" w:lineRule="exact"/>
                    <w:ind w:firstLine="0" w:firstLineChars="0"/>
                    <w:jc w:val="center"/>
                    <w:rPr>
                      <w:rFonts w:hint="eastAsia"/>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冷却水排污水</w:t>
                  </w:r>
                </w:p>
              </w:tc>
              <w:tc>
                <w:tcPr>
                  <w:tcW w:w="1251" w:type="pct"/>
                  <w:noWrap w:val="0"/>
                  <w:vAlign w:val="center"/>
                </w:tcPr>
                <w:p w14:paraId="3CC07317">
                  <w:pPr>
                    <w:spacing w:line="240" w:lineRule="exact"/>
                    <w:ind w:firstLine="0" w:firstLineChars="0"/>
                    <w:jc w:val="center"/>
                    <w:rPr>
                      <w:rFonts w:hint="eastAsia" w:eastAsia="新宋体"/>
                      <w:color w:val="000000" w:themeColor="text1"/>
                      <w:kern w:val="2"/>
                      <w:sz w:val="21"/>
                      <w:szCs w:val="21"/>
                      <w:highlight w:val="none"/>
                      <w:lang w:val="en-US" w:eastAsia="zh-CN"/>
                      <w14:textFill>
                        <w14:solidFill>
                          <w14:schemeClr w14:val="tx1"/>
                        </w14:solidFill>
                      </w14:textFill>
                    </w:rPr>
                  </w:pPr>
                  <w:r>
                    <w:rPr>
                      <w:rFonts w:hint="eastAsia" w:ascii="Times New Roman"/>
                      <w:color w:val="000000" w:themeColor="text1"/>
                      <w:sz w:val="21"/>
                      <w:szCs w:val="21"/>
                      <w:highlight w:val="none"/>
                      <w:lang w:val="en-US" w:eastAsia="zh-CN"/>
                      <w14:textFill>
                        <w14:solidFill>
                          <w14:schemeClr w14:val="tx1"/>
                        </w14:solidFill>
                      </w14:textFill>
                    </w:rPr>
                    <w:t>pH值、化学需氧量</w:t>
                  </w:r>
                </w:p>
              </w:tc>
              <w:tc>
                <w:tcPr>
                  <w:tcW w:w="485" w:type="pct"/>
                  <w:noWrap w:val="0"/>
                  <w:vAlign w:val="center"/>
                </w:tcPr>
                <w:p w14:paraId="3FF8570F">
                  <w:pPr>
                    <w:spacing w:line="240" w:lineRule="exact"/>
                    <w:ind w:firstLine="0" w:firstLineChars="0"/>
                    <w:jc w:val="center"/>
                    <w:rPr>
                      <w:rFonts w:hint="eastAsia"/>
                      <w:color w:val="000000" w:themeColor="text1"/>
                      <w:sz w:val="21"/>
                      <w:szCs w:val="21"/>
                      <w:highlight w:val="none"/>
                      <w:lang w:val="en-US"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年</w:t>
                  </w:r>
                </w:p>
              </w:tc>
              <w:tc>
                <w:tcPr>
                  <w:tcW w:w="1229" w:type="pct"/>
                  <w:vMerge w:val="continue"/>
                  <w:noWrap w:val="0"/>
                  <w:vAlign w:val="center"/>
                </w:tcPr>
                <w:p w14:paraId="11E1A2A6">
                  <w:pPr>
                    <w:spacing w:line="240" w:lineRule="auto"/>
                    <w:ind w:firstLine="0" w:firstLineChars="0"/>
                    <w:jc w:val="center"/>
                    <w:rPr>
                      <w:rFonts w:hint="eastAsia"/>
                      <w:color w:val="000000" w:themeColor="text1"/>
                      <w:szCs w:val="21"/>
                      <w:highlight w:val="none"/>
                      <w:lang w:val="en-US" w:eastAsia="zh-CN"/>
                      <w14:textFill>
                        <w14:solidFill>
                          <w14:schemeClr w14:val="tx1"/>
                        </w14:solidFill>
                      </w14:textFill>
                    </w:rPr>
                  </w:pPr>
                </w:p>
              </w:tc>
              <w:tc>
                <w:tcPr>
                  <w:tcW w:w="409" w:type="pct"/>
                  <w:noWrap w:val="0"/>
                  <w:vAlign w:val="center"/>
                </w:tcPr>
                <w:p w14:paraId="3CC7E106">
                  <w:pPr>
                    <w:spacing w:line="240" w:lineRule="auto"/>
                    <w:ind w:firstLine="0" w:firstLineChars="0"/>
                    <w:jc w:val="center"/>
                    <w:rPr>
                      <w:rFonts w:ascii="Times New Roman"/>
                      <w:color w:val="000000" w:themeColor="text1"/>
                      <w:kern w:val="2"/>
                      <w:sz w:val="21"/>
                      <w:szCs w:val="21"/>
                      <w:highlight w:val="none"/>
                      <w14:textFill>
                        <w14:solidFill>
                          <w14:schemeClr w14:val="tx1"/>
                        </w14:solidFill>
                      </w14:textFill>
                    </w:rPr>
                  </w:pPr>
                </w:p>
              </w:tc>
            </w:tr>
            <w:tr w14:paraId="71E98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9" w:type="pct"/>
                  <w:vMerge w:val="continue"/>
                  <w:noWrap w:val="0"/>
                  <w:vAlign w:val="center"/>
                </w:tcPr>
                <w:p w14:paraId="479ACABB">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p>
              </w:tc>
              <w:tc>
                <w:tcPr>
                  <w:tcW w:w="498" w:type="pct"/>
                  <w:vMerge w:val="continue"/>
                  <w:noWrap w:val="0"/>
                  <w:vAlign w:val="center"/>
                </w:tcPr>
                <w:p w14:paraId="09E7F67B">
                  <w:pPr>
                    <w:spacing w:line="240" w:lineRule="exact"/>
                    <w:ind w:firstLine="0" w:firstLineChars="0"/>
                    <w:jc w:val="center"/>
                    <w:rPr>
                      <w:rFonts w:hint="eastAsia" w:ascii="Times New Roman" w:eastAsia="宋体"/>
                      <w:color w:val="000000" w:themeColor="text1"/>
                      <w:sz w:val="21"/>
                      <w:szCs w:val="21"/>
                      <w:highlight w:val="none"/>
                      <w:lang w:val="en-US" w:eastAsia="zh-CN"/>
                      <w14:textFill>
                        <w14:solidFill>
                          <w14:schemeClr w14:val="tx1"/>
                        </w14:solidFill>
                      </w14:textFill>
                    </w:rPr>
                  </w:pPr>
                </w:p>
              </w:tc>
              <w:tc>
                <w:tcPr>
                  <w:tcW w:w="806" w:type="pct"/>
                  <w:noWrap w:val="0"/>
                  <w:vAlign w:val="center"/>
                </w:tcPr>
                <w:p w14:paraId="3802508F">
                  <w:pPr>
                    <w:spacing w:line="240" w:lineRule="exact"/>
                    <w:ind w:firstLine="0" w:firstLineChars="0"/>
                    <w:jc w:val="center"/>
                    <w:rPr>
                      <w:rFonts w:hint="eastAsia" w:ascii="Times New Roman" w:eastAsia="宋体"/>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生活污水</w:t>
                  </w:r>
                </w:p>
              </w:tc>
              <w:tc>
                <w:tcPr>
                  <w:tcW w:w="1251" w:type="pct"/>
                  <w:noWrap w:val="0"/>
                  <w:vAlign w:val="center"/>
                </w:tcPr>
                <w:p w14:paraId="098DFE22">
                  <w:pPr>
                    <w:spacing w:line="240" w:lineRule="exact"/>
                    <w:ind w:firstLine="0" w:firstLineChars="0"/>
                    <w:jc w:val="center"/>
                    <w:rPr>
                      <w:rFonts w:hint="default" w:ascii="Times New Roman" w:eastAsia="新宋体"/>
                      <w:color w:val="000000" w:themeColor="text1"/>
                      <w:kern w:val="2"/>
                      <w:sz w:val="21"/>
                      <w:szCs w:val="21"/>
                      <w:highlight w:val="none"/>
                      <w:lang w:val="en-US" w:eastAsia="zh-CN"/>
                      <w14:textFill>
                        <w14:solidFill>
                          <w14:schemeClr w14:val="tx1"/>
                        </w14:solidFill>
                      </w14:textFill>
                    </w:rPr>
                  </w:pPr>
                  <w:r>
                    <w:rPr>
                      <w:rFonts w:hint="eastAsia" w:ascii="Times New Roman"/>
                      <w:color w:val="000000" w:themeColor="text1"/>
                      <w:sz w:val="21"/>
                      <w:szCs w:val="21"/>
                      <w:highlight w:val="none"/>
                      <w:lang w:val="en-US" w:eastAsia="zh-CN"/>
                      <w14:textFill>
                        <w14:solidFill>
                          <w14:schemeClr w14:val="tx1"/>
                        </w14:solidFill>
                      </w14:textFill>
                    </w:rPr>
                    <w:t>pH值、悬浮物、化学需氧量、五日生化需氧量、氨氮、总磷、动植物油</w:t>
                  </w:r>
                </w:p>
              </w:tc>
              <w:tc>
                <w:tcPr>
                  <w:tcW w:w="485" w:type="pct"/>
                  <w:noWrap w:val="0"/>
                  <w:vAlign w:val="center"/>
                </w:tcPr>
                <w:p w14:paraId="20A8BC4C">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年</w:t>
                  </w:r>
                </w:p>
              </w:tc>
              <w:tc>
                <w:tcPr>
                  <w:tcW w:w="1229" w:type="pct"/>
                  <w:vMerge w:val="continue"/>
                  <w:noWrap w:val="0"/>
                  <w:vAlign w:val="center"/>
                </w:tcPr>
                <w:p w14:paraId="73BC5AFF">
                  <w:pPr>
                    <w:spacing w:line="240" w:lineRule="auto"/>
                    <w:ind w:firstLine="0" w:firstLineChars="0"/>
                    <w:jc w:val="center"/>
                    <w:rPr>
                      <w:rFonts w:ascii="Times New Roman"/>
                      <w:color w:val="000000" w:themeColor="text1"/>
                      <w:kern w:val="2"/>
                      <w:sz w:val="21"/>
                      <w:szCs w:val="21"/>
                      <w:highlight w:val="none"/>
                      <w14:textFill>
                        <w14:solidFill>
                          <w14:schemeClr w14:val="tx1"/>
                        </w14:solidFill>
                      </w14:textFill>
                    </w:rPr>
                  </w:pPr>
                </w:p>
              </w:tc>
              <w:tc>
                <w:tcPr>
                  <w:tcW w:w="409" w:type="pct"/>
                  <w:noWrap w:val="0"/>
                  <w:vAlign w:val="center"/>
                </w:tcPr>
                <w:p w14:paraId="08E46E0E">
                  <w:pPr>
                    <w:spacing w:line="240" w:lineRule="auto"/>
                    <w:ind w:firstLine="0" w:firstLineChars="0"/>
                    <w:jc w:val="center"/>
                    <w:rPr>
                      <w:rFonts w:ascii="Times New Roman"/>
                      <w:color w:val="000000" w:themeColor="text1"/>
                      <w:kern w:val="2"/>
                      <w:sz w:val="21"/>
                      <w:szCs w:val="21"/>
                      <w:highlight w:val="none"/>
                      <w14:textFill>
                        <w14:solidFill>
                          <w14:schemeClr w14:val="tx1"/>
                        </w14:solidFill>
                      </w14:textFill>
                    </w:rPr>
                  </w:pPr>
                </w:p>
              </w:tc>
            </w:tr>
            <w:tr w14:paraId="49909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19" w:type="pct"/>
                  <w:vMerge w:val="continue"/>
                  <w:noWrap w:val="0"/>
                  <w:vAlign w:val="center"/>
                </w:tcPr>
                <w:p w14:paraId="654B2481">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p>
              </w:tc>
              <w:tc>
                <w:tcPr>
                  <w:tcW w:w="498" w:type="pct"/>
                  <w:noWrap w:val="0"/>
                  <w:vAlign w:val="center"/>
                </w:tcPr>
                <w:p w14:paraId="4F686652">
                  <w:pPr>
                    <w:spacing w:line="240" w:lineRule="exact"/>
                    <w:ind w:firstLine="0" w:firstLineChars="0"/>
                    <w:jc w:val="center"/>
                    <w:rPr>
                      <w:rFonts w:ascii="Times New Roman"/>
                      <w:color w:val="000000" w:themeColor="text1"/>
                      <w:sz w:val="21"/>
                      <w:szCs w:val="21"/>
                      <w:highlight w:val="none"/>
                      <w14:textFill>
                        <w14:solidFill>
                          <w14:schemeClr w14:val="tx1"/>
                        </w14:solidFill>
                      </w14:textFill>
                    </w:rPr>
                  </w:pPr>
                  <w:r>
                    <w:rPr>
                      <w:rFonts w:ascii="Times New Roman"/>
                      <w:color w:val="000000" w:themeColor="text1"/>
                      <w:sz w:val="21"/>
                      <w:szCs w:val="21"/>
                      <w:highlight w:val="none"/>
                      <w14:textFill>
                        <w14:solidFill>
                          <w14:schemeClr w14:val="tx1"/>
                        </w14:solidFill>
                      </w14:textFill>
                    </w:rPr>
                    <w:t>噪声</w:t>
                  </w:r>
                </w:p>
              </w:tc>
              <w:tc>
                <w:tcPr>
                  <w:tcW w:w="806" w:type="pct"/>
                  <w:noWrap w:val="0"/>
                  <w:vAlign w:val="center"/>
                </w:tcPr>
                <w:p w14:paraId="29380203">
                  <w:pPr>
                    <w:spacing w:line="240" w:lineRule="exact"/>
                    <w:ind w:firstLine="0" w:firstLineChars="0"/>
                    <w:jc w:val="center"/>
                    <w:rPr>
                      <w:rFonts w:hint="default" w:ascii="Times New Roman" w:eastAsia="宋体"/>
                      <w:color w:val="000000" w:themeColor="text1"/>
                      <w:sz w:val="21"/>
                      <w:szCs w:val="21"/>
                      <w:highlight w:val="none"/>
                      <w:lang w:val="en-US" w:eastAsia="zh-CN"/>
                      <w14:textFill>
                        <w14:solidFill>
                          <w14:schemeClr w14:val="tx1"/>
                        </w14:solidFill>
                      </w14:textFill>
                    </w:rPr>
                  </w:pPr>
                  <w:r>
                    <w:rPr>
                      <w:rFonts w:ascii="Times New Roman"/>
                      <w:color w:val="000000" w:themeColor="text1"/>
                      <w:sz w:val="21"/>
                      <w:szCs w:val="21"/>
                      <w:highlight w:val="none"/>
                      <w:lang w:val="zh-CN"/>
                      <w14:textFill>
                        <w14:solidFill>
                          <w14:schemeClr w14:val="tx1"/>
                        </w14:solidFill>
                      </w14:textFill>
                    </w:rPr>
                    <w:t>厂区边界</w:t>
                  </w:r>
                  <w:r>
                    <w:rPr>
                      <w:rFonts w:hint="eastAsia"/>
                      <w:color w:val="000000" w:themeColor="text1"/>
                      <w:sz w:val="21"/>
                      <w:szCs w:val="21"/>
                      <w:highlight w:val="none"/>
                      <w:lang w:val="en-US" w:eastAsia="zh-CN"/>
                      <w14:textFill>
                        <w14:solidFill>
                          <w14:schemeClr w14:val="tx1"/>
                        </w14:solidFill>
                      </w14:textFill>
                    </w:rPr>
                    <w:t>外1m</w:t>
                  </w:r>
                </w:p>
              </w:tc>
              <w:tc>
                <w:tcPr>
                  <w:tcW w:w="1251" w:type="pct"/>
                  <w:noWrap w:val="0"/>
                  <w:vAlign w:val="center"/>
                </w:tcPr>
                <w:p w14:paraId="75C4CA18">
                  <w:pPr>
                    <w:spacing w:line="240" w:lineRule="auto"/>
                    <w:ind w:firstLine="0" w:firstLineChars="0"/>
                    <w:jc w:val="center"/>
                    <w:rPr>
                      <w:rFonts w:ascii="Times New Roman"/>
                      <w:color w:val="000000" w:themeColor="text1"/>
                      <w:kern w:val="2"/>
                      <w:sz w:val="21"/>
                      <w:szCs w:val="21"/>
                      <w:highlight w:val="none"/>
                      <w14:textFill>
                        <w14:solidFill>
                          <w14:schemeClr w14:val="tx1"/>
                        </w14:solidFill>
                      </w14:textFill>
                    </w:rPr>
                  </w:pPr>
                  <w:r>
                    <w:rPr>
                      <w:rFonts w:ascii="Times New Roman" w:eastAsia="新宋体"/>
                      <w:color w:val="000000" w:themeColor="text1"/>
                      <w:kern w:val="2"/>
                      <w:sz w:val="21"/>
                      <w:szCs w:val="21"/>
                      <w:highlight w:val="none"/>
                      <w14:textFill>
                        <w14:solidFill>
                          <w14:schemeClr w14:val="tx1"/>
                        </w14:solidFill>
                      </w14:textFill>
                    </w:rPr>
                    <w:t>等效连续A声级</w:t>
                  </w:r>
                </w:p>
              </w:tc>
              <w:tc>
                <w:tcPr>
                  <w:tcW w:w="485" w:type="pct"/>
                  <w:noWrap w:val="0"/>
                  <w:vAlign w:val="center"/>
                </w:tcPr>
                <w:p w14:paraId="75D8CBA6">
                  <w:pPr>
                    <w:spacing w:line="240" w:lineRule="exact"/>
                    <w:ind w:firstLine="0" w:firstLineChars="0"/>
                    <w:jc w:val="center"/>
                    <w:rPr>
                      <w:rFonts w:hint="default" w:ascii="Times New Roman" w:eastAsia="宋体"/>
                      <w:color w:val="000000" w:themeColor="text1"/>
                      <w:kern w:val="2"/>
                      <w:sz w:val="21"/>
                      <w:szCs w:val="21"/>
                      <w:highlight w:val="none"/>
                      <w:lang w:val="en-US" w:eastAsia="zh-CN"/>
                      <w14:textFill>
                        <w14:solidFill>
                          <w14:schemeClr w14:val="tx1"/>
                        </w14:solidFill>
                      </w14:textFill>
                    </w:rPr>
                  </w:pPr>
                  <w:r>
                    <w:rPr>
                      <w:rFonts w:ascii="Times New Roman"/>
                      <w:color w:val="000000" w:themeColor="text1"/>
                      <w:sz w:val="21"/>
                      <w:szCs w:val="21"/>
                      <w:highlight w:val="none"/>
                      <w14:textFill>
                        <w14:solidFill>
                          <w14:schemeClr w14:val="tx1"/>
                        </w14:solidFill>
                      </w14:textFill>
                    </w:rPr>
                    <w:t>季</w:t>
                  </w:r>
                  <w:r>
                    <w:rPr>
                      <w:rFonts w:hint="eastAsia"/>
                      <w:color w:val="000000" w:themeColor="text1"/>
                      <w:sz w:val="21"/>
                      <w:szCs w:val="21"/>
                      <w:highlight w:val="none"/>
                      <w:lang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每次昼夜各一次</w:t>
                  </w:r>
                </w:p>
              </w:tc>
              <w:tc>
                <w:tcPr>
                  <w:tcW w:w="1229" w:type="pct"/>
                  <w:noWrap w:val="0"/>
                  <w:vAlign w:val="center"/>
                </w:tcPr>
                <w:p w14:paraId="529F83A2">
                  <w:pPr>
                    <w:spacing w:line="240" w:lineRule="auto"/>
                    <w:ind w:firstLine="0" w:firstLineChars="0"/>
                    <w:jc w:val="center"/>
                    <w:rPr>
                      <w:rFonts w:ascii="Times New Roman"/>
                      <w:color w:val="000000" w:themeColor="text1"/>
                      <w:kern w:val="2"/>
                      <w:sz w:val="21"/>
                      <w:szCs w:val="21"/>
                      <w:highlight w:val="none"/>
                      <w14:textFill>
                        <w14:solidFill>
                          <w14:schemeClr w14:val="tx1"/>
                        </w14:solidFill>
                      </w14:textFill>
                    </w:rPr>
                  </w:pPr>
                  <w:r>
                    <w:rPr>
                      <w:rFonts w:ascii="Times New Roman"/>
                      <w:color w:val="000000" w:themeColor="text1"/>
                      <w:kern w:val="2"/>
                      <w:sz w:val="21"/>
                      <w:szCs w:val="21"/>
                      <w:highlight w:val="none"/>
                      <w14:textFill>
                        <w14:solidFill>
                          <w14:schemeClr w14:val="tx1"/>
                        </w14:solidFill>
                      </w14:textFill>
                    </w:rPr>
                    <w:t>《工业企业厂界环境噪声排放标准》（GB12348-2008）3类标准</w:t>
                  </w:r>
                </w:p>
              </w:tc>
              <w:tc>
                <w:tcPr>
                  <w:tcW w:w="409" w:type="pct"/>
                  <w:noWrap w:val="0"/>
                  <w:vAlign w:val="center"/>
                </w:tcPr>
                <w:p w14:paraId="05DCC782">
                  <w:pPr>
                    <w:spacing w:line="240" w:lineRule="auto"/>
                    <w:ind w:firstLine="0" w:firstLineChars="0"/>
                    <w:jc w:val="center"/>
                    <w:rPr>
                      <w:rFonts w:ascii="Times New Roman"/>
                      <w:color w:val="000000" w:themeColor="text1"/>
                      <w:kern w:val="2"/>
                      <w:sz w:val="21"/>
                      <w:szCs w:val="21"/>
                      <w:highlight w:val="none"/>
                      <w14:textFill>
                        <w14:solidFill>
                          <w14:schemeClr w14:val="tx1"/>
                        </w14:solidFill>
                      </w14:textFill>
                    </w:rPr>
                  </w:pPr>
                </w:p>
              </w:tc>
            </w:tr>
          </w:tbl>
          <w:p w14:paraId="3363B4BB">
            <w:pPr>
              <w:spacing w:line="360" w:lineRule="auto"/>
              <w:ind w:firstLine="482" w:firstLineChars="200"/>
              <w:rPr>
                <w:rFonts w:hint="default" w:ascii="Times New Roman" w:hAnsi="Times New Roman" w:cs="Times New Roman"/>
                <w:b/>
                <w:color w:val="000000" w:themeColor="text1"/>
                <w:sz w:val="24"/>
                <w:highlight w:val="none"/>
                <w14:textFill>
                  <w14:solidFill>
                    <w14:schemeClr w14:val="tx1"/>
                  </w14:solidFill>
                </w14:textFill>
              </w:rPr>
            </w:pPr>
            <w:r>
              <w:rPr>
                <w:rFonts w:hint="eastAsia" w:cs="Times New Roman"/>
                <w:b/>
                <w:bCs/>
                <w:color w:val="000000" w:themeColor="text1"/>
                <w:sz w:val="24"/>
                <w:highlight w:val="none"/>
                <w:lang w:val="en-US" w:eastAsia="zh-CN"/>
                <w14:textFill>
                  <w14:solidFill>
                    <w14:schemeClr w14:val="tx1"/>
                  </w14:solidFill>
                </w14:textFill>
              </w:rPr>
              <w:t>9.</w:t>
            </w:r>
            <w:r>
              <w:rPr>
                <w:rFonts w:hint="default" w:ascii="Times New Roman" w:hAnsi="Times New Roman" w:eastAsia="宋体" w:cs="Times New Roman"/>
                <w:b/>
                <w:bCs/>
                <w:color w:val="000000" w:themeColor="text1"/>
                <w:sz w:val="24"/>
                <w:highlight w:val="none"/>
                <w14:textFill>
                  <w14:solidFill>
                    <w14:schemeClr w14:val="tx1"/>
                  </w14:solidFill>
                </w14:textFill>
              </w:rPr>
              <w:t>环保投资</w:t>
            </w:r>
            <w:r>
              <w:rPr>
                <w:rFonts w:hint="default" w:ascii="Times New Roman" w:hAnsi="Times New Roman" w:cs="Times New Roman"/>
                <w:b/>
                <w:bCs/>
                <w:color w:val="000000" w:themeColor="text1"/>
                <w:sz w:val="24"/>
                <w:highlight w:val="none"/>
                <w:lang w:val="en-US" w:eastAsia="zh-CN"/>
                <w14:textFill>
                  <w14:solidFill>
                    <w14:schemeClr w14:val="tx1"/>
                  </w14:solidFill>
                </w14:textFill>
              </w:rPr>
              <w:t>及</w:t>
            </w:r>
            <w:r>
              <w:rPr>
                <w:rFonts w:hint="default" w:ascii="Times New Roman" w:hAnsi="Times New Roman" w:cs="Times New Roman"/>
                <w:b/>
                <w:color w:val="000000" w:themeColor="text1"/>
                <w:sz w:val="24"/>
                <w:highlight w:val="none"/>
                <w14:textFill>
                  <w14:solidFill>
                    <w14:schemeClr w14:val="tx1"/>
                  </w14:solidFill>
                </w14:textFill>
              </w:rPr>
              <w:t>“三同时”</w:t>
            </w:r>
          </w:p>
          <w:p w14:paraId="1FB7599B">
            <w:pPr>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本项目总投资</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13014.3</w:t>
            </w:r>
            <w:r>
              <w:rPr>
                <w:rFonts w:hint="default" w:ascii="Times New Roman" w:hAnsi="Times New Roman" w:eastAsia="宋体" w:cs="Times New Roman"/>
                <w:color w:val="000000" w:themeColor="text1"/>
                <w:sz w:val="24"/>
                <w:highlight w:val="none"/>
                <w14:textFill>
                  <w14:solidFill>
                    <w14:schemeClr w14:val="tx1"/>
                  </w14:solidFill>
                </w14:textFill>
              </w:rPr>
              <w:t>万元，其中环保投资为</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655.5</w:t>
            </w:r>
            <w:r>
              <w:rPr>
                <w:rFonts w:hint="default" w:ascii="Times New Roman" w:hAnsi="Times New Roman" w:eastAsia="宋体" w:cs="Times New Roman"/>
                <w:color w:val="000000" w:themeColor="text1"/>
                <w:sz w:val="24"/>
                <w:highlight w:val="none"/>
                <w14:textFill>
                  <w14:solidFill>
                    <w14:schemeClr w14:val="tx1"/>
                  </w14:solidFill>
                </w14:textFill>
              </w:rPr>
              <w:t>万元，占总投资额的</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5.04</w:t>
            </w:r>
            <w:r>
              <w:rPr>
                <w:rFonts w:hint="default" w:ascii="Times New Roman" w:hAnsi="Times New Roman" w:eastAsia="宋体" w:cs="Times New Roman"/>
                <w:color w:val="000000" w:themeColor="text1"/>
                <w:sz w:val="24"/>
                <w:highlight w:val="none"/>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本项目必须严格执行“三同时”制度，即环保设施必须与主体工程同时设计、同时施工、同时投入使用。</w:t>
            </w:r>
            <w:r>
              <w:rPr>
                <w:rFonts w:hint="default" w:ascii="Times New Roman" w:hAnsi="Times New Roman" w:eastAsia="宋体" w:cs="Times New Roman"/>
                <w:color w:val="000000" w:themeColor="text1"/>
                <w:sz w:val="24"/>
                <w:highlight w:val="none"/>
                <w14:textFill>
                  <w14:solidFill>
                    <w14:schemeClr w14:val="tx1"/>
                  </w14:solidFill>
                </w14:textFill>
              </w:rPr>
              <w:t>具体</w:t>
            </w:r>
            <w:r>
              <w:rPr>
                <w:rFonts w:hint="default" w:ascii="Times New Roman" w:hAnsi="Times New Roman" w:eastAsia="宋体" w:cs="Times New Roman"/>
                <w:bCs/>
                <w:color w:val="000000" w:themeColor="text1"/>
                <w:sz w:val="24"/>
                <w:highlight w:val="none"/>
                <w14:textFill>
                  <w14:solidFill>
                    <w14:schemeClr w14:val="tx1"/>
                  </w14:solidFill>
                </w14:textFill>
              </w:rPr>
              <w:t>环保投资</w:t>
            </w:r>
            <w:r>
              <w:rPr>
                <w:rFonts w:hint="default" w:ascii="Times New Roman" w:hAnsi="Times New Roman" w:cs="Times New Roman"/>
                <w:bCs/>
                <w:color w:val="000000" w:themeColor="text1"/>
                <w:sz w:val="24"/>
                <w:highlight w:val="none"/>
                <w:lang w:val="en-US" w:eastAsia="zh-CN"/>
                <w14:textFill>
                  <w14:solidFill>
                    <w14:schemeClr w14:val="tx1"/>
                  </w14:solidFill>
                </w14:textFill>
              </w:rPr>
              <w:t>及环保措施</w:t>
            </w:r>
            <w:r>
              <w:rPr>
                <w:rFonts w:hint="default" w:ascii="Times New Roman" w:hAnsi="Times New Roman" w:eastAsia="宋体" w:cs="Times New Roman"/>
                <w:bCs/>
                <w:color w:val="000000" w:themeColor="text1"/>
                <w:sz w:val="24"/>
                <w:highlight w:val="none"/>
                <w14:textFill>
                  <w14:solidFill>
                    <w14:schemeClr w14:val="tx1"/>
                  </w14:solidFill>
                </w14:textFill>
              </w:rPr>
              <w:t>见下</w:t>
            </w:r>
            <w:r>
              <w:rPr>
                <w:rFonts w:hint="default" w:ascii="Times New Roman" w:hAnsi="Times New Roman" w:eastAsia="宋体" w:cs="Times New Roman"/>
                <w:color w:val="000000" w:themeColor="text1"/>
                <w:sz w:val="24"/>
                <w:highlight w:val="none"/>
                <w14:textFill>
                  <w14:solidFill>
                    <w14:schemeClr w14:val="tx1"/>
                  </w14:solidFill>
                </w14:textFill>
              </w:rPr>
              <w:t>表。</w:t>
            </w:r>
          </w:p>
          <w:p w14:paraId="7DD4A840">
            <w:pPr>
              <w:ind w:firstLine="482" w:firstLineChars="200"/>
              <w:jc w:val="center"/>
              <w:rPr>
                <w:rFonts w:hint="default" w:ascii="Times New Roman" w:hAnsi="Times New Roman" w:cs="Times New Roman"/>
                <w:b/>
                <w:color w:val="000000" w:themeColor="text1"/>
                <w:sz w:val="24"/>
                <w:highlight w:val="none"/>
                <w14:textFill>
                  <w14:solidFill>
                    <w14:schemeClr w14:val="tx1"/>
                  </w14:solidFill>
                </w14:textFill>
              </w:rPr>
            </w:pPr>
            <w:r>
              <w:rPr>
                <w:rFonts w:hint="default" w:ascii="Times New Roman" w:hAnsi="Times New Roman" w:eastAsia="宋体" w:cs="Times New Roman"/>
                <w:b/>
                <w:color w:val="000000" w:themeColor="text1"/>
                <w:sz w:val="24"/>
                <w:highlight w:val="none"/>
                <w14:textFill>
                  <w14:solidFill>
                    <w14:schemeClr w14:val="tx1"/>
                  </w14:solidFill>
                </w14:textFill>
              </w:rPr>
              <w:t>表</w:t>
            </w:r>
            <w:r>
              <w:rPr>
                <w:rFonts w:hint="default" w:ascii="Times New Roman" w:hAnsi="Times New Roman" w:eastAsia="宋体" w:cs="Times New Roman"/>
                <w:b/>
                <w:color w:val="000000" w:themeColor="text1"/>
                <w:sz w:val="24"/>
                <w:highlight w:val="none"/>
                <w:lang w:val="en-US" w:eastAsia="zh-CN"/>
                <w14:textFill>
                  <w14:solidFill>
                    <w14:schemeClr w14:val="tx1"/>
                  </w14:solidFill>
                </w14:textFill>
              </w:rPr>
              <w:t>4-2</w:t>
            </w:r>
            <w:r>
              <w:rPr>
                <w:rFonts w:hint="eastAsia" w:cs="Times New Roman"/>
                <w:b/>
                <w:color w:val="000000" w:themeColor="text1"/>
                <w:sz w:val="24"/>
                <w:highlight w:val="none"/>
                <w:lang w:val="en-US" w:eastAsia="zh-CN"/>
                <w14:textFill>
                  <w14:solidFill>
                    <w14:schemeClr w14:val="tx1"/>
                  </w14:solidFill>
                </w14:textFill>
              </w:rPr>
              <w:t>7</w:t>
            </w:r>
            <w:r>
              <w:rPr>
                <w:rFonts w:hint="default" w:ascii="Times New Roman" w:hAnsi="Times New Roman" w:eastAsia="宋体" w:cs="Times New Roman"/>
                <w:b/>
                <w:color w:val="000000" w:themeColor="text1"/>
                <w:sz w:val="24"/>
                <w:highlight w:val="none"/>
                <w14:textFill>
                  <w14:solidFill>
                    <w14:schemeClr w14:val="tx1"/>
                  </w14:solidFill>
                </w14:textFill>
              </w:rPr>
              <w:t>环</w:t>
            </w:r>
            <w:r>
              <w:rPr>
                <w:rFonts w:hint="default" w:ascii="Times New Roman" w:hAnsi="Times New Roman" w:cs="Times New Roman"/>
                <w:b/>
                <w:color w:val="000000" w:themeColor="text1"/>
                <w:sz w:val="24"/>
                <w:highlight w:val="none"/>
                <w14:textFill>
                  <w14:solidFill>
                    <w14:schemeClr w14:val="tx1"/>
                  </w14:solidFill>
                </w14:textFill>
              </w:rPr>
              <w:t>保</w:t>
            </w:r>
            <w:r>
              <w:rPr>
                <w:rFonts w:hint="default" w:ascii="Times New Roman" w:hAnsi="Times New Roman" w:cs="Times New Roman"/>
                <w:b/>
                <w:color w:val="000000" w:themeColor="text1"/>
                <w:sz w:val="24"/>
                <w:highlight w:val="none"/>
                <w:lang w:val="en-US" w:eastAsia="zh-CN"/>
                <w14:textFill>
                  <w14:solidFill>
                    <w14:schemeClr w14:val="tx1"/>
                  </w14:solidFill>
                </w14:textFill>
              </w:rPr>
              <w:t>措施及环保</w:t>
            </w:r>
            <w:r>
              <w:rPr>
                <w:rFonts w:hint="default" w:ascii="Times New Roman" w:hAnsi="Times New Roman" w:cs="Times New Roman"/>
                <w:b/>
                <w:color w:val="000000" w:themeColor="text1"/>
                <w:sz w:val="24"/>
                <w:highlight w:val="none"/>
                <w14:textFill>
                  <w14:solidFill>
                    <w14:schemeClr w14:val="tx1"/>
                  </w14:solidFill>
                </w14:textFill>
              </w:rPr>
              <w:t>投资一览表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5"/>
              <w:gridCol w:w="641"/>
              <w:gridCol w:w="1080"/>
              <w:gridCol w:w="4689"/>
              <w:gridCol w:w="941"/>
            </w:tblGrid>
            <w:tr w14:paraId="56F8C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74" w:type="pct"/>
                  <w:noWrap w:val="0"/>
                  <w:vAlign w:val="center"/>
                </w:tcPr>
                <w:p w14:paraId="3CDF1C75">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序号</w:t>
                  </w:r>
                </w:p>
              </w:tc>
              <w:tc>
                <w:tcPr>
                  <w:tcW w:w="403" w:type="pct"/>
                  <w:noWrap w:val="0"/>
                  <w:vAlign w:val="center"/>
                </w:tcPr>
                <w:p w14:paraId="55356244">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类别</w:t>
                  </w:r>
                </w:p>
              </w:tc>
              <w:tc>
                <w:tcPr>
                  <w:tcW w:w="679" w:type="pct"/>
                  <w:noWrap w:val="0"/>
                  <w:vAlign w:val="center"/>
                </w:tcPr>
                <w:p w14:paraId="4B31EA03">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污染源</w:t>
                  </w:r>
                </w:p>
              </w:tc>
              <w:tc>
                <w:tcPr>
                  <w:tcW w:w="2949" w:type="pct"/>
                  <w:noWrap w:val="0"/>
                  <w:vAlign w:val="center"/>
                </w:tcPr>
                <w:p w14:paraId="5704D375">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治理措施名称</w:t>
                  </w:r>
                </w:p>
              </w:tc>
              <w:tc>
                <w:tcPr>
                  <w:tcW w:w="592" w:type="pct"/>
                  <w:noWrap w:val="0"/>
                  <w:vAlign w:val="center"/>
                </w:tcPr>
                <w:p w14:paraId="0C8C5242">
                  <w:pPr>
                    <w:adjustRightInd w:val="0"/>
                    <w:snapToGrid w:val="0"/>
                    <w:spacing w:line="240" w:lineRule="auto"/>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环保投资</w:t>
                  </w: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cs="Times New Roman"/>
                      <w:b w:val="0"/>
                      <w:bCs w:val="0"/>
                      <w:color w:val="000000" w:themeColor="text1"/>
                      <w:sz w:val="21"/>
                      <w:szCs w:val="21"/>
                      <w:highlight w:val="none"/>
                      <w14:textFill>
                        <w14:solidFill>
                          <w14:schemeClr w14:val="tx1"/>
                        </w14:solidFill>
                      </w14:textFill>
                    </w:rPr>
                    <w:t>万元</w:t>
                  </w: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w:t>
                  </w:r>
                </w:p>
              </w:tc>
            </w:tr>
            <w:tr w14:paraId="1942C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374" w:type="pct"/>
                  <w:vMerge w:val="restart"/>
                  <w:noWrap w:val="0"/>
                  <w:vAlign w:val="center"/>
                </w:tcPr>
                <w:p w14:paraId="2D78C104">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1</w:t>
                  </w:r>
                </w:p>
              </w:tc>
              <w:tc>
                <w:tcPr>
                  <w:tcW w:w="403" w:type="pct"/>
                  <w:vMerge w:val="restart"/>
                  <w:noWrap w:val="0"/>
                  <w:vAlign w:val="center"/>
                </w:tcPr>
                <w:p w14:paraId="0E5B57C5">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大气污</w:t>
                  </w:r>
                </w:p>
                <w:p w14:paraId="2604B1B9">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染物</w:t>
                  </w:r>
                </w:p>
              </w:tc>
              <w:tc>
                <w:tcPr>
                  <w:tcW w:w="679" w:type="pct"/>
                  <w:noWrap w:val="0"/>
                  <w:vAlign w:val="center"/>
                </w:tcPr>
                <w:p w14:paraId="35F0E833">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原料粉</w:t>
                  </w:r>
                  <w:r>
                    <w:rPr>
                      <w:rFonts w:hint="default" w:ascii="Times New Roman" w:hAnsi="Times New Roman" w:cs="Times New Roman"/>
                      <w:b w:val="0"/>
                      <w:bCs w:val="0"/>
                      <w:color w:val="000000" w:themeColor="text1"/>
                      <w:sz w:val="21"/>
                      <w:szCs w:val="21"/>
                      <w:highlight w:val="none"/>
                      <w14:textFill>
                        <w14:solidFill>
                          <w14:schemeClr w14:val="tx1"/>
                        </w14:solidFill>
                      </w14:textFill>
                    </w:rPr>
                    <w:t>仓尘</w:t>
                  </w:r>
                </w:p>
              </w:tc>
              <w:tc>
                <w:tcPr>
                  <w:tcW w:w="2949" w:type="pct"/>
                  <w:noWrap w:val="0"/>
                  <w:vAlign w:val="center"/>
                </w:tcPr>
                <w:p w14:paraId="57AB701B">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2个</w:t>
                  </w:r>
                  <w:r>
                    <w:rPr>
                      <w:rFonts w:hint="eastAsia" w:cs="Times New Roman"/>
                      <w:b w:val="0"/>
                      <w:bCs w:val="0"/>
                      <w:color w:val="000000" w:themeColor="text1"/>
                      <w:sz w:val="21"/>
                      <w:szCs w:val="21"/>
                      <w:highlight w:val="none"/>
                      <w:lang w:val="en-US" w:eastAsia="zh-CN"/>
                      <w14:textFill>
                        <w14:solidFill>
                          <w14:schemeClr w14:val="tx1"/>
                        </w14:solidFill>
                      </w14:textFill>
                    </w:rPr>
                    <w:t>原料粉</w:t>
                  </w:r>
                  <w:r>
                    <w:rPr>
                      <w:rFonts w:hint="default" w:ascii="Times New Roman" w:hAnsi="Times New Roman" w:cs="Times New Roman"/>
                      <w:b w:val="0"/>
                      <w:bCs w:val="0"/>
                      <w:color w:val="000000" w:themeColor="text1"/>
                      <w:sz w:val="21"/>
                      <w:szCs w:val="21"/>
                      <w:highlight w:val="none"/>
                      <w14:textFill>
                        <w14:solidFill>
                          <w14:schemeClr w14:val="tx1"/>
                        </w14:solidFill>
                      </w14:textFill>
                    </w:rPr>
                    <w:t>仓均各配置一台仓顶</w:t>
                  </w:r>
                  <w:r>
                    <w:rPr>
                      <w:rFonts w:hint="eastAsia" w:cs="Times New Roman"/>
                      <w:b w:val="0"/>
                      <w:bCs w:val="0"/>
                      <w:color w:val="000000" w:themeColor="text1"/>
                      <w:sz w:val="21"/>
                      <w:szCs w:val="21"/>
                      <w:highlight w:val="none"/>
                      <w:lang w:val="en-US" w:eastAsia="zh-CN"/>
                      <w14:textFill>
                        <w14:solidFill>
                          <w14:schemeClr w14:val="tx1"/>
                        </w14:solidFill>
                      </w14:textFill>
                    </w:rPr>
                    <w:t>布袋</w:t>
                  </w:r>
                  <w:r>
                    <w:rPr>
                      <w:rFonts w:hint="default" w:ascii="Times New Roman" w:hAnsi="Times New Roman" w:cs="Times New Roman"/>
                      <w:b w:val="0"/>
                      <w:bCs w:val="0"/>
                      <w:color w:val="000000" w:themeColor="text1"/>
                      <w:sz w:val="21"/>
                      <w:szCs w:val="21"/>
                      <w:highlight w:val="none"/>
                      <w14:textFill>
                        <w14:solidFill>
                          <w14:schemeClr w14:val="tx1"/>
                        </w14:solidFill>
                      </w14:textFill>
                    </w:rPr>
                    <w:t>除尘器（除尘效率99%），通过高</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42</w:t>
                  </w:r>
                  <w:r>
                    <w:rPr>
                      <w:rFonts w:hint="default" w:ascii="Times New Roman" w:hAnsi="Times New Roman" w:cs="Times New Roman"/>
                      <w:b w:val="0"/>
                      <w:bCs w:val="0"/>
                      <w:color w:val="000000" w:themeColor="text1"/>
                      <w:sz w:val="21"/>
                      <w:szCs w:val="21"/>
                      <w:highlight w:val="none"/>
                      <w14:textFill>
                        <w14:solidFill>
                          <w14:schemeClr w14:val="tx1"/>
                        </w14:solidFill>
                      </w14:textFill>
                    </w:rPr>
                    <w:t>m</w:t>
                  </w:r>
                  <w:r>
                    <w:rPr>
                      <w:rFonts w:hint="eastAsia" w:cs="Times New Roman"/>
                      <w:b w:val="0"/>
                      <w:bCs w:val="0"/>
                      <w:color w:val="000000" w:themeColor="text1"/>
                      <w:sz w:val="21"/>
                      <w:szCs w:val="21"/>
                      <w:highlight w:val="none"/>
                      <w:lang w:val="en-US" w:eastAsia="zh-CN"/>
                      <w14:textFill>
                        <w14:solidFill>
                          <w14:schemeClr w14:val="tx1"/>
                        </w14:solidFill>
                      </w14:textFill>
                    </w:rPr>
                    <w:t>高的</w:t>
                  </w:r>
                  <w:r>
                    <w:rPr>
                      <w:rFonts w:hint="eastAsia" w:cs="Times New Roman"/>
                      <w:b w:val="0"/>
                      <w:bCs w:val="0"/>
                      <w:color w:val="000000" w:themeColor="text1"/>
                      <w:sz w:val="21"/>
                      <w:szCs w:val="21"/>
                      <w:highlight w:val="none"/>
                      <w:lang w:eastAsia="zh-CN"/>
                      <w14:textFill>
                        <w14:solidFill>
                          <w14:schemeClr w14:val="tx1"/>
                        </w14:solidFill>
                      </w14:textFill>
                    </w:rPr>
                    <w:t>排气</w:t>
                  </w:r>
                  <w:r>
                    <w:rPr>
                      <w:rFonts w:hint="eastAsia" w:cs="Times New Roman"/>
                      <w:b w:val="0"/>
                      <w:bCs w:val="0"/>
                      <w:color w:val="000000" w:themeColor="text1"/>
                      <w:sz w:val="21"/>
                      <w:szCs w:val="21"/>
                      <w:highlight w:val="none"/>
                      <w:lang w:val="en-US" w:eastAsia="zh-CN"/>
                      <w14:textFill>
                        <w14:solidFill>
                          <w14:schemeClr w14:val="tx1"/>
                        </w14:solidFill>
                      </w14:textFill>
                    </w:rPr>
                    <w:t>口</w:t>
                  </w:r>
                  <w:r>
                    <w:rPr>
                      <w:rFonts w:hint="default" w:ascii="Times New Roman" w:hAnsi="Times New Roman" w:cs="Times New Roman"/>
                      <w:b w:val="0"/>
                      <w:bCs w:val="0"/>
                      <w:color w:val="000000" w:themeColor="text1"/>
                      <w:sz w:val="21"/>
                      <w:szCs w:val="21"/>
                      <w:highlight w:val="none"/>
                      <w14:textFill>
                        <w14:solidFill>
                          <w14:schemeClr w14:val="tx1"/>
                        </w14:solidFill>
                      </w14:textFill>
                    </w:rPr>
                    <w:t>（</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DA001、DA002</w:t>
                  </w:r>
                  <w:r>
                    <w:rPr>
                      <w:rFonts w:hint="default" w:ascii="Times New Roman" w:hAnsi="Times New Roman" w:cs="Times New Roman"/>
                      <w:b w:val="0"/>
                      <w:bCs w:val="0"/>
                      <w:color w:val="000000" w:themeColor="text1"/>
                      <w:sz w:val="21"/>
                      <w:szCs w:val="21"/>
                      <w:highlight w:val="none"/>
                      <w14:textFill>
                        <w14:solidFill>
                          <w14:schemeClr w14:val="tx1"/>
                        </w14:solidFill>
                      </w14:textFill>
                    </w:rPr>
                    <w:t>）排放。</w:t>
                  </w:r>
                </w:p>
              </w:tc>
              <w:tc>
                <w:tcPr>
                  <w:tcW w:w="592" w:type="pct"/>
                  <w:noWrap w:val="0"/>
                  <w:vAlign w:val="center"/>
                </w:tcPr>
                <w:p w14:paraId="7928FCF3">
                  <w:pPr>
                    <w:adjustRightInd w:val="0"/>
                    <w:snapToGrid w:val="0"/>
                    <w:spacing w:line="240" w:lineRule="auto"/>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20</w:t>
                  </w:r>
                </w:p>
              </w:tc>
            </w:tr>
            <w:tr w14:paraId="62757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374" w:type="pct"/>
                  <w:vMerge w:val="continue"/>
                  <w:noWrap w:val="0"/>
                  <w:vAlign w:val="center"/>
                </w:tcPr>
                <w:p w14:paraId="5B32A223">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403" w:type="pct"/>
                  <w:vMerge w:val="continue"/>
                  <w:noWrap w:val="0"/>
                  <w:vAlign w:val="center"/>
                </w:tcPr>
                <w:p w14:paraId="7D6F6D8F">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679" w:type="pct"/>
                  <w:noWrap w:val="0"/>
                  <w:vAlign w:val="center"/>
                </w:tcPr>
                <w:p w14:paraId="65DD5D76">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输送转运</w:t>
                  </w:r>
                  <w:r>
                    <w:rPr>
                      <w:rFonts w:hint="default" w:ascii="Times New Roman" w:hAnsi="Times New Roman" w:cs="Times New Roman"/>
                      <w:b w:val="0"/>
                      <w:bCs w:val="0"/>
                      <w:color w:val="000000" w:themeColor="text1"/>
                      <w:sz w:val="21"/>
                      <w:szCs w:val="21"/>
                      <w:highlight w:val="none"/>
                      <w14:textFill>
                        <w14:solidFill>
                          <w14:schemeClr w14:val="tx1"/>
                        </w14:solidFill>
                      </w14:textFill>
                    </w:rPr>
                    <w:t>粉尘</w:t>
                  </w:r>
                </w:p>
              </w:tc>
              <w:tc>
                <w:tcPr>
                  <w:tcW w:w="2949" w:type="pct"/>
                  <w:noWrap w:val="0"/>
                  <w:vAlign w:val="center"/>
                </w:tcPr>
                <w:p w14:paraId="13A27895">
                  <w:pPr>
                    <w:adjustRightInd w:val="0"/>
                    <w:snapToGrid w:val="0"/>
                    <w:spacing w:line="240" w:lineRule="auto"/>
                    <w:jc w:val="both"/>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通过密闭管道收集后由一台</w:t>
                  </w:r>
                  <w:r>
                    <w:rPr>
                      <w:rFonts w:hint="eastAsia" w:cs="Times New Roman"/>
                      <w:b w:val="0"/>
                      <w:bCs w:val="0"/>
                      <w:color w:val="000000" w:themeColor="text1"/>
                      <w:sz w:val="21"/>
                      <w:szCs w:val="21"/>
                      <w:highlight w:val="none"/>
                      <w:lang w:val="en-US" w:eastAsia="zh-CN"/>
                      <w14:textFill>
                        <w14:solidFill>
                          <w14:schemeClr w14:val="tx1"/>
                        </w14:solidFill>
                      </w14:textFill>
                    </w:rPr>
                    <w:t>布袋除尘器（覆膜袋式）</w:t>
                  </w:r>
                  <w:r>
                    <w:rPr>
                      <w:rFonts w:hint="default" w:ascii="Times New Roman" w:hAnsi="Times New Roman" w:cs="Times New Roman"/>
                      <w:b w:val="0"/>
                      <w:bCs w:val="0"/>
                      <w:color w:val="000000" w:themeColor="text1"/>
                      <w:sz w:val="21"/>
                      <w:szCs w:val="21"/>
                      <w:highlight w:val="none"/>
                      <w14:textFill>
                        <w14:solidFill>
                          <w14:schemeClr w14:val="tx1"/>
                        </w14:solidFill>
                      </w14:textFill>
                    </w:rPr>
                    <w:t>（除尘效率99%）除尘后通过</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15</w:t>
                  </w:r>
                  <w:r>
                    <w:rPr>
                      <w:rFonts w:hint="default" w:ascii="Times New Roman" w:hAnsi="Times New Roman" w:cs="Times New Roman"/>
                      <w:b w:val="0"/>
                      <w:bCs w:val="0"/>
                      <w:color w:val="000000" w:themeColor="text1"/>
                      <w:sz w:val="21"/>
                      <w:szCs w:val="21"/>
                      <w:highlight w:val="none"/>
                      <w14:textFill>
                        <w14:solidFill>
                          <w14:schemeClr w14:val="tx1"/>
                        </w14:solidFill>
                      </w14:textFill>
                    </w:rPr>
                    <w:t>m高</w:t>
                  </w:r>
                  <w:r>
                    <w:rPr>
                      <w:rFonts w:hint="eastAsia" w:cs="Times New Roman"/>
                      <w:b w:val="0"/>
                      <w:bCs w:val="0"/>
                      <w:color w:val="000000" w:themeColor="text1"/>
                      <w:sz w:val="21"/>
                      <w:szCs w:val="21"/>
                      <w:highlight w:val="none"/>
                      <w:lang w:eastAsia="zh-CN"/>
                      <w14:textFill>
                        <w14:solidFill>
                          <w14:schemeClr w14:val="tx1"/>
                        </w14:solidFill>
                      </w14:textFill>
                    </w:rPr>
                    <w:t>排气</w:t>
                  </w:r>
                  <w:r>
                    <w:rPr>
                      <w:rFonts w:hint="eastAsia" w:cs="Times New Roman"/>
                      <w:b w:val="0"/>
                      <w:bCs w:val="0"/>
                      <w:color w:val="000000" w:themeColor="text1"/>
                      <w:sz w:val="21"/>
                      <w:szCs w:val="21"/>
                      <w:highlight w:val="none"/>
                      <w:lang w:val="en-US" w:eastAsia="zh-CN"/>
                      <w14:textFill>
                        <w14:solidFill>
                          <w14:schemeClr w14:val="tx1"/>
                        </w14:solidFill>
                      </w14:textFill>
                    </w:rPr>
                    <w:t>口</w:t>
                  </w:r>
                  <w:r>
                    <w:rPr>
                      <w:rFonts w:hint="default" w:ascii="Times New Roman" w:hAnsi="Times New Roman" w:cs="Times New Roman"/>
                      <w:b w:val="0"/>
                      <w:bCs w:val="0"/>
                      <w:color w:val="000000" w:themeColor="text1"/>
                      <w:sz w:val="21"/>
                      <w:szCs w:val="21"/>
                      <w:highlight w:val="none"/>
                      <w14:textFill>
                        <w14:solidFill>
                          <w14:schemeClr w14:val="tx1"/>
                        </w14:solidFill>
                      </w14:textFill>
                    </w:rPr>
                    <w:t>（</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DA003</w:t>
                  </w:r>
                  <w:r>
                    <w:rPr>
                      <w:rFonts w:hint="default" w:ascii="Times New Roman" w:hAnsi="Times New Roman" w:cs="Times New Roman"/>
                      <w:b w:val="0"/>
                      <w:bCs w:val="0"/>
                      <w:color w:val="000000" w:themeColor="text1"/>
                      <w:sz w:val="21"/>
                      <w:szCs w:val="21"/>
                      <w:highlight w:val="none"/>
                      <w14:textFill>
                        <w14:solidFill>
                          <w14:schemeClr w14:val="tx1"/>
                        </w14:solidFill>
                      </w14:textFill>
                    </w:rPr>
                    <w:t>）排放。</w:t>
                  </w:r>
                </w:p>
              </w:tc>
              <w:tc>
                <w:tcPr>
                  <w:tcW w:w="592" w:type="pct"/>
                  <w:noWrap w:val="0"/>
                  <w:vAlign w:val="center"/>
                </w:tcPr>
                <w:p w14:paraId="57AB3F54">
                  <w:pPr>
                    <w:adjustRightInd w:val="0"/>
                    <w:snapToGrid w:val="0"/>
                    <w:spacing w:line="240" w:lineRule="auto"/>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10</w:t>
                  </w:r>
                </w:p>
              </w:tc>
            </w:tr>
            <w:tr w14:paraId="16983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374" w:type="pct"/>
                  <w:vMerge w:val="continue"/>
                  <w:noWrap w:val="0"/>
                  <w:vAlign w:val="center"/>
                </w:tcPr>
                <w:p w14:paraId="6046AC1F">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403" w:type="pct"/>
                  <w:vMerge w:val="continue"/>
                  <w:noWrap w:val="0"/>
                  <w:vAlign w:val="center"/>
                </w:tcPr>
                <w:p w14:paraId="23C09993">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679" w:type="pct"/>
                  <w:noWrap w:val="0"/>
                  <w:vAlign w:val="center"/>
                </w:tcPr>
                <w:p w14:paraId="503DB5DC">
                  <w:pPr>
                    <w:adjustRightInd w:val="0"/>
                    <w:snapToGrid w:val="0"/>
                    <w:spacing w:line="240" w:lineRule="auto"/>
                    <w:jc w:val="center"/>
                    <w:rPr>
                      <w:rFonts w:hint="default" w:ascii="Times New Roman" w:hAnsi="Times New Roman" w:eastAsia="宋体" w:cs="Times New Roman"/>
                      <w:b w:val="0"/>
                      <w:bCs w:val="0"/>
                      <w:color w:val="000000" w:themeColor="text1"/>
                      <w:spacing w:val="-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窑尾喂料仓卸料</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粉尘</w:t>
                  </w:r>
                </w:p>
              </w:tc>
              <w:tc>
                <w:tcPr>
                  <w:tcW w:w="2949" w:type="pct"/>
                  <w:noWrap w:val="0"/>
                  <w:vAlign w:val="center"/>
                </w:tcPr>
                <w:p w14:paraId="3C8C2359">
                  <w:pPr>
                    <w:adjustRightInd w:val="0"/>
                    <w:snapToGrid w:val="0"/>
                    <w:spacing w:line="240" w:lineRule="auto"/>
                    <w:jc w:val="both"/>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窑尾喂料仓卸料</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粉尘</w:t>
                  </w:r>
                  <w:r>
                    <w:rPr>
                      <w:rFonts w:hint="default" w:ascii="Times New Roman" w:hAnsi="Times New Roman" w:eastAsia="宋体" w:cs="Times New Roman"/>
                      <w:b w:val="0"/>
                      <w:bCs w:val="0"/>
                      <w:color w:val="000000" w:themeColor="text1"/>
                      <w:spacing w:val="-1"/>
                      <w:sz w:val="21"/>
                      <w:szCs w:val="21"/>
                      <w:highlight w:val="none"/>
                      <w:lang w:val="en-US" w:eastAsia="zh-CN"/>
                      <w14:textFill>
                        <w14:solidFill>
                          <w14:schemeClr w14:val="tx1"/>
                        </w14:solidFill>
                      </w14:textFill>
                    </w:rPr>
                    <w:t>产生的废气</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通过“封闭设备+收集+</w:t>
                  </w:r>
                  <w:r>
                    <w:rPr>
                      <w:rFonts w:hint="eastAsia" w:cs="Times New Roman"/>
                      <w:b w:val="0"/>
                      <w:bCs w:val="0"/>
                      <w:color w:val="000000" w:themeColor="text1"/>
                      <w:kern w:val="0"/>
                      <w:sz w:val="21"/>
                      <w:szCs w:val="21"/>
                      <w:highlight w:val="none"/>
                      <w:lang w:val="en-US" w:eastAsia="zh-CN" w:bidi="ar"/>
                      <w14:textFill>
                        <w14:solidFill>
                          <w14:schemeClr w14:val="tx1"/>
                        </w14:solidFill>
                      </w14:textFill>
                    </w:rPr>
                    <w:t>布袋除尘器（覆膜袋式）</w:t>
                  </w:r>
                  <w:r>
                    <w:rPr>
                      <w:rFonts w:hint="default" w:ascii="Times New Roman" w:hAnsi="Times New Roman" w:cs="Times New Roman"/>
                      <w:b w:val="0"/>
                      <w:bCs w:val="0"/>
                      <w:color w:val="000000" w:themeColor="text1"/>
                      <w:sz w:val="21"/>
                      <w:szCs w:val="21"/>
                      <w:highlight w:val="none"/>
                      <w14:textFill>
                        <w14:solidFill>
                          <w14:schemeClr w14:val="tx1"/>
                        </w14:solidFill>
                      </w14:textFill>
                    </w:rPr>
                    <w:t>（除尘效率99%）</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”处理后经1根</w:t>
                  </w:r>
                  <w:r>
                    <w:rPr>
                      <w:rFonts w:hint="eastAsia" w:cs="Times New Roman"/>
                      <w:b w:val="0"/>
                      <w:bCs w:val="0"/>
                      <w:color w:val="000000" w:themeColor="text1"/>
                      <w:kern w:val="0"/>
                      <w:sz w:val="21"/>
                      <w:szCs w:val="21"/>
                      <w:highlight w:val="none"/>
                      <w:lang w:val="en-US" w:eastAsia="zh-CN" w:bidi="ar"/>
                      <w14:textFill>
                        <w14:solidFill>
                          <w14:schemeClr w14:val="tx1"/>
                        </w14:solidFill>
                      </w14:textFill>
                    </w:rPr>
                    <w:t>3</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0m高（DA004）</w:t>
                  </w:r>
                  <w:r>
                    <w:rPr>
                      <w:rFonts w:hint="eastAsia" w:cs="Times New Roman"/>
                      <w:b w:val="0"/>
                      <w:bCs w:val="0"/>
                      <w:color w:val="000000" w:themeColor="text1"/>
                      <w:kern w:val="0"/>
                      <w:sz w:val="21"/>
                      <w:szCs w:val="21"/>
                      <w:highlight w:val="none"/>
                      <w:lang w:val="en-US" w:eastAsia="zh-CN" w:bidi="ar"/>
                      <w14:textFill>
                        <w14:solidFill>
                          <w14:schemeClr w14:val="tx1"/>
                        </w14:solidFill>
                      </w14:textFill>
                    </w:rPr>
                    <w:t>排气</w:t>
                  </w:r>
                  <w:r>
                    <w:rPr>
                      <w:rFonts w:hint="eastAsia" w:cs="Times New Roman"/>
                      <w:b w:val="0"/>
                      <w:bCs w:val="0"/>
                      <w:color w:val="000000" w:themeColor="text1"/>
                      <w:sz w:val="21"/>
                      <w:szCs w:val="21"/>
                      <w:highlight w:val="none"/>
                      <w:lang w:val="en-US" w:eastAsia="zh-CN"/>
                      <w14:textFill>
                        <w14:solidFill>
                          <w14:schemeClr w14:val="tx1"/>
                        </w14:solidFill>
                      </w14:textFill>
                    </w:rPr>
                    <w:t>口</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排放；</w:t>
                  </w:r>
                </w:p>
              </w:tc>
              <w:tc>
                <w:tcPr>
                  <w:tcW w:w="592" w:type="pct"/>
                  <w:noWrap w:val="0"/>
                  <w:vAlign w:val="center"/>
                </w:tcPr>
                <w:p w14:paraId="78983308">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10</w:t>
                  </w:r>
                </w:p>
              </w:tc>
            </w:tr>
            <w:tr w14:paraId="505CFC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374" w:type="pct"/>
                  <w:vMerge w:val="continue"/>
                  <w:noWrap w:val="0"/>
                  <w:vAlign w:val="center"/>
                </w:tcPr>
                <w:p w14:paraId="0B58E0D1">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403" w:type="pct"/>
                  <w:vMerge w:val="continue"/>
                  <w:noWrap w:val="0"/>
                  <w:vAlign w:val="center"/>
                </w:tcPr>
                <w:p w14:paraId="7FEF4320">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679" w:type="pct"/>
                  <w:noWrap w:val="0"/>
                  <w:vAlign w:val="center"/>
                </w:tcPr>
                <w:p w14:paraId="7FA42F3C">
                  <w:pPr>
                    <w:adjustRightInd w:val="0"/>
                    <w:snapToGrid w:val="0"/>
                    <w:spacing w:line="240" w:lineRule="auto"/>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窑尾提升机卸料粉尘</w:t>
                  </w:r>
                </w:p>
              </w:tc>
              <w:tc>
                <w:tcPr>
                  <w:tcW w:w="2949" w:type="pct"/>
                  <w:noWrap w:val="0"/>
                  <w:vAlign w:val="center"/>
                </w:tcPr>
                <w:p w14:paraId="7281AB8A">
                  <w:pPr>
                    <w:adjustRightInd w:val="0"/>
                    <w:snapToGrid w:val="0"/>
                    <w:spacing w:line="240" w:lineRule="auto"/>
                    <w:jc w:val="both"/>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窑尾提升机卸料粉尘</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通过“封闭设备+收集+</w:t>
                  </w:r>
                  <w:r>
                    <w:rPr>
                      <w:rFonts w:hint="eastAsia" w:cs="Times New Roman"/>
                      <w:b w:val="0"/>
                      <w:bCs w:val="0"/>
                      <w:color w:val="000000" w:themeColor="text1"/>
                      <w:kern w:val="0"/>
                      <w:sz w:val="21"/>
                      <w:szCs w:val="21"/>
                      <w:highlight w:val="none"/>
                      <w:lang w:val="en-US" w:eastAsia="zh-CN" w:bidi="ar"/>
                      <w14:textFill>
                        <w14:solidFill>
                          <w14:schemeClr w14:val="tx1"/>
                        </w14:solidFill>
                      </w14:textFill>
                    </w:rPr>
                    <w:t>布袋除尘器（覆膜袋式）</w:t>
                  </w:r>
                  <w:r>
                    <w:rPr>
                      <w:rFonts w:hint="default" w:ascii="Times New Roman" w:hAnsi="Times New Roman" w:cs="Times New Roman"/>
                      <w:b w:val="0"/>
                      <w:bCs w:val="0"/>
                      <w:color w:val="000000" w:themeColor="text1"/>
                      <w:sz w:val="21"/>
                      <w:szCs w:val="21"/>
                      <w:highlight w:val="none"/>
                      <w14:textFill>
                        <w14:solidFill>
                          <w14:schemeClr w14:val="tx1"/>
                        </w14:solidFill>
                      </w14:textFill>
                    </w:rPr>
                    <w:t>（除尘效率99%）</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”处理后经1根</w:t>
                  </w:r>
                  <w:r>
                    <w:rPr>
                      <w:rFonts w:hint="eastAsia" w:cs="Times New Roman"/>
                      <w:b w:val="0"/>
                      <w:bCs w:val="0"/>
                      <w:color w:val="000000" w:themeColor="text1"/>
                      <w:kern w:val="0"/>
                      <w:sz w:val="21"/>
                      <w:szCs w:val="21"/>
                      <w:highlight w:val="none"/>
                      <w:lang w:val="en-US" w:eastAsia="zh-CN" w:bidi="ar"/>
                      <w14:textFill>
                        <w14:solidFill>
                          <w14:schemeClr w14:val="tx1"/>
                        </w14:solidFill>
                      </w14:textFill>
                    </w:rPr>
                    <w:t>9</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0m高（DA00</w:t>
                  </w:r>
                  <w:r>
                    <w:rPr>
                      <w:rFonts w:hint="default" w:ascii="Times New Roman" w:hAnsi="Times New Roman" w:cs="Times New Roman"/>
                      <w:b w:val="0"/>
                      <w:bCs w:val="0"/>
                      <w:color w:val="000000" w:themeColor="text1"/>
                      <w:kern w:val="0"/>
                      <w:sz w:val="21"/>
                      <w:szCs w:val="21"/>
                      <w:highlight w:val="none"/>
                      <w:lang w:val="en-US" w:eastAsia="zh-CN" w:bidi="ar"/>
                      <w14:textFill>
                        <w14:solidFill>
                          <w14:schemeClr w14:val="tx1"/>
                        </w14:solidFill>
                      </w14:textFill>
                    </w:rPr>
                    <w:t>5</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w:t>
                  </w:r>
                  <w:r>
                    <w:rPr>
                      <w:rFonts w:hint="eastAsia" w:cs="Times New Roman"/>
                      <w:b w:val="0"/>
                      <w:bCs w:val="0"/>
                      <w:color w:val="000000" w:themeColor="text1"/>
                      <w:kern w:val="0"/>
                      <w:sz w:val="21"/>
                      <w:szCs w:val="21"/>
                      <w:highlight w:val="none"/>
                      <w:lang w:val="en-US" w:eastAsia="zh-CN" w:bidi="ar"/>
                      <w14:textFill>
                        <w14:solidFill>
                          <w14:schemeClr w14:val="tx1"/>
                        </w14:solidFill>
                      </w14:textFill>
                    </w:rPr>
                    <w:t>排气</w:t>
                  </w:r>
                  <w:r>
                    <w:rPr>
                      <w:rFonts w:hint="eastAsia" w:cs="Times New Roman"/>
                      <w:b w:val="0"/>
                      <w:bCs w:val="0"/>
                      <w:color w:val="000000" w:themeColor="text1"/>
                      <w:sz w:val="21"/>
                      <w:szCs w:val="21"/>
                      <w:highlight w:val="none"/>
                      <w:lang w:val="en-US" w:eastAsia="zh-CN"/>
                      <w14:textFill>
                        <w14:solidFill>
                          <w14:schemeClr w14:val="tx1"/>
                        </w14:solidFill>
                      </w14:textFill>
                    </w:rPr>
                    <w:t>口</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排放；</w:t>
                  </w:r>
                </w:p>
              </w:tc>
              <w:tc>
                <w:tcPr>
                  <w:tcW w:w="592" w:type="pct"/>
                  <w:noWrap w:val="0"/>
                  <w:vAlign w:val="center"/>
                </w:tcPr>
                <w:p w14:paraId="0BEB31DD">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10</w:t>
                  </w:r>
                </w:p>
              </w:tc>
            </w:tr>
            <w:tr w14:paraId="79EB4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374" w:type="pct"/>
                  <w:vMerge w:val="continue"/>
                  <w:noWrap w:val="0"/>
                  <w:vAlign w:val="center"/>
                </w:tcPr>
                <w:p w14:paraId="53801E34">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403" w:type="pct"/>
                  <w:vMerge w:val="continue"/>
                  <w:noWrap w:val="0"/>
                  <w:vAlign w:val="center"/>
                </w:tcPr>
                <w:p w14:paraId="0F2ACA81">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679" w:type="pct"/>
                  <w:noWrap w:val="0"/>
                  <w:vAlign w:val="center"/>
                </w:tcPr>
                <w:p w14:paraId="0C41C8A7">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回转窑及窑尾</w:t>
                  </w:r>
                  <w:r>
                    <w:rPr>
                      <w:rFonts w:hint="eastAsia" w:cs="Times New Roman"/>
                      <w:b w:val="0"/>
                      <w:bCs w:val="0"/>
                      <w:color w:val="000000" w:themeColor="text1"/>
                      <w:sz w:val="21"/>
                      <w:szCs w:val="21"/>
                      <w:highlight w:val="none"/>
                      <w:lang w:val="en-US" w:eastAsia="zh-CN"/>
                      <w14:textFill>
                        <w14:solidFill>
                          <w14:schemeClr w14:val="tx1"/>
                        </w14:solidFill>
                      </w14:textFill>
                    </w:rPr>
                    <w:t>焙烧</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烟气</w:t>
                  </w:r>
                </w:p>
              </w:tc>
              <w:tc>
                <w:tcPr>
                  <w:tcW w:w="2949" w:type="pct"/>
                  <w:noWrap w:val="0"/>
                  <w:vAlign w:val="center"/>
                </w:tcPr>
                <w:p w14:paraId="15F557F8">
                  <w:pPr>
                    <w:adjustRightInd w:val="0"/>
                    <w:snapToGrid w:val="0"/>
                    <w:spacing w:line="240" w:lineRule="auto"/>
                    <w:jc w:val="both"/>
                    <w:rPr>
                      <w:rFonts w:hint="default" w:ascii="Times New Roman" w:hAnsi="Times New Roman" w:cs="Times New Roman"/>
                      <w:b w:val="0"/>
                      <w:bCs w:val="0"/>
                      <w:color w:val="000000" w:themeColor="text1"/>
                      <w:sz w:val="21"/>
                      <w:szCs w:val="21"/>
                      <w:highlight w:val="none"/>
                      <w:lang w:val="en-US"/>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采用“</w:t>
                  </w: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分级燃烧+缺氧燃烧+烟气再循环（FGR）”组合</w:t>
                  </w:r>
                  <w:r>
                    <w:rPr>
                      <w:rFonts w:hint="eastAsia" w:cs="Times New Roman"/>
                      <w:color w:val="000000" w:themeColor="text1"/>
                      <w:sz w:val="21"/>
                      <w:szCs w:val="21"/>
                      <w:highlight w:val="none"/>
                      <w:lang w:val="en-US" w:eastAsia="zh-CN"/>
                      <w14:textFill>
                        <w14:solidFill>
                          <w14:schemeClr w14:val="tx1"/>
                        </w14:solidFill>
                      </w14:textFill>
                    </w:rPr>
                    <w:t>低氮燃烧后的</w:t>
                  </w:r>
                  <w:r>
                    <w:rPr>
                      <w:rFonts w:hint="eastAsia" w:cs="Times New Roman"/>
                      <w:b w:val="0"/>
                      <w:bCs w:val="0"/>
                      <w:color w:val="000000" w:themeColor="text1"/>
                      <w:spacing w:val="-1"/>
                      <w:sz w:val="21"/>
                      <w:szCs w:val="21"/>
                      <w:highlight w:val="none"/>
                      <w:lang w:val="en-US" w:eastAsia="zh-CN"/>
                      <w14:textFill>
                        <w14:solidFill>
                          <w14:schemeClr w14:val="tx1"/>
                        </w14:solidFill>
                      </w14:textFill>
                    </w:rPr>
                    <w:t>烟气</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经余热</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锅炉</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+脱硝装置（</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SNCR</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w:t>
                  </w:r>
                  <w:r>
                    <w:rPr>
                      <w:rFonts w:hint="eastAsia" w:cs="Times New Roman"/>
                      <w:b w:val="0"/>
                      <w:bCs w:val="0"/>
                      <w:color w:val="000000" w:themeColor="text1"/>
                      <w:kern w:val="0"/>
                      <w:sz w:val="21"/>
                      <w:szCs w:val="21"/>
                      <w:highlight w:val="none"/>
                      <w:lang w:val="en-US" w:eastAsia="zh-CN" w:bidi="ar"/>
                      <w14:textFill>
                        <w14:solidFill>
                          <w14:schemeClr w14:val="tx1"/>
                        </w14:solidFill>
                      </w14:textFill>
                    </w:rPr>
                    <w:t>综合</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脱硝效率</w:t>
                  </w:r>
                  <w:r>
                    <w:rPr>
                      <w:rFonts w:hint="eastAsia" w:cs="Times New Roman"/>
                      <w:b w:val="0"/>
                      <w:bCs w:val="0"/>
                      <w:color w:val="000000" w:themeColor="text1"/>
                      <w:sz w:val="21"/>
                      <w:szCs w:val="21"/>
                      <w:highlight w:val="none"/>
                      <w:lang w:val="en-US" w:eastAsia="zh-CN"/>
                      <w14:textFill>
                        <w14:solidFill>
                          <w14:schemeClr w14:val="tx1"/>
                        </w14:solidFill>
                      </w14:textFill>
                    </w:rPr>
                    <w:t>50</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%以上</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w:t>
                  </w:r>
                  <w:r>
                    <w:rPr>
                      <w:rFonts w:hint="eastAsia" w:cs="Times New Roman"/>
                      <w:b w:val="0"/>
                      <w:bCs w:val="0"/>
                      <w:color w:val="000000" w:themeColor="text1"/>
                      <w:sz w:val="21"/>
                      <w:szCs w:val="21"/>
                      <w:highlight w:val="none"/>
                      <w:lang w:val="en-US" w:eastAsia="zh-CN"/>
                      <w14:textFill>
                        <w14:solidFill>
                          <w14:schemeClr w14:val="tx1"/>
                        </w14:solidFill>
                      </w14:textFill>
                    </w:rPr>
                    <w:t>布袋除尘器（覆膜袋式）</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除尘</w:t>
                  </w:r>
                  <w:r>
                    <w:rPr>
                      <w:rFonts w:hint="default" w:ascii="Times New Roman" w:hAnsi="Times New Roman" w:cs="Times New Roman"/>
                      <w:b w:val="0"/>
                      <w:bCs w:val="0"/>
                      <w:color w:val="000000" w:themeColor="text1"/>
                      <w:sz w:val="21"/>
                      <w:szCs w:val="21"/>
                      <w:highlight w:val="none"/>
                      <w14:textFill>
                        <w14:solidFill>
                          <w14:schemeClr w14:val="tx1"/>
                        </w14:solidFill>
                      </w14:textFill>
                    </w:rPr>
                    <w:t>（除尘效率99%）</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+石灰石-石膏法装置</w:t>
                  </w:r>
                  <w:r>
                    <w:rPr>
                      <w:rFonts w:hint="default" w:ascii="Times New Roman" w:hAnsi="Times New Roman" w:cs="Times New Roman"/>
                      <w:b w:val="0"/>
                      <w:bCs w:val="0"/>
                      <w:color w:val="000000" w:themeColor="text1"/>
                      <w:sz w:val="21"/>
                      <w:szCs w:val="21"/>
                      <w:highlight w:val="none"/>
                      <w14:textFill>
                        <w14:solidFill>
                          <w14:schemeClr w14:val="tx1"/>
                        </w14:solidFill>
                      </w14:textFill>
                    </w:rPr>
                    <w:t>（</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脱硫</w:t>
                  </w:r>
                  <w:r>
                    <w:rPr>
                      <w:rFonts w:hint="default" w:ascii="Times New Roman" w:hAnsi="Times New Roman" w:cs="Times New Roman"/>
                      <w:b w:val="0"/>
                      <w:bCs w:val="0"/>
                      <w:color w:val="000000" w:themeColor="text1"/>
                      <w:sz w:val="21"/>
                      <w:szCs w:val="21"/>
                      <w:highlight w:val="none"/>
                      <w14:textFill>
                        <w14:solidFill>
                          <w14:schemeClr w14:val="tx1"/>
                        </w14:solidFill>
                      </w14:textFill>
                    </w:rPr>
                    <w:t>效率</w:t>
                  </w:r>
                  <w:r>
                    <w:rPr>
                      <w:rFonts w:hint="eastAsia" w:cs="Times New Roman"/>
                      <w:b w:val="0"/>
                      <w:bCs w:val="0"/>
                      <w:color w:val="000000" w:themeColor="text1"/>
                      <w:sz w:val="21"/>
                      <w:szCs w:val="21"/>
                      <w:highlight w:val="none"/>
                      <w:lang w:val="en-US" w:eastAsia="zh-CN"/>
                      <w14:textFill>
                        <w14:solidFill>
                          <w14:schemeClr w14:val="tx1"/>
                        </w14:solidFill>
                      </w14:textFill>
                    </w:rPr>
                    <w:t>90</w:t>
                  </w:r>
                  <w:r>
                    <w:rPr>
                      <w:rFonts w:hint="default" w:ascii="Times New Roman" w:hAnsi="Times New Roman"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以上</w:t>
                  </w:r>
                  <w:r>
                    <w:rPr>
                      <w:rFonts w:hint="default" w:ascii="Times New Roman" w:hAnsi="Times New Roman"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脱硫后通过</w:t>
                  </w:r>
                  <w:r>
                    <w:rPr>
                      <w:rFonts w:hint="eastAsia" w:cs="Times New Roman"/>
                      <w:b w:val="0"/>
                      <w:bCs w:val="0"/>
                      <w:color w:val="000000" w:themeColor="text1"/>
                      <w:sz w:val="21"/>
                      <w:szCs w:val="21"/>
                      <w:highlight w:val="none"/>
                      <w:lang w:val="en-US" w:eastAsia="zh-CN"/>
                      <w14:textFill>
                        <w14:solidFill>
                          <w14:schemeClr w14:val="tx1"/>
                        </w14:solidFill>
                      </w14:textFill>
                    </w:rPr>
                    <w:t>42m</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高</w:t>
                  </w:r>
                  <w:r>
                    <w:rPr>
                      <w:rFonts w:hint="eastAsia" w:cs="Times New Roman"/>
                      <w:b w:val="0"/>
                      <w:bCs w:val="0"/>
                      <w:color w:val="000000" w:themeColor="text1"/>
                      <w:sz w:val="21"/>
                      <w:szCs w:val="21"/>
                      <w:highlight w:val="none"/>
                      <w:lang w:val="en-US" w:eastAsia="zh-CN"/>
                      <w14:textFill>
                        <w14:solidFill>
                          <w14:schemeClr w14:val="tx1"/>
                        </w14:solidFill>
                      </w14:textFill>
                    </w:rPr>
                    <w:t>排气口</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（DA006）达标排放。</w:t>
                  </w:r>
                </w:p>
              </w:tc>
              <w:tc>
                <w:tcPr>
                  <w:tcW w:w="592" w:type="pct"/>
                  <w:noWrap w:val="0"/>
                  <w:vAlign w:val="center"/>
                </w:tcPr>
                <w:p w14:paraId="1A30A4B3">
                  <w:pPr>
                    <w:adjustRightInd w:val="0"/>
                    <w:snapToGrid w:val="0"/>
                    <w:spacing w:line="240" w:lineRule="auto"/>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400</w:t>
                  </w:r>
                </w:p>
              </w:tc>
            </w:tr>
            <w:tr w14:paraId="4F182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374" w:type="pct"/>
                  <w:vMerge w:val="continue"/>
                  <w:noWrap w:val="0"/>
                  <w:vAlign w:val="center"/>
                </w:tcPr>
                <w:p w14:paraId="4B6FCFE3">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403" w:type="pct"/>
                  <w:vMerge w:val="continue"/>
                  <w:noWrap w:val="0"/>
                  <w:vAlign w:val="center"/>
                </w:tcPr>
                <w:p w14:paraId="62AEFB45">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679" w:type="pct"/>
                  <w:noWrap w:val="0"/>
                  <w:vAlign w:val="center"/>
                </w:tcPr>
                <w:p w14:paraId="7770D9EB">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分选（打散机）废气</w:t>
                  </w:r>
                </w:p>
              </w:tc>
              <w:tc>
                <w:tcPr>
                  <w:tcW w:w="2949" w:type="pct"/>
                  <w:noWrap w:val="0"/>
                  <w:vAlign w:val="center"/>
                </w:tcPr>
                <w:p w14:paraId="0164AB06">
                  <w:pPr>
                    <w:adjustRightInd w:val="0"/>
                    <w:snapToGrid w:val="0"/>
                    <w:spacing w:line="240" w:lineRule="auto"/>
                    <w:jc w:val="both"/>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通过密闭管道收集后由一台</w:t>
                  </w:r>
                  <w:r>
                    <w:rPr>
                      <w:rFonts w:hint="eastAsia" w:cs="Times New Roman"/>
                      <w:b w:val="0"/>
                      <w:bCs w:val="0"/>
                      <w:color w:val="000000" w:themeColor="text1"/>
                      <w:sz w:val="21"/>
                      <w:szCs w:val="21"/>
                      <w:highlight w:val="none"/>
                      <w:lang w:eastAsia="zh-CN"/>
                      <w14:textFill>
                        <w14:solidFill>
                          <w14:schemeClr w14:val="tx1"/>
                        </w14:solidFill>
                      </w14:textFill>
                    </w:rPr>
                    <w:t>布袋除尘器（覆膜袋式）</w:t>
                  </w:r>
                  <w:r>
                    <w:rPr>
                      <w:rFonts w:hint="default" w:ascii="Times New Roman" w:hAnsi="Times New Roman" w:cs="Times New Roman"/>
                      <w:b w:val="0"/>
                      <w:bCs w:val="0"/>
                      <w:color w:val="000000" w:themeColor="text1"/>
                      <w:sz w:val="21"/>
                      <w:szCs w:val="21"/>
                      <w:highlight w:val="none"/>
                      <w14:textFill>
                        <w14:solidFill>
                          <w14:schemeClr w14:val="tx1"/>
                        </w14:solidFill>
                      </w14:textFill>
                    </w:rPr>
                    <w:t>（除尘效率99%）除尘后通过</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25</w:t>
                  </w:r>
                  <w:r>
                    <w:rPr>
                      <w:rFonts w:hint="default" w:ascii="Times New Roman" w:hAnsi="Times New Roman" w:cs="Times New Roman"/>
                      <w:b w:val="0"/>
                      <w:bCs w:val="0"/>
                      <w:color w:val="000000" w:themeColor="text1"/>
                      <w:sz w:val="21"/>
                      <w:szCs w:val="21"/>
                      <w:highlight w:val="none"/>
                      <w14:textFill>
                        <w14:solidFill>
                          <w14:schemeClr w14:val="tx1"/>
                        </w14:solidFill>
                      </w14:textFill>
                    </w:rPr>
                    <w:t>m高</w:t>
                  </w:r>
                  <w:r>
                    <w:rPr>
                      <w:rFonts w:hint="eastAsia" w:cs="Times New Roman"/>
                      <w:b w:val="0"/>
                      <w:bCs w:val="0"/>
                      <w:color w:val="000000" w:themeColor="text1"/>
                      <w:sz w:val="21"/>
                      <w:szCs w:val="21"/>
                      <w:highlight w:val="none"/>
                      <w:lang w:eastAsia="zh-CN"/>
                      <w14:textFill>
                        <w14:solidFill>
                          <w14:schemeClr w14:val="tx1"/>
                        </w14:solidFill>
                      </w14:textFill>
                    </w:rPr>
                    <w:t>排气</w:t>
                  </w:r>
                  <w:r>
                    <w:rPr>
                      <w:rFonts w:hint="eastAsia" w:cs="Times New Roman"/>
                      <w:b w:val="0"/>
                      <w:bCs w:val="0"/>
                      <w:color w:val="000000" w:themeColor="text1"/>
                      <w:sz w:val="21"/>
                      <w:szCs w:val="21"/>
                      <w:highlight w:val="none"/>
                      <w:lang w:val="en-US" w:eastAsia="zh-CN"/>
                      <w14:textFill>
                        <w14:solidFill>
                          <w14:schemeClr w14:val="tx1"/>
                        </w14:solidFill>
                      </w14:textFill>
                    </w:rPr>
                    <w:t>口</w:t>
                  </w:r>
                  <w:r>
                    <w:rPr>
                      <w:rFonts w:hint="default" w:ascii="Times New Roman" w:hAnsi="Times New Roman" w:cs="Times New Roman"/>
                      <w:b w:val="0"/>
                      <w:bCs w:val="0"/>
                      <w:color w:val="000000" w:themeColor="text1"/>
                      <w:sz w:val="21"/>
                      <w:szCs w:val="21"/>
                      <w:highlight w:val="none"/>
                      <w14:textFill>
                        <w14:solidFill>
                          <w14:schemeClr w14:val="tx1"/>
                        </w14:solidFill>
                      </w14:textFill>
                    </w:rPr>
                    <w:t>（</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DA007</w:t>
                  </w:r>
                  <w:r>
                    <w:rPr>
                      <w:rFonts w:hint="default" w:ascii="Times New Roman" w:hAnsi="Times New Roman" w:cs="Times New Roman"/>
                      <w:b w:val="0"/>
                      <w:bCs w:val="0"/>
                      <w:color w:val="000000" w:themeColor="text1"/>
                      <w:sz w:val="21"/>
                      <w:szCs w:val="21"/>
                      <w:highlight w:val="none"/>
                      <w14:textFill>
                        <w14:solidFill>
                          <w14:schemeClr w14:val="tx1"/>
                        </w14:solidFill>
                      </w14:textFill>
                    </w:rPr>
                    <w:t>）排放。</w:t>
                  </w:r>
                </w:p>
              </w:tc>
              <w:tc>
                <w:tcPr>
                  <w:tcW w:w="592" w:type="pct"/>
                  <w:noWrap w:val="0"/>
                  <w:vAlign w:val="center"/>
                </w:tcPr>
                <w:p w14:paraId="16426A4E">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10</w:t>
                  </w:r>
                </w:p>
              </w:tc>
            </w:tr>
            <w:tr w14:paraId="2EDC3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374" w:type="pct"/>
                  <w:vMerge w:val="continue"/>
                  <w:noWrap w:val="0"/>
                  <w:vAlign w:val="center"/>
                </w:tcPr>
                <w:p w14:paraId="14A08FD4">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403" w:type="pct"/>
                  <w:vMerge w:val="continue"/>
                  <w:noWrap w:val="0"/>
                  <w:vAlign w:val="center"/>
                </w:tcPr>
                <w:p w14:paraId="09CD7573">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679" w:type="pct"/>
                  <w:noWrap w:val="0"/>
                  <w:vAlign w:val="center"/>
                </w:tcPr>
                <w:p w14:paraId="411C055D">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分选（粉磨）废气</w:t>
                  </w:r>
                </w:p>
              </w:tc>
              <w:tc>
                <w:tcPr>
                  <w:tcW w:w="2949" w:type="pct"/>
                  <w:noWrap w:val="0"/>
                  <w:vAlign w:val="center"/>
                </w:tcPr>
                <w:p w14:paraId="7A5787FD">
                  <w:pPr>
                    <w:adjustRightInd w:val="0"/>
                    <w:snapToGrid w:val="0"/>
                    <w:spacing w:line="240" w:lineRule="auto"/>
                    <w:jc w:val="both"/>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通过密闭管道收集后由一台</w:t>
                  </w:r>
                  <w:r>
                    <w:rPr>
                      <w:rFonts w:hint="eastAsia" w:cs="Times New Roman"/>
                      <w:b w:val="0"/>
                      <w:bCs w:val="0"/>
                      <w:color w:val="000000" w:themeColor="text1"/>
                      <w:sz w:val="21"/>
                      <w:szCs w:val="21"/>
                      <w:highlight w:val="none"/>
                      <w:lang w:eastAsia="zh-CN"/>
                      <w14:textFill>
                        <w14:solidFill>
                          <w14:schemeClr w14:val="tx1"/>
                        </w14:solidFill>
                      </w14:textFill>
                    </w:rPr>
                    <w:t>布袋除尘器（覆膜袋式）</w:t>
                  </w:r>
                  <w:r>
                    <w:rPr>
                      <w:rFonts w:hint="default" w:ascii="Times New Roman" w:hAnsi="Times New Roman" w:cs="Times New Roman"/>
                      <w:b w:val="0"/>
                      <w:bCs w:val="0"/>
                      <w:color w:val="000000" w:themeColor="text1"/>
                      <w:sz w:val="21"/>
                      <w:szCs w:val="21"/>
                      <w:highlight w:val="none"/>
                      <w14:textFill>
                        <w14:solidFill>
                          <w14:schemeClr w14:val="tx1"/>
                        </w14:solidFill>
                      </w14:textFill>
                    </w:rPr>
                    <w:t>（除尘效率99%）除尘后通过</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25</w:t>
                  </w:r>
                  <w:r>
                    <w:rPr>
                      <w:rFonts w:hint="default" w:ascii="Times New Roman" w:hAnsi="Times New Roman" w:cs="Times New Roman"/>
                      <w:b w:val="0"/>
                      <w:bCs w:val="0"/>
                      <w:color w:val="000000" w:themeColor="text1"/>
                      <w:sz w:val="21"/>
                      <w:szCs w:val="21"/>
                      <w:highlight w:val="none"/>
                      <w14:textFill>
                        <w14:solidFill>
                          <w14:schemeClr w14:val="tx1"/>
                        </w14:solidFill>
                      </w14:textFill>
                    </w:rPr>
                    <w:t>m高</w:t>
                  </w:r>
                  <w:r>
                    <w:rPr>
                      <w:rFonts w:hint="eastAsia" w:cs="Times New Roman"/>
                      <w:b w:val="0"/>
                      <w:bCs w:val="0"/>
                      <w:color w:val="000000" w:themeColor="text1"/>
                      <w:sz w:val="21"/>
                      <w:szCs w:val="21"/>
                      <w:highlight w:val="none"/>
                      <w:lang w:eastAsia="zh-CN"/>
                      <w14:textFill>
                        <w14:solidFill>
                          <w14:schemeClr w14:val="tx1"/>
                        </w14:solidFill>
                      </w14:textFill>
                    </w:rPr>
                    <w:t>排气</w:t>
                  </w:r>
                  <w:r>
                    <w:rPr>
                      <w:rFonts w:hint="eastAsia" w:cs="Times New Roman"/>
                      <w:b w:val="0"/>
                      <w:bCs w:val="0"/>
                      <w:color w:val="000000" w:themeColor="text1"/>
                      <w:sz w:val="21"/>
                      <w:szCs w:val="21"/>
                      <w:highlight w:val="none"/>
                      <w:lang w:val="en-US" w:eastAsia="zh-CN"/>
                      <w14:textFill>
                        <w14:solidFill>
                          <w14:schemeClr w14:val="tx1"/>
                        </w14:solidFill>
                      </w14:textFill>
                    </w:rPr>
                    <w:t>口</w:t>
                  </w:r>
                  <w:r>
                    <w:rPr>
                      <w:rFonts w:hint="default" w:ascii="Times New Roman" w:hAnsi="Times New Roman" w:cs="Times New Roman"/>
                      <w:b w:val="0"/>
                      <w:bCs w:val="0"/>
                      <w:color w:val="000000" w:themeColor="text1"/>
                      <w:sz w:val="21"/>
                      <w:szCs w:val="21"/>
                      <w:highlight w:val="none"/>
                      <w14:textFill>
                        <w14:solidFill>
                          <w14:schemeClr w14:val="tx1"/>
                        </w14:solidFill>
                      </w14:textFill>
                    </w:rPr>
                    <w:t>（</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DA008</w:t>
                  </w:r>
                  <w:r>
                    <w:rPr>
                      <w:rFonts w:hint="default" w:ascii="Times New Roman" w:hAnsi="Times New Roman" w:cs="Times New Roman"/>
                      <w:b w:val="0"/>
                      <w:bCs w:val="0"/>
                      <w:color w:val="000000" w:themeColor="text1"/>
                      <w:sz w:val="21"/>
                      <w:szCs w:val="21"/>
                      <w:highlight w:val="none"/>
                      <w14:textFill>
                        <w14:solidFill>
                          <w14:schemeClr w14:val="tx1"/>
                        </w14:solidFill>
                      </w14:textFill>
                    </w:rPr>
                    <w:t>）排放。</w:t>
                  </w:r>
                </w:p>
              </w:tc>
              <w:tc>
                <w:tcPr>
                  <w:tcW w:w="592" w:type="pct"/>
                  <w:noWrap w:val="0"/>
                  <w:vAlign w:val="center"/>
                </w:tcPr>
                <w:p w14:paraId="24EE0BEB">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10</w:t>
                  </w:r>
                </w:p>
              </w:tc>
            </w:tr>
            <w:tr w14:paraId="3B053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374" w:type="pct"/>
                  <w:vMerge w:val="continue"/>
                  <w:noWrap w:val="0"/>
                  <w:vAlign w:val="center"/>
                </w:tcPr>
                <w:p w14:paraId="6493537E">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403" w:type="pct"/>
                  <w:vMerge w:val="continue"/>
                  <w:noWrap w:val="0"/>
                  <w:vAlign w:val="center"/>
                </w:tcPr>
                <w:p w14:paraId="44B0F290">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679" w:type="pct"/>
                  <w:noWrap w:val="0"/>
                  <w:vAlign w:val="center"/>
                </w:tcPr>
                <w:p w14:paraId="799BC742">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大包装及成品筒仓</w:t>
                  </w:r>
                </w:p>
                <w:p w14:paraId="35B455E4">
                  <w:pPr>
                    <w:adjustRightInd w:val="0"/>
                    <w:snapToGrid w:val="0"/>
                    <w:spacing w:line="240" w:lineRule="auto"/>
                    <w:jc w:val="center"/>
                    <w:rPr>
                      <w:rFonts w:hint="default" w:ascii="Times New Roman" w:hAnsi="Times New Roman"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废气</w:t>
                  </w:r>
                </w:p>
              </w:tc>
              <w:tc>
                <w:tcPr>
                  <w:tcW w:w="2949" w:type="pct"/>
                  <w:noWrap w:val="0"/>
                  <w:vAlign w:val="center"/>
                </w:tcPr>
                <w:p w14:paraId="353B9033">
                  <w:pPr>
                    <w:adjustRightInd w:val="0"/>
                    <w:snapToGrid w:val="0"/>
                    <w:spacing w:line="240" w:lineRule="auto"/>
                    <w:jc w:val="both"/>
                    <w:rPr>
                      <w:rFonts w:hint="default" w:ascii="Times New Roman" w:hAnsi="Times New Roman"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大包装及成品筒仓采用“封闭设备+高浓度气箱收集+</w:t>
                  </w:r>
                  <w:r>
                    <w:rPr>
                      <w:rFonts w:hint="eastAsia" w:cs="Times New Roman"/>
                      <w:b w:val="0"/>
                      <w:bCs w:val="0"/>
                      <w:color w:val="000000" w:themeColor="text1"/>
                      <w:kern w:val="0"/>
                      <w:sz w:val="21"/>
                      <w:szCs w:val="21"/>
                      <w:highlight w:val="none"/>
                      <w:lang w:val="en-US" w:eastAsia="zh-CN" w:bidi="ar"/>
                      <w14:textFill>
                        <w14:solidFill>
                          <w14:schemeClr w14:val="tx1"/>
                        </w14:solidFill>
                      </w14:textFill>
                    </w:rPr>
                    <w:t>布袋除尘器（覆膜袋式）</w:t>
                  </w:r>
                  <w:r>
                    <w:rPr>
                      <w:rFonts w:hint="default" w:ascii="Times New Roman" w:hAnsi="Times New Roman" w:cs="Times New Roman"/>
                      <w:b w:val="0"/>
                      <w:bCs w:val="0"/>
                      <w:color w:val="000000" w:themeColor="text1"/>
                      <w:sz w:val="21"/>
                      <w:szCs w:val="21"/>
                      <w:highlight w:val="none"/>
                      <w14:textFill>
                        <w14:solidFill>
                          <w14:schemeClr w14:val="tx1"/>
                        </w14:solidFill>
                      </w14:textFill>
                    </w:rPr>
                    <w:t>（除尘效率99%）</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”处理后经</w:t>
                  </w:r>
                  <w:r>
                    <w:rPr>
                      <w:rFonts w:hint="eastAsia" w:cs="Times New Roman"/>
                      <w:b w:val="0"/>
                      <w:bCs w:val="0"/>
                      <w:color w:val="000000" w:themeColor="text1"/>
                      <w:kern w:val="0"/>
                      <w:sz w:val="21"/>
                      <w:szCs w:val="21"/>
                      <w:highlight w:val="none"/>
                      <w:lang w:val="en-US" w:eastAsia="zh-CN" w:bidi="ar"/>
                      <w14:textFill>
                        <w14:solidFill>
                          <w14:schemeClr w14:val="tx1"/>
                        </w14:solidFill>
                      </w14:textFill>
                    </w:rPr>
                    <w:t>50</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m高</w:t>
                  </w:r>
                  <w:r>
                    <w:rPr>
                      <w:rFonts w:hint="eastAsia" w:cs="Times New Roman"/>
                      <w:b w:val="0"/>
                      <w:bCs w:val="0"/>
                      <w:color w:val="000000" w:themeColor="text1"/>
                      <w:kern w:val="0"/>
                      <w:sz w:val="21"/>
                      <w:szCs w:val="21"/>
                      <w:highlight w:val="none"/>
                      <w:lang w:val="en-US" w:eastAsia="zh-CN" w:bidi="ar"/>
                      <w14:textFill>
                        <w14:solidFill>
                          <w14:schemeClr w14:val="tx1"/>
                        </w14:solidFill>
                      </w14:textFill>
                    </w:rPr>
                    <w:t>排气</w:t>
                  </w:r>
                  <w:r>
                    <w:rPr>
                      <w:rFonts w:hint="eastAsia" w:cs="Times New Roman"/>
                      <w:b w:val="0"/>
                      <w:bCs w:val="0"/>
                      <w:color w:val="000000" w:themeColor="text1"/>
                      <w:sz w:val="21"/>
                      <w:szCs w:val="21"/>
                      <w:highlight w:val="none"/>
                      <w:lang w:val="en-US" w:eastAsia="zh-CN"/>
                      <w14:textFill>
                        <w14:solidFill>
                          <w14:schemeClr w14:val="tx1"/>
                        </w14:solidFill>
                      </w14:textFill>
                    </w:rPr>
                    <w:t>口</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（DA00</w:t>
                  </w:r>
                  <w:r>
                    <w:rPr>
                      <w:rFonts w:hint="default" w:ascii="Times New Roman" w:hAnsi="Times New Roman" w:cs="Times New Roman"/>
                      <w:b w:val="0"/>
                      <w:bCs w:val="0"/>
                      <w:color w:val="000000" w:themeColor="text1"/>
                      <w:kern w:val="0"/>
                      <w:sz w:val="21"/>
                      <w:szCs w:val="21"/>
                      <w:highlight w:val="none"/>
                      <w:lang w:val="en-US" w:eastAsia="zh-CN" w:bidi="ar"/>
                      <w14:textFill>
                        <w14:solidFill>
                          <w14:schemeClr w14:val="tx1"/>
                        </w14:solidFill>
                      </w14:textFill>
                    </w:rPr>
                    <w:t>9</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、DA0</w:t>
                  </w:r>
                  <w:r>
                    <w:rPr>
                      <w:rFonts w:hint="default" w:ascii="Times New Roman" w:hAnsi="Times New Roman" w:cs="Times New Roman"/>
                      <w:b w:val="0"/>
                      <w:bCs w:val="0"/>
                      <w:color w:val="000000" w:themeColor="text1"/>
                      <w:kern w:val="0"/>
                      <w:sz w:val="21"/>
                      <w:szCs w:val="21"/>
                      <w:highlight w:val="none"/>
                      <w:lang w:val="en-US" w:eastAsia="zh-CN" w:bidi="ar"/>
                      <w14:textFill>
                        <w14:solidFill>
                          <w14:schemeClr w14:val="tx1"/>
                        </w14:solidFill>
                      </w14:textFill>
                    </w:rPr>
                    <w:t>10</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）排放</w:t>
                  </w:r>
                </w:p>
              </w:tc>
              <w:tc>
                <w:tcPr>
                  <w:tcW w:w="592" w:type="pct"/>
                  <w:noWrap w:val="0"/>
                  <w:vAlign w:val="center"/>
                </w:tcPr>
                <w:p w14:paraId="0776EB50">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20</w:t>
                  </w:r>
                </w:p>
              </w:tc>
            </w:tr>
            <w:tr w14:paraId="371AF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374" w:type="pct"/>
                  <w:vMerge w:val="continue"/>
                  <w:noWrap w:val="0"/>
                  <w:vAlign w:val="center"/>
                </w:tcPr>
                <w:p w14:paraId="5ACA72D8">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403" w:type="pct"/>
                  <w:vMerge w:val="continue"/>
                  <w:noWrap w:val="0"/>
                  <w:vAlign w:val="center"/>
                </w:tcPr>
                <w:p w14:paraId="642FC0B2">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679" w:type="pct"/>
                  <w:noWrap w:val="0"/>
                  <w:vAlign w:val="center"/>
                </w:tcPr>
                <w:p w14:paraId="2449AE3D">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大包装</w:t>
                  </w:r>
                </w:p>
                <w:p w14:paraId="156FAEFC">
                  <w:pPr>
                    <w:adjustRightInd w:val="0"/>
                    <w:snapToGrid w:val="0"/>
                    <w:spacing w:line="240" w:lineRule="auto"/>
                    <w:jc w:val="cente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废气</w:t>
                  </w:r>
                </w:p>
              </w:tc>
              <w:tc>
                <w:tcPr>
                  <w:tcW w:w="2949" w:type="pct"/>
                  <w:noWrap w:val="0"/>
                  <w:vAlign w:val="center"/>
                </w:tcPr>
                <w:p w14:paraId="53EDB7F1">
                  <w:pPr>
                    <w:adjustRightInd w:val="0"/>
                    <w:snapToGrid w:val="0"/>
                    <w:spacing w:line="240" w:lineRule="auto"/>
                    <w:jc w:val="both"/>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8条大包装生产线产生的粉仓采用“集气罩收集+</w:t>
                  </w:r>
                  <w:r>
                    <w:rPr>
                      <w:rFonts w:hint="eastAsia" w:cs="Times New Roman"/>
                      <w:b w:val="0"/>
                      <w:bCs w:val="0"/>
                      <w:color w:val="000000" w:themeColor="text1"/>
                      <w:kern w:val="0"/>
                      <w:sz w:val="21"/>
                      <w:szCs w:val="21"/>
                      <w:highlight w:val="none"/>
                      <w:lang w:val="en-US" w:eastAsia="zh-CN" w:bidi="ar"/>
                      <w14:textFill>
                        <w14:solidFill>
                          <w14:schemeClr w14:val="tx1"/>
                        </w14:solidFill>
                      </w14:textFill>
                    </w:rPr>
                    <w:t>布袋除尘器（覆膜袋式）</w:t>
                  </w:r>
                  <w:r>
                    <w:rPr>
                      <w:rFonts w:hint="default" w:ascii="Times New Roman" w:hAnsi="Times New Roman" w:cs="Times New Roman"/>
                      <w:b w:val="0"/>
                      <w:bCs w:val="0"/>
                      <w:color w:val="000000" w:themeColor="text1"/>
                      <w:sz w:val="21"/>
                      <w:szCs w:val="21"/>
                      <w:highlight w:val="none"/>
                      <w14:textFill>
                        <w14:solidFill>
                          <w14:schemeClr w14:val="tx1"/>
                        </w14:solidFill>
                      </w14:textFill>
                    </w:rPr>
                    <w:t>（除尘效率99%）</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”处理后经</w:t>
                  </w:r>
                  <w:r>
                    <w:rPr>
                      <w:rFonts w:hint="eastAsia" w:cs="Times New Roman"/>
                      <w:b w:val="0"/>
                      <w:bCs w:val="0"/>
                      <w:color w:val="000000" w:themeColor="text1"/>
                      <w:kern w:val="0"/>
                      <w:sz w:val="21"/>
                      <w:szCs w:val="21"/>
                      <w:highlight w:val="none"/>
                      <w:lang w:val="en-US" w:eastAsia="zh-CN" w:bidi="ar"/>
                      <w14:textFill>
                        <w14:solidFill>
                          <w14:schemeClr w14:val="tx1"/>
                        </w14:solidFill>
                      </w14:textFill>
                    </w:rPr>
                    <w:t>3</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0m高</w:t>
                  </w:r>
                  <w:r>
                    <w:rPr>
                      <w:rFonts w:hint="eastAsia" w:cs="Times New Roman"/>
                      <w:b w:val="0"/>
                      <w:bCs w:val="0"/>
                      <w:color w:val="000000" w:themeColor="text1"/>
                      <w:kern w:val="0"/>
                      <w:sz w:val="21"/>
                      <w:szCs w:val="21"/>
                      <w:highlight w:val="none"/>
                      <w:lang w:val="en-US" w:eastAsia="zh-CN" w:bidi="ar"/>
                      <w14:textFill>
                        <w14:solidFill>
                          <w14:schemeClr w14:val="tx1"/>
                        </w14:solidFill>
                      </w14:textFill>
                    </w:rPr>
                    <w:t>排气</w:t>
                  </w:r>
                  <w:r>
                    <w:rPr>
                      <w:rFonts w:hint="eastAsia" w:cs="Times New Roman"/>
                      <w:b w:val="0"/>
                      <w:bCs w:val="0"/>
                      <w:color w:val="000000" w:themeColor="text1"/>
                      <w:sz w:val="21"/>
                      <w:szCs w:val="21"/>
                      <w:highlight w:val="none"/>
                      <w:lang w:val="en-US" w:eastAsia="zh-CN"/>
                      <w14:textFill>
                        <w14:solidFill>
                          <w14:schemeClr w14:val="tx1"/>
                        </w14:solidFill>
                      </w14:textFill>
                    </w:rPr>
                    <w:t>口</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（DA01</w:t>
                  </w:r>
                  <w:r>
                    <w:rPr>
                      <w:rFonts w:hint="default" w:ascii="Times New Roman" w:hAnsi="Times New Roman" w:cs="Times New Roman"/>
                      <w:b w:val="0"/>
                      <w:bCs w:val="0"/>
                      <w:color w:val="000000" w:themeColor="text1"/>
                      <w:kern w:val="0"/>
                      <w:sz w:val="21"/>
                      <w:szCs w:val="21"/>
                      <w:highlight w:val="none"/>
                      <w:lang w:val="en-US" w:eastAsia="zh-CN" w:bidi="ar"/>
                      <w14:textFill>
                        <w14:solidFill>
                          <w14:schemeClr w14:val="tx1"/>
                        </w14:solidFill>
                      </w14:textFill>
                    </w:rPr>
                    <w:t>1</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）排放</w:t>
                  </w:r>
                </w:p>
              </w:tc>
              <w:tc>
                <w:tcPr>
                  <w:tcW w:w="592" w:type="pct"/>
                  <w:noWrap w:val="0"/>
                  <w:vAlign w:val="center"/>
                </w:tcPr>
                <w:p w14:paraId="7FF804B0">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10</w:t>
                  </w:r>
                </w:p>
              </w:tc>
            </w:tr>
            <w:tr w14:paraId="66743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374" w:type="pct"/>
                  <w:vMerge w:val="continue"/>
                  <w:noWrap w:val="0"/>
                  <w:vAlign w:val="center"/>
                </w:tcPr>
                <w:p w14:paraId="574EFE0C">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403" w:type="pct"/>
                  <w:vMerge w:val="continue"/>
                  <w:noWrap w:val="0"/>
                  <w:vAlign w:val="center"/>
                </w:tcPr>
                <w:p w14:paraId="16DE9922">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679" w:type="pct"/>
                  <w:noWrap w:val="0"/>
                  <w:vAlign w:val="center"/>
                </w:tcPr>
                <w:p w14:paraId="578E1DF0">
                  <w:pPr>
                    <w:adjustRightInd w:val="0"/>
                    <w:snapToGrid w:val="0"/>
                    <w:spacing w:line="240" w:lineRule="auto"/>
                    <w:jc w:val="cente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成品筒仓产生废气</w:t>
                  </w:r>
                </w:p>
              </w:tc>
              <w:tc>
                <w:tcPr>
                  <w:tcW w:w="2949" w:type="pct"/>
                  <w:noWrap w:val="0"/>
                  <w:vAlign w:val="center"/>
                </w:tcPr>
                <w:p w14:paraId="56C020AA">
                  <w:pPr>
                    <w:adjustRightInd w:val="0"/>
                    <w:snapToGrid w:val="0"/>
                    <w:spacing w:line="240" w:lineRule="auto"/>
                    <w:jc w:val="both"/>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1个成品筒仓通过“封闭设备+收集+</w:t>
                  </w:r>
                  <w:r>
                    <w:rPr>
                      <w:rFonts w:hint="eastAsia" w:cs="Times New Roman"/>
                      <w:b w:val="0"/>
                      <w:bCs w:val="0"/>
                      <w:color w:val="000000" w:themeColor="text1"/>
                      <w:kern w:val="0"/>
                      <w:sz w:val="21"/>
                      <w:szCs w:val="21"/>
                      <w:highlight w:val="none"/>
                      <w:lang w:val="en-US" w:eastAsia="zh-CN" w:bidi="ar"/>
                      <w14:textFill>
                        <w14:solidFill>
                          <w14:schemeClr w14:val="tx1"/>
                        </w14:solidFill>
                      </w14:textFill>
                    </w:rPr>
                    <w:t>布袋除尘器（覆膜袋式）</w:t>
                  </w:r>
                  <w:r>
                    <w:rPr>
                      <w:rFonts w:hint="default" w:ascii="Times New Roman" w:hAnsi="Times New Roman" w:cs="Times New Roman"/>
                      <w:b w:val="0"/>
                      <w:bCs w:val="0"/>
                      <w:color w:val="000000" w:themeColor="text1"/>
                      <w:sz w:val="21"/>
                      <w:szCs w:val="21"/>
                      <w:highlight w:val="none"/>
                      <w14:textFill>
                        <w14:solidFill>
                          <w14:schemeClr w14:val="tx1"/>
                        </w14:solidFill>
                      </w14:textFill>
                    </w:rPr>
                    <w:t>（除尘效率99%）</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”处理后经1根</w:t>
                  </w:r>
                  <w:r>
                    <w:rPr>
                      <w:rFonts w:hint="eastAsia" w:cs="Times New Roman"/>
                      <w:b w:val="0"/>
                      <w:bCs w:val="0"/>
                      <w:color w:val="000000" w:themeColor="text1"/>
                      <w:kern w:val="0"/>
                      <w:sz w:val="21"/>
                      <w:szCs w:val="21"/>
                      <w:highlight w:val="none"/>
                      <w:lang w:val="en-US" w:eastAsia="zh-CN" w:bidi="ar"/>
                      <w14:textFill>
                        <w14:solidFill>
                          <w14:schemeClr w14:val="tx1"/>
                        </w14:solidFill>
                      </w14:textFill>
                    </w:rPr>
                    <w:t>3</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0m高（DA01</w:t>
                  </w:r>
                  <w:r>
                    <w:rPr>
                      <w:rFonts w:hint="default" w:ascii="Times New Roman" w:hAnsi="Times New Roman" w:cs="Times New Roman"/>
                      <w:b w:val="0"/>
                      <w:bCs w:val="0"/>
                      <w:color w:val="000000" w:themeColor="text1"/>
                      <w:kern w:val="0"/>
                      <w:sz w:val="21"/>
                      <w:szCs w:val="21"/>
                      <w:highlight w:val="none"/>
                      <w:lang w:val="en-US" w:eastAsia="zh-CN" w:bidi="ar"/>
                      <w14:textFill>
                        <w14:solidFill>
                          <w14:schemeClr w14:val="tx1"/>
                        </w14:solidFill>
                      </w14:textFill>
                    </w:rPr>
                    <w:t>2</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w:t>
                  </w:r>
                  <w:r>
                    <w:rPr>
                      <w:rFonts w:hint="eastAsia" w:cs="Times New Roman"/>
                      <w:b w:val="0"/>
                      <w:bCs w:val="0"/>
                      <w:color w:val="000000" w:themeColor="text1"/>
                      <w:kern w:val="0"/>
                      <w:sz w:val="21"/>
                      <w:szCs w:val="21"/>
                      <w:highlight w:val="none"/>
                      <w:lang w:val="en-US" w:eastAsia="zh-CN" w:bidi="ar"/>
                      <w14:textFill>
                        <w14:solidFill>
                          <w14:schemeClr w14:val="tx1"/>
                        </w14:solidFill>
                      </w14:textFill>
                    </w:rPr>
                    <w:t>排气</w:t>
                  </w:r>
                  <w:r>
                    <w:rPr>
                      <w:rFonts w:hint="eastAsia" w:cs="Times New Roman"/>
                      <w:b w:val="0"/>
                      <w:bCs w:val="0"/>
                      <w:color w:val="000000" w:themeColor="text1"/>
                      <w:sz w:val="21"/>
                      <w:szCs w:val="21"/>
                      <w:highlight w:val="none"/>
                      <w:lang w:val="en-US" w:eastAsia="zh-CN"/>
                      <w14:textFill>
                        <w14:solidFill>
                          <w14:schemeClr w14:val="tx1"/>
                        </w14:solidFill>
                      </w14:textFill>
                    </w:rPr>
                    <w:t>口</w:t>
                  </w: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排放；</w:t>
                  </w:r>
                </w:p>
              </w:tc>
              <w:tc>
                <w:tcPr>
                  <w:tcW w:w="592" w:type="pct"/>
                  <w:noWrap w:val="0"/>
                  <w:vAlign w:val="center"/>
                </w:tcPr>
                <w:p w14:paraId="3906D5BD">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10</w:t>
                  </w:r>
                </w:p>
              </w:tc>
            </w:tr>
            <w:tr w14:paraId="16D01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374" w:type="pct"/>
                  <w:vMerge w:val="continue"/>
                  <w:noWrap w:val="0"/>
                  <w:vAlign w:val="center"/>
                </w:tcPr>
                <w:p w14:paraId="3D4CF2E0">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403" w:type="pct"/>
                  <w:vMerge w:val="continue"/>
                  <w:noWrap w:val="0"/>
                  <w:vAlign w:val="center"/>
                </w:tcPr>
                <w:p w14:paraId="7C5C6A4D">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679" w:type="pct"/>
                  <w:noWrap w:val="0"/>
                  <w:vAlign w:val="center"/>
                </w:tcPr>
                <w:p w14:paraId="6E62F26D">
                  <w:pPr>
                    <w:adjustRightInd w:val="0"/>
                    <w:snapToGrid w:val="0"/>
                    <w:spacing w:line="240" w:lineRule="auto"/>
                    <w:jc w:val="center"/>
                    <w:rPr>
                      <w:rFonts w:hint="default" w:ascii="Times New Roman" w:hAnsi="Times New Roman" w:cs="Times New Roman"/>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小包装及成品筒仓产生废气</w:t>
                  </w:r>
                </w:p>
              </w:tc>
              <w:tc>
                <w:tcPr>
                  <w:tcW w:w="2949" w:type="pct"/>
                  <w:noWrap w:val="0"/>
                  <w:vAlign w:val="center"/>
                </w:tcPr>
                <w:p w14:paraId="2C0C7BAF">
                  <w:pPr>
                    <w:adjustRightInd w:val="0"/>
                    <w:snapToGrid w:val="0"/>
                    <w:spacing w:line="240" w:lineRule="auto"/>
                    <w:jc w:val="both"/>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1条包装生产线通过“集气罩收集+</w:t>
                  </w:r>
                  <w:r>
                    <w:rPr>
                      <w:rFonts w:hint="eastAsia" w:cs="Times New Roman"/>
                      <w:b w:val="0"/>
                      <w:bCs w:val="0"/>
                      <w:color w:val="000000" w:themeColor="text1"/>
                      <w:sz w:val="21"/>
                      <w:szCs w:val="21"/>
                      <w:highlight w:val="none"/>
                      <w:lang w:val="en-US" w:eastAsia="zh-CN"/>
                      <w14:textFill>
                        <w14:solidFill>
                          <w14:schemeClr w14:val="tx1"/>
                        </w14:solidFill>
                      </w14:textFill>
                    </w:rPr>
                    <w:t>布袋除尘器（覆膜袋式）</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（除尘效率99%）</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”处理后经1根</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0m高（DA01</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w:t>
                  </w:r>
                  <w:r>
                    <w:rPr>
                      <w:rFonts w:hint="eastAsia" w:cs="Times New Roman"/>
                      <w:b w:val="0"/>
                      <w:bCs w:val="0"/>
                      <w:color w:val="000000" w:themeColor="text1"/>
                      <w:sz w:val="21"/>
                      <w:szCs w:val="21"/>
                      <w:highlight w:val="none"/>
                      <w:lang w:val="en-US" w:eastAsia="zh-CN"/>
                      <w14:textFill>
                        <w14:solidFill>
                          <w14:schemeClr w14:val="tx1"/>
                        </w14:solidFill>
                      </w14:textFill>
                    </w:rPr>
                    <w:t>排气口</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排放；</w:t>
                  </w:r>
                </w:p>
              </w:tc>
              <w:tc>
                <w:tcPr>
                  <w:tcW w:w="592" w:type="pct"/>
                  <w:noWrap w:val="0"/>
                  <w:vAlign w:val="center"/>
                </w:tcPr>
                <w:p w14:paraId="1575661E">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10</w:t>
                  </w:r>
                </w:p>
              </w:tc>
            </w:tr>
            <w:tr w14:paraId="4AA37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374" w:type="pct"/>
                  <w:vMerge w:val="continue"/>
                  <w:noWrap w:val="0"/>
                  <w:vAlign w:val="center"/>
                </w:tcPr>
                <w:p w14:paraId="34ACA18C">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403" w:type="pct"/>
                  <w:vMerge w:val="continue"/>
                  <w:noWrap w:val="0"/>
                  <w:vAlign w:val="center"/>
                </w:tcPr>
                <w:p w14:paraId="693A68B7">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679" w:type="pct"/>
                  <w:noWrap w:val="0"/>
                  <w:vAlign w:val="center"/>
                </w:tcPr>
                <w:p w14:paraId="4C2A895E">
                  <w:pPr>
                    <w:adjustRightInd w:val="0"/>
                    <w:snapToGrid w:val="0"/>
                    <w:spacing w:line="240" w:lineRule="auto"/>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黄料粉仓</w:t>
                  </w:r>
                </w:p>
              </w:tc>
              <w:tc>
                <w:tcPr>
                  <w:tcW w:w="2949" w:type="pct"/>
                  <w:noWrap w:val="0"/>
                  <w:vAlign w:val="center"/>
                </w:tcPr>
                <w:p w14:paraId="7FFB1D42">
                  <w:pPr>
                    <w:adjustRightInd w:val="0"/>
                    <w:snapToGrid w:val="0"/>
                    <w:spacing w:line="240" w:lineRule="auto"/>
                    <w:jc w:val="both"/>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2个</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黄料粉</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仓均各配置一台仓顶除尘器（除尘效率99%），通过各自高于</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黄料粉</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仓（</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黄料粉</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仓高20m）顶1m的</w:t>
                  </w:r>
                  <w:r>
                    <w:rPr>
                      <w:rFonts w:hint="eastAsia" w:cs="Times New Roman"/>
                      <w:b w:val="0"/>
                      <w:bCs w:val="0"/>
                      <w:color w:val="000000" w:themeColor="text1"/>
                      <w:sz w:val="21"/>
                      <w:szCs w:val="21"/>
                      <w:highlight w:val="none"/>
                      <w:lang w:eastAsia="zh-CN"/>
                      <w14:textFill>
                        <w14:solidFill>
                          <w14:schemeClr w14:val="tx1"/>
                        </w14:solidFill>
                      </w14:textFill>
                    </w:rPr>
                    <w:t>排气</w:t>
                  </w:r>
                  <w:r>
                    <w:rPr>
                      <w:rFonts w:hint="eastAsia" w:cs="Times New Roman"/>
                      <w:b w:val="0"/>
                      <w:bCs w:val="0"/>
                      <w:color w:val="000000" w:themeColor="text1"/>
                      <w:sz w:val="21"/>
                      <w:szCs w:val="21"/>
                      <w:highlight w:val="none"/>
                      <w:lang w:val="en-US" w:eastAsia="zh-CN"/>
                      <w14:textFill>
                        <w14:solidFill>
                          <w14:schemeClr w14:val="tx1"/>
                        </w14:solidFill>
                      </w14:textFill>
                    </w:rPr>
                    <w:t>口</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DA01</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4</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）排放。</w:t>
                  </w:r>
                </w:p>
              </w:tc>
              <w:tc>
                <w:tcPr>
                  <w:tcW w:w="592" w:type="pct"/>
                  <w:noWrap w:val="0"/>
                  <w:vAlign w:val="center"/>
                </w:tcPr>
                <w:p w14:paraId="63D0C3FF">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10</w:t>
                  </w:r>
                </w:p>
              </w:tc>
            </w:tr>
            <w:tr w14:paraId="790CE2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374" w:type="pct"/>
                  <w:vMerge w:val="continue"/>
                  <w:noWrap w:val="0"/>
                  <w:vAlign w:val="center"/>
                </w:tcPr>
                <w:p w14:paraId="571A37C9">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403" w:type="pct"/>
                  <w:vMerge w:val="continue"/>
                  <w:noWrap w:val="0"/>
                  <w:vAlign w:val="center"/>
                </w:tcPr>
                <w:p w14:paraId="55756494">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679" w:type="pct"/>
                  <w:noWrap w:val="0"/>
                  <w:vAlign w:val="center"/>
                </w:tcPr>
                <w:p w14:paraId="40E186F5">
                  <w:pPr>
                    <w:adjustRightInd w:val="0"/>
                    <w:snapToGrid w:val="0"/>
                    <w:spacing w:line="240" w:lineRule="auto"/>
                    <w:jc w:val="cente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石灰石</w:t>
                  </w:r>
                </w:p>
                <w:p w14:paraId="78FE5E97">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粉仓</w:t>
                  </w:r>
                </w:p>
              </w:tc>
              <w:tc>
                <w:tcPr>
                  <w:tcW w:w="2949" w:type="pct"/>
                  <w:noWrap w:val="0"/>
                  <w:vAlign w:val="center"/>
                </w:tcPr>
                <w:p w14:paraId="61B2955C">
                  <w:pPr>
                    <w:adjustRightInd w:val="0"/>
                    <w:snapToGrid w:val="0"/>
                    <w:spacing w:line="240" w:lineRule="auto"/>
                    <w:jc w:val="both"/>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pP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脱硫剂石灰石粉仓废气</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通过“封闭设备+</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布袋除尘器（覆膜袋式）</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”处理后经1根</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18</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m高（DA01</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5</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w:t>
                  </w:r>
                  <w:r>
                    <w:rPr>
                      <w:rFonts w:hint="eastAsia" w:cs="Times New Roman"/>
                      <w:b w:val="0"/>
                      <w:bCs w:val="0"/>
                      <w:color w:val="000000" w:themeColor="text1"/>
                      <w:sz w:val="21"/>
                      <w:szCs w:val="21"/>
                      <w:highlight w:val="none"/>
                      <w:lang w:val="en-US" w:eastAsia="zh-CN"/>
                      <w14:textFill>
                        <w14:solidFill>
                          <w14:schemeClr w14:val="tx1"/>
                        </w14:solidFill>
                      </w14:textFill>
                    </w:rPr>
                    <w:t>排气口</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排放；</w:t>
                  </w:r>
                </w:p>
              </w:tc>
              <w:tc>
                <w:tcPr>
                  <w:tcW w:w="592" w:type="pct"/>
                  <w:noWrap w:val="0"/>
                  <w:vAlign w:val="center"/>
                </w:tcPr>
                <w:p w14:paraId="21C3955B">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10</w:t>
                  </w:r>
                </w:p>
              </w:tc>
            </w:tr>
            <w:tr w14:paraId="6048D1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374" w:type="pct"/>
                  <w:vMerge w:val="continue"/>
                  <w:noWrap w:val="0"/>
                  <w:vAlign w:val="center"/>
                </w:tcPr>
                <w:p w14:paraId="3C1C1E5A">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403" w:type="pct"/>
                  <w:vMerge w:val="continue"/>
                  <w:noWrap w:val="0"/>
                  <w:vAlign w:val="center"/>
                </w:tcPr>
                <w:p w14:paraId="3E1856E2">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679" w:type="pct"/>
                  <w:noWrap w:val="0"/>
                  <w:vAlign w:val="center"/>
                </w:tcPr>
                <w:p w14:paraId="1301E13F">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成品堆棚</w:t>
                  </w:r>
                </w:p>
                <w:p w14:paraId="73BF7928">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粉尘</w:t>
                  </w:r>
                </w:p>
              </w:tc>
              <w:tc>
                <w:tcPr>
                  <w:tcW w:w="2949" w:type="pct"/>
                  <w:noWrap w:val="0"/>
                  <w:vAlign w:val="center"/>
                </w:tcPr>
                <w:p w14:paraId="3FB0E095">
                  <w:pPr>
                    <w:adjustRightInd w:val="0"/>
                    <w:snapToGrid w:val="0"/>
                    <w:spacing w:line="240" w:lineRule="auto"/>
                    <w:jc w:val="left"/>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全封闭</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成品堆棚，内设置5个成品仓，9条包装生产线</w:t>
                  </w:r>
                  <w:r>
                    <w:rPr>
                      <w:rFonts w:hint="default" w:ascii="Times New Roman" w:hAnsi="Times New Roman" w:cs="Times New Roman"/>
                      <w:b w:val="0"/>
                      <w:bCs w:val="0"/>
                      <w:color w:val="000000" w:themeColor="text1"/>
                      <w:sz w:val="21"/>
                      <w:szCs w:val="21"/>
                      <w:highlight w:val="none"/>
                      <w14:textFill>
                        <w14:solidFill>
                          <w14:schemeClr w14:val="tx1"/>
                        </w14:solidFill>
                      </w14:textFill>
                    </w:rPr>
                    <w:t>。</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包装袋选用覆膜包装袋。</w:t>
                  </w:r>
                </w:p>
              </w:tc>
              <w:tc>
                <w:tcPr>
                  <w:tcW w:w="592" w:type="pct"/>
                  <w:noWrap w:val="0"/>
                  <w:vAlign w:val="center"/>
                </w:tcPr>
                <w:p w14:paraId="29F39284">
                  <w:pPr>
                    <w:adjustRightInd w:val="0"/>
                    <w:snapToGrid w:val="0"/>
                    <w:spacing w:line="240" w:lineRule="auto"/>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9</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0</w:t>
                  </w:r>
                </w:p>
              </w:tc>
            </w:tr>
            <w:tr w14:paraId="5B20DF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74" w:type="pct"/>
                  <w:noWrap w:val="0"/>
                  <w:vAlign w:val="center"/>
                </w:tcPr>
                <w:p w14:paraId="5E0FAE79">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2</w:t>
                  </w:r>
                </w:p>
              </w:tc>
              <w:tc>
                <w:tcPr>
                  <w:tcW w:w="403" w:type="pct"/>
                  <w:noWrap w:val="0"/>
                  <w:vAlign w:val="center"/>
                </w:tcPr>
                <w:p w14:paraId="3DC5E363">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噪声</w:t>
                  </w:r>
                </w:p>
              </w:tc>
              <w:tc>
                <w:tcPr>
                  <w:tcW w:w="679" w:type="pct"/>
                  <w:noWrap w:val="0"/>
                  <w:vAlign w:val="center"/>
                </w:tcPr>
                <w:p w14:paraId="06A87525">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搅拌机等</w:t>
                  </w:r>
                </w:p>
              </w:tc>
              <w:tc>
                <w:tcPr>
                  <w:tcW w:w="2949" w:type="pct"/>
                  <w:noWrap w:val="0"/>
                  <w:vAlign w:val="center"/>
                </w:tcPr>
                <w:p w14:paraId="2AEAC670">
                  <w:pPr>
                    <w:adjustRightInd w:val="0"/>
                    <w:snapToGrid w:val="0"/>
                    <w:spacing w:line="240" w:lineRule="auto"/>
                    <w:jc w:val="left"/>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减震、隔音等。</w:t>
                  </w:r>
                </w:p>
              </w:tc>
              <w:tc>
                <w:tcPr>
                  <w:tcW w:w="592" w:type="pct"/>
                  <w:noWrap w:val="0"/>
                  <w:vAlign w:val="center"/>
                </w:tcPr>
                <w:p w14:paraId="533AE0BA">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5</w:t>
                  </w:r>
                </w:p>
              </w:tc>
            </w:tr>
            <w:tr w14:paraId="07863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74" w:type="pct"/>
                  <w:vMerge w:val="restart"/>
                  <w:noWrap w:val="0"/>
                  <w:vAlign w:val="center"/>
                </w:tcPr>
                <w:p w14:paraId="1CB149D4">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3</w:t>
                  </w:r>
                </w:p>
              </w:tc>
              <w:tc>
                <w:tcPr>
                  <w:tcW w:w="403" w:type="pct"/>
                  <w:vMerge w:val="restart"/>
                  <w:noWrap w:val="0"/>
                  <w:vAlign w:val="center"/>
                </w:tcPr>
                <w:p w14:paraId="1F4F92DB">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废水</w:t>
                  </w:r>
                </w:p>
              </w:tc>
              <w:tc>
                <w:tcPr>
                  <w:tcW w:w="679" w:type="pct"/>
                  <w:noWrap w:val="0"/>
                  <w:vAlign w:val="center"/>
                </w:tcPr>
                <w:p w14:paraId="0B201BFD">
                  <w:pPr>
                    <w:adjustRightInd w:val="0"/>
                    <w:snapToGrid w:val="0"/>
                    <w:spacing w:line="240" w:lineRule="auto"/>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生活废水</w:t>
                  </w:r>
                </w:p>
              </w:tc>
              <w:tc>
                <w:tcPr>
                  <w:tcW w:w="2949" w:type="pct"/>
                  <w:noWrap w:val="0"/>
                  <w:vAlign w:val="center"/>
                </w:tcPr>
                <w:p w14:paraId="37267A0B">
                  <w:pPr>
                    <w:adjustRightInd w:val="0"/>
                    <w:snapToGrid w:val="0"/>
                    <w:spacing w:line="240" w:lineRule="auto"/>
                    <w:jc w:val="both"/>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防渗</w:t>
                  </w:r>
                  <w:r>
                    <w:rPr>
                      <w:rFonts w:hint="default" w:ascii="Times New Roman" w:hAnsi="Times New Roman" w:cs="Times New Roman"/>
                      <w:b w:val="0"/>
                      <w:bCs w:val="0"/>
                      <w:color w:val="000000" w:themeColor="text1"/>
                      <w:sz w:val="21"/>
                      <w:szCs w:val="21"/>
                      <w:highlight w:val="none"/>
                      <w14:textFill>
                        <w14:solidFill>
                          <w14:schemeClr w14:val="tx1"/>
                        </w14:solidFill>
                      </w14:textFill>
                    </w:rPr>
                    <w:t>化粪池收集后</w:t>
                  </w: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通过</w:t>
                  </w:r>
                  <w:r>
                    <w:rPr>
                      <w:rFonts w:hint="eastAsia" w:cs="Times New Roman"/>
                      <w:b w:val="0"/>
                      <w:bCs w:val="0"/>
                      <w:color w:val="000000" w:themeColor="text1"/>
                      <w:sz w:val="21"/>
                      <w:szCs w:val="21"/>
                      <w:highlight w:val="none"/>
                      <w:lang w:val="en-US" w:eastAsia="zh-CN"/>
                      <w14:textFill>
                        <w14:solidFill>
                          <w14:schemeClr w14:val="tx1"/>
                        </w14:solidFill>
                      </w14:textFill>
                    </w:rPr>
                    <w:t>罐车拉运至</w:t>
                  </w:r>
                  <w:r>
                    <w:rPr>
                      <w:rFonts w:hint="default" w:ascii="Times New Roman" w:hAnsi="Times New Roman" w:cs="Times New Roman"/>
                      <w:b w:val="0"/>
                      <w:bCs w:val="0"/>
                      <w:color w:val="000000" w:themeColor="text1"/>
                      <w:sz w:val="21"/>
                      <w:szCs w:val="21"/>
                      <w:highlight w:val="none"/>
                      <w14:textFill>
                        <w14:solidFill>
                          <w14:schemeClr w14:val="tx1"/>
                        </w14:solidFill>
                      </w14:textFill>
                    </w:rPr>
                    <w:t>园区污水处理厂。</w:t>
                  </w:r>
                </w:p>
              </w:tc>
              <w:tc>
                <w:tcPr>
                  <w:tcW w:w="592" w:type="pct"/>
                  <w:vMerge w:val="restart"/>
                  <w:noWrap w:val="0"/>
                  <w:vAlign w:val="center"/>
                </w:tcPr>
                <w:p w14:paraId="5B628DC1">
                  <w:pPr>
                    <w:adjustRightInd w:val="0"/>
                    <w:snapToGrid w:val="0"/>
                    <w:spacing w:line="240" w:lineRule="auto"/>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20</w:t>
                  </w:r>
                </w:p>
              </w:tc>
            </w:tr>
            <w:tr w14:paraId="3263B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74" w:type="pct"/>
                  <w:vMerge w:val="continue"/>
                  <w:noWrap w:val="0"/>
                  <w:vAlign w:val="center"/>
                </w:tcPr>
                <w:p w14:paraId="01529548">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403" w:type="pct"/>
                  <w:vMerge w:val="continue"/>
                  <w:noWrap w:val="0"/>
                  <w:vAlign w:val="center"/>
                </w:tcPr>
                <w:p w14:paraId="65DB9C5C">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679" w:type="pct"/>
                  <w:noWrap w:val="0"/>
                  <w:vAlign w:val="center"/>
                </w:tcPr>
                <w:p w14:paraId="1E426671">
                  <w:pPr>
                    <w:adjustRightInd w:val="0"/>
                    <w:snapToGrid w:val="0"/>
                    <w:spacing w:line="240" w:lineRule="auto"/>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软水排水</w:t>
                  </w:r>
                </w:p>
              </w:tc>
              <w:tc>
                <w:tcPr>
                  <w:tcW w:w="2949" w:type="pct"/>
                  <w:noWrap w:val="0"/>
                  <w:vAlign w:val="center"/>
                </w:tcPr>
                <w:p w14:paraId="03F08D47">
                  <w:pPr>
                    <w:adjustRightInd w:val="0"/>
                    <w:snapToGrid w:val="0"/>
                    <w:spacing w:line="240" w:lineRule="auto"/>
                    <w:jc w:val="left"/>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罐车拉运至园区生产废水处理厂处理</w:t>
                  </w:r>
                </w:p>
              </w:tc>
              <w:tc>
                <w:tcPr>
                  <w:tcW w:w="592" w:type="pct"/>
                  <w:vMerge w:val="continue"/>
                  <w:noWrap w:val="0"/>
                  <w:vAlign w:val="center"/>
                </w:tcPr>
                <w:p w14:paraId="3BD62793">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r>
            <w:tr w14:paraId="7D6811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74" w:type="pct"/>
                  <w:vMerge w:val="continue"/>
                  <w:noWrap w:val="0"/>
                  <w:vAlign w:val="center"/>
                </w:tcPr>
                <w:p w14:paraId="7A504A19">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403" w:type="pct"/>
                  <w:vMerge w:val="continue"/>
                  <w:noWrap w:val="0"/>
                  <w:vAlign w:val="center"/>
                </w:tcPr>
                <w:p w14:paraId="02D9D651">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679" w:type="pct"/>
                  <w:noWrap w:val="0"/>
                  <w:vAlign w:val="center"/>
                </w:tcPr>
                <w:p w14:paraId="1918FD07">
                  <w:pPr>
                    <w:adjustRightInd w:val="0"/>
                    <w:snapToGrid w:val="0"/>
                    <w:spacing w:line="240" w:lineRule="auto"/>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锅炉排水</w:t>
                  </w:r>
                </w:p>
              </w:tc>
              <w:tc>
                <w:tcPr>
                  <w:tcW w:w="2949" w:type="pct"/>
                  <w:noWrap w:val="0"/>
                  <w:vAlign w:val="center"/>
                </w:tcPr>
                <w:p w14:paraId="3511DBEB">
                  <w:pPr>
                    <w:adjustRightInd w:val="0"/>
                    <w:snapToGrid w:val="0"/>
                    <w:spacing w:line="240" w:lineRule="auto"/>
                    <w:jc w:val="left"/>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罐车拉运至园区生产废水处理厂处理</w:t>
                  </w:r>
                </w:p>
              </w:tc>
              <w:tc>
                <w:tcPr>
                  <w:tcW w:w="592" w:type="pct"/>
                  <w:vMerge w:val="continue"/>
                  <w:noWrap w:val="0"/>
                  <w:vAlign w:val="center"/>
                </w:tcPr>
                <w:p w14:paraId="0F3D4A5E">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r>
            <w:tr w14:paraId="431A5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74" w:type="pct"/>
                  <w:vMerge w:val="continue"/>
                  <w:noWrap w:val="0"/>
                  <w:vAlign w:val="center"/>
                </w:tcPr>
                <w:p w14:paraId="2D07E732">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403" w:type="pct"/>
                  <w:vMerge w:val="continue"/>
                  <w:noWrap w:val="0"/>
                  <w:vAlign w:val="center"/>
                </w:tcPr>
                <w:p w14:paraId="5A5F1239">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679" w:type="pct"/>
                  <w:noWrap w:val="0"/>
                  <w:vAlign w:val="center"/>
                </w:tcPr>
                <w:p w14:paraId="5A445199">
                  <w:pPr>
                    <w:adjustRightInd w:val="0"/>
                    <w:snapToGrid w:val="0"/>
                    <w:spacing w:line="240" w:lineRule="auto"/>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脱硫废水</w:t>
                  </w:r>
                </w:p>
              </w:tc>
              <w:tc>
                <w:tcPr>
                  <w:tcW w:w="2949" w:type="pct"/>
                  <w:noWrap w:val="0"/>
                  <w:vAlign w:val="center"/>
                </w:tcPr>
                <w:p w14:paraId="5C4F81E8">
                  <w:pPr>
                    <w:adjustRightInd w:val="0"/>
                    <w:snapToGrid w:val="0"/>
                    <w:spacing w:line="240" w:lineRule="auto"/>
                    <w:jc w:val="both"/>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lang w:val="en-US" w:eastAsia="zh-CN" w:bidi="ar"/>
                      <w14:textFill>
                        <w14:solidFill>
                          <w14:schemeClr w14:val="tx1"/>
                        </w14:solidFill>
                      </w14:textFill>
                    </w:rPr>
                    <w:t>脱硫废水经三联箱装置处理</w:t>
                  </w:r>
                  <w:r>
                    <w:rPr>
                      <w:rFonts w:hint="eastAsia" w:cs="Times New Roman"/>
                      <w:b w:val="0"/>
                      <w:bCs w:val="0"/>
                      <w:color w:val="000000" w:themeColor="text1"/>
                      <w:kern w:val="0"/>
                      <w:sz w:val="21"/>
                      <w:szCs w:val="21"/>
                      <w:highlight w:val="none"/>
                      <w:lang w:val="en-US" w:eastAsia="zh-CN" w:bidi="ar"/>
                      <w14:textFill>
                        <w14:solidFill>
                          <w14:schemeClr w14:val="tx1"/>
                        </w14:solidFill>
                      </w14:textFill>
                    </w:rPr>
                    <w:t>后回用</w:t>
                  </w:r>
                </w:p>
              </w:tc>
              <w:tc>
                <w:tcPr>
                  <w:tcW w:w="592" w:type="pct"/>
                  <w:vMerge w:val="continue"/>
                  <w:noWrap w:val="0"/>
                  <w:vAlign w:val="center"/>
                </w:tcPr>
                <w:p w14:paraId="1C8571E5">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r>
            <w:tr w14:paraId="176E47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5" w:hRule="atLeast"/>
                <w:jc w:val="center"/>
              </w:trPr>
              <w:tc>
                <w:tcPr>
                  <w:tcW w:w="374" w:type="pct"/>
                  <w:vMerge w:val="restart"/>
                  <w:noWrap w:val="0"/>
                  <w:vAlign w:val="center"/>
                </w:tcPr>
                <w:p w14:paraId="646A42F3">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4</w:t>
                  </w:r>
                </w:p>
              </w:tc>
              <w:tc>
                <w:tcPr>
                  <w:tcW w:w="403" w:type="pct"/>
                  <w:vMerge w:val="restart"/>
                  <w:noWrap w:val="0"/>
                  <w:vAlign w:val="center"/>
                </w:tcPr>
                <w:p w14:paraId="32227A27">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固废</w:t>
                  </w:r>
                </w:p>
              </w:tc>
              <w:tc>
                <w:tcPr>
                  <w:tcW w:w="679" w:type="pct"/>
                  <w:noWrap w:val="0"/>
                  <w:vAlign w:val="center"/>
                </w:tcPr>
                <w:p w14:paraId="2D756DB0">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生活垃圾</w:t>
                  </w:r>
                </w:p>
              </w:tc>
              <w:tc>
                <w:tcPr>
                  <w:tcW w:w="2949" w:type="pct"/>
                  <w:noWrap w:val="0"/>
                  <w:vAlign w:val="center"/>
                </w:tcPr>
                <w:p w14:paraId="332F2F5B">
                  <w:pPr>
                    <w:adjustRightInd w:val="0"/>
                    <w:snapToGrid w:val="0"/>
                    <w:spacing w:line="240" w:lineRule="auto"/>
                    <w:jc w:val="left"/>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集中收集后委托环卫部门处理。</w:t>
                  </w:r>
                </w:p>
              </w:tc>
              <w:tc>
                <w:tcPr>
                  <w:tcW w:w="592" w:type="pct"/>
                  <w:noWrap w:val="0"/>
                  <w:vAlign w:val="center"/>
                </w:tcPr>
                <w:p w14:paraId="6C3E0A23">
                  <w:pPr>
                    <w:adjustRightInd w:val="0"/>
                    <w:snapToGrid w:val="0"/>
                    <w:spacing w:line="240" w:lineRule="auto"/>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0.5</w:t>
                  </w:r>
                </w:p>
              </w:tc>
            </w:tr>
            <w:tr w14:paraId="3DBD2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74" w:type="pct"/>
                  <w:vMerge w:val="continue"/>
                  <w:noWrap w:val="0"/>
                  <w:vAlign w:val="center"/>
                </w:tcPr>
                <w:p w14:paraId="39626E35">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403" w:type="pct"/>
                  <w:vMerge w:val="continue"/>
                  <w:noWrap w:val="0"/>
                  <w:vAlign w:val="center"/>
                </w:tcPr>
                <w:p w14:paraId="6120A619">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679" w:type="pct"/>
                  <w:noWrap w:val="0"/>
                  <w:vAlign w:val="center"/>
                </w:tcPr>
                <w:p w14:paraId="79D79CE7">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废滤材</w:t>
                  </w:r>
                </w:p>
              </w:tc>
              <w:tc>
                <w:tcPr>
                  <w:tcW w:w="2949" w:type="pct"/>
                  <w:noWrap w:val="0"/>
                  <w:vAlign w:val="center"/>
                </w:tcPr>
                <w:p w14:paraId="2F8A3C34">
                  <w:pPr>
                    <w:adjustRightInd w:val="0"/>
                    <w:snapToGrid w:val="0"/>
                    <w:spacing w:line="240" w:lineRule="auto"/>
                    <w:jc w:val="left"/>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软水制废弃滤材一般固废库暂存新建</w:t>
                  </w: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50m</w:t>
                  </w:r>
                  <w:r>
                    <w:rPr>
                      <w:rFonts w:hint="default" w:ascii="Times New Roman" w:hAnsi="Times New Roman" w:cs="Times New Roman"/>
                      <w:color w:val="000000" w:themeColor="text1"/>
                      <w:kern w:val="0"/>
                      <w:sz w:val="21"/>
                      <w:szCs w:val="21"/>
                      <w:highlight w:val="none"/>
                      <w:vertAlign w:val="superscript"/>
                      <w:lang w:val="en-US" w:eastAsia="zh-CN"/>
                      <w14:textFill>
                        <w14:solidFill>
                          <w14:schemeClr w14:val="tx1"/>
                        </w14:solidFill>
                      </w14:textFill>
                    </w:rPr>
                    <w:t>2</w:t>
                  </w: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的</w:t>
                  </w: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，定期送综合利用</w:t>
                  </w:r>
                </w:p>
              </w:tc>
              <w:tc>
                <w:tcPr>
                  <w:tcW w:w="592" w:type="pct"/>
                  <w:noWrap w:val="0"/>
                  <w:vAlign w:val="center"/>
                </w:tcPr>
                <w:p w14:paraId="075F8923">
                  <w:pPr>
                    <w:adjustRightInd w:val="0"/>
                    <w:snapToGrid w:val="0"/>
                    <w:spacing w:line="240" w:lineRule="auto"/>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0.5</w:t>
                  </w:r>
                </w:p>
              </w:tc>
            </w:tr>
            <w:tr w14:paraId="5D6F0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 w:hRule="atLeast"/>
                <w:jc w:val="center"/>
              </w:trPr>
              <w:tc>
                <w:tcPr>
                  <w:tcW w:w="374" w:type="pct"/>
                  <w:vMerge w:val="continue"/>
                  <w:noWrap w:val="0"/>
                  <w:vAlign w:val="center"/>
                </w:tcPr>
                <w:p w14:paraId="57648802">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403" w:type="pct"/>
                  <w:vMerge w:val="continue"/>
                  <w:noWrap w:val="0"/>
                  <w:vAlign w:val="center"/>
                </w:tcPr>
                <w:p w14:paraId="78AB74BC">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679" w:type="pct"/>
                  <w:noWrap w:val="0"/>
                  <w:vAlign w:val="center"/>
                </w:tcPr>
                <w:p w14:paraId="0D569C34">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废滤芯</w:t>
                  </w:r>
                </w:p>
              </w:tc>
              <w:tc>
                <w:tcPr>
                  <w:tcW w:w="2949" w:type="pct"/>
                  <w:noWrap w:val="0"/>
                  <w:vAlign w:val="center"/>
                </w:tcPr>
                <w:p w14:paraId="251B3AA7">
                  <w:pPr>
                    <w:adjustRightInd w:val="0"/>
                    <w:snapToGrid w:val="0"/>
                    <w:spacing w:line="240" w:lineRule="auto"/>
                    <w:jc w:val="left"/>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空压站废滤芯一般固废库暂存新建</w:t>
                  </w: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50m</w:t>
                  </w:r>
                  <w:r>
                    <w:rPr>
                      <w:rFonts w:hint="default" w:ascii="Times New Roman" w:hAnsi="Times New Roman" w:cs="Times New Roman"/>
                      <w:color w:val="000000" w:themeColor="text1"/>
                      <w:kern w:val="0"/>
                      <w:sz w:val="21"/>
                      <w:szCs w:val="21"/>
                      <w:highlight w:val="none"/>
                      <w:vertAlign w:val="superscript"/>
                      <w:lang w:val="en-US" w:eastAsia="zh-CN"/>
                      <w14:textFill>
                        <w14:solidFill>
                          <w14:schemeClr w14:val="tx1"/>
                        </w14:solidFill>
                      </w14:textFill>
                    </w:rPr>
                    <w:t>2</w:t>
                  </w: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，定期送综合利用</w:t>
                  </w:r>
                </w:p>
              </w:tc>
              <w:tc>
                <w:tcPr>
                  <w:tcW w:w="592" w:type="pct"/>
                  <w:noWrap w:val="0"/>
                  <w:vAlign w:val="center"/>
                </w:tcPr>
                <w:p w14:paraId="67C1D475">
                  <w:pPr>
                    <w:adjustRightInd w:val="0"/>
                    <w:snapToGrid w:val="0"/>
                    <w:spacing w:line="240" w:lineRule="auto"/>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0.5</w:t>
                  </w:r>
                </w:p>
              </w:tc>
            </w:tr>
            <w:tr w14:paraId="35790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74" w:type="pct"/>
                  <w:vMerge w:val="continue"/>
                  <w:noWrap w:val="0"/>
                  <w:vAlign w:val="center"/>
                </w:tcPr>
                <w:p w14:paraId="5BF5D8F2">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403" w:type="pct"/>
                  <w:vMerge w:val="continue"/>
                  <w:noWrap w:val="0"/>
                  <w:vAlign w:val="center"/>
                </w:tcPr>
                <w:p w14:paraId="4418DC8F">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679" w:type="pct"/>
                  <w:noWrap w:val="0"/>
                  <w:vAlign w:val="center"/>
                </w:tcPr>
                <w:p w14:paraId="1B9F597B">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除尘器</w:t>
                  </w:r>
                </w:p>
                <w:p w14:paraId="14A56B7A">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回收尘</w:t>
                  </w:r>
                </w:p>
              </w:tc>
              <w:tc>
                <w:tcPr>
                  <w:tcW w:w="2949" w:type="pct"/>
                  <w:noWrap w:val="0"/>
                  <w:vAlign w:val="center"/>
                </w:tcPr>
                <w:p w14:paraId="13F0FFB7">
                  <w:pPr>
                    <w:adjustRightInd w:val="0"/>
                    <w:snapToGrid w:val="0"/>
                    <w:spacing w:line="240" w:lineRule="auto"/>
                    <w:jc w:val="left"/>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定期外售综合利用，</w:t>
                  </w:r>
                  <w:r>
                    <w:rPr>
                      <w:rFonts w:hint="default" w:ascii="Times New Roman" w:hAnsi="Times New Roman" w:cs="Times New Roman"/>
                      <w:b w:val="0"/>
                      <w:bCs w:val="0"/>
                      <w:color w:val="000000" w:themeColor="text1"/>
                      <w:kern w:val="0"/>
                      <w:sz w:val="21"/>
                      <w:szCs w:val="21"/>
                      <w:highlight w:val="none"/>
                      <w:lang w:eastAsia="zh-CN"/>
                      <w14:textFill>
                        <w14:solidFill>
                          <w14:schemeClr w14:val="tx1"/>
                        </w14:solidFill>
                      </w14:textFill>
                    </w:rPr>
                    <w:t>不外排</w:t>
                  </w:r>
                  <w:r>
                    <w:rPr>
                      <w:rFonts w:hint="default" w:ascii="Times New Roman" w:hAnsi="Times New Roman" w:cs="Times New Roman"/>
                      <w:b w:val="0"/>
                      <w:bCs w:val="0"/>
                      <w:color w:val="000000" w:themeColor="text1"/>
                      <w:sz w:val="21"/>
                      <w:szCs w:val="21"/>
                      <w:highlight w:val="none"/>
                      <w14:textFill>
                        <w14:solidFill>
                          <w14:schemeClr w14:val="tx1"/>
                        </w14:solidFill>
                      </w14:textFill>
                    </w:rPr>
                    <w:t>。</w:t>
                  </w:r>
                </w:p>
              </w:tc>
              <w:tc>
                <w:tcPr>
                  <w:tcW w:w="592" w:type="pct"/>
                  <w:noWrap w:val="0"/>
                  <w:vAlign w:val="center"/>
                </w:tcPr>
                <w:p w14:paraId="2CC95B5C">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w:t>
                  </w:r>
                </w:p>
              </w:tc>
            </w:tr>
            <w:tr w14:paraId="7990B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74" w:type="pct"/>
                  <w:vMerge w:val="continue"/>
                  <w:noWrap w:val="0"/>
                  <w:vAlign w:val="center"/>
                </w:tcPr>
                <w:p w14:paraId="7FB9AB3A">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403" w:type="pct"/>
                  <w:vMerge w:val="continue"/>
                  <w:noWrap w:val="0"/>
                  <w:vAlign w:val="center"/>
                </w:tcPr>
                <w:p w14:paraId="6C11BC2B">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679" w:type="pct"/>
                  <w:noWrap w:val="0"/>
                  <w:vAlign w:val="center"/>
                </w:tcPr>
                <w:p w14:paraId="65922C7F">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不合格品（</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黄料</w:t>
                  </w: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w:t>
                  </w:r>
                </w:p>
              </w:tc>
              <w:tc>
                <w:tcPr>
                  <w:tcW w:w="2949" w:type="pct"/>
                  <w:noWrap w:val="0"/>
                  <w:vAlign w:val="center"/>
                </w:tcPr>
                <w:p w14:paraId="2719B4F4">
                  <w:pPr>
                    <w:adjustRightInd w:val="0"/>
                    <w:snapToGrid w:val="0"/>
                    <w:spacing w:line="240" w:lineRule="auto"/>
                    <w:jc w:val="left"/>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暂存2个筒仓，定期外售综合利用，</w:t>
                  </w:r>
                  <w:r>
                    <w:rPr>
                      <w:rFonts w:hint="default" w:ascii="Times New Roman" w:hAnsi="Times New Roman" w:cs="Times New Roman"/>
                      <w:b w:val="0"/>
                      <w:bCs w:val="0"/>
                      <w:color w:val="000000" w:themeColor="text1"/>
                      <w:kern w:val="0"/>
                      <w:sz w:val="21"/>
                      <w:szCs w:val="21"/>
                      <w:highlight w:val="none"/>
                      <w:lang w:eastAsia="zh-CN"/>
                      <w14:textFill>
                        <w14:solidFill>
                          <w14:schemeClr w14:val="tx1"/>
                        </w14:solidFill>
                      </w14:textFill>
                    </w:rPr>
                    <w:t>不外排</w:t>
                  </w:r>
                  <w:r>
                    <w:rPr>
                      <w:rFonts w:hint="default" w:ascii="Times New Roman" w:hAnsi="Times New Roman" w:cs="Times New Roman"/>
                      <w:b w:val="0"/>
                      <w:bCs w:val="0"/>
                      <w:color w:val="000000" w:themeColor="text1"/>
                      <w:sz w:val="21"/>
                      <w:szCs w:val="21"/>
                      <w:highlight w:val="none"/>
                      <w14:textFill>
                        <w14:solidFill>
                          <w14:schemeClr w14:val="tx1"/>
                        </w14:solidFill>
                      </w14:textFill>
                    </w:rPr>
                    <w:t>。</w:t>
                  </w:r>
                </w:p>
              </w:tc>
              <w:tc>
                <w:tcPr>
                  <w:tcW w:w="592" w:type="pct"/>
                  <w:noWrap w:val="0"/>
                  <w:vAlign w:val="center"/>
                </w:tcPr>
                <w:p w14:paraId="710B0221">
                  <w:pPr>
                    <w:adjustRightInd w:val="0"/>
                    <w:snapToGrid w:val="0"/>
                    <w:spacing w:line="240" w:lineRule="auto"/>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r>
            <w:tr w14:paraId="753F3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74" w:type="pct"/>
                  <w:vMerge w:val="continue"/>
                  <w:noWrap w:val="0"/>
                  <w:vAlign w:val="center"/>
                </w:tcPr>
                <w:p w14:paraId="2E61C2A3">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403" w:type="pct"/>
                  <w:vMerge w:val="continue"/>
                  <w:noWrap w:val="0"/>
                  <w:vAlign w:val="center"/>
                </w:tcPr>
                <w:p w14:paraId="31BEA977">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679" w:type="pct"/>
                  <w:noWrap w:val="0"/>
                  <w:vAlign w:val="center"/>
                </w:tcPr>
                <w:p w14:paraId="12CFBC48">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脱硫废水处理污泥</w:t>
                  </w:r>
                </w:p>
              </w:tc>
              <w:tc>
                <w:tcPr>
                  <w:tcW w:w="2949" w:type="pct"/>
                  <w:noWrap w:val="0"/>
                  <w:vAlign w:val="center"/>
                </w:tcPr>
                <w:p w14:paraId="21A72943">
                  <w:pPr>
                    <w:adjustRightInd w:val="0"/>
                    <w:snapToGrid w:val="0"/>
                    <w:spacing w:line="240" w:lineRule="auto"/>
                    <w:jc w:val="left"/>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pacing w:val="1"/>
                      <w:sz w:val="21"/>
                      <w:szCs w:val="21"/>
                      <w:highlight w:val="none"/>
                      <w:lang w:val="en-US" w:eastAsia="zh-CN"/>
                      <w14:textFill>
                        <w14:solidFill>
                          <w14:schemeClr w14:val="tx1"/>
                        </w14:solidFill>
                      </w14:textFill>
                    </w:rPr>
                    <w:t>暂存</w:t>
                  </w: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新建</w:t>
                  </w: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30m</w:t>
                  </w:r>
                  <w:r>
                    <w:rPr>
                      <w:rFonts w:hint="default" w:ascii="Times New Roman" w:hAnsi="Times New Roman" w:cs="Times New Roman"/>
                      <w:color w:val="000000" w:themeColor="text1"/>
                      <w:kern w:val="0"/>
                      <w:sz w:val="21"/>
                      <w:szCs w:val="21"/>
                      <w:highlight w:val="none"/>
                      <w:vertAlign w:val="superscript"/>
                      <w:lang w:val="en-US" w:eastAsia="zh-CN"/>
                      <w14:textFill>
                        <w14:solidFill>
                          <w14:schemeClr w14:val="tx1"/>
                        </w14:solidFill>
                      </w14:textFill>
                    </w:rPr>
                    <w:t>2</w:t>
                  </w: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的</w:t>
                  </w:r>
                  <w:r>
                    <w:rPr>
                      <w:rFonts w:hint="default" w:ascii="Times New Roman" w:hAnsi="Times New Roman" w:cs="Times New Roman"/>
                      <w:color w:val="000000" w:themeColor="text1"/>
                      <w:spacing w:val="1"/>
                      <w:sz w:val="21"/>
                      <w:szCs w:val="21"/>
                      <w:highlight w:val="none"/>
                      <w:lang w:val="en-US" w:eastAsia="zh-CN"/>
                      <w14:textFill>
                        <w14:solidFill>
                          <w14:schemeClr w14:val="tx1"/>
                        </w14:solidFill>
                      </w14:textFill>
                    </w:rPr>
                    <w:t>危废库，</w:t>
                  </w: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定期送有资质的处置，</w:t>
                  </w:r>
                  <w:r>
                    <w:rPr>
                      <w:rFonts w:hint="default" w:ascii="Times New Roman" w:hAnsi="Times New Roman" w:cs="Times New Roman"/>
                      <w:b w:val="0"/>
                      <w:bCs w:val="0"/>
                      <w:color w:val="000000" w:themeColor="text1"/>
                      <w:kern w:val="0"/>
                      <w:sz w:val="21"/>
                      <w:szCs w:val="21"/>
                      <w:highlight w:val="none"/>
                      <w:lang w:eastAsia="zh-CN"/>
                      <w14:textFill>
                        <w14:solidFill>
                          <w14:schemeClr w14:val="tx1"/>
                        </w14:solidFill>
                      </w14:textFill>
                    </w:rPr>
                    <w:t>不外排</w:t>
                  </w:r>
                  <w:r>
                    <w:rPr>
                      <w:rFonts w:hint="default" w:ascii="Times New Roman" w:hAnsi="Times New Roman" w:cs="Times New Roman"/>
                      <w:b w:val="0"/>
                      <w:bCs w:val="0"/>
                      <w:color w:val="000000" w:themeColor="text1"/>
                      <w:sz w:val="21"/>
                      <w:szCs w:val="21"/>
                      <w:highlight w:val="none"/>
                      <w14:textFill>
                        <w14:solidFill>
                          <w14:schemeClr w14:val="tx1"/>
                        </w14:solidFill>
                      </w14:textFill>
                    </w:rPr>
                    <w:t>。</w:t>
                  </w:r>
                </w:p>
              </w:tc>
              <w:tc>
                <w:tcPr>
                  <w:tcW w:w="592" w:type="pct"/>
                  <w:noWrap w:val="0"/>
                  <w:vAlign w:val="center"/>
                </w:tcPr>
                <w:p w14:paraId="0D0420A8">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1</w:t>
                  </w:r>
                </w:p>
              </w:tc>
            </w:tr>
            <w:tr w14:paraId="58711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374" w:type="pct"/>
                  <w:vMerge w:val="continue"/>
                  <w:noWrap w:val="0"/>
                  <w:vAlign w:val="center"/>
                </w:tcPr>
                <w:p w14:paraId="46152B46">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403" w:type="pct"/>
                  <w:vMerge w:val="continue"/>
                  <w:noWrap w:val="0"/>
                  <w:vAlign w:val="center"/>
                </w:tcPr>
                <w:p w14:paraId="5C421C56">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p>
              </w:tc>
              <w:tc>
                <w:tcPr>
                  <w:tcW w:w="679" w:type="pct"/>
                  <w:noWrap w:val="0"/>
                  <w:vAlign w:val="center"/>
                </w:tcPr>
                <w:p w14:paraId="42C01D46">
                  <w:pPr>
                    <w:adjustRightInd w:val="0"/>
                    <w:snapToGrid w:val="0"/>
                    <w:spacing w:line="240" w:lineRule="auto"/>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脱硫石膏</w:t>
                  </w:r>
                </w:p>
              </w:tc>
              <w:tc>
                <w:tcPr>
                  <w:tcW w:w="2949" w:type="pct"/>
                  <w:noWrap w:val="0"/>
                  <w:vAlign w:val="center"/>
                </w:tcPr>
                <w:p w14:paraId="69951BDA">
                  <w:pPr>
                    <w:adjustRightInd w:val="0"/>
                    <w:snapToGrid w:val="0"/>
                    <w:spacing w:line="240" w:lineRule="auto"/>
                    <w:jc w:val="left"/>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pacing w:val="1"/>
                      <w:sz w:val="21"/>
                      <w:szCs w:val="21"/>
                      <w:highlight w:val="none"/>
                      <w:lang w:val="en-US" w:eastAsia="zh-CN"/>
                      <w14:textFill>
                        <w14:solidFill>
                          <w14:schemeClr w14:val="tx1"/>
                        </w14:solidFill>
                      </w14:textFill>
                    </w:rPr>
                    <w:t>暂存</w:t>
                  </w: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新建</w:t>
                  </w: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50m</w:t>
                  </w:r>
                  <w:r>
                    <w:rPr>
                      <w:rFonts w:hint="default" w:ascii="Times New Roman" w:hAnsi="Times New Roman" w:cs="Times New Roman"/>
                      <w:color w:val="000000" w:themeColor="text1"/>
                      <w:kern w:val="0"/>
                      <w:sz w:val="21"/>
                      <w:szCs w:val="21"/>
                      <w:highlight w:val="none"/>
                      <w:vertAlign w:val="superscript"/>
                      <w:lang w:val="en-US" w:eastAsia="zh-CN"/>
                      <w14:textFill>
                        <w14:solidFill>
                          <w14:schemeClr w14:val="tx1"/>
                        </w14:solidFill>
                      </w14:textFill>
                    </w:rPr>
                    <w:t>2</w:t>
                  </w:r>
                  <w:r>
                    <w:rPr>
                      <w:rFonts w:hint="default" w:ascii="Times New Roman" w:hAnsi="Times New Roman" w:cs="Times New Roman"/>
                      <w:color w:val="000000" w:themeColor="text1"/>
                      <w:kern w:val="0"/>
                      <w:sz w:val="21"/>
                      <w:szCs w:val="21"/>
                      <w:highlight w:val="none"/>
                      <w:lang w:val="en-US" w:eastAsia="zh-CN"/>
                      <w14:textFill>
                        <w14:solidFill>
                          <w14:schemeClr w14:val="tx1"/>
                        </w14:solidFill>
                      </w14:textFill>
                    </w:rPr>
                    <w:t>的</w:t>
                  </w: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一般固废库暂存，定期外售</w:t>
                  </w:r>
                  <w:r>
                    <w:rPr>
                      <w:rFonts w:hint="default" w:ascii="Times New Roman" w:hAnsi="Times New Roman" w:cs="Times New Roman"/>
                      <w:b w:val="0"/>
                      <w:bCs w:val="0"/>
                      <w:color w:val="000000" w:themeColor="text1"/>
                      <w:kern w:val="0"/>
                      <w:sz w:val="21"/>
                      <w:szCs w:val="21"/>
                      <w:highlight w:val="none"/>
                      <w14:textFill>
                        <w14:solidFill>
                          <w14:schemeClr w14:val="tx1"/>
                        </w14:solidFill>
                      </w14:textFill>
                    </w:rPr>
                    <w:t>作为原材料</w:t>
                  </w:r>
                  <w:r>
                    <w:rPr>
                      <w:rFonts w:hint="default" w:ascii="Times New Roman" w:hAnsi="Times New Roman" w:cs="Times New Roman"/>
                      <w:b w:val="0"/>
                      <w:bCs w:val="0"/>
                      <w:color w:val="000000" w:themeColor="text1"/>
                      <w:kern w:val="0"/>
                      <w:sz w:val="21"/>
                      <w:szCs w:val="21"/>
                      <w:highlight w:val="none"/>
                      <w:lang w:val="en-US" w:eastAsia="zh-CN"/>
                      <w14:textFill>
                        <w14:solidFill>
                          <w14:schemeClr w14:val="tx1"/>
                        </w14:solidFill>
                      </w14:textFill>
                    </w:rPr>
                    <w:t>综合利用</w:t>
                  </w:r>
                  <w:r>
                    <w:rPr>
                      <w:rFonts w:hint="default" w:ascii="Times New Roman" w:hAnsi="Times New Roman" w:cs="Times New Roman"/>
                      <w:b w:val="0"/>
                      <w:bCs w:val="0"/>
                      <w:color w:val="000000" w:themeColor="text1"/>
                      <w:kern w:val="0"/>
                      <w:sz w:val="21"/>
                      <w:szCs w:val="21"/>
                      <w:highlight w:val="none"/>
                      <w:lang w:eastAsia="zh-CN"/>
                      <w14:textFill>
                        <w14:solidFill>
                          <w14:schemeClr w14:val="tx1"/>
                        </w14:solidFill>
                      </w14:textFill>
                    </w:rPr>
                    <w:t>，不外排</w:t>
                  </w:r>
                  <w:r>
                    <w:rPr>
                      <w:rFonts w:hint="default" w:ascii="Times New Roman" w:hAnsi="Times New Roman" w:cs="Times New Roman"/>
                      <w:b w:val="0"/>
                      <w:bCs w:val="0"/>
                      <w:color w:val="000000" w:themeColor="text1"/>
                      <w:sz w:val="21"/>
                      <w:szCs w:val="21"/>
                      <w:highlight w:val="none"/>
                      <w14:textFill>
                        <w14:solidFill>
                          <w14:schemeClr w14:val="tx1"/>
                        </w14:solidFill>
                      </w14:textFill>
                    </w:rPr>
                    <w:t>。</w:t>
                  </w:r>
                </w:p>
              </w:tc>
              <w:tc>
                <w:tcPr>
                  <w:tcW w:w="592" w:type="pct"/>
                  <w:noWrap w:val="0"/>
                  <w:vAlign w:val="center"/>
                </w:tcPr>
                <w:p w14:paraId="7273AC57">
                  <w:pPr>
                    <w:adjustRightInd w:val="0"/>
                    <w:snapToGrid w:val="0"/>
                    <w:spacing w:line="240" w:lineRule="auto"/>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w:t>
                  </w:r>
                </w:p>
              </w:tc>
            </w:tr>
            <w:tr w14:paraId="4939B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 w:hRule="atLeast"/>
                <w:jc w:val="center"/>
              </w:trPr>
              <w:tc>
                <w:tcPr>
                  <w:tcW w:w="374" w:type="pct"/>
                  <w:vMerge w:val="restart"/>
                  <w:noWrap w:val="0"/>
                  <w:vAlign w:val="center"/>
                </w:tcPr>
                <w:p w14:paraId="07F6BAD3">
                  <w:pPr>
                    <w:adjustRightInd w:val="0"/>
                    <w:snapToGrid w:val="0"/>
                    <w:spacing w:line="240" w:lineRule="auto"/>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5</w:t>
                  </w:r>
                </w:p>
              </w:tc>
              <w:tc>
                <w:tcPr>
                  <w:tcW w:w="403" w:type="pct"/>
                  <w:vMerge w:val="restart"/>
                  <w:noWrap w:val="0"/>
                  <w:vAlign w:val="center"/>
                </w:tcPr>
                <w:p w14:paraId="4FD0B61F">
                  <w:pPr>
                    <w:adjustRightInd w:val="0"/>
                    <w:snapToGrid w:val="0"/>
                    <w:spacing w:line="240" w:lineRule="auto"/>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危废</w:t>
                  </w:r>
                </w:p>
              </w:tc>
              <w:tc>
                <w:tcPr>
                  <w:tcW w:w="679" w:type="pct"/>
                  <w:noWrap w:val="0"/>
                  <w:vAlign w:val="center"/>
                </w:tcPr>
                <w:p w14:paraId="7904C6D4">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废机油</w:t>
                  </w:r>
                </w:p>
              </w:tc>
              <w:tc>
                <w:tcPr>
                  <w:tcW w:w="2949" w:type="pct"/>
                  <w:vMerge w:val="restart"/>
                  <w:noWrap w:val="0"/>
                  <w:vAlign w:val="center"/>
                </w:tcPr>
                <w:p w14:paraId="7B80C664">
                  <w:pPr>
                    <w:adjustRightInd w:val="0"/>
                    <w:snapToGrid w:val="0"/>
                    <w:spacing w:line="240" w:lineRule="auto"/>
                    <w:jc w:val="both"/>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收集后暂存于</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30m</w:t>
                  </w:r>
                  <w:r>
                    <w:rPr>
                      <w:rFonts w:hint="default" w:ascii="Times New Roman" w:hAnsi="Times New Roman" w:cs="Times New Roman"/>
                      <w:b w:val="0"/>
                      <w:bCs w:val="0"/>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危废暂存间，定期委托有危废处理资质的单位处理。</w:t>
                  </w:r>
                </w:p>
              </w:tc>
              <w:tc>
                <w:tcPr>
                  <w:tcW w:w="592" w:type="pct"/>
                  <w:vMerge w:val="restart"/>
                  <w:noWrap w:val="0"/>
                  <w:vAlign w:val="center"/>
                </w:tcPr>
                <w:p w14:paraId="52E62B1F">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2</w:t>
                  </w:r>
                </w:p>
              </w:tc>
            </w:tr>
            <w:tr w14:paraId="25EBE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374" w:type="pct"/>
                  <w:vMerge w:val="continue"/>
                  <w:noWrap w:val="0"/>
                  <w:vAlign w:val="center"/>
                </w:tcPr>
                <w:p w14:paraId="2817EB66">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p>
              </w:tc>
              <w:tc>
                <w:tcPr>
                  <w:tcW w:w="403" w:type="pct"/>
                  <w:vMerge w:val="continue"/>
                  <w:noWrap w:val="0"/>
                  <w:vAlign w:val="center"/>
                </w:tcPr>
                <w:p w14:paraId="367B42E7">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pPr>
                </w:p>
              </w:tc>
              <w:tc>
                <w:tcPr>
                  <w:tcW w:w="679" w:type="pct"/>
                  <w:noWrap w:val="0"/>
                  <w:vAlign w:val="center"/>
                </w:tcPr>
                <w:p w14:paraId="1550AB59">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废油桶</w:t>
                  </w:r>
                </w:p>
              </w:tc>
              <w:tc>
                <w:tcPr>
                  <w:tcW w:w="2949" w:type="pct"/>
                  <w:vMerge w:val="continue"/>
                  <w:noWrap w:val="0"/>
                  <w:vAlign w:val="center"/>
                </w:tcPr>
                <w:p w14:paraId="1CEF9934">
                  <w:pPr>
                    <w:adjustRightInd w:val="0"/>
                    <w:snapToGrid w:val="0"/>
                    <w:spacing w:line="240" w:lineRule="auto"/>
                    <w:ind w:firstLine="420" w:firstLineChars="200"/>
                    <w:jc w:val="both"/>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pPr>
                </w:p>
              </w:tc>
              <w:tc>
                <w:tcPr>
                  <w:tcW w:w="592" w:type="pct"/>
                  <w:vMerge w:val="continue"/>
                  <w:noWrap w:val="0"/>
                  <w:vAlign w:val="center"/>
                </w:tcPr>
                <w:p w14:paraId="6D8C2D12">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p>
              </w:tc>
            </w:tr>
            <w:tr w14:paraId="3BED35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374" w:type="pct"/>
                  <w:noWrap w:val="0"/>
                  <w:vAlign w:val="center"/>
                </w:tcPr>
                <w:p w14:paraId="404BBBC4">
                  <w:pPr>
                    <w:adjustRightInd w:val="0"/>
                    <w:snapToGrid w:val="0"/>
                    <w:spacing w:line="240" w:lineRule="auto"/>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6</w:t>
                  </w:r>
                </w:p>
              </w:tc>
              <w:tc>
                <w:tcPr>
                  <w:tcW w:w="403" w:type="pct"/>
                  <w:noWrap w:val="0"/>
                  <w:vAlign w:val="center"/>
                </w:tcPr>
                <w:p w14:paraId="7A282C56">
                  <w:pPr>
                    <w:adjustRightInd w:val="0"/>
                    <w:snapToGrid w:val="0"/>
                    <w:spacing w:line="240" w:lineRule="auto"/>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防渗</w:t>
                  </w:r>
                </w:p>
              </w:tc>
              <w:tc>
                <w:tcPr>
                  <w:tcW w:w="3628" w:type="pct"/>
                  <w:gridSpan w:val="2"/>
                  <w:noWrap w:val="0"/>
                  <w:vAlign w:val="center"/>
                </w:tcPr>
                <w:p w14:paraId="3DFC3E1C">
                  <w:pPr>
                    <w:keepNext w:val="0"/>
                    <w:keepLines w:val="0"/>
                    <w:widowControl/>
                    <w:suppressLineNumbers w:val="0"/>
                    <w:spacing w:line="240" w:lineRule="auto"/>
                    <w:jc w:val="both"/>
                    <w:rPr>
                      <w:rFonts w:hint="eastAsia" w:ascii="Times New Roman" w:cs="Times New Roman"/>
                      <w:color w:val="000000" w:themeColor="text1"/>
                      <w:spacing w:val="1"/>
                      <w:sz w:val="21"/>
                      <w:szCs w:val="21"/>
                      <w:highlight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成品堆场、</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车间地面、厂区道路硬化</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r>
                    <w:rPr>
                      <w:rFonts w:hint="eastAsia" w:cs="Times New Roman"/>
                      <w:color w:val="000000" w:themeColor="text1"/>
                      <w:spacing w:val="1"/>
                      <w:sz w:val="21"/>
                      <w:szCs w:val="21"/>
                      <w:highlight w:val="none"/>
                      <w:lang w:val="en-US" w:eastAsia="zh-CN"/>
                      <w14:textFill>
                        <w14:solidFill>
                          <w14:schemeClr w14:val="tx1"/>
                        </w14:solidFill>
                      </w14:textFill>
                    </w:rPr>
                    <w:t>原料粉</w:t>
                  </w:r>
                  <w: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筒仓、机修车间</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分选</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车间、</w:t>
                  </w:r>
                  <w: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悬浮炉和回转窑区</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w:t>
                  </w:r>
                  <w:r>
                    <w:rPr>
                      <w:rFonts w:hint="default" w:ascii="Times New Roman" w:hAnsi="Times New Roman" w:cs="Times New Roman"/>
                      <w:color w:val="000000" w:themeColor="text1"/>
                      <w:spacing w:val="1"/>
                      <w:sz w:val="21"/>
                      <w:szCs w:val="21"/>
                      <w:highlight w:val="none"/>
                      <w:lang w:val="en-US" w:eastAsia="zh-CN"/>
                      <w14:textFill>
                        <w14:solidFill>
                          <w14:schemeClr w14:val="tx1"/>
                        </w14:solidFill>
                      </w14:textFill>
                    </w:rPr>
                    <w:t>冷却系统区、</w:t>
                  </w:r>
                  <w: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成品</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堆棚、</w:t>
                  </w:r>
                  <w: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黄料筒仓</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等</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一般防渗</w:t>
                  </w:r>
                  <w:r>
                    <w:rPr>
                      <w:rFonts w:hint="eastAsia" w:ascii="Times New Roman" w:cs="Times New Roman"/>
                      <w:b w:val="0"/>
                      <w:bCs w:val="0"/>
                      <w:color w:val="000000" w:themeColor="text1"/>
                      <w:sz w:val="21"/>
                      <w:szCs w:val="21"/>
                      <w:highlight w:val="none"/>
                      <w:lang w:val="en-US" w:eastAsia="zh-CN"/>
                      <w14:textFill>
                        <w14:solidFill>
                          <w14:schemeClr w14:val="tx1"/>
                        </w14:solidFill>
                      </w14:textFill>
                    </w:rPr>
                    <w:t>区</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等效黏土防渗层Mb≥1.5m，K≤1×10</w:t>
                  </w:r>
                  <w:r>
                    <w:rPr>
                      <w:rFonts w:hint="default" w:ascii="Times New Roman" w:hAnsi="Times New Roman" w:eastAsia="宋体" w:cs="Times New Roman"/>
                      <w:b w:val="0"/>
                      <w:bCs w:val="0"/>
                      <w:color w:val="000000" w:themeColor="text1"/>
                      <w:sz w:val="21"/>
                      <w:szCs w:val="21"/>
                      <w:highlight w:val="none"/>
                      <w:vertAlign w:val="superscript"/>
                      <w14:textFill>
                        <w14:solidFill>
                          <w14:schemeClr w14:val="tx1"/>
                        </w14:solidFill>
                      </w14:textFill>
                    </w:rPr>
                    <w:t>-7</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cm/s</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石灰石-石膏脱硫装置区、</w:t>
                  </w:r>
                  <w:r>
                    <w:rPr>
                      <w:rFonts w:hint="default"/>
                      <w:color w:val="000000" w:themeColor="text1"/>
                      <w:sz w:val="21"/>
                      <w:szCs w:val="21"/>
                      <w:highlight w:val="none"/>
                      <w14:textFill>
                        <w14:solidFill>
                          <w14:schemeClr w14:val="tx1"/>
                        </w14:solidFill>
                      </w14:textFill>
                    </w:rPr>
                    <w:t>三联箱装置</w:t>
                  </w:r>
                  <w:r>
                    <w:rPr>
                      <w:rFonts w:hint="eastAsia"/>
                      <w:color w:val="000000" w:themeColor="text1"/>
                      <w:sz w:val="21"/>
                      <w:szCs w:val="21"/>
                      <w:highlight w:val="none"/>
                      <w:lang w:eastAsia="zh-CN"/>
                      <w14:textFill>
                        <w14:solidFill>
                          <w14:schemeClr w14:val="tx1"/>
                        </w14:solidFill>
                      </w14:textFill>
                    </w:rPr>
                    <w:t>、</w:t>
                  </w:r>
                  <w:r>
                    <w:rPr>
                      <w:rFonts w:hint="default" w:ascii="Times New Roman" w:hAnsi="Times New Roman" w:cs="Times New Roman"/>
                      <w:bCs/>
                      <w:color w:val="000000" w:themeColor="text1"/>
                      <w:sz w:val="21"/>
                      <w:szCs w:val="21"/>
                      <w:highlight w:val="none"/>
                      <w14:textFill>
                        <w14:solidFill>
                          <w14:schemeClr w14:val="tx1"/>
                        </w14:solidFill>
                      </w14:textFill>
                    </w:rPr>
                    <w:t>氨水罐区</w:t>
                  </w:r>
                  <w:r>
                    <w:rPr>
                      <w:rFonts w:hint="eastAsia"/>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危废暂存间</w:t>
                  </w:r>
                  <w:r>
                    <w:rPr>
                      <w:rFonts w:hint="eastAsia" w:ascii="Times New Roman" w:cs="Times New Roman"/>
                      <w:b w:val="0"/>
                      <w:bCs w:val="0"/>
                      <w:color w:val="000000" w:themeColor="text1"/>
                      <w:sz w:val="21"/>
                      <w:szCs w:val="21"/>
                      <w:highlight w:val="none"/>
                      <w:lang w:val="en-US" w:eastAsia="zh-CN"/>
                      <w14:textFill>
                        <w14:solidFill>
                          <w14:schemeClr w14:val="tx1"/>
                        </w14:solidFill>
                      </w14:textFill>
                    </w:rPr>
                    <w:t>等为</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重点防渗</w:t>
                  </w:r>
                  <w:r>
                    <w:rPr>
                      <w:rFonts w:hint="eastAsia" w:ascii="Times New Roman" w:cs="Times New Roman"/>
                      <w:b w:val="0"/>
                      <w:bCs w:val="0"/>
                      <w:color w:val="000000" w:themeColor="text1"/>
                      <w:sz w:val="21"/>
                      <w:szCs w:val="21"/>
                      <w:highlight w:val="none"/>
                      <w:lang w:val="en-US" w:eastAsia="zh-CN"/>
                      <w14:textFill>
                        <w14:solidFill>
                          <w14:schemeClr w14:val="tx1"/>
                        </w14:solidFill>
                      </w14:textFill>
                    </w:rPr>
                    <w:t>区</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，等效黏土防渗层Mb≥6.0m，K≤1×10</w:t>
                  </w:r>
                  <w:r>
                    <w:rPr>
                      <w:rFonts w:hint="default" w:ascii="Times New Roman" w:hAnsi="Times New Roman" w:eastAsia="宋体" w:cs="Times New Roman"/>
                      <w:b w:val="0"/>
                      <w:bCs w:val="0"/>
                      <w:color w:val="000000" w:themeColor="text1"/>
                      <w:sz w:val="21"/>
                      <w:szCs w:val="21"/>
                      <w:highlight w:val="none"/>
                      <w:vertAlign w:val="superscript"/>
                      <w14:textFill>
                        <w14:solidFill>
                          <w14:schemeClr w14:val="tx1"/>
                        </w14:solidFill>
                      </w14:textFill>
                    </w:rPr>
                    <w:t>-7</w:t>
                  </w:r>
                  <w:r>
                    <w:rPr>
                      <w:rFonts w:hint="default" w:ascii="Times New Roman" w:hAnsi="Times New Roman" w:eastAsia="宋体" w:cs="Times New Roman"/>
                      <w:b w:val="0"/>
                      <w:bCs w:val="0"/>
                      <w:color w:val="000000" w:themeColor="text1"/>
                      <w:sz w:val="21"/>
                      <w:szCs w:val="21"/>
                      <w:highlight w:val="none"/>
                      <w14:textFill>
                        <w14:solidFill>
                          <w14:schemeClr w14:val="tx1"/>
                        </w14:solidFill>
                      </w14:textFill>
                    </w:rPr>
                    <w:t>cm/s</w:t>
                  </w:r>
                  <w:r>
                    <w:rPr>
                      <w:rFonts w:hint="eastAsia" w:asci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或</w:t>
                  </w:r>
                  <w:r>
                    <w:rPr>
                      <w:rFonts w:hint="eastAsia" w:ascii="Times New Roman" w:cs="Times New Roman"/>
                      <w:color w:val="000000" w:themeColor="text1"/>
                      <w:spacing w:val="1"/>
                      <w:sz w:val="21"/>
                      <w:szCs w:val="21"/>
                      <w:highlight w:val="none"/>
                      <w:lang w:val="en-US" w:eastAsia="zh-CN"/>
                      <w14:textFill>
                        <w14:solidFill>
                          <w14:schemeClr w14:val="tx1"/>
                        </w14:solidFill>
                      </w14:textFill>
                    </w:rPr>
                    <w:t>GB18598执行；</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等效于M=2mm厚高密度聚乙烯防渗层，渗透系数不大于10</w:t>
                  </w:r>
                  <w:r>
                    <w:rPr>
                      <w:rFonts w:hint="default" w:ascii="Times New Roman" w:hAnsi="Times New Roman" w:eastAsia="宋体" w:cs="Times New Roman"/>
                      <w:color w:val="000000" w:themeColor="text1"/>
                      <w:spacing w:val="1"/>
                      <w:sz w:val="21"/>
                      <w:szCs w:val="21"/>
                      <w:highlight w:val="none"/>
                      <w:vertAlign w:val="superscript"/>
                      <w14:textFill>
                        <w14:solidFill>
                          <w14:schemeClr w14:val="tx1"/>
                        </w14:solidFill>
                      </w14:textFill>
                    </w:rPr>
                    <w:t>-1</w:t>
                  </w:r>
                  <w:r>
                    <w:rPr>
                      <w:rFonts w:hint="default" w:ascii="Times New Roman" w:hAnsi="Times New Roman" w:eastAsia="宋体" w:cs="Times New Roman"/>
                      <w:color w:val="000000" w:themeColor="text1"/>
                      <w:spacing w:val="1"/>
                      <w:sz w:val="21"/>
                      <w:szCs w:val="21"/>
                      <w:highlight w:val="none"/>
                      <w:vertAlign w:val="superscript"/>
                      <w:lang w:val="en-US" w:eastAsia="zh-CN"/>
                      <w14:textFill>
                        <w14:solidFill>
                          <w14:schemeClr w14:val="tx1"/>
                        </w14:solidFill>
                      </w14:textFill>
                    </w:rPr>
                    <w:t>0</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cm/s</w:t>
                  </w:r>
                  <w:r>
                    <w:rPr>
                      <w:rFonts w:hint="eastAsia" w:ascii="Times New Roman" w:cs="Times New Roman"/>
                      <w:color w:val="000000" w:themeColor="text1"/>
                      <w:spacing w:val="1"/>
                      <w:sz w:val="21"/>
                      <w:szCs w:val="21"/>
                      <w:highlight w:val="none"/>
                      <w:lang w:eastAsia="zh-CN"/>
                      <w14:textFill>
                        <w14:solidFill>
                          <w14:schemeClr w14:val="tx1"/>
                        </w14:solidFill>
                      </w14:textFill>
                    </w:rPr>
                    <w:t>；</w:t>
                  </w:r>
                </w:p>
                <w:p w14:paraId="64398414">
                  <w:pPr>
                    <w:adjustRightInd w:val="0"/>
                    <w:snapToGrid w:val="0"/>
                    <w:spacing w:line="240" w:lineRule="auto"/>
                    <w:jc w:val="both"/>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ascii="Times New Roman" w:cs="Times New Roman"/>
                      <w:color w:val="000000" w:themeColor="text1"/>
                      <w:spacing w:val="1"/>
                      <w:sz w:val="21"/>
                      <w:szCs w:val="21"/>
                      <w:highlight w:val="none"/>
                      <w:lang w:val="en-US" w:eastAsia="zh-CN"/>
                      <w14:textFill>
                        <w14:solidFill>
                          <w14:schemeClr w14:val="tx1"/>
                        </w14:solidFill>
                      </w14:textFill>
                    </w:rPr>
                    <w:t>其中</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危废暂存间</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按照《危险废物贮存污染控制标准》（</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GB18597-2023</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）要求进行防渗，</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、库房应按规范要求采取必要的防风、防晒、防雨、防漏、防渗、防腐以及其他环境污染防治措施；危废库房地面要求硬化、耐腐蚀、防渗漏，且表面无裂隙；</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2</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1m</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厚黏土层（渗透系数不大于</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10</w:t>
                  </w:r>
                  <w:r>
                    <w:rPr>
                      <w:rFonts w:hint="eastAsia"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vertAlign w:val="superscript"/>
                      <w:lang w:val="en-US" w:eastAsia="zh-CN" w:bidi="ar"/>
                      <w14:textFill>
                        <w14:solidFill>
                          <w14:schemeClr w14:val="tx1"/>
                        </w14:solidFill>
                      </w14:textFill>
                    </w:rPr>
                    <w:t>7</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cm/s</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），或至少</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2mm</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厚高密度聚乙烯膜等人工防渗材料（渗透系数不大于</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10</w:t>
                  </w:r>
                  <w:r>
                    <w:rPr>
                      <w:rFonts w:hint="eastAsia" w:cs="Times New Roman"/>
                      <w:color w:val="000000" w:themeColor="text1"/>
                      <w:kern w:val="0"/>
                      <w:sz w:val="21"/>
                      <w:szCs w:val="21"/>
                      <w:highlight w:val="no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highlight w:val="none"/>
                      <w:vertAlign w:val="superscript"/>
                      <w:lang w:val="en-US" w:eastAsia="zh-CN" w:bidi="ar"/>
                      <w14:textFill>
                        <w14:solidFill>
                          <w14:schemeClr w14:val="tx1"/>
                        </w14:solidFill>
                      </w14:textFill>
                    </w:rPr>
                    <w:t>10</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cm/s</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），或其他防渗性能等效的材料。3、设置</w:t>
                  </w: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0.3m</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墙裙，四周设置导流槽，墙角设置集液池</w:t>
                  </w:r>
                  <w:r>
                    <w:rPr>
                      <w:rFonts w:hint="eastAsia" w:ascii="Times New Roman"/>
                      <w:color w:val="000000" w:themeColor="text1"/>
                      <w:sz w:val="21"/>
                      <w:szCs w:val="21"/>
                      <w:highlight w:val="none"/>
                      <w:lang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4、设置自流防渗</w:t>
                  </w:r>
                  <w:r>
                    <w:rPr>
                      <w:rFonts w:hint="eastAsia"/>
                      <w:color w:val="000000" w:themeColor="text1"/>
                      <w:sz w:val="21"/>
                      <w:szCs w:val="21"/>
                      <w:highlight w:val="none"/>
                      <w14:textFill>
                        <w14:solidFill>
                          <w14:schemeClr w14:val="tx1"/>
                        </w14:solidFill>
                      </w14:textFill>
                    </w:rPr>
                    <w:t>导流渠和</w:t>
                  </w:r>
                  <w:r>
                    <w:rPr>
                      <w:rFonts w:hint="eastAsia"/>
                      <w:color w:val="000000" w:themeColor="text1"/>
                      <w:sz w:val="21"/>
                      <w:szCs w:val="21"/>
                      <w:highlight w:val="none"/>
                      <w:lang w:val="en-US" w:eastAsia="zh-CN"/>
                      <w14:textFill>
                        <w14:solidFill>
                          <w14:schemeClr w14:val="tx1"/>
                        </w14:solidFill>
                      </w14:textFill>
                    </w:rPr>
                    <w:t>0.25m</w:t>
                  </w:r>
                  <w:r>
                    <w:rPr>
                      <w:rFonts w:hint="eastAsia"/>
                      <w:color w:val="000000" w:themeColor="text1"/>
                      <w:sz w:val="21"/>
                      <w:szCs w:val="21"/>
                      <w:highlight w:val="none"/>
                      <w:vertAlign w:val="superscript"/>
                      <w:lang w:val="en-US" w:eastAsia="zh-CN"/>
                      <w14:textFill>
                        <w14:solidFill>
                          <w14:schemeClr w14:val="tx1"/>
                        </w14:solidFill>
                      </w14:textFill>
                    </w:rPr>
                    <w:t>3</w:t>
                  </w:r>
                  <w:r>
                    <w:rPr>
                      <w:rFonts w:hint="eastAsia"/>
                      <w:color w:val="000000" w:themeColor="text1"/>
                      <w:sz w:val="21"/>
                      <w:szCs w:val="21"/>
                      <w:highlight w:val="none"/>
                      <w:lang w:val="en-US" w:eastAsia="zh-CN"/>
                      <w14:textFill>
                        <w14:solidFill>
                          <w14:schemeClr w14:val="tx1"/>
                        </w14:solidFill>
                      </w14:textFill>
                    </w:rPr>
                    <w:t>的防渗</w:t>
                  </w:r>
                  <w:r>
                    <w:rPr>
                      <w:rFonts w:hint="eastAsia"/>
                      <w:color w:val="000000" w:themeColor="text1"/>
                      <w:sz w:val="21"/>
                      <w:szCs w:val="21"/>
                      <w:highlight w:val="none"/>
                      <w14:textFill>
                        <w14:solidFill>
                          <w14:schemeClr w14:val="tx1"/>
                        </w14:solidFill>
                      </w14:textFill>
                    </w:rPr>
                    <w:t>集液池</w:t>
                  </w:r>
                  <w:r>
                    <w:rPr>
                      <w:rFonts w:hint="eastAsia"/>
                      <w:color w:val="000000" w:themeColor="text1"/>
                      <w:sz w:val="21"/>
                      <w:szCs w:val="21"/>
                      <w:highlight w:val="none"/>
                      <w:lang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同地面防渗要求</w:t>
                  </w:r>
                </w:p>
              </w:tc>
              <w:tc>
                <w:tcPr>
                  <w:tcW w:w="592" w:type="pct"/>
                  <w:noWrap w:val="0"/>
                  <w:vAlign w:val="center"/>
                </w:tcPr>
                <w:p w14:paraId="60585CE9">
                  <w:pPr>
                    <w:adjustRightInd w:val="0"/>
                    <w:snapToGrid w:val="0"/>
                    <w:spacing w:line="240" w:lineRule="auto"/>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5</w:t>
                  </w:r>
                </w:p>
              </w:tc>
            </w:tr>
            <w:tr w14:paraId="7B05A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4" w:type="pct"/>
                  <w:noWrap w:val="0"/>
                  <w:vAlign w:val="center"/>
                </w:tcPr>
                <w:p w14:paraId="0818E2DA">
                  <w:pPr>
                    <w:adjustRightInd w:val="0"/>
                    <w:snapToGrid w:val="0"/>
                    <w:spacing w:line="240" w:lineRule="auto"/>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7</w:t>
                  </w:r>
                </w:p>
              </w:tc>
              <w:tc>
                <w:tcPr>
                  <w:tcW w:w="403" w:type="pct"/>
                  <w:noWrap w:val="0"/>
                  <w:vAlign w:val="center"/>
                </w:tcPr>
                <w:p w14:paraId="093217FA">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绿化</w:t>
                  </w:r>
                </w:p>
              </w:tc>
              <w:tc>
                <w:tcPr>
                  <w:tcW w:w="3628" w:type="pct"/>
                  <w:gridSpan w:val="2"/>
                  <w:noWrap w:val="0"/>
                  <w:vAlign w:val="center"/>
                </w:tcPr>
                <w:p w14:paraId="1E014D56">
                  <w:pPr>
                    <w:adjustRightInd w:val="0"/>
                    <w:snapToGrid w:val="0"/>
                    <w:spacing w:line="240" w:lineRule="auto"/>
                    <w:jc w:val="left"/>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在厂区内适度绿化。</w:t>
                  </w:r>
                </w:p>
              </w:tc>
              <w:tc>
                <w:tcPr>
                  <w:tcW w:w="592" w:type="pct"/>
                  <w:noWrap w:val="0"/>
                  <w:vAlign w:val="center"/>
                </w:tcPr>
                <w:p w14:paraId="619BB54D">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1</w:t>
                  </w:r>
                </w:p>
              </w:tc>
            </w:tr>
            <w:tr w14:paraId="7911F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4" w:type="pct"/>
                  <w:noWrap w:val="0"/>
                  <w:vAlign w:val="center"/>
                </w:tcPr>
                <w:p w14:paraId="7553419B">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8</w:t>
                  </w:r>
                </w:p>
              </w:tc>
              <w:tc>
                <w:tcPr>
                  <w:tcW w:w="403" w:type="pct"/>
                  <w:noWrap w:val="0"/>
                  <w:vAlign w:val="center"/>
                </w:tcPr>
                <w:p w14:paraId="3AAA92FF">
                  <w:pPr>
                    <w:keepNext w:val="0"/>
                    <w:keepLines w:val="0"/>
                    <w:widowControl/>
                    <w:suppressLineNumbers w:val="0"/>
                    <w:spacing w:line="240" w:lineRule="auto"/>
                    <w:jc w:val="left"/>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排污口规范化整治</w:t>
                  </w:r>
                </w:p>
              </w:tc>
              <w:tc>
                <w:tcPr>
                  <w:tcW w:w="3628" w:type="pct"/>
                  <w:gridSpan w:val="2"/>
                  <w:noWrap w:val="0"/>
                  <w:vAlign w:val="center"/>
                </w:tcPr>
                <w:p w14:paraId="65C786BC">
                  <w:pPr>
                    <w:keepNext w:val="0"/>
                    <w:keepLines w:val="0"/>
                    <w:widowControl/>
                    <w:suppressLineNumbers w:val="0"/>
                    <w:spacing w:line="240" w:lineRule="auto"/>
                    <w:jc w:val="left"/>
                    <w:rPr>
                      <w:color w:val="000000" w:themeColor="text1"/>
                      <w:sz w:val="21"/>
                      <w:szCs w:val="21"/>
                      <w:highlight w:val="none"/>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1.</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废气监测技术规范要求设置采样平台和预留采样孔，粘贴环境保护标志牌</w:t>
                  </w:r>
                </w:p>
                <w:p w14:paraId="02A57F0D">
                  <w:pPr>
                    <w:keepNext w:val="0"/>
                    <w:keepLines w:val="0"/>
                    <w:widowControl/>
                    <w:suppressLineNumbers w:val="0"/>
                    <w:spacing w:line="240" w:lineRule="auto"/>
                    <w:jc w:val="left"/>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eastAsia" w:cs="Times New Roman"/>
                      <w:color w:val="000000" w:themeColor="text1"/>
                      <w:kern w:val="0"/>
                      <w:sz w:val="21"/>
                      <w:szCs w:val="21"/>
                      <w:highlight w:val="none"/>
                      <w:lang w:val="en-US" w:eastAsia="zh-CN" w:bidi="ar"/>
                      <w14:textFill>
                        <w14:solidFill>
                          <w14:schemeClr w14:val="tx1"/>
                        </w14:solidFill>
                      </w14:textFill>
                    </w:rPr>
                    <w:t>2.</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排污口建档、安排专人管理等以及管理部门要求的其他内容</w:t>
                  </w:r>
                </w:p>
              </w:tc>
              <w:tc>
                <w:tcPr>
                  <w:tcW w:w="592" w:type="pct"/>
                  <w:noWrap w:val="0"/>
                  <w:vAlign w:val="center"/>
                </w:tcPr>
                <w:p w14:paraId="3FFB306C">
                  <w:pPr>
                    <w:adjustRightInd w:val="0"/>
                    <w:snapToGrid w:val="0"/>
                    <w:spacing w:line="240" w:lineRule="auto"/>
                    <w:jc w:val="cente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5</w:t>
                  </w:r>
                </w:p>
              </w:tc>
            </w:tr>
            <w:tr w14:paraId="5C375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74" w:type="pct"/>
                  <w:noWrap w:val="0"/>
                  <w:vAlign w:val="center"/>
                </w:tcPr>
                <w:p w14:paraId="7F969A52">
                  <w:pPr>
                    <w:adjustRightInd w:val="0"/>
                    <w:snapToGrid w:val="0"/>
                    <w:spacing w:line="240" w:lineRule="auto"/>
                    <w:jc w:val="cente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pPr>
                </w:p>
              </w:tc>
              <w:tc>
                <w:tcPr>
                  <w:tcW w:w="403" w:type="pct"/>
                  <w:noWrap w:val="0"/>
                  <w:vAlign w:val="center"/>
                </w:tcPr>
                <w:p w14:paraId="0C797E31">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总计</w:t>
                  </w:r>
                </w:p>
              </w:tc>
              <w:tc>
                <w:tcPr>
                  <w:tcW w:w="3628" w:type="pct"/>
                  <w:gridSpan w:val="2"/>
                  <w:noWrap w:val="0"/>
                  <w:vAlign w:val="center"/>
                </w:tcPr>
                <w:p w14:paraId="085719D9">
                  <w:pPr>
                    <w:adjustRightInd w:val="0"/>
                    <w:snapToGrid w:val="0"/>
                    <w:spacing w:line="240" w:lineRule="auto"/>
                    <w:jc w:val="center"/>
                    <w:rPr>
                      <w:rFonts w:hint="default" w:ascii="Times New Roman" w:hAnsi="Times New Roman" w:cs="Times New Roman"/>
                      <w:b w:val="0"/>
                      <w:bCs w:val="0"/>
                      <w:color w:val="000000" w:themeColor="text1"/>
                      <w:sz w:val="21"/>
                      <w:szCs w:val="21"/>
                      <w:highlight w:val="none"/>
                      <w14:textFill>
                        <w14:solidFill>
                          <w14:schemeClr w14:val="tx1"/>
                        </w14:solidFill>
                      </w14:textFill>
                    </w:rPr>
                  </w:pPr>
                  <w:r>
                    <w:rPr>
                      <w:rFonts w:hint="default" w:ascii="Times New Roman" w:hAnsi="Times New Roman" w:cs="Times New Roman"/>
                      <w:b w:val="0"/>
                      <w:bCs w:val="0"/>
                      <w:color w:val="000000" w:themeColor="text1"/>
                      <w:sz w:val="21"/>
                      <w:szCs w:val="21"/>
                      <w:highlight w:val="none"/>
                      <w14:textFill>
                        <w14:solidFill>
                          <w14:schemeClr w14:val="tx1"/>
                        </w14:solidFill>
                      </w14:textFill>
                    </w:rPr>
                    <w:t>/</w:t>
                  </w:r>
                </w:p>
              </w:tc>
              <w:tc>
                <w:tcPr>
                  <w:tcW w:w="592" w:type="pct"/>
                  <w:noWrap w:val="0"/>
                  <w:vAlign w:val="center"/>
                </w:tcPr>
                <w:p w14:paraId="69FC5E29">
                  <w:pPr>
                    <w:adjustRightInd w:val="0"/>
                    <w:snapToGrid w:val="0"/>
                    <w:spacing w:line="240" w:lineRule="auto"/>
                    <w:jc w:val="cente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655.5</w:t>
                  </w:r>
                </w:p>
              </w:tc>
            </w:tr>
          </w:tbl>
          <w:p w14:paraId="2C08E98E">
            <w:pPr>
              <w:pStyle w:val="14"/>
              <w:rPr>
                <w:rFonts w:hint="default" w:ascii="Times New Roman" w:hAnsi="Times New Roman" w:cs="Times New Roman"/>
                <w:color w:val="000000" w:themeColor="text1"/>
                <w:highlight w:val="none"/>
                <w14:textFill>
                  <w14:solidFill>
                    <w14:schemeClr w14:val="tx1"/>
                  </w14:solidFill>
                </w14:textFill>
              </w:rPr>
            </w:pPr>
          </w:p>
        </w:tc>
      </w:tr>
    </w:tbl>
    <w:p w14:paraId="33E873D2">
      <w:pPr>
        <w:adjustRightInd w:val="0"/>
        <w:snapToGrid w:val="0"/>
        <w:spacing w:line="360" w:lineRule="auto"/>
        <w:rPr>
          <w:b/>
          <w:color w:val="000000" w:themeColor="text1"/>
          <w:kern w:val="0"/>
          <w:sz w:val="28"/>
          <w:szCs w:val="28"/>
          <w:highlight w:val="none"/>
          <w14:textFill>
            <w14:solidFill>
              <w14:schemeClr w14:val="tx1"/>
            </w14:solidFill>
          </w14:textFill>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2A7C45E2">
      <w:pPr>
        <w:pStyle w:val="20"/>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firstLine="0" w:firstLineChars="0"/>
        <w:jc w:val="center"/>
        <w:textAlignment w:val="auto"/>
        <w:outlineLvl w:val="0"/>
        <w:rPr>
          <w:rFonts w:ascii="Times New Roman" w:hAnsi="Times New Roman" w:eastAsia="黑体"/>
          <w:snapToGrid w:val="0"/>
          <w:color w:val="000000" w:themeColor="text1"/>
          <w:sz w:val="30"/>
          <w:szCs w:val="30"/>
          <w:highlight w:val="none"/>
          <w14:textFill>
            <w14:solidFill>
              <w14:schemeClr w14:val="tx1"/>
            </w14:solidFill>
          </w14:textFill>
        </w:rPr>
      </w:pPr>
      <w:r>
        <w:rPr>
          <w:rFonts w:ascii="Times New Roman" w:hAnsi="Times New Roman" w:eastAsia="黑体"/>
          <w:snapToGrid w:val="0"/>
          <w:color w:val="000000" w:themeColor="text1"/>
          <w:sz w:val="30"/>
          <w:szCs w:val="30"/>
          <w:highlight w:val="none"/>
          <w14:textFill>
            <w14:solidFill>
              <w14:schemeClr w14:val="tx1"/>
            </w14:solidFill>
          </w14:textFill>
        </w:rPr>
        <w:t>五、</w:t>
      </w:r>
      <w:bookmarkStart w:id="7" w:name="_Hlk54167917"/>
      <w:r>
        <w:rPr>
          <w:rFonts w:ascii="Times New Roman" w:hAnsi="Times New Roman" w:eastAsia="黑体"/>
          <w:snapToGrid w:val="0"/>
          <w:color w:val="000000" w:themeColor="text1"/>
          <w:sz w:val="30"/>
          <w:szCs w:val="30"/>
          <w:highlight w:val="none"/>
          <w14:textFill>
            <w14:solidFill>
              <w14:schemeClr w14:val="tx1"/>
            </w14:solidFill>
          </w14:textFill>
        </w:rPr>
        <w:t>环境保护措施监督检查清单</w:t>
      </w:r>
      <w:bookmarkEnd w:id="7"/>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21"/>
        <w:gridCol w:w="742"/>
        <w:gridCol w:w="1244"/>
        <w:gridCol w:w="1104"/>
        <w:gridCol w:w="3497"/>
        <w:gridCol w:w="1799"/>
      </w:tblGrid>
      <w:tr w14:paraId="5891E7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163" w:type="dxa"/>
            <w:gridSpan w:val="2"/>
            <w:tcBorders>
              <w:tl2br w:val="single" w:color="auto" w:sz="4" w:space="0"/>
            </w:tcBorders>
            <w:noWrap w:val="0"/>
            <w:vAlign w:val="top"/>
          </w:tcPr>
          <w:p w14:paraId="548D5506">
            <w:pPr>
              <w:adjustRightInd w:val="0"/>
              <w:snapToGrid w:val="0"/>
              <w:jc w:val="right"/>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内容</w:t>
            </w:r>
          </w:p>
          <w:p w14:paraId="2E0618C8">
            <w:pPr>
              <w:adjustRightInd w:val="0"/>
              <w:snapToGrid w:val="0"/>
              <w:jc w:val="left"/>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要素</w:t>
            </w:r>
          </w:p>
        </w:tc>
        <w:tc>
          <w:tcPr>
            <w:tcW w:w="1244" w:type="dxa"/>
            <w:noWrap w:val="0"/>
            <w:vAlign w:val="center"/>
          </w:tcPr>
          <w:p w14:paraId="1D224DB1">
            <w:pPr>
              <w:adjustRightInd w:val="0"/>
              <w:snapToGrid w:val="0"/>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排放口</w:t>
            </w:r>
            <w:r>
              <w:rPr>
                <w:rFonts w:hint="eastAsia"/>
                <w:b/>
                <w:bCs/>
                <w:color w:val="000000" w:themeColor="text1"/>
                <w:szCs w:val="21"/>
                <w:highlight w:val="none"/>
                <w:lang w:eastAsia="zh-CN"/>
                <w14:textFill>
                  <w14:solidFill>
                    <w14:schemeClr w14:val="tx1"/>
                  </w14:solidFill>
                </w14:textFill>
              </w:rPr>
              <w:t>（</w:t>
            </w:r>
            <w:r>
              <w:rPr>
                <w:b/>
                <w:bCs/>
                <w:color w:val="000000" w:themeColor="text1"/>
                <w:szCs w:val="21"/>
                <w:highlight w:val="none"/>
                <w14:textFill>
                  <w14:solidFill>
                    <w14:schemeClr w14:val="tx1"/>
                  </w14:solidFill>
                </w14:textFill>
              </w:rPr>
              <w:t>编号、名称</w:t>
            </w:r>
            <w:r>
              <w:rPr>
                <w:rFonts w:hint="eastAsia"/>
                <w:b/>
                <w:bCs/>
                <w:color w:val="000000" w:themeColor="text1"/>
                <w:szCs w:val="21"/>
                <w:highlight w:val="none"/>
                <w:lang w:eastAsia="zh-CN"/>
                <w14:textFill>
                  <w14:solidFill>
                    <w14:schemeClr w14:val="tx1"/>
                  </w14:solidFill>
                </w14:textFill>
              </w:rPr>
              <w:t>）</w:t>
            </w:r>
            <w:r>
              <w:rPr>
                <w:b/>
                <w:bCs/>
                <w:color w:val="000000" w:themeColor="text1"/>
                <w:szCs w:val="21"/>
                <w:highlight w:val="none"/>
                <w14:textFill>
                  <w14:solidFill>
                    <w14:schemeClr w14:val="tx1"/>
                  </w14:solidFill>
                </w14:textFill>
              </w:rPr>
              <w:t>/污染源</w:t>
            </w:r>
          </w:p>
        </w:tc>
        <w:tc>
          <w:tcPr>
            <w:tcW w:w="1104" w:type="dxa"/>
            <w:noWrap w:val="0"/>
            <w:vAlign w:val="center"/>
          </w:tcPr>
          <w:p w14:paraId="0AFC6A2E">
            <w:pPr>
              <w:adjustRightInd w:val="0"/>
              <w:snapToGrid w:val="0"/>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污染物项目</w:t>
            </w:r>
          </w:p>
        </w:tc>
        <w:tc>
          <w:tcPr>
            <w:tcW w:w="3497" w:type="dxa"/>
            <w:noWrap w:val="0"/>
            <w:vAlign w:val="center"/>
          </w:tcPr>
          <w:p w14:paraId="425ED758">
            <w:pPr>
              <w:keepNext w:val="0"/>
              <w:keepLines w:val="0"/>
              <w:pageBreakBefore w:val="0"/>
              <w:widowControl w:val="0"/>
              <w:kinsoku/>
              <w:wordWrap/>
              <w:overflowPunct/>
              <w:topLinePunct w:val="0"/>
              <w:autoSpaceDE/>
              <w:autoSpaceDN/>
              <w:bidi w:val="0"/>
              <w:adjustRightInd w:val="0"/>
              <w:snapToGrid w:val="0"/>
              <w:jc w:val="center"/>
              <w:textAlignment w:val="auto"/>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环境保护措施</w:t>
            </w:r>
          </w:p>
        </w:tc>
        <w:tc>
          <w:tcPr>
            <w:tcW w:w="1799" w:type="dxa"/>
            <w:noWrap w:val="0"/>
            <w:vAlign w:val="center"/>
          </w:tcPr>
          <w:p w14:paraId="3D1552DC">
            <w:pPr>
              <w:adjustRightInd w:val="0"/>
              <w:snapToGrid w:val="0"/>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执行标准</w:t>
            </w:r>
          </w:p>
        </w:tc>
      </w:tr>
      <w:tr w14:paraId="1643C1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421" w:type="dxa"/>
            <w:vMerge w:val="restart"/>
            <w:noWrap w:val="0"/>
            <w:vAlign w:val="center"/>
          </w:tcPr>
          <w:p w14:paraId="7E0633A4">
            <w:pPr>
              <w:adjustRightInd w:val="0"/>
              <w:snapToGrid w:val="0"/>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大气环境</w:t>
            </w:r>
          </w:p>
        </w:tc>
        <w:tc>
          <w:tcPr>
            <w:tcW w:w="742" w:type="dxa"/>
            <w:noWrap w:val="0"/>
            <w:vAlign w:val="center"/>
          </w:tcPr>
          <w:p w14:paraId="2DF3BFE1">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施工期</w:t>
            </w:r>
          </w:p>
        </w:tc>
        <w:tc>
          <w:tcPr>
            <w:tcW w:w="1244" w:type="dxa"/>
            <w:noWrap w:val="0"/>
            <w:vAlign w:val="center"/>
          </w:tcPr>
          <w:p w14:paraId="76296EA7">
            <w:pPr>
              <w:keepNext w:val="0"/>
              <w:keepLines w:val="0"/>
              <w:pageBreakBefore w:val="0"/>
              <w:widowControl w:val="0"/>
              <w:kinsoku/>
              <w:wordWrap/>
              <w:overflowPunct/>
              <w:topLinePunct w:val="0"/>
              <w:autoSpaceDE/>
              <w:autoSpaceDN/>
              <w:bidi w:val="0"/>
              <w:spacing w:line="240" w:lineRule="exact"/>
              <w:jc w:val="center"/>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车辆运输、</w:t>
            </w:r>
          </w:p>
          <w:p w14:paraId="6320FB4C">
            <w:pPr>
              <w:keepNext w:val="0"/>
              <w:keepLines w:val="0"/>
              <w:pageBreakBefore w:val="0"/>
              <w:widowControl w:val="0"/>
              <w:kinsoku/>
              <w:wordWrap/>
              <w:overflowPunct/>
              <w:topLinePunct w:val="0"/>
              <w:autoSpaceDE/>
              <w:autoSpaceDN/>
              <w:bidi w:val="0"/>
              <w:spacing w:line="240" w:lineRule="exact"/>
              <w:jc w:val="center"/>
              <w:textAlignment w:val="auto"/>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工程</w:t>
            </w:r>
            <w:r>
              <w:rPr>
                <w:color w:val="000000" w:themeColor="text1"/>
                <w:szCs w:val="21"/>
                <w:highlight w:val="none"/>
                <w14:textFill>
                  <w14:solidFill>
                    <w14:schemeClr w14:val="tx1"/>
                  </w14:solidFill>
                </w14:textFill>
              </w:rPr>
              <w:t>建设</w:t>
            </w:r>
          </w:p>
        </w:tc>
        <w:tc>
          <w:tcPr>
            <w:tcW w:w="1104" w:type="dxa"/>
            <w:noWrap w:val="0"/>
            <w:vAlign w:val="center"/>
          </w:tcPr>
          <w:p w14:paraId="238F9592">
            <w:pPr>
              <w:keepNext w:val="0"/>
              <w:keepLines w:val="0"/>
              <w:pageBreakBefore w:val="0"/>
              <w:widowControl w:val="0"/>
              <w:kinsoku/>
              <w:wordWrap/>
              <w:overflowPunct/>
              <w:topLinePunct w:val="0"/>
              <w:autoSpaceDE/>
              <w:autoSpaceDN/>
              <w:bidi w:val="0"/>
              <w:spacing w:line="240" w:lineRule="exact"/>
              <w:jc w:val="center"/>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扬尘</w:t>
            </w:r>
          </w:p>
        </w:tc>
        <w:tc>
          <w:tcPr>
            <w:tcW w:w="3497" w:type="dxa"/>
            <w:noWrap w:val="0"/>
            <w:vAlign w:val="center"/>
          </w:tcPr>
          <w:p w14:paraId="0DF0A1A7">
            <w:pPr>
              <w:keepNext w:val="0"/>
              <w:keepLines w:val="0"/>
              <w:pageBreakBefore w:val="0"/>
              <w:widowControl w:val="0"/>
              <w:kinsoku/>
              <w:wordWrap/>
              <w:overflowPunct/>
              <w:topLinePunct w:val="0"/>
              <w:autoSpaceDE/>
              <w:autoSpaceDN/>
              <w:bidi w:val="0"/>
              <w:spacing w:line="240" w:lineRule="exact"/>
              <w:jc w:val="both"/>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按规定路线低速行驶车辆及时洒水、覆盖等措施</w:t>
            </w:r>
          </w:p>
        </w:tc>
        <w:tc>
          <w:tcPr>
            <w:tcW w:w="1799" w:type="dxa"/>
            <w:noWrap w:val="0"/>
            <w:vAlign w:val="center"/>
          </w:tcPr>
          <w:p w14:paraId="39732E83">
            <w:pPr>
              <w:keepNext w:val="0"/>
              <w:keepLines w:val="0"/>
              <w:pageBreakBefore w:val="0"/>
              <w:widowControl w:val="0"/>
              <w:kinsoku/>
              <w:wordWrap/>
              <w:overflowPunct/>
              <w:topLinePunct w:val="0"/>
              <w:autoSpaceDE/>
              <w:autoSpaceDN/>
              <w:bidi w:val="0"/>
              <w:spacing w:line="240" w:lineRule="exact"/>
              <w:jc w:val="center"/>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r>
      <w:tr w14:paraId="521F04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421" w:type="dxa"/>
            <w:vMerge w:val="continue"/>
            <w:noWrap w:val="0"/>
            <w:vAlign w:val="center"/>
          </w:tcPr>
          <w:p w14:paraId="345B8553">
            <w:pPr>
              <w:adjustRightInd w:val="0"/>
              <w:snapToGrid w:val="0"/>
              <w:jc w:val="center"/>
              <w:rPr>
                <w:b/>
                <w:bCs/>
                <w:color w:val="000000" w:themeColor="text1"/>
                <w:szCs w:val="21"/>
                <w:highlight w:val="none"/>
                <w14:textFill>
                  <w14:solidFill>
                    <w14:schemeClr w14:val="tx1"/>
                  </w14:solidFill>
                </w14:textFill>
              </w:rPr>
            </w:pPr>
          </w:p>
        </w:tc>
        <w:tc>
          <w:tcPr>
            <w:tcW w:w="742" w:type="dxa"/>
            <w:vMerge w:val="restart"/>
            <w:noWrap w:val="0"/>
            <w:vAlign w:val="center"/>
          </w:tcPr>
          <w:p w14:paraId="2E192598">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运营期</w:t>
            </w:r>
          </w:p>
        </w:tc>
        <w:tc>
          <w:tcPr>
            <w:tcW w:w="1244" w:type="dxa"/>
            <w:noWrap w:val="0"/>
            <w:vAlign w:val="center"/>
          </w:tcPr>
          <w:p w14:paraId="5C399357">
            <w:pPr>
              <w:adjustRightInd w:val="0"/>
              <w:snapToGrid w:val="0"/>
              <w:jc w:val="center"/>
              <w:rPr>
                <w:rFonts w:hint="eastAsia"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原料粉</w:t>
            </w:r>
          </w:p>
          <w:p w14:paraId="5BC8A7EC">
            <w:pPr>
              <w:adjustRightInd w:val="0"/>
              <w:snapToGrid w:val="0"/>
              <w:jc w:val="center"/>
              <w:rPr>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仓尘</w:t>
            </w:r>
          </w:p>
        </w:tc>
        <w:tc>
          <w:tcPr>
            <w:tcW w:w="1104" w:type="dxa"/>
            <w:noWrap w:val="0"/>
            <w:vAlign w:val="center"/>
          </w:tcPr>
          <w:p w14:paraId="76B4D60B">
            <w:pPr>
              <w:keepNext w:val="0"/>
              <w:keepLines w:val="0"/>
              <w:pageBreakBefore w:val="0"/>
              <w:widowControl w:val="0"/>
              <w:kinsoku/>
              <w:wordWrap/>
              <w:overflowPunct/>
              <w:topLinePunct w:val="0"/>
              <w:autoSpaceDE/>
              <w:autoSpaceDN/>
              <w:bidi w:val="0"/>
              <w:spacing w:line="240" w:lineRule="exact"/>
              <w:jc w:val="center"/>
              <w:textAlignment w:val="auto"/>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颗粒物</w:t>
            </w:r>
          </w:p>
        </w:tc>
        <w:tc>
          <w:tcPr>
            <w:tcW w:w="3497" w:type="dxa"/>
            <w:noWrap w:val="0"/>
            <w:vAlign w:val="center"/>
          </w:tcPr>
          <w:p w14:paraId="3FF5DE65">
            <w:pPr>
              <w:keepNext w:val="0"/>
              <w:keepLines w:val="0"/>
              <w:pageBreakBefore w:val="0"/>
              <w:widowControl w:val="0"/>
              <w:kinsoku/>
              <w:wordWrap/>
              <w:overflowPunct/>
              <w:topLinePunct w:val="0"/>
              <w:autoSpaceDE/>
              <w:autoSpaceDN/>
              <w:bidi w:val="0"/>
              <w:spacing w:line="240" w:lineRule="exact"/>
              <w:jc w:val="both"/>
              <w:textAlignment w:val="auto"/>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2个</w:t>
            </w:r>
            <w:r>
              <w:rPr>
                <w:rFonts w:hint="eastAsia"/>
                <w:color w:val="000000" w:themeColor="text1"/>
                <w:szCs w:val="21"/>
                <w:highlight w:val="none"/>
                <w:lang w:val="en-US" w:eastAsia="zh-CN"/>
                <w14:textFill>
                  <w14:solidFill>
                    <w14:schemeClr w14:val="tx1"/>
                  </w14:solidFill>
                </w14:textFill>
              </w:rPr>
              <w:t>筒</w:t>
            </w:r>
            <w:r>
              <w:rPr>
                <w:color w:val="000000" w:themeColor="text1"/>
                <w:szCs w:val="21"/>
                <w:highlight w:val="none"/>
                <w14:textFill>
                  <w14:solidFill>
                    <w14:schemeClr w14:val="tx1"/>
                  </w14:solidFill>
                </w14:textFill>
              </w:rPr>
              <w:t>仓顶</w:t>
            </w:r>
            <w:r>
              <w:rPr>
                <w:rFonts w:hint="eastAsia"/>
                <w:color w:val="000000" w:themeColor="text1"/>
                <w:szCs w:val="21"/>
                <w:highlight w:val="none"/>
                <w:lang w:val="en-US" w:eastAsia="zh-CN"/>
                <w14:textFill>
                  <w14:solidFill>
                    <w14:schemeClr w14:val="tx1"/>
                  </w14:solidFill>
                </w14:textFill>
              </w:rPr>
              <w:t>布袋</w:t>
            </w:r>
            <w:r>
              <w:rPr>
                <w:color w:val="000000" w:themeColor="text1"/>
                <w:szCs w:val="21"/>
                <w:highlight w:val="none"/>
                <w14:textFill>
                  <w14:solidFill>
                    <w14:schemeClr w14:val="tx1"/>
                  </w14:solidFill>
                </w14:textFill>
              </w:rPr>
              <w:t>除尘器（除尘效率99%）</w:t>
            </w:r>
            <w:r>
              <w:rPr>
                <w:rFonts w:hint="eastAsia"/>
                <w:color w:val="000000" w:themeColor="text1"/>
                <w:szCs w:val="21"/>
                <w:highlight w:val="none"/>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42</w:t>
            </w:r>
            <w:r>
              <w:rPr>
                <w:rFonts w:hint="eastAsia"/>
                <w:color w:val="000000" w:themeColor="text1"/>
                <w:szCs w:val="21"/>
                <w:highlight w:val="none"/>
                <w14:textFill>
                  <w14:solidFill>
                    <w14:schemeClr w14:val="tx1"/>
                  </w14:solidFill>
                </w14:textFill>
              </w:rPr>
              <w:t>m</w:t>
            </w:r>
            <w:r>
              <w:rPr>
                <w:rFonts w:hint="eastAsia" w:cs="Times New Roman"/>
                <w:color w:val="000000" w:themeColor="text1"/>
                <w:sz w:val="21"/>
                <w:szCs w:val="21"/>
                <w:highlight w:val="none"/>
                <w:lang w:val="en-US" w:eastAsia="zh-CN"/>
                <w14:textFill>
                  <w14:solidFill>
                    <w14:schemeClr w14:val="tx1"/>
                  </w14:solidFill>
                </w14:textFill>
              </w:rPr>
              <w:t>高的</w:t>
            </w:r>
            <w:r>
              <w:rPr>
                <w:rFonts w:hint="eastAsia"/>
                <w:color w:val="000000" w:themeColor="text1"/>
                <w:sz w:val="21"/>
                <w:szCs w:val="21"/>
                <w:highlight w:val="none"/>
                <w:lang w:eastAsia="zh-CN"/>
                <w14:textFill>
                  <w14:solidFill>
                    <w14:schemeClr w14:val="tx1"/>
                  </w14:solidFill>
                </w14:textFill>
              </w:rPr>
              <w:t>排气</w:t>
            </w:r>
            <w:r>
              <w:rPr>
                <w:rFonts w:hint="eastAsia" w:cs="Times New Roman"/>
                <w:b w:val="0"/>
                <w:bCs w:val="0"/>
                <w:color w:val="000000" w:themeColor="text1"/>
                <w:sz w:val="21"/>
                <w:szCs w:val="21"/>
                <w:highlight w:val="none"/>
                <w:lang w:val="en-US" w:eastAsia="zh-CN"/>
                <w14:textFill>
                  <w14:solidFill>
                    <w14:schemeClr w14:val="tx1"/>
                  </w14:solidFill>
                </w14:textFill>
              </w:rPr>
              <w:t>口</w:t>
            </w:r>
            <w:r>
              <w:rPr>
                <w:color w:val="000000" w:themeColor="text1"/>
                <w:szCs w:val="21"/>
                <w:highlight w:val="none"/>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DA001、DA002</w:t>
            </w:r>
            <w:r>
              <w:rPr>
                <w:color w:val="000000" w:themeColor="text1"/>
                <w:szCs w:val="21"/>
                <w:highlight w:val="none"/>
                <w14:textFill>
                  <w14:solidFill>
                    <w14:schemeClr w14:val="tx1"/>
                  </w14:solidFill>
                </w14:textFill>
              </w:rPr>
              <w:t>）</w:t>
            </w:r>
          </w:p>
        </w:tc>
        <w:tc>
          <w:tcPr>
            <w:tcW w:w="1799" w:type="dxa"/>
            <w:vMerge w:val="restart"/>
            <w:noWrap w:val="0"/>
            <w:vAlign w:val="center"/>
          </w:tcPr>
          <w:p w14:paraId="2163DD12">
            <w:pPr>
              <w:keepNext w:val="0"/>
              <w:keepLines w:val="0"/>
              <w:pageBreakBefore w:val="0"/>
              <w:widowControl w:val="0"/>
              <w:kinsoku/>
              <w:wordWrap/>
              <w:overflowPunct/>
              <w:topLinePunct w:val="0"/>
              <w:autoSpaceDE/>
              <w:autoSpaceDN/>
              <w:bidi w:val="0"/>
              <w:spacing w:line="240" w:lineRule="exact"/>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《耐火材料工业大气污染物排放标准》（GB46790-2025）表1大气污染物排放限值</w:t>
            </w:r>
          </w:p>
        </w:tc>
      </w:tr>
      <w:tr w14:paraId="4E4F1D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421" w:type="dxa"/>
            <w:vMerge w:val="continue"/>
            <w:noWrap w:val="0"/>
            <w:vAlign w:val="center"/>
          </w:tcPr>
          <w:p w14:paraId="54DC4B1F">
            <w:pPr>
              <w:adjustRightInd w:val="0"/>
              <w:snapToGrid w:val="0"/>
              <w:jc w:val="center"/>
              <w:rPr>
                <w:b/>
                <w:bCs/>
                <w:color w:val="000000" w:themeColor="text1"/>
                <w:szCs w:val="21"/>
                <w:highlight w:val="none"/>
                <w14:textFill>
                  <w14:solidFill>
                    <w14:schemeClr w14:val="tx1"/>
                  </w14:solidFill>
                </w14:textFill>
              </w:rPr>
            </w:pPr>
          </w:p>
        </w:tc>
        <w:tc>
          <w:tcPr>
            <w:tcW w:w="742" w:type="dxa"/>
            <w:vMerge w:val="continue"/>
            <w:noWrap w:val="0"/>
            <w:vAlign w:val="center"/>
          </w:tcPr>
          <w:p w14:paraId="20D066D9">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p>
        </w:tc>
        <w:tc>
          <w:tcPr>
            <w:tcW w:w="1244" w:type="dxa"/>
            <w:noWrap w:val="0"/>
            <w:vAlign w:val="center"/>
          </w:tcPr>
          <w:p w14:paraId="36FF7B51">
            <w:pPr>
              <w:adjustRightInd w:val="0"/>
              <w:snapToGrid w:val="0"/>
              <w:jc w:val="center"/>
              <w:rPr>
                <w:color w:val="000000" w:themeColor="text1"/>
                <w:szCs w:val="21"/>
                <w:highlight w:val="none"/>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转运</w:t>
            </w:r>
            <w:r>
              <w:rPr>
                <w:rFonts w:hint="default" w:ascii="Times New Roman" w:hAnsi="Times New Roman" w:cs="Times New Roman"/>
                <w:color w:val="000000" w:themeColor="text1"/>
                <w:szCs w:val="21"/>
                <w:highlight w:val="none"/>
                <w14:textFill>
                  <w14:solidFill>
                    <w14:schemeClr w14:val="tx1"/>
                  </w14:solidFill>
                </w14:textFill>
              </w:rPr>
              <w:t>粉尘</w:t>
            </w:r>
          </w:p>
        </w:tc>
        <w:tc>
          <w:tcPr>
            <w:tcW w:w="1104" w:type="dxa"/>
            <w:noWrap w:val="0"/>
            <w:vAlign w:val="center"/>
          </w:tcPr>
          <w:p w14:paraId="404CFC4C">
            <w:pPr>
              <w:keepNext w:val="0"/>
              <w:keepLines w:val="0"/>
              <w:pageBreakBefore w:val="0"/>
              <w:widowControl w:val="0"/>
              <w:kinsoku/>
              <w:wordWrap/>
              <w:overflowPunct/>
              <w:topLinePunct w:val="0"/>
              <w:autoSpaceDE/>
              <w:autoSpaceDN/>
              <w:bidi w:val="0"/>
              <w:spacing w:line="240" w:lineRule="exact"/>
              <w:jc w:val="center"/>
              <w:textAlignment w:val="auto"/>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颗粒物</w:t>
            </w:r>
          </w:p>
        </w:tc>
        <w:tc>
          <w:tcPr>
            <w:tcW w:w="3497" w:type="dxa"/>
            <w:noWrap w:val="0"/>
            <w:vAlign w:val="center"/>
          </w:tcPr>
          <w:p w14:paraId="5543AF5D">
            <w:pPr>
              <w:keepNext w:val="0"/>
              <w:keepLines w:val="0"/>
              <w:pageBreakBefore w:val="0"/>
              <w:widowControl w:val="0"/>
              <w:kinsoku/>
              <w:wordWrap/>
              <w:overflowPunct/>
              <w:topLinePunct w:val="0"/>
              <w:autoSpaceDE/>
              <w:autoSpaceDN/>
              <w:bidi w:val="0"/>
              <w:spacing w:line="240" w:lineRule="exact"/>
              <w:jc w:val="both"/>
              <w:textAlignment w:val="auto"/>
              <w:rPr>
                <w:rFonts w:hint="eastAsia"/>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w:t>
            </w:r>
            <w:r>
              <w:rPr>
                <w:rFonts w:hint="eastAsia"/>
                <w:color w:val="000000" w:themeColor="text1"/>
                <w:szCs w:val="21"/>
                <w:highlight w:val="none"/>
                <w14:textFill>
                  <w14:solidFill>
                    <w14:schemeClr w14:val="tx1"/>
                  </w14:solidFill>
                </w14:textFill>
              </w:rPr>
              <w:t>个</w:t>
            </w:r>
            <w:r>
              <w:rPr>
                <w:rFonts w:hint="eastAsia"/>
                <w:color w:val="000000" w:themeColor="text1"/>
                <w:szCs w:val="21"/>
                <w:highlight w:val="none"/>
                <w:lang w:val="en-US" w:eastAsia="zh-CN"/>
                <w14:textFill>
                  <w14:solidFill>
                    <w14:schemeClr w14:val="tx1"/>
                  </w14:solidFill>
                </w14:textFill>
              </w:rPr>
              <w:t>筒仓</w:t>
            </w:r>
            <w:r>
              <w:rPr>
                <w:color w:val="000000" w:themeColor="text1"/>
                <w:szCs w:val="21"/>
                <w:highlight w:val="none"/>
                <w14:textFill>
                  <w14:solidFill>
                    <w14:schemeClr w14:val="tx1"/>
                  </w14:solidFill>
                </w14:textFill>
              </w:rPr>
              <w:t>顶</w:t>
            </w:r>
            <w:r>
              <w:rPr>
                <w:rFonts w:hint="eastAsia"/>
                <w:color w:val="000000" w:themeColor="text1"/>
                <w:szCs w:val="21"/>
                <w:highlight w:val="none"/>
                <w:lang w:val="en-US" w:eastAsia="zh-CN"/>
                <w14:textFill>
                  <w14:solidFill>
                    <w14:schemeClr w14:val="tx1"/>
                  </w14:solidFill>
                </w14:textFill>
              </w:rPr>
              <w:t>布袋</w:t>
            </w:r>
            <w:r>
              <w:rPr>
                <w:color w:val="000000" w:themeColor="text1"/>
                <w:szCs w:val="21"/>
                <w:highlight w:val="none"/>
                <w14:textFill>
                  <w14:solidFill>
                    <w14:schemeClr w14:val="tx1"/>
                  </w14:solidFill>
                </w14:textFill>
              </w:rPr>
              <w:t>除尘器（除尘效率99%）</w:t>
            </w:r>
            <w:r>
              <w:rPr>
                <w:rFonts w:hint="eastAsia"/>
                <w:color w:val="000000" w:themeColor="text1"/>
                <w:szCs w:val="21"/>
                <w:highlight w:val="none"/>
                <w14:textFill>
                  <w14:solidFill>
                    <w14:schemeClr w14:val="tx1"/>
                  </w14:solidFill>
                </w14:textFill>
              </w:rPr>
              <w:t>+</w:t>
            </w:r>
            <w:r>
              <w:rPr>
                <w:color w:val="000000" w:themeColor="text1"/>
                <w:szCs w:val="21"/>
                <w:highlight w:val="none"/>
                <w14:textFill>
                  <w14:solidFill>
                    <w14:schemeClr w14:val="tx1"/>
                  </w14:solidFill>
                </w14:textFill>
              </w:rPr>
              <w:t>1</w:t>
            </w:r>
            <w:r>
              <w:rPr>
                <w:rFonts w:hint="eastAsia"/>
                <w:color w:val="000000" w:themeColor="text1"/>
                <w:szCs w:val="21"/>
                <w:highlight w:val="none"/>
                <w:lang w:val="en-US" w:eastAsia="zh-CN"/>
                <w14:textFill>
                  <w14:solidFill>
                    <w14:schemeClr w14:val="tx1"/>
                  </w14:solidFill>
                </w14:textFill>
              </w:rPr>
              <w:t>5</w:t>
            </w:r>
            <w:r>
              <w:rPr>
                <w:color w:val="000000" w:themeColor="text1"/>
                <w:szCs w:val="21"/>
                <w:highlight w:val="none"/>
                <w14:textFill>
                  <w14:solidFill>
                    <w14:schemeClr w14:val="tx1"/>
                  </w14:solidFill>
                </w14:textFill>
              </w:rPr>
              <w:t>m</w:t>
            </w:r>
            <w:r>
              <w:rPr>
                <w:rFonts w:hint="eastAsia" w:cs="Times New Roman"/>
                <w:color w:val="000000" w:themeColor="text1"/>
                <w:sz w:val="24"/>
                <w:highlight w:val="none"/>
                <w:lang w:val="en-US" w:eastAsia="zh-CN"/>
                <w14:textFill>
                  <w14:solidFill>
                    <w14:schemeClr w14:val="tx1"/>
                  </w14:solidFill>
                </w14:textFill>
              </w:rPr>
              <w:t>高的</w:t>
            </w:r>
            <w:r>
              <w:rPr>
                <w:rFonts w:hint="eastAsia"/>
                <w:color w:val="000000" w:themeColor="text1"/>
                <w:szCs w:val="21"/>
                <w:highlight w:val="none"/>
                <w:lang w:eastAsia="zh-CN"/>
                <w14:textFill>
                  <w14:solidFill>
                    <w14:schemeClr w14:val="tx1"/>
                  </w14:solidFill>
                </w14:textFill>
              </w:rPr>
              <w:t>排气</w:t>
            </w:r>
            <w:r>
              <w:rPr>
                <w:rFonts w:hint="eastAsia" w:cs="Times New Roman"/>
                <w:b w:val="0"/>
                <w:bCs w:val="0"/>
                <w:color w:val="000000" w:themeColor="text1"/>
                <w:sz w:val="21"/>
                <w:szCs w:val="21"/>
                <w:highlight w:val="none"/>
                <w:lang w:val="en-US" w:eastAsia="zh-CN"/>
                <w14:textFill>
                  <w14:solidFill>
                    <w14:schemeClr w14:val="tx1"/>
                  </w14:solidFill>
                </w14:textFill>
              </w:rPr>
              <w:t>口</w:t>
            </w:r>
            <w:r>
              <w:rPr>
                <w:color w:val="000000" w:themeColor="text1"/>
                <w:szCs w:val="21"/>
                <w:highlight w:val="none"/>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DA003）</w:t>
            </w:r>
          </w:p>
        </w:tc>
        <w:tc>
          <w:tcPr>
            <w:tcW w:w="1799" w:type="dxa"/>
            <w:vMerge w:val="continue"/>
            <w:noWrap w:val="0"/>
            <w:vAlign w:val="center"/>
          </w:tcPr>
          <w:p w14:paraId="3601F216">
            <w:pPr>
              <w:keepNext w:val="0"/>
              <w:keepLines w:val="0"/>
              <w:pageBreakBefore w:val="0"/>
              <w:widowControl w:val="0"/>
              <w:kinsoku/>
              <w:wordWrap/>
              <w:overflowPunct/>
              <w:topLinePunct w:val="0"/>
              <w:autoSpaceDE/>
              <w:autoSpaceDN/>
              <w:bidi w:val="0"/>
              <w:spacing w:line="240" w:lineRule="exact"/>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p>
        </w:tc>
      </w:tr>
      <w:tr w14:paraId="5183BA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421" w:type="dxa"/>
            <w:vMerge w:val="continue"/>
            <w:noWrap w:val="0"/>
            <w:vAlign w:val="center"/>
          </w:tcPr>
          <w:p w14:paraId="3130B53D">
            <w:pPr>
              <w:adjustRightInd w:val="0"/>
              <w:snapToGrid w:val="0"/>
              <w:jc w:val="center"/>
              <w:rPr>
                <w:b/>
                <w:bCs/>
                <w:color w:val="000000" w:themeColor="text1"/>
                <w:szCs w:val="21"/>
                <w:highlight w:val="none"/>
                <w14:textFill>
                  <w14:solidFill>
                    <w14:schemeClr w14:val="tx1"/>
                  </w14:solidFill>
                </w14:textFill>
              </w:rPr>
            </w:pPr>
          </w:p>
        </w:tc>
        <w:tc>
          <w:tcPr>
            <w:tcW w:w="742" w:type="dxa"/>
            <w:vMerge w:val="continue"/>
            <w:noWrap w:val="0"/>
            <w:vAlign w:val="center"/>
          </w:tcPr>
          <w:p w14:paraId="59FBB604">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p>
        </w:tc>
        <w:tc>
          <w:tcPr>
            <w:tcW w:w="1244" w:type="dxa"/>
            <w:shd w:val="clear" w:color="auto" w:fill="auto"/>
            <w:noWrap w:val="0"/>
            <w:vAlign w:val="center"/>
          </w:tcPr>
          <w:p w14:paraId="2F417734">
            <w:pPr>
              <w:adjustRightInd w:val="0"/>
              <w:snapToGrid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sz w:val="21"/>
                <w:szCs w:val="21"/>
                <w:highlight w:val="none"/>
                <w:lang w:val="en-US" w:eastAsia="zh-CN"/>
                <w14:textFill>
                  <w14:solidFill>
                    <w14:schemeClr w14:val="tx1"/>
                  </w14:solidFill>
                </w14:textFill>
              </w:rPr>
              <w:t>窑尾喂料仓卸料</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粉尘</w:t>
            </w:r>
          </w:p>
        </w:tc>
        <w:tc>
          <w:tcPr>
            <w:tcW w:w="1104" w:type="dxa"/>
            <w:shd w:val="clear" w:color="auto" w:fill="auto"/>
            <w:noWrap w:val="0"/>
            <w:vAlign w:val="center"/>
          </w:tcPr>
          <w:p w14:paraId="01B44895">
            <w:pPr>
              <w:keepNext w:val="0"/>
              <w:keepLines w:val="0"/>
              <w:pageBreakBefore w:val="0"/>
              <w:widowControl w:val="0"/>
              <w:kinsoku/>
              <w:wordWrap/>
              <w:overflowPunct/>
              <w:topLinePunct w:val="0"/>
              <w:autoSpaceDE/>
              <w:autoSpaceDN/>
              <w:bidi w:val="0"/>
              <w:spacing w:line="24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颗粒物</w:t>
            </w:r>
          </w:p>
        </w:tc>
        <w:tc>
          <w:tcPr>
            <w:tcW w:w="3497" w:type="dxa"/>
            <w:shd w:val="clear" w:color="auto" w:fill="auto"/>
            <w:noWrap w:val="0"/>
            <w:vAlign w:val="center"/>
          </w:tcPr>
          <w:p w14:paraId="3FBE9153">
            <w:pPr>
              <w:keepNext w:val="0"/>
              <w:keepLines w:val="0"/>
              <w:pageBreakBefore w:val="0"/>
              <w:widowControl w:val="0"/>
              <w:kinsoku/>
              <w:wordWrap/>
              <w:overflowPunct/>
              <w:topLinePunct w:val="0"/>
              <w:autoSpaceDE/>
              <w:autoSpaceDN/>
              <w:bidi w:val="0"/>
              <w:spacing w:line="240" w:lineRule="exact"/>
              <w:jc w:val="both"/>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r>
              <w:rPr>
                <w:rFonts w:hint="eastAsia" w:ascii="Times New Roman" w:hAnsi="Times New Roman" w:cs="Times New Roman"/>
                <w:color w:val="000000" w:themeColor="text1"/>
                <w:highlight w:val="none"/>
                <w:lang w:val="en-US" w:eastAsia="zh-CN"/>
                <w14:textFill>
                  <w14:solidFill>
                    <w14:schemeClr w14:val="tx1"/>
                  </w14:solidFill>
                </w14:textFill>
              </w:rPr>
              <w:t>个</w:t>
            </w:r>
            <w:r>
              <w:rPr>
                <w:rFonts w:hint="eastAsia"/>
                <w:color w:val="000000" w:themeColor="text1"/>
                <w:szCs w:val="21"/>
                <w:highlight w:val="none"/>
                <w:lang w:val="en-US" w:eastAsia="zh-CN"/>
                <w14:textFill>
                  <w14:solidFill>
                    <w14:schemeClr w14:val="tx1"/>
                  </w14:solidFill>
                </w14:textFill>
              </w:rPr>
              <w:t>筒</w:t>
            </w:r>
            <w:r>
              <w:rPr>
                <w:color w:val="000000" w:themeColor="text1"/>
                <w:szCs w:val="21"/>
                <w:highlight w:val="none"/>
                <w14:textFill>
                  <w14:solidFill>
                    <w14:schemeClr w14:val="tx1"/>
                  </w14:solidFill>
                </w14:textFill>
              </w:rPr>
              <w:t>仓</w:t>
            </w:r>
            <w:r>
              <w:rPr>
                <w:rFonts w:hint="eastAsia"/>
                <w:color w:val="000000" w:themeColor="text1"/>
                <w:szCs w:val="21"/>
                <w:highlight w:val="none"/>
                <w:lang w:val="en-US" w:eastAsia="zh-CN"/>
                <w14:textFill>
                  <w14:solidFill>
                    <w14:schemeClr w14:val="tx1"/>
                  </w14:solidFill>
                </w14:textFill>
              </w:rPr>
              <w:t>仓</w:t>
            </w:r>
            <w:r>
              <w:rPr>
                <w:color w:val="000000" w:themeColor="text1"/>
                <w:szCs w:val="21"/>
                <w:highlight w:val="none"/>
                <w14:textFill>
                  <w14:solidFill>
                    <w14:schemeClr w14:val="tx1"/>
                  </w14:solidFill>
                </w14:textFill>
              </w:rPr>
              <w:t>顶</w:t>
            </w:r>
            <w:r>
              <w:rPr>
                <w:rFonts w:hint="eastAsia" w:cs="Times New Roman"/>
                <w:color w:val="000000" w:themeColor="text1"/>
                <w:highlight w:val="none"/>
                <w:lang w:eastAsia="zh-CN"/>
                <w14:textFill>
                  <w14:solidFill>
                    <w14:schemeClr w14:val="tx1"/>
                  </w14:solidFill>
                </w14:textFill>
              </w:rPr>
              <w:t>布袋除尘器（覆膜袋式）</w:t>
            </w:r>
            <w:r>
              <w:rPr>
                <w:color w:val="000000" w:themeColor="text1"/>
                <w:szCs w:val="21"/>
                <w:highlight w:val="none"/>
                <w14:textFill>
                  <w14:solidFill>
                    <w14:schemeClr w14:val="tx1"/>
                  </w14:solidFill>
                </w14:textFill>
              </w:rPr>
              <w:t>（除尘效率99%）</w:t>
            </w:r>
            <w:r>
              <w:rPr>
                <w:rFonts w:hint="default" w:ascii="Times New Roman" w:hAnsi="Times New Roman" w:cs="Times New Roman"/>
                <w:color w:val="000000" w:themeColor="text1"/>
                <w:highlight w:val="none"/>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3</w:t>
            </w:r>
            <w:r>
              <w:rPr>
                <w:rFonts w:hint="eastAsia" w:ascii="Times New Roman" w:hAnsi="Times New Roman" w:cs="Times New Roman"/>
                <w:color w:val="000000" w:themeColor="text1"/>
                <w:highlight w:val="none"/>
                <w:lang w:val="en-US" w:eastAsia="zh-CN"/>
                <w14:textFill>
                  <w14:solidFill>
                    <w14:schemeClr w14:val="tx1"/>
                  </w14:solidFill>
                </w14:textFill>
              </w:rPr>
              <w:t>0</w:t>
            </w:r>
            <w:r>
              <w:rPr>
                <w:rFonts w:hint="default" w:ascii="Times New Roman" w:hAnsi="Times New Roman" w:cs="Times New Roman"/>
                <w:color w:val="000000" w:themeColor="text1"/>
                <w:highlight w:val="none"/>
                <w:lang w:eastAsia="zh-CN"/>
                <w14:textFill>
                  <w14:solidFill>
                    <w14:schemeClr w14:val="tx1"/>
                  </w14:solidFill>
                </w14:textFill>
              </w:rPr>
              <w:t>m</w:t>
            </w:r>
            <w:r>
              <w:rPr>
                <w:rFonts w:hint="eastAsia" w:cs="Times New Roman"/>
                <w:color w:val="000000" w:themeColor="text1"/>
                <w:sz w:val="24"/>
                <w:highlight w:val="none"/>
                <w:lang w:val="en-US" w:eastAsia="zh-CN"/>
                <w14:textFill>
                  <w14:solidFill>
                    <w14:schemeClr w14:val="tx1"/>
                  </w14:solidFill>
                </w14:textFill>
              </w:rPr>
              <w:t>高的</w:t>
            </w:r>
            <w:r>
              <w:rPr>
                <w:rFonts w:hint="eastAsia" w:cs="Times New Roman"/>
                <w:color w:val="000000" w:themeColor="text1"/>
                <w:highlight w:val="none"/>
                <w:lang w:eastAsia="zh-CN"/>
                <w14:textFill>
                  <w14:solidFill>
                    <w14:schemeClr w14:val="tx1"/>
                  </w14:solidFill>
                </w14:textFill>
              </w:rPr>
              <w:t>排气</w:t>
            </w:r>
            <w:r>
              <w:rPr>
                <w:rFonts w:hint="eastAsia" w:cs="Times New Roman"/>
                <w:b w:val="0"/>
                <w:bCs w:val="0"/>
                <w:color w:val="000000" w:themeColor="text1"/>
                <w:sz w:val="21"/>
                <w:szCs w:val="21"/>
                <w:highlight w:val="none"/>
                <w:lang w:val="en-US" w:eastAsia="zh-CN"/>
                <w14:textFill>
                  <w14:solidFill>
                    <w14:schemeClr w14:val="tx1"/>
                  </w14:solidFill>
                </w14:textFill>
              </w:rPr>
              <w:t>口</w:t>
            </w:r>
            <w:r>
              <w:rPr>
                <w:rFonts w:hint="default" w:ascii="Times New Roman" w:hAnsi="Times New Roman" w:cs="Times New Roman"/>
                <w:color w:val="000000" w:themeColor="text1"/>
                <w:highlight w:val="none"/>
                <w14:textFill>
                  <w14:solidFill>
                    <w14:schemeClr w14:val="tx1"/>
                  </w14:solidFill>
                </w14:textFill>
              </w:rPr>
              <w:t>（DA00</w:t>
            </w:r>
            <w:r>
              <w:rPr>
                <w:rFonts w:hint="eastAsia" w:cs="Times New Roman"/>
                <w:color w:val="000000" w:themeColor="text1"/>
                <w:highlight w:val="none"/>
                <w:lang w:val="en-US" w:eastAsia="zh-CN"/>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t>）</w:t>
            </w:r>
          </w:p>
        </w:tc>
        <w:tc>
          <w:tcPr>
            <w:tcW w:w="1799" w:type="dxa"/>
            <w:vMerge w:val="continue"/>
            <w:noWrap w:val="0"/>
            <w:vAlign w:val="center"/>
          </w:tcPr>
          <w:p w14:paraId="3D21DDB2">
            <w:pPr>
              <w:keepNext w:val="0"/>
              <w:keepLines w:val="0"/>
              <w:pageBreakBefore w:val="0"/>
              <w:widowControl w:val="0"/>
              <w:kinsoku/>
              <w:wordWrap/>
              <w:overflowPunct/>
              <w:topLinePunct w:val="0"/>
              <w:autoSpaceDE/>
              <w:autoSpaceDN/>
              <w:bidi w:val="0"/>
              <w:spacing w:line="240" w:lineRule="exact"/>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p>
        </w:tc>
      </w:tr>
      <w:tr w14:paraId="789247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421" w:type="dxa"/>
            <w:vMerge w:val="continue"/>
            <w:noWrap w:val="0"/>
            <w:vAlign w:val="center"/>
          </w:tcPr>
          <w:p w14:paraId="78CC6E27">
            <w:pPr>
              <w:adjustRightInd w:val="0"/>
              <w:snapToGrid w:val="0"/>
              <w:jc w:val="center"/>
              <w:rPr>
                <w:b/>
                <w:bCs/>
                <w:color w:val="000000" w:themeColor="text1"/>
                <w:szCs w:val="21"/>
                <w:highlight w:val="none"/>
                <w14:textFill>
                  <w14:solidFill>
                    <w14:schemeClr w14:val="tx1"/>
                  </w14:solidFill>
                </w14:textFill>
              </w:rPr>
            </w:pPr>
          </w:p>
        </w:tc>
        <w:tc>
          <w:tcPr>
            <w:tcW w:w="742" w:type="dxa"/>
            <w:vMerge w:val="continue"/>
            <w:noWrap w:val="0"/>
            <w:vAlign w:val="center"/>
          </w:tcPr>
          <w:p w14:paraId="17A35E8A">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p>
        </w:tc>
        <w:tc>
          <w:tcPr>
            <w:tcW w:w="1244" w:type="dxa"/>
            <w:shd w:val="clear" w:color="auto" w:fill="auto"/>
            <w:noWrap w:val="0"/>
            <w:vAlign w:val="center"/>
          </w:tcPr>
          <w:p w14:paraId="5CDDEEF4">
            <w:pPr>
              <w:adjustRightInd w:val="0"/>
              <w:snapToGrid w:val="0"/>
              <w:jc w:val="center"/>
              <w:rPr>
                <w:rFonts w:hint="eastAsia" w:ascii="Times New Roman" w:hAnsi="Times New Roman" w:eastAsia="宋体" w:cs="Times New Roman"/>
                <w:color w:val="000000" w:themeColor="text1"/>
                <w:spacing w:val="-1"/>
                <w:kern w:val="2"/>
                <w:sz w:val="21"/>
                <w:szCs w:val="21"/>
                <w:highlight w:val="none"/>
                <w:lang w:val="en-US" w:eastAsia="zh-CN" w:bidi="ar-SA"/>
                <w14:textFill>
                  <w14:solidFill>
                    <w14:schemeClr w14:val="tx1"/>
                  </w14:solidFill>
                </w14:textFill>
              </w:rPr>
            </w:pPr>
            <w:r>
              <w:rPr>
                <w:rFonts w:hint="eastAsia" w:cs="Times New Roman"/>
                <w:color w:val="000000" w:themeColor="text1"/>
                <w:spacing w:val="-1"/>
                <w:sz w:val="21"/>
                <w:szCs w:val="21"/>
                <w:highlight w:val="none"/>
                <w:lang w:val="en-US" w:eastAsia="zh-CN"/>
                <w14:textFill>
                  <w14:solidFill>
                    <w14:schemeClr w14:val="tx1"/>
                  </w14:solidFill>
                </w14:textFill>
              </w:rPr>
              <w:t>窑尾提升机卸料分场</w:t>
            </w:r>
          </w:p>
        </w:tc>
        <w:tc>
          <w:tcPr>
            <w:tcW w:w="1104" w:type="dxa"/>
            <w:shd w:val="clear" w:color="auto" w:fill="auto"/>
            <w:noWrap w:val="0"/>
            <w:vAlign w:val="center"/>
          </w:tcPr>
          <w:p w14:paraId="391A9654">
            <w:pPr>
              <w:keepNext w:val="0"/>
              <w:keepLines w:val="0"/>
              <w:pageBreakBefore w:val="0"/>
              <w:widowControl w:val="0"/>
              <w:kinsoku/>
              <w:wordWrap/>
              <w:overflowPunct/>
              <w:topLinePunct w:val="0"/>
              <w:autoSpaceDE/>
              <w:autoSpaceDN/>
              <w:bidi w:val="0"/>
              <w:spacing w:line="240" w:lineRule="exact"/>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颗粒物</w:t>
            </w:r>
          </w:p>
        </w:tc>
        <w:tc>
          <w:tcPr>
            <w:tcW w:w="3497" w:type="dxa"/>
            <w:shd w:val="clear" w:color="auto" w:fill="auto"/>
            <w:noWrap w:val="0"/>
            <w:vAlign w:val="center"/>
          </w:tcPr>
          <w:p w14:paraId="4DD50B31">
            <w:pPr>
              <w:keepNext w:val="0"/>
              <w:keepLines w:val="0"/>
              <w:pageBreakBefore w:val="0"/>
              <w:widowControl w:val="0"/>
              <w:kinsoku/>
              <w:wordWrap/>
              <w:overflowPunct/>
              <w:topLinePunct w:val="0"/>
              <w:autoSpaceDE/>
              <w:autoSpaceDN/>
              <w:bidi w:val="0"/>
              <w:spacing w:line="240" w:lineRule="exact"/>
              <w:jc w:val="both"/>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经</w:t>
            </w:r>
            <w:r>
              <w:rPr>
                <w:rFonts w:hint="eastAsia"/>
                <w:color w:val="000000" w:themeColor="text1"/>
                <w:szCs w:val="21"/>
                <w:highlight w:val="none"/>
                <w:lang w:eastAsia="zh-CN"/>
                <w14:textFill>
                  <w14:solidFill>
                    <w14:schemeClr w14:val="tx1"/>
                  </w14:solidFill>
                </w14:textFill>
              </w:rPr>
              <w:t>布袋除尘器（覆膜袋式）</w:t>
            </w:r>
            <w:r>
              <w:rPr>
                <w:color w:val="000000" w:themeColor="text1"/>
                <w:szCs w:val="21"/>
                <w:highlight w:val="none"/>
                <w14:textFill>
                  <w14:solidFill>
                    <w14:schemeClr w14:val="tx1"/>
                  </w14:solidFill>
                </w14:textFill>
              </w:rPr>
              <w:t>（除尘效率99%）</w:t>
            </w:r>
            <w:r>
              <w:rPr>
                <w:rFonts w:hint="eastAsia"/>
                <w:color w:val="000000" w:themeColor="text1"/>
                <w:szCs w:val="21"/>
                <w:highlight w:val="none"/>
                <w:lang w:val="en-US" w:eastAsia="zh-CN"/>
                <w14:textFill>
                  <w14:solidFill>
                    <w14:schemeClr w14:val="tx1"/>
                  </w14:solidFill>
                </w14:textFill>
              </w:rPr>
              <w:t>处理后</w:t>
            </w: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通过</w:t>
            </w:r>
            <w:r>
              <w:rPr>
                <w:rFonts w:hint="eastAsia" w:cs="Times New Roman"/>
                <w:b w:val="0"/>
                <w:bCs w:val="0"/>
                <w:color w:val="000000" w:themeColor="text1"/>
                <w:sz w:val="21"/>
                <w:szCs w:val="21"/>
                <w:highlight w:val="none"/>
                <w:lang w:val="en-US" w:eastAsia="zh-CN"/>
                <w14:textFill>
                  <w14:solidFill>
                    <w14:schemeClr w14:val="tx1"/>
                  </w14:solidFill>
                </w14:textFill>
              </w:rPr>
              <w:t>90</w:t>
            </w: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m</w:t>
            </w:r>
            <w:r>
              <w:rPr>
                <w:rFonts w:hint="eastAsia" w:cs="Times New Roman"/>
                <w:color w:val="000000" w:themeColor="text1"/>
                <w:sz w:val="24"/>
                <w:highlight w:val="none"/>
                <w:lang w:val="en-US" w:eastAsia="zh-CN"/>
                <w14:textFill>
                  <w14:solidFill>
                    <w14:schemeClr w14:val="tx1"/>
                  </w14:solidFill>
                </w14:textFill>
              </w:rPr>
              <w:t>高的</w:t>
            </w:r>
            <w:r>
              <w:rPr>
                <w:rFonts w:hint="eastAsia" w:cs="Times New Roman"/>
                <w:b w:val="0"/>
                <w:bCs w:val="0"/>
                <w:color w:val="000000" w:themeColor="text1"/>
                <w:sz w:val="21"/>
                <w:szCs w:val="21"/>
                <w:highlight w:val="none"/>
                <w:lang w:val="en-US" w:eastAsia="zh-CN"/>
                <w14:textFill>
                  <w14:solidFill>
                    <w14:schemeClr w14:val="tx1"/>
                  </w14:solidFill>
                </w14:textFill>
              </w:rPr>
              <w:t>排气口</w:t>
            </w: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（DA00</w:t>
            </w:r>
            <w:r>
              <w:rPr>
                <w:rFonts w:hint="eastAsia" w:cs="Times New Roman"/>
                <w:b w:val="0"/>
                <w:bCs w:val="0"/>
                <w:color w:val="000000" w:themeColor="text1"/>
                <w:sz w:val="21"/>
                <w:szCs w:val="21"/>
                <w:highlight w:val="none"/>
                <w:lang w:val="en-US" w:eastAsia="zh-CN"/>
                <w14:textFill>
                  <w14:solidFill>
                    <w14:schemeClr w14:val="tx1"/>
                  </w14:solidFill>
                </w14:textFill>
              </w:rPr>
              <w:t>5</w:t>
            </w: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）达标排放</w:t>
            </w:r>
          </w:p>
        </w:tc>
        <w:tc>
          <w:tcPr>
            <w:tcW w:w="1799" w:type="dxa"/>
            <w:vMerge w:val="continue"/>
            <w:noWrap w:val="0"/>
            <w:vAlign w:val="center"/>
          </w:tcPr>
          <w:p w14:paraId="1E7F6AB4">
            <w:pPr>
              <w:keepNext w:val="0"/>
              <w:keepLines w:val="0"/>
              <w:pageBreakBefore w:val="0"/>
              <w:widowControl w:val="0"/>
              <w:kinsoku/>
              <w:wordWrap/>
              <w:overflowPunct/>
              <w:topLinePunct w:val="0"/>
              <w:autoSpaceDE/>
              <w:autoSpaceDN/>
              <w:bidi w:val="0"/>
              <w:spacing w:line="240" w:lineRule="exact"/>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p>
        </w:tc>
      </w:tr>
      <w:tr w14:paraId="4E34BC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421" w:type="dxa"/>
            <w:vMerge w:val="continue"/>
            <w:noWrap w:val="0"/>
            <w:vAlign w:val="center"/>
          </w:tcPr>
          <w:p w14:paraId="724D60AB">
            <w:pPr>
              <w:adjustRightInd w:val="0"/>
              <w:snapToGrid w:val="0"/>
              <w:jc w:val="center"/>
              <w:rPr>
                <w:b/>
                <w:bCs/>
                <w:color w:val="000000" w:themeColor="text1"/>
                <w:szCs w:val="21"/>
                <w:highlight w:val="none"/>
                <w14:textFill>
                  <w14:solidFill>
                    <w14:schemeClr w14:val="tx1"/>
                  </w14:solidFill>
                </w14:textFill>
              </w:rPr>
            </w:pPr>
          </w:p>
        </w:tc>
        <w:tc>
          <w:tcPr>
            <w:tcW w:w="742" w:type="dxa"/>
            <w:vMerge w:val="continue"/>
            <w:noWrap w:val="0"/>
            <w:vAlign w:val="center"/>
          </w:tcPr>
          <w:p w14:paraId="176CD754">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p>
        </w:tc>
        <w:tc>
          <w:tcPr>
            <w:tcW w:w="1244" w:type="dxa"/>
            <w:noWrap w:val="0"/>
            <w:vAlign w:val="center"/>
          </w:tcPr>
          <w:p w14:paraId="12FACA56">
            <w:pPr>
              <w:adjustRightInd w:val="0"/>
              <w:snapToGrid w:val="0"/>
              <w:jc w:val="center"/>
              <w:rPr>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回转窑</w:t>
            </w:r>
            <w:r>
              <w:rPr>
                <w:rFonts w:hint="eastAsia" w:cs="Times New Roman"/>
                <w:color w:val="000000" w:themeColor="text1"/>
                <w:spacing w:val="-1"/>
                <w:sz w:val="21"/>
                <w:szCs w:val="21"/>
                <w:highlight w:val="none"/>
                <w:lang w:val="en-US" w:eastAsia="zh-CN"/>
                <w14:textFill>
                  <w14:solidFill>
                    <w14:schemeClr w14:val="tx1"/>
                  </w14:solidFill>
                </w14:textFill>
              </w:rPr>
              <w:t>和窑尾烟气</w:t>
            </w:r>
          </w:p>
        </w:tc>
        <w:tc>
          <w:tcPr>
            <w:tcW w:w="1104" w:type="dxa"/>
            <w:noWrap w:val="0"/>
            <w:vAlign w:val="center"/>
          </w:tcPr>
          <w:p w14:paraId="4E6C1452">
            <w:pPr>
              <w:keepNext w:val="0"/>
              <w:keepLines w:val="0"/>
              <w:pageBreakBefore w:val="0"/>
              <w:widowControl w:val="0"/>
              <w:kinsoku/>
              <w:wordWrap/>
              <w:overflowPunct/>
              <w:topLinePunct w:val="0"/>
              <w:autoSpaceDE/>
              <w:autoSpaceDN/>
              <w:bidi w:val="0"/>
              <w:spacing w:line="240" w:lineRule="exact"/>
              <w:jc w:val="center"/>
              <w:textAlignment w:val="auto"/>
              <w:rPr>
                <w:rFonts w:hint="eastAsia" w:eastAsia="宋体"/>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颗粒物</w:t>
            </w:r>
            <w:r>
              <w:rPr>
                <w:rFonts w:hint="eastAsia"/>
                <w:color w:val="000000" w:themeColor="text1"/>
                <w:szCs w:val="21"/>
                <w:highlight w:val="none"/>
                <w:lang w:eastAsia="zh-CN"/>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氮氧化物、二氧化硫</w:t>
            </w: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、氨气</w:t>
            </w:r>
          </w:p>
        </w:tc>
        <w:tc>
          <w:tcPr>
            <w:tcW w:w="3497" w:type="dxa"/>
            <w:noWrap w:val="0"/>
            <w:vAlign w:val="center"/>
          </w:tcPr>
          <w:p w14:paraId="5559495B">
            <w:pPr>
              <w:keepNext w:val="0"/>
              <w:keepLines w:val="0"/>
              <w:pageBreakBefore w:val="0"/>
              <w:widowControl w:val="0"/>
              <w:kinsoku/>
              <w:wordWrap/>
              <w:overflowPunct/>
              <w:topLinePunct w:val="0"/>
              <w:autoSpaceDE/>
              <w:autoSpaceDN/>
              <w:bidi w:val="0"/>
              <w:spacing w:line="240" w:lineRule="exact"/>
              <w:jc w:val="both"/>
              <w:textAlignment w:val="auto"/>
              <w:rPr>
                <w:rFonts w:hint="eastAsia" w:eastAsia="宋体"/>
                <w:color w:val="000000" w:themeColor="text1"/>
                <w:kern w:val="2"/>
                <w:sz w:val="21"/>
                <w:szCs w:val="21"/>
                <w:highlight w:val="none"/>
                <w:lang w:val="en-US" w:eastAsia="zh-CN" w:bidi="ar-SA"/>
                <w14:textFill>
                  <w14:solidFill>
                    <w14:schemeClr w14:val="tx1"/>
                  </w14:solidFill>
                </w14:textFill>
              </w:rPr>
            </w:pPr>
            <w:r>
              <w:rPr>
                <w:rFonts w:hint="eastAsia" w:cs="Times New Roman"/>
                <w:b w:val="0"/>
                <w:bCs w:val="0"/>
                <w:color w:val="000000" w:themeColor="text1"/>
                <w:sz w:val="21"/>
                <w:szCs w:val="21"/>
                <w:highlight w:val="none"/>
                <w:lang w:val="en-US" w:eastAsia="zh-CN"/>
                <w14:textFill>
                  <w14:solidFill>
                    <w14:schemeClr w14:val="tx1"/>
                  </w14:solidFill>
                </w14:textFill>
              </w:rPr>
              <w:t>低氮燃烧（“分级燃烧+缺氧燃烧+烟气再循环（FGR”组合）</w:t>
            </w: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w:t>
            </w:r>
            <w:r>
              <w:rPr>
                <w:rFonts w:hint="eastAsia"/>
                <w:color w:val="000000" w:themeColor="text1"/>
                <w:sz w:val="21"/>
                <w:szCs w:val="21"/>
                <w:highlight w:val="none"/>
                <w14:textFill>
                  <w14:solidFill>
                    <w14:schemeClr w14:val="tx1"/>
                  </w14:solidFill>
                </w14:textFill>
              </w:rPr>
              <w:t>密闭</w:t>
            </w:r>
            <w:r>
              <w:rPr>
                <w:rFonts w:hint="eastAsia"/>
                <w:color w:val="000000" w:themeColor="text1"/>
                <w:sz w:val="21"/>
                <w:szCs w:val="21"/>
                <w:highlight w:val="none"/>
                <w:lang w:val="en-US" w:eastAsia="zh-CN"/>
                <w14:textFill>
                  <w14:solidFill>
                    <w14:schemeClr w14:val="tx1"/>
                  </w14:solidFill>
                </w14:textFill>
              </w:rPr>
              <w:t>设备+管道</w:t>
            </w:r>
            <w:r>
              <w:rPr>
                <w:rFonts w:hint="eastAsia"/>
                <w:color w:val="000000" w:themeColor="text1"/>
                <w:sz w:val="21"/>
                <w:szCs w:val="21"/>
                <w:highlight w:val="none"/>
                <w14:textFill>
                  <w14:solidFill>
                    <w14:schemeClr w14:val="tx1"/>
                  </w14:solidFill>
                </w14:textFill>
              </w:rPr>
              <w:t>收集+</w:t>
            </w: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余热</w:t>
            </w:r>
            <w:r>
              <w:rPr>
                <w:rFonts w:hint="eastAsia" w:cs="Times New Roman"/>
                <w:b w:val="0"/>
                <w:bCs w:val="0"/>
                <w:color w:val="000000" w:themeColor="text1"/>
                <w:sz w:val="21"/>
                <w:szCs w:val="21"/>
                <w:highlight w:val="none"/>
                <w:lang w:val="en-US" w:eastAsia="zh-CN"/>
                <w14:textFill>
                  <w14:solidFill>
                    <w14:schemeClr w14:val="tx1"/>
                  </w14:solidFill>
                </w14:textFill>
              </w:rPr>
              <w:t>锅炉</w:t>
            </w: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+脱硝装置（SNCR）</w:t>
            </w:r>
            <w:r>
              <w:rPr>
                <w:rFonts w:hint="default" w:ascii="Times New Roman" w:hAnsi="Times New Roman" w:cs="Times New Roman"/>
                <w:color w:val="000000" w:themeColor="text1"/>
                <w:szCs w:val="21"/>
                <w:highlight w:val="none"/>
                <w14:textFill>
                  <w14:solidFill>
                    <w14:schemeClr w14:val="tx1"/>
                  </w14:solidFill>
                </w14:textFill>
              </w:rPr>
              <w:t>（</w:t>
            </w:r>
            <w:r>
              <w:rPr>
                <w:rFonts w:hint="eastAsia" w:ascii="Times New Roman" w:hAnsi="Times New Roman" w:cs="Times New Roman"/>
                <w:color w:val="000000" w:themeColor="text1"/>
                <w:szCs w:val="21"/>
                <w:highlight w:val="none"/>
                <w:lang w:val="en-US" w:eastAsia="zh-CN"/>
                <w14:textFill>
                  <w14:solidFill>
                    <w14:schemeClr w14:val="tx1"/>
                  </w14:solidFill>
                </w14:textFill>
              </w:rPr>
              <w:t>脱硝</w:t>
            </w:r>
            <w:r>
              <w:rPr>
                <w:rFonts w:hint="default" w:ascii="Times New Roman" w:hAnsi="Times New Roman" w:cs="Times New Roman"/>
                <w:color w:val="000000" w:themeColor="text1"/>
                <w:szCs w:val="21"/>
                <w:highlight w:val="none"/>
                <w14:textFill>
                  <w14:solidFill>
                    <w14:schemeClr w14:val="tx1"/>
                  </w14:solidFill>
                </w14:textFill>
              </w:rPr>
              <w:t>效率</w:t>
            </w:r>
            <w:r>
              <w:rPr>
                <w:rFonts w:hint="eastAsia" w:cs="Times New Roman"/>
                <w:color w:val="000000" w:themeColor="text1"/>
                <w:szCs w:val="21"/>
                <w:highlight w:val="none"/>
                <w:lang w:val="en-US" w:eastAsia="zh-CN"/>
                <w14:textFill>
                  <w14:solidFill>
                    <w14:schemeClr w14:val="tx1"/>
                  </w14:solidFill>
                </w14:textFill>
              </w:rPr>
              <w:t>50%</w:t>
            </w:r>
            <w:r>
              <w:rPr>
                <w:rFonts w:hint="default" w:ascii="Times New Roman" w:hAnsi="Times New Roman" w:cs="Times New Roman"/>
                <w:color w:val="000000" w:themeColor="text1"/>
                <w:szCs w:val="21"/>
                <w:highlight w:val="none"/>
                <w14:textFill>
                  <w14:solidFill>
                    <w14:schemeClr w14:val="tx1"/>
                  </w14:solidFill>
                </w14:textFill>
              </w:rPr>
              <w:t>）</w:t>
            </w: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+布袋除尘器（覆膜袋式）除尘</w:t>
            </w:r>
            <w:r>
              <w:rPr>
                <w:rFonts w:hint="eastAsia" w:cs="Times New Roman"/>
                <w:b w:val="0"/>
                <w:bCs w:val="0"/>
                <w:color w:val="000000" w:themeColor="text1"/>
                <w:sz w:val="21"/>
                <w:szCs w:val="21"/>
                <w:highlight w:val="none"/>
                <w:lang w:val="en-US" w:eastAsia="zh-CN"/>
                <w14:textFill>
                  <w14:solidFill>
                    <w14:schemeClr w14:val="tx1"/>
                  </w14:solidFill>
                </w14:textFill>
              </w:rPr>
              <w:t>（除尘效率99%）</w:t>
            </w: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+石灰石-石膏法装置脱硫</w:t>
            </w:r>
            <w:r>
              <w:rPr>
                <w:rFonts w:hint="eastAsia" w:cs="Times New Roman"/>
                <w:b w:val="0"/>
                <w:bCs w:val="0"/>
                <w:color w:val="000000" w:themeColor="text1"/>
                <w:sz w:val="21"/>
                <w:szCs w:val="21"/>
                <w:highlight w:val="none"/>
                <w:lang w:val="en-US" w:eastAsia="zh-CN"/>
                <w14:textFill>
                  <w14:solidFill>
                    <w14:schemeClr w14:val="tx1"/>
                  </w14:solidFill>
                </w14:textFill>
              </w:rPr>
              <w:t>（</w:t>
            </w:r>
            <w:r>
              <w:rPr>
                <w:rFonts w:hint="eastAsia" w:ascii="Times New Roman" w:hAnsi="Times New Roman" w:cs="Times New Roman"/>
                <w:color w:val="000000" w:themeColor="text1"/>
                <w:szCs w:val="21"/>
                <w:highlight w:val="none"/>
                <w:lang w:val="en-US" w:eastAsia="zh-CN"/>
                <w14:textFill>
                  <w14:solidFill>
                    <w14:schemeClr w14:val="tx1"/>
                  </w14:solidFill>
                </w14:textFill>
              </w:rPr>
              <w:t>脱硫效率90%，除氨效率50%</w:t>
            </w:r>
            <w:r>
              <w:rPr>
                <w:rFonts w:hint="eastAsia" w:cs="Times New Roman"/>
                <w:color w:val="000000" w:themeColor="text1"/>
                <w:szCs w:val="21"/>
                <w:highlight w:val="none"/>
                <w:lang w:val="en-US" w:eastAsia="zh-CN"/>
                <w14:textFill>
                  <w14:solidFill>
                    <w14:schemeClr w14:val="tx1"/>
                  </w14:solidFill>
                </w14:textFill>
              </w:rPr>
              <w:t>）</w:t>
            </w:r>
            <w:r>
              <w:rPr>
                <w:rFonts w:hint="eastAsia"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后</w:t>
            </w:r>
            <w:r>
              <w:rPr>
                <w:rFonts w:hint="eastAsia"/>
                <w:color w:val="000000" w:themeColor="text1"/>
                <w:sz w:val="21"/>
                <w:szCs w:val="21"/>
                <w:highlight w:val="none"/>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42m</w:t>
            </w:r>
            <w:r>
              <w:rPr>
                <w:rFonts w:hint="eastAsia" w:cs="Times New Roman"/>
                <w:color w:val="000000" w:themeColor="text1"/>
                <w:sz w:val="24"/>
                <w:highlight w:val="none"/>
                <w:lang w:val="en-US" w:eastAsia="zh-CN"/>
                <w14:textFill>
                  <w14:solidFill>
                    <w14:schemeClr w14:val="tx1"/>
                  </w14:solidFill>
                </w14:textFill>
              </w:rPr>
              <w:t>高的</w:t>
            </w:r>
            <w:r>
              <w:rPr>
                <w:rFonts w:hint="eastAsia"/>
                <w:color w:val="000000" w:themeColor="text1"/>
                <w:sz w:val="21"/>
                <w:szCs w:val="21"/>
                <w:highlight w:val="none"/>
                <w:lang w:eastAsia="zh-CN"/>
                <w14:textFill>
                  <w14:solidFill>
                    <w14:schemeClr w14:val="tx1"/>
                  </w14:solidFill>
                </w14:textFill>
              </w:rPr>
              <w:t>排气</w:t>
            </w:r>
            <w:r>
              <w:rPr>
                <w:rFonts w:hint="eastAsia" w:cs="Times New Roman"/>
                <w:b w:val="0"/>
                <w:bCs w:val="0"/>
                <w:color w:val="000000" w:themeColor="text1"/>
                <w:sz w:val="21"/>
                <w:szCs w:val="21"/>
                <w:highlight w:val="none"/>
                <w:lang w:val="en-US" w:eastAsia="zh-CN"/>
                <w14:textFill>
                  <w14:solidFill>
                    <w14:schemeClr w14:val="tx1"/>
                  </w14:solidFill>
                </w14:textFill>
              </w:rPr>
              <w:t>口</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DA006</w:t>
            </w:r>
            <w:r>
              <w:rPr>
                <w:color w:val="000000" w:themeColor="text1"/>
                <w:sz w:val="21"/>
                <w:szCs w:val="21"/>
                <w:highlight w:val="none"/>
                <w14:textFill>
                  <w14:solidFill>
                    <w14:schemeClr w14:val="tx1"/>
                  </w14:solidFill>
                </w14:textFill>
              </w:rPr>
              <w:t>）</w:t>
            </w:r>
            <w:r>
              <w:rPr>
                <w:rFonts w:hint="eastAsia"/>
                <w:color w:val="000000" w:themeColor="text1"/>
                <w:sz w:val="21"/>
                <w:szCs w:val="21"/>
                <w:highlight w:val="none"/>
                <w:lang w:eastAsia="zh-CN"/>
                <w14:textFill>
                  <w14:solidFill>
                    <w14:schemeClr w14:val="tx1"/>
                  </w14:solidFill>
                </w14:textFill>
              </w:rPr>
              <w:t>。</w:t>
            </w:r>
          </w:p>
        </w:tc>
        <w:tc>
          <w:tcPr>
            <w:tcW w:w="1799" w:type="dxa"/>
            <w:vMerge w:val="continue"/>
            <w:noWrap w:val="0"/>
            <w:vAlign w:val="center"/>
          </w:tcPr>
          <w:p w14:paraId="3B81AD96">
            <w:pPr>
              <w:keepNext w:val="0"/>
              <w:keepLines w:val="0"/>
              <w:pageBreakBefore w:val="0"/>
              <w:widowControl w:val="0"/>
              <w:kinsoku/>
              <w:wordWrap/>
              <w:overflowPunct/>
              <w:topLinePunct w:val="0"/>
              <w:autoSpaceDE/>
              <w:autoSpaceDN/>
              <w:bidi w:val="0"/>
              <w:spacing w:line="240" w:lineRule="exact"/>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p>
        </w:tc>
      </w:tr>
      <w:tr w14:paraId="288A4C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421" w:type="dxa"/>
            <w:vMerge w:val="continue"/>
            <w:noWrap w:val="0"/>
            <w:vAlign w:val="center"/>
          </w:tcPr>
          <w:p w14:paraId="670CF274">
            <w:pPr>
              <w:adjustRightInd w:val="0"/>
              <w:snapToGrid w:val="0"/>
              <w:jc w:val="center"/>
              <w:rPr>
                <w:b/>
                <w:bCs/>
                <w:color w:val="000000" w:themeColor="text1"/>
                <w:szCs w:val="21"/>
                <w:highlight w:val="none"/>
                <w14:textFill>
                  <w14:solidFill>
                    <w14:schemeClr w14:val="tx1"/>
                  </w14:solidFill>
                </w14:textFill>
              </w:rPr>
            </w:pPr>
          </w:p>
        </w:tc>
        <w:tc>
          <w:tcPr>
            <w:tcW w:w="742" w:type="dxa"/>
            <w:vMerge w:val="continue"/>
            <w:noWrap w:val="0"/>
            <w:vAlign w:val="center"/>
          </w:tcPr>
          <w:p w14:paraId="243FE562">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p>
        </w:tc>
        <w:tc>
          <w:tcPr>
            <w:tcW w:w="1244" w:type="dxa"/>
            <w:shd w:val="clear" w:color="auto" w:fill="auto"/>
            <w:noWrap w:val="0"/>
            <w:vAlign w:val="center"/>
          </w:tcPr>
          <w:p w14:paraId="11EBACFE">
            <w:pPr>
              <w:adjustRightInd w:val="0"/>
              <w:snapToGrid w:val="0"/>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分选（打散机和粉磨）废气</w:t>
            </w:r>
          </w:p>
        </w:tc>
        <w:tc>
          <w:tcPr>
            <w:tcW w:w="1104" w:type="dxa"/>
            <w:shd w:val="clear" w:color="auto" w:fill="auto"/>
            <w:noWrap w:val="0"/>
            <w:vAlign w:val="center"/>
          </w:tcPr>
          <w:p w14:paraId="4D1C9CE6">
            <w:pPr>
              <w:keepNext w:val="0"/>
              <w:keepLines w:val="0"/>
              <w:pageBreakBefore w:val="0"/>
              <w:widowControl w:val="0"/>
              <w:kinsoku/>
              <w:wordWrap/>
              <w:overflowPunct/>
              <w:topLinePunct w:val="0"/>
              <w:autoSpaceDE/>
              <w:autoSpaceDN/>
              <w:bidi w:val="0"/>
              <w:spacing w:line="240" w:lineRule="exact"/>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颗粒物</w:t>
            </w:r>
          </w:p>
        </w:tc>
        <w:tc>
          <w:tcPr>
            <w:tcW w:w="3497" w:type="dxa"/>
            <w:shd w:val="clear" w:color="auto" w:fill="auto"/>
            <w:noWrap w:val="0"/>
            <w:vAlign w:val="center"/>
          </w:tcPr>
          <w:p w14:paraId="5B4B3535">
            <w:pPr>
              <w:keepNext w:val="0"/>
              <w:keepLines w:val="0"/>
              <w:pageBreakBefore w:val="0"/>
              <w:widowControl w:val="0"/>
              <w:kinsoku/>
              <w:wordWrap/>
              <w:overflowPunct/>
              <w:topLinePunct w:val="0"/>
              <w:autoSpaceDE/>
              <w:autoSpaceDN/>
              <w:bidi w:val="0"/>
              <w:spacing w:line="240" w:lineRule="exact"/>
              <w:jc w:val="both"/>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密闭管道收集+</w:t>
            </w:r>
            <w:r>
              <w:rPr>
                <w:rFonts w:hint="eastAsia"/>
                <w:color w:val="000000" w:themeColor="text1"/>
                <w:szCs w:val="21"/>
                <w:highlight w:val="none"/>
                <w:lang w:eastAsia="zh-CN"/>
                <w14:textFill>
                  <w14:solidFill>
                    <w14:schemeClr w14:val="tx1"/>
                  </w14:solidFill>
                </w14:textFill>
              </w:rPr>
              <w:t>布袋除尘器（覆膜袋式）</w:t>
            </w:r>
            <w:r>
              <w:rPr>
                <w:color w:val="000000" w:themeColor="text1"/>
                <w:szCs w:val="21"/>
                <w:highlight w:val="none"/>
                <w14:textFill>
                  <w14:solidFill>
                    <w14:schemeClr w14:val="tx1"/>
                  </w14:solidFill>
                </w14:textFill>
              </w:rPr>
              <w:t>（除尘效率99%）</w:t>
            </w:r>
            <w:r>
              <w:rPr>
                <w:rFonts w:hint="eastAsia"/>
                <w:color w:val="000000" w:themeColor="text1"/>
                <w:szCs w:val="21"/>
                <w:highlight w:val="none"/>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30</w:t>
            </w:r>
            <w:r>
              <w:rPr>
                <w:color w:val="000000" w:themeColor="text1"/>
                <w:szCs w:val="21"/>
                <w:highlight w:val="none"/>
                <w14:textFill>
                  <w14:solidFill>
                    <w14:schemeClr w14:val="tx1"/>
                  </w14:solidFill>
                </w14:textFill>
              </w:rPr>
              <w:t>m</w:t>
            </w:r>
            <w:r>
              <w:rPr>
                <w:rFonts w:hint="eastAsia" w:cs="Times New Roman"/>
                <w:color w:val="000000" w:themeColor="text1"/>
                <w:sz w:val="24"/>
                <w:highlight w:val="none"/>
                <w:lang w:val="en-US" w:eastAsia="zh-CN"/>
                <w14:textFill>
                  <w14:solidFill>
                    <w14:schemeClr w14:val="tx1"/>
                  </w14:solidFill>
                </w14:textFill>
              </w:rPr>
              <w:t>高</w:t>
            </w:r>
            <w:r>
              <w:rPr>
                <w:color w:val="000000" w:themeColor="text1"/>
                <w:szCs w:val="21"/>
                <w:highlight w:val="none"/>
                <w14:textFill>
                  <w14:solidFill>
                    <w14:schemeClr w14:val="tx1"/>
                  </w14:solidFill>
                </w14:textFill>
              </w:rPr>
              <w:t>的</w:t>
            </w:r>
            <w:r>
              <w:rPr>
                <w:rFonts w:hint="eastAsia"/>
                <w:color w:val="000000" w:themeColor="text1"/>
                <w:szCs w:val="21"/>
                <w:highlight w:val="none"/>
                <w:lang w:eastAsia="zh-CN"/>
                <w14:textFill>
                  <w14:solidFill>
                    <w14:schemeClr w14:val="tx1"/>
                  </w14:solidFill>
                </w14:textFill>
              </w:rPr>
              <w:t>排气</w:t>
            </w:r>
            <w:r>
              <w:rPr>
                <w:rFonts w:hint="eastAsia" w:cs="Times New Roman"/>
                <w:b w:val="0"/>
                <w:bCs w:val="0"/>
                <w:color w:val="000000" w:themeColor="text1"/>
                <w:sz w:val="21"/>
                <w:szCs w:val="21"/>
                <w:highlight w:val="none"/>
                <w:lang w:val="en-US" w:eastAsia="zh-CN"/>
                <w14:textFill>
                  <w14:solidFill>
                    <w14:schemeClr w14:val="tx1"/>
                  </w14:solidFill>
                </w14:textFill>
              </w:rPr>
              <w:t>口</w:t>
            </w:r>
            <w:r>
              <w:rPr>
                <w:color w:val="000000" w:themeColor="text1"/>
                <w:szCs w:val="21"/>
                <w:highlight w:val="none"/>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DA007、DA008</w:t>
            </w:r>
            <w:r>
              <w:rPr>
                <w:color w:val="000000" w:themeColor="text1"/>
                <w:szCs w:val="21"/>
                <w:highlight w:val="none"/>
                <w14:textFill>
                  <w14:solidFill>
                    <w14:schemeClr w14:val="tx1"/>
                  </w14:solidFill>
                </w14:textFill>
              </w:rPr>
              <w:t>）</w:t>
            </w:r>
            <w:r>
              <w:rPr>
                <w:rFonts w:hint="eastAsia"/>
                <w:color w:val="000000" w:themeColor="text1"/>
                <w:szCs w:val="21"/>
                <w:highlight w:val="none"/>
                <w:lang w:eastAsia="zh-CN"/>
                <w14:textFill>
                  <w14:solidFill>
                    <w14:schemeClr w14:val="tx1"/>
                  </w14:solidFill>
                </w14:textFill>
              </w:rPr>
              <w:t>。</w:t>
            </w:r>
          </w:p>
        </w:tc>
        <w:tc>
          <w:tcPr>
            <w:tcW w:w="1799" w:type="dxa"/>
            <w:vMerge w:val="continue"/>
            <w:noWrap w:val="0"/>
            <w:vAlign w:val="center"/>
          </w:tcPr>
          <w:p w14:paraId="273BE79D">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color w:val="000000" w:themeColor="text1"/>
                <w:szCs w:val="21"/>
                <w:highlight w:val="none"/>
                <w:lang w:val="en-US" w:eastAsia="zh-CN"/>
                <w14:textFill>
                  <w14:solidFill>
                    <w14:schemeClr w14:val="tx1"/>
                  </w14:solidFill>
                </w14:textFill>
              </w:rPr>
            </w:pPr>
          </w:p>
        </w:tc>
      </w:tr>
      <w:tr w14:paraId="57D4CF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421" w:type="dxa"/>
            <w:vMerge w:val="continue"/>
            <w:noWrap w:val="0"/>
            <w:vAlign w:val="center"/>
          </w:tcPr>
          <w:p w14:paraId="044E7897">
            <w:pPr>
              <w:adjustRightInd w:val="0"/>
              <w:snapToGrid w:val="0"/>
              <w:jc w:val="center"/>
              <w:rPr>
                <w:b/>
                <w:bCs/>
                <w:color w:val="000000" w:themeColor="text1"/>
                <w:szCs w:val="21"/>
                <w:highlight w:val="none"/>
                <w14:textFill>
                  <w14:solidFill>
                    <w14:schemeClr w14:val="tx1"/>
                  </w14:solidFill>
                </w14:textFill>
              </w:rPr>
            </w:pPr>
          </w:p>
        </w:tc>
        <w:tc>
          <w:tcPr>
            <w:tcW w:w="742" w:type="dxa"/>
            <w:vMerge w:val="continue"/>
            <w:noWrap w:val="0"/>
            <w:vAlign w:val="center"/>
          </w:tcPr>
          <w:p w14:paraId="71C4E26B">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p>
        </w:tc>
        <w:tc>
          <w:tcPr>
            <w:tcW w:w="1244" w:type="dxa"/>
            <w:noWrap w:val="0"/>
            <w:vAlign w:val="center"/>
          </w:tcPr>
          <w:p w14:paraId="59BB7063">
            <w:pPr>
              <w:adjustRightInd w:val="0"/>
              <w:snapToGrid w:val="0"/>
              <w:jc w:val="center"/>
              <w:rPr>
                <w:color w:val="000000" w:themeColor="text1"/>
                <w:szCs w:val="21"/>
                <w:highlight w:val="none"/>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大包</w:t>
            </w:r>
            <w:r>
              <w:rPr>
                <w:rFonts w:hint="default" w:ascii="Times New Roman" w:hAnsi="Times New Roman" w:cs="Times New Roman"/>
                <w:color w:val="000000" w:themeColor="text1"/>
                <w:highlight w:val="none"/>
                <w14:textFill>
                  <w14:solidFill>
                    <w14:schemeClr w14:val="tx1"/>
                  </w14:solidFill>
                </w14:textFill>
              </w:rPr>
              <w:t>高岭土产品装卸、贮存</w:t>
            </w:r>
          </w:p>
        </w:tc>
        <w:tc>
          <w:tcPr>
            <w:tcW w:w="1104" w:type="dxa"/>
            <w:noWrap w:val="0"/>
            <w:vAlign w:val="center"/>
          </w:tcPr>
          <w:p w14:paraId="00CC0E95">
            <w:pPr>
              <w:keepNext w:val="0"/>
              <w:keepLines w:val="0"/>
              <w:pageBreakBefore w:val="0"/>
              <w:widowControl w:val="0"/>
              <w:kinsoku/>
              <w:wordWrap/>
              <w:overflowPunct/>
              <w:topLinePunct w:val="0"/>
              <w:autoSpaceDE/>
              <w:autoSpaceDN/>
              <w:bidi w:val="0"/>
              <w:spacing w:line="240" w:lineRule="exact"/>
              <w:jc w:val="center"/>
              <w:textAlignment w:val="auto"/>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颗粒物</w:t>
            </w:r>
          </w:p>
        </w:tc>
        <w:tc>
          <w:tcPr>
            <w:tcW w:w="3497" w:type="dxa"/>
            <w:noWrap w:val="0"/>
            <w:vAlign w:val="center"/>
          </w:tcPr>
          <w:p w14:paraId="2CC3F4C1">
            <w:pPr>
              <w:keepNext w:val="0"/>
              <w:keepLines w:val="0"/>
              <w:pageBreakBefore w:val="0"/>
              <w:widowControl w:val="0"/>
              <w:kinsoku/>
              <w:wordWrap/>
              <w:overflowPunct/>
              <w:topLinePunct w:val="0"/>
              <w:autoSpaceDE/>
              <w:autoSpaceDN/>
              <w:bidi w:val="0"/>
              <w:spacing w:line="240" w:lineRule="exact"/>
              <w:jc w:val="both"/>
              <w:textAlignment w:val="auto"/>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筒仓</w:t>
            </w:r>
            <w:r>
              <w:rPr>
                <w:rFonts w:hint="eastAsia"/>
                <w:color w:val="000000" w:themeColor="text1"/>
                <w:szCs w:val="21"/>
                <w:highlight w:val="none"/>
                <w14:textFill>
                  <w14:solidFill>
                    <w14:schemeClr w14:val="tx1"/>
                  </w14:solidFill>
                </w14:textFill>
              </w:rPr>
              <w:t>密闭管道收集+</w:t>
            </w:r>
            <w:r>
              <w:rPr>
                <w:rFonts w:hint="eastAsia"/>
                <w:color w:val="000000" w:themeColor="text1"/>
                <w:szCs w:val="21"/>
                <w:highlight w:val="none"/>
                <w:lang w:eastAsia="zh-CN"/>
                <w14:textFill>
                  <w14:solidFill>
                    <w14:schemeClr w14:val="tx1"/>
                  </w14:solidFill>
                </w14:textFill>
              </w:rPr>
              <w:t>布袋除尘器（覆膜袋式）</w:t>
            </w:r>
            <w:r>
              <w:rPr>
                <w:color w:val="000000" w:themeColor="text1"/>
                <w:szCs w:val="21"/>
                <w:highlight w:val="none"/>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2套，</w:t>
            </w:r>
            <w:r>
              <w:rPr>
                <w:color w:val="000000" w:themeColor="text1"/>
                <w:szCs w:val="21"/>
                <w:highlight w:val="none"/>
                <w14:textFill>
                  <w14:solidFill>
                    <w14:schemeClr w14:val="tx1"/>
                  </w14:solidFill>
                </w14:textFill>
              </w:rPr>
              <w:t>除尘效率99%）</w:t>
            </w:r>
            <w:r>
              <w:rPr>
                <w:rFonts w:hint="eastAsia"/>
                <w:color w:val="000000" w:themeColor="text1"/>
                <w:szCs w:val="21"/>
                <w:highlight w:val="none"/>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50</w:t>
            </w:r>
            <w:r>
              <w:rPr>
                <w:color w:val="000000" w:themeColor="text1"/>
                <w:szCs w:val="21"/>
                <w:highlight w:val="none"/>
                <w14:textFill>
                  <w14:solidFill>
                    <w14:schemeClr w14:val="tx1"/>
                  </w14:solidFill>
                </w14:textFill>
              </w:rPr>
              <w:t>m的</w:t>
            </w:r>
            <w:r>
              <w:rPr>
                <w:rFonts w:hint="eastAsia"/>
                <w:color w:val="000000" w:themeColor="text1"/>
                <w:szCs w:val="21"/>
                <w:highlight w:val="none"/>
                <w:lang w:eastAsia="zh-CN"/>
                <w14:textFill>
                  <w14:solidFill>
                    <w14:schemeClr w14:val="tx1"/>
                  </w14:solidFill>
                </w14:textFill>
              </w:rPr>
              <w:t>排气</w:t>
            </w:r>
            <w:r>
              <w:rPr>
                <w:rFonts w:hint="eastAsia" w:cs="Times New Roman"/>
                <w:b w:val="0"/>
                <w:bCs w:val="0"/>
                <w:color w:val="000000" w:themeColor="text1"/>
                <w:sz w:val="21"/>
                <w:szCs w:val="21"/>
                <w:highlight w:val="none"/>
                <w:lang w:val="en-US" w:eastAsia="zh-CN"/>
                <w14:textFill>
                  <w14:solidFill>
                    <w14:schemeClr w14:val="tx1"/>
                  </w14:solidFill>
                </w14:textFill>
              </w:rPr>
              <w:t>口</w:t>
            </w:r>
            <w:r>
              <w:rPr>
                <w:color w:val="000000" w:themeColor="text1"/>
                <w:szCs w:val="21"/>
                <w:highlight w:val="none"/>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DA009、</w:t>
            </w:r>
            <w:r>
              <w:rPr>
                <w:rFonts w:hint="default" w:ascii="Times New Roman" w:hAnsi="Times New Roman" w:cs="Times New Roman"/>
                <w:color w:val="000000" w:themeColor="text1"/>
                <w:highlight w:val="none"/>
                <w14:textFill>
                  <w14:solidFill>
                    <w14:schemeClr w14:val="tx1"/>
                  </w14:solidFill>
                </w14:textFill>
              </w:rPr>
              <w:t>DA01</w:t>
            </w:r>
            <w:r>
              <w:rPr>
                <w:rFonts w:hint="eastAsia" w:cs="Times New Roman"/>
                <w:color w:val="000000" w:themeColor="text1"/>
                <w:highlight w:val="none"/>
                <w:lang w:val="en-US" w:eastAsia="zh-CN"/>
                <w14:textFill>
                  <w14:solidFill>
                    <w14:schemeClr w14:val="tx1"/>
                  </w14:solidFill>
                </w14:textFill>
              </w:rPr>
              <w:t>0</w:t>
            </w:r>
            <w:r>
              <w:rPr>
                <w:color w:val="000000" w:themeColor="text1"/>
                <w:szCs w:val="21"/>
                <w:highlight w:val="none"/>
                <w14:textFill>
                  <w14:solidFill>
                    <w14:schemeClr w14:val="tx1"/>
                  </w14:solidFill>
                </w14:textFill>
              </w:rPr>
              <w:t>）</w:t>
            </w:r>
            <w:r>
              <w:rPr>
                <w:rFonts w:hint="eastAsia"/>
                <w:color w:val="000000" w:themeColor="text1"/>
                <w:szCs w:val="21"/>
                <w:highlight w:val="none"/>
                <w:lang w:eastAsia="zh-CN"/>
                <w14:textFill>
                  <w14:solidFill>
                    <w14:schemeClr w14:val="tx1"/>
                  </w14:solidFill>
                </w14:textFill>
              </w:rPr>
              <w:t>。</w:t>
            </w:r>
          </w:p>
        </w:tc>
        <w:tc>
          <w:tcPr>
            <w:tcW w:w="1799" w:type="dxa"/>
            <w:vMerge w:val="continue"/>
            <w:noWrap w:val="0"/>
            <w:vAlign w:val="center"/>
          </w:tcPr>
          <w:p w14:paraId="58618A6F">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000000" w:themeColor="text1"/>
                <w:szCs w:val="21"/>
                <w:highlight w:val="none"/>
                <w:lang w:val="en-US" w:eastAsia="zh-CN"/>
                <w14:textFill>
                  <w14:solidFill>
                    <w14:schemeClr w14:val="tx1"/>
                  </w14:solidFill>
                </w14:textFill>
              </w:rPr>
            </w:pPr>
          </w:p>
        </w:tc>
      </w:tr>
      <w:tr w14:paraId="10C2E4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421" w:type="dxa"/>
            <w:vMerge w:val="continue"/>
            <w:noWrap w:val="0"/>
            <w:vAlign w:val="center"/>
          </w:tcPr>
          <w:p w14:paraId="674CD205">
            <w:pPr>
              <w:adjustRightInd w:val="0"/>
              <w:snapToGrid w:val="0"/>
              <w:jc w:val="center"/>
              <w:rPr>
                <w:b/>
                <w:bCs/>
                <w:color w:val="000000" w:themeColor="text1"/>
                <w:szCs w:val="21"/>
                <w:highlight w:val="none"/>
                <w14:textFill>
                  <w14:solidFill>
                    <w14:schemeClr w14:val="tx1"/>
                  </w14:solidFill>
                </w14:textFill>
              </w:rPr>
            </w:pPr>
          </w:p>
        </w:tc>
        <w:tc>
          <w:tcPr>
            <w:tcW w:w="742" w:type="dxa"/>
            <w:vMerge w:val="continue"/>
            <w:noWrap w:val="0"/>
            <w:vAlign w:val="center"/>
          </w:tcPr>
          <w:p w14:paraId="6DF6305D">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p>
        </w:tc>
        <w:tc>
          <w:tcPr>
            <w:tcW w:w="1244" w:type="dxa"/>
            <w:noWrap w:val="0"/>
            <w:vAlign w:val="center"/>
          </w:tcPr>
          <w:p w14:paraId="62C8647A">
            <w:pPr>
              <w:adjustRightInd w:val="0"/>
              <w:snapToGrid w:val="0"/>
              <w:jc w:val="center"/>
              <w:rPr>
                <w:rFonts w:hint="eastAsia" w:ascii="Times New Roman" w:hAnsi="Times New Roman"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大包</w:t>
            </w:r>
            <w:r>
              <w:rPr>
                <w:rFonts w:hint="default" w:ascii="Times New Roman" w:hAnsi="Times New Roman" w:cs="Times New Roman"/>
                <w:color w:val="000000" w:themeColor="text1"/>
                <w:highlight w:val="none"/>
                <w14:textFill>
                  <w14:solidFill>
                    <w14:schemeClr w14:val="tx1"/>
                  </w14:solidFill>
                </w14:textFill>
              </w:rPr>
              <w:t>高岭土产品</w:t>
            </w:r>
            <w:r>
              <w:rPr>
                <w:rFonts w:hint="eastAsia" w:ascii="Times New Roman" w:hAnsi="Times New Roman" w:cs="Times New Roman"/>
                <w:color w:val="000000" w:themeColor="text1"/>
                <w:highlight w:val="none"/>
                <w:lang w:val="en-US" w:eastAsia="zh-CN"/>
                <w14:textFill>
                  <w14:solidFill>
                    <w14:schemeClr w14:val="tx1"/>
                  </w14:solidFill>
                </w14:textFill>
              </w:rPr>
              <w:t>包装</w:t>
            </w:r>
          </w:p>
        </w:tc>
        <w:tc>
          <w:tcPr>
            <w:tcW w:w="1104" w:type="dxa"/>
            <w:noWrap w:val="0"/>
            <w:vAlign w:val="center"/>
          </w:tcPr>
          <w:p w14:paraId="43F41DF9">
            <w:pPr>
              <w:keepNext w:val="0"/>
              <w:keepLines w:val="0"/>
              <w:pageBreakBefore w:val="0"/>
              <w:widowControl w:val="0"/>
              <w:kinsoku/>
              <w:wordWrap/>
              <w:overflowPunct/>
              <w:topLinePunct w:val="0"/>
              <w:autoSpaceDE/>
              <w:autoSpaceDN/>
              <w:bidi w:val="0"/>
              <w:spacing w:line="240" w:lineRule="exact"/>
              <w:jc w:val="center"/>
              <w:textAlignment w:val="auto"/>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颗粒物</w:t>
            </w:r>
          </w:p>
        </w:tc>
        <w:tc>
          <w:tcPr>
            <w:tcW w:w="3497" w:type="dxa"/>
            <w:noWrap w:val="0"/>
            <w:vAlign w:val="center"/>
          </w:tcPr>
          <w:p w14:paraId="65F5AB69">
            <w:pPr>
              <w:keepNext w:val="0"/>
              <w:keepLines w:val="0"/>
              <w:pageBreakBefore w:val="0"/>
              <w:widowControl w:val="0"/>
              <w:kinsoku/>
              <w:wordWrap/>
              <w:overflowPunct/>
              <w:topLinePunct w:val="0"/>
              <w:autoSpaceDE/>
              <w:autoSpaceDN/>
              <w:bidi w:val="0"/>
              <w:spacing w:line="240" w:lineRule="exact"/>
              <w:jc w:val="both"/>
              <w:textAlignment w:val="auto"/>
              <w:rPr>
                <w:rFonts w:hint="eastAsia" w:eastAsia="宋体"/>
                <w:color w:val="000000" w:themeColor="text1"/>
                <w:szCs w:val="21"/>
                <w:highlight w:val="none"/>
                <w:lang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集气罩（</w:t>
            </w:r>
            <w:r>
              <w:rPr>
                <w:rFonts w:hint="eastAsia" w:ascii="Times New Roman" w:hAnsi="Times New Roman" w:cs="Times New Roman"/>
                <w:color w:val="000000" w:themeColor="text1"/>
                <w:highlight w:val="none"/>
                <w:lang w:val="en-US" w:eastAsia="zh-CN"/>
                <w14:textFill>
                  <w14:solidFill>
                    <w14:schemeClr w14:val="tx1"/>
                  </w14:solidFill>
                </w14:textFill>
              </w:rPr>
              <w:t>8</w:t>
            </w:r>
            <w:r>
              <w:rPr>
                <w:rFonts w:hint="default" w:ascii="Times New Roman" w:hAnsi="Times New Roman" w:cs="Times New Roman"/>
                <w:color w:val="000000" w:themeColor="text1"/>
                <w:highlight w:val="none"/>
                <w14:textFill>
                  <w14:solidFill>
                    <w14:schemeClr w14:val="tx1"/>
                  </w14:solidFill>
                </w14:textFill>
              </w:rPr>
              <w:t>套）+</w:t>
            </w:r>
            <w:r>
              <w:rPr>
                <w:rFonts w:hint="eastAsia" w:cs="Times New Roman"/>
                <w:color w:val="000000" w:themeColor="text1"/>
                <w:highlight w:val="none"/>
                <w:lang w:eastAsia="zh-CN"/>
                <w14:textFill>
                  <w14:solidFill>
                    <w14:schemeClr w14:val="tx1"/>
                  </w14:solidFill>
                </w14:textFill>
              </w:rPr>
              <w:t>布袋除尘器（覆膜袋式）</w:t>
            </w:r>
            <w:r>
              <w:rPr>
                <w:rFonts w:hint="default" w:ascii="Times New Roman" w:hAnsi="Times New Roman" w:cs="Times New Roman"/>
                <w:color w:val="000000" w:themeColor="text1"/>
                <w:highlight w:val="none"/>
                <w14:textFill>
                  <w14:solidFill>
                    <w14:schemeClr w14:val="tx1"/>
                  </w14:solidFill>
                </w14:textFill>
              </w:rPr>
              <w:t>（</w:t>
            </w:r>
            <w:r>
              <w:rPr>
                <w:rFonts w:hint="eastAsia" w:ascii="Times New Roman" w:hAnsi="Times New Roman" w:cs="Times New Roman"/>
                <w:color w:val="000000" w:themeColor="text1"/>
                <w:highlight w:val="none"/>
                <w:lang w:val="en-US" w:eastAsia="zh-CN"/>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t>套）+</w:t>
            </w:r>
            <w:r>
              <w:rPr>
                <w:rFonts w:hint="eastAsia" w:cs="Times New Roman"/>
                <w:color w:val="000000" w:themeColor="text1"/>
                <w:highlight w:val="none"/>
                <w:lang w:val="en-US" w:eastAsia="zh-CN"/>
                <w14:textFill>
                  <w14:solidFill>
                    <w14:schemeClr w14:val="tx1"/>
                  </w14:solidFill>
                </w14:textFill>
              </w:rPr>
              <w:t>3</w:t>
            </w:r>
            <w:r>
              <w:rPr>
                <w:rFonts w:hint="eastAsia" w:ascii="Times New Roman" w:hAnsi="Times New Roman" w:cs="Times New Roman"/>
                <w:color w:val="000000" w:themeColor="text1"/>
                <w:highlight w:val="none"/>
                <w:lang w:val="en-US" w:eastAsia="zh-CN"/>
                <w14:textFill>
                  <w14:solidFill>
                    <w14:schemeClr w14:val="tx1"/>
                  </w14:solidFill>
                </w14:textFill>
              </w:rPr>
              <w:t>0</w:t>
            </w:r>
            <w:r>
              <w:rPr>
                <w:rFonts w:hint="default" w:ascii="Times New Roman" w:hAnsi="Times New Roman" w:cs="Times New Roman"/>
                <w:color w:val="000000" w:themeColor="text1"/>
                <w:highlight w:val="none"/>
                <w:lang w:eastAsia="zh-CN"/>
                <w14:textFill>
                  <w14:solidFill>
                    <w14:schemeClr w14:val="tx1"/>
                  </w14:solidFill>
                </w14:textFill>
              </w:rPr>
              <w:t>m</w:t>
            </w:r>
            <w:r>
              <w:rPr>
                <w:rFonts w:hint="eastAsia" w:cs="Times New Roman"/>
                <w:color w:val="000000" w:themeColor="text1"/>
                <w:sz w:val="24"/>
                <w:highlight w:val="none"/>
                <w:lang w:val="en-US" w:eastAsia="zh-CN"/>
                <w14:textFill>
                  <w14:solidFill>
                    <w14:schemeClr w14:val="tx1"/>
                  </w14:solidFill>
                </w14:textFill>
              </w:rPr>
              <w:t>高的</w:t>
            </w:r>
            <w:r>
              <w:rPr>
                <w:rFonts w:hint="eastAsia" w:cs="Times New Roman"/>
                <w:color w:val="000000" w:themeColor="text1"/>
                <w:highlight w:val="none"/>
                <w:lang w:eastAsia="zh-CN"/>
                <w14:textFill>
                  <w14:solidFill>
                    <w14:schemeClr w14:val="tx1"/>
                  </w14:solidFill>
                </w14:textFill>
              </w:rPr>
              <w:t>排气</w:t>
            </w:r>
            <w:r>
              <w:rPr>
                <w:rFonts w:hint="eastAsia" w:cs="Times New Roman"/>
                <w:b w:val="0"/>
                <w:bCs w:val="0"/>
                <w:color w:val="000000" w:themeColor="text1"/>
                <w:sz w:val="21"/>
                <w:szCs w:val="21"/>
                <w:highlight w:val="none"/>
                <w:lang w:val="en-US" w:eastAsia="zh-CN"/>
                <w14:textFill>
                  <w14:solidFill>
                    <w14:schemeClr w14:val="tx1"/>
                  </w14:solidFill>
                </w14:textFill>
              </w:rPr>
              <w:t>口</w:t>
            </w:r>
            <w:r>
              <w:rPr>
                <w:rFonts w:hint="default" w:ascii="Times New Roman" w:hAnsi="Times New Roman" w:cs="Times New Roman"/>
                <w:color w:val="000000" w:themeColor="text1"/>
                <w:highlight w:val="none"/>
                <w14:textFill>
                  <w14:solidFill>
                    <w14:schemeClr w14:val="tx1"/>
                  </w14:solidFill>
                </w14:textFill>
              </w:rPr>
              <w:t>（DA01</w:t>
            </w:r>
            <w:r>
              <w:rPr>
                <w:rFonts w:hint="eastAsia" w:cs="Times New Roman"/>
                <w:color w:val="000000" w:themeColor="text1"/>
                <w:highlight w:val="none"/>
                <w:lang w:val="en-US" w:eastAsia="zh-CN"/>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t>）</w:t>
            </w:r>
            <w:r>
              <w:rPr>
                <w:rFonts w:hint="eastAsia" w:cs="Times New Roman"/>
                <w:color w:val="000000" w:themeColor="text1"/>
                <w:highlight w:val="none"/>
                <w:lang w:eastAsia="zh-CN"/>
                <w14:textFill>
                  <w14:solidFill>
                    <w14:schemeClr w14:val="tx1"/>
                  </w14:solidFill>
                </w14:textFill>
              </w:rPr>
              <w:t>。</w:t>
            </w:r>
          </w:p>
        </w:tc>
        <w:tc>
          <w:tcPr>
            <w:tcW w:w="1799" w:type="dxa"/>
            <w:vMerge w:val="continue"/>
            <w:noWrap w:val="0"/>
            <w:vAlign w:val="center"/>
          </w:tcPr>
          <w:p w14:paraId="66FF5BE9">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eastAsia="宋体"/>
                <w:color w:val="000000" w:themeColor="text1"/>
                <w:szCs w:val="21"/>
                <w:highlight w:val="none"/>
                <w:lang w:val="en-US" w:eastAsia="zh-CN"/>
                <w14:textFill>
                  <w14:solidFill>
                    <w14:schemeClr w14:val="tx1"/>
                  </w14:solidFill>
                </w14:textFill>
              </w:rPr>
            </w:pPr>
          </w:p>
        </w:tc>
      </w:tr>
      <w:tr w14:paraId="3F6771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421" w:type="dxa"/>
            <w:vMerge w:val="continue"/>
            <w:noWrap w:val="0"/>
            <w:vAlign w:val="center"/>
          </w:tcPr>
          <w:p w14:paraId="0FA88867">
            <w:pPr>
              <w:adjustRightInd w:val="0"/>
              <w:snapToGrid w:val="0"/>
              <w:jc w:val="center"/>
              <w:rPr>
                <w:b/>
                <w:bCs/>
                <w:color w:val="000000" w:themeColor="text1"/>
                <w:szCs w:val="21"/>
                <w:highlight w:val="none"/>
                <w14:textFill>
                  <w14:solidFill>
                    <w14:schemeClr w14:val="tx1"/>
                  </w14:solidFill>
                </w14:textFill>
              </w:rPr>
            </w:pPr>
          </w:p>
        </w:tc>
        <w:tc>
          <w:tcPr>
            <w:tcW w:w="742" w:type="dxa"/>
            <w:vMerge w:val="continue"/>
            <w:noWrap w:val="0"/>
            <w:vAlign w:val="center"/>
          </w:tcPr>
          <w:p w14:paraId="7269ADC4">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p>
        </w:tc>
        <w:tc>
          <w:tcPr>
            <w:tcW w:w="1244" w:type="dxa"/>
            <w:noWrap w:val="0"/>
            <w:vAlign w:val="center"/>
          </w:tcPr>
          <w:p w14:paraId="4B39BAA8">
            <w:pPr>
              <w:adjustRightInd w:val="0"/>
              <w:snapToGrid w:val="0"/>
              <w:jc w:val="center"/>
              <w:rPr>
                <w:color w:val="000000" w:themeColor="text1"/>
                <w:szCs w:val="21"/>
                <w:highlight w:val="none"/>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小包</w:t>
            </w:r>
            <w:r>
              <w:rPr>
                <w:rFonts w:hint="default" w:ascii="Times New Roman" w:hAnsi="Times New Roman" w:cs="Times New Roman"/>
                <w:color w:val="000000" w:themeColor="text1"/>
                <w:highlight w:val="none"/>
                <w14:textFill>
                  <w14:solidFill>
                    <w14:schemeClr w14:val="tx1"/>
                  </w14:solidFill>
                </w14:textFill>
              </w:rPr>
              <w:t>高岭土产品装卸、贮存</w:t>
            </w:r>
            <w: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t>产生废气</w:t>
            </w:r>
          </w:p>
        </w:tc>
        <w:tc>
          <w:tcPr>
            <w:tcW w:w="1104" w:type="dxa"/>
            <w:noWrap w:val="0"/>
            <w:vAlign w:val="center"/>
          </w:tcPr>
          <w:p w14:paraId="484F4B81">
            <w:pPr>
              <w:keepNext w:val="0"/>
              <w:keepLines w:val="0"/>
              <w:pageBreakBefore w:val="0"/>
              <w:widowControl w:val="0"/>
              <w:kinsoku/>
              <w:wordWrap/>
              <w:overflowPunct/>
              <w:topLinePunct w:val="0"/>
              <w:autoSpaceDE/>
              <w:autoSpaceDN/>
              <w:bidi w:val="0"/>
              <w:spacing w:line="240" w:lineRule="exact"/>
              <w:jc w:val="center"/>
              <w:textAlignment w:val="auto"/>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颗粒物</w:t>
            </w:r>
          </w:p>
        </w:tc>
        <w:tc>
          <w:tcPr>
            <w:tcW w:w="3497" w:type="dxa"/>
            <w:noWrap w:val="0"/>
            <w:vAlign w:val="center"/>
          </w:tcPr>
          <w:p w14:paraId="29472016">
            <w:pPr>
              <w:keepNext w:val="0"/>
              <w:keepLines w:val="0"/>
              <w:pageBreakBefore w:val="0"/>
              <w:widowControl w:val="0"/>
              <w:kinsoku/>
              <w:wordWrap/>
              <w:overflowPunct/>
              <w:topLinePunct w:val="0"/>
              <w:autoSpaceDE/>
              <w:autoSpaceDN/>
              <w:bidi w:val="0"/>
              <w:spacing w:line="240" w:lineRule="exact"/>
              <w:jc w:val="both"/>
              <w:textAlignment w:val="auto"/>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筒仓</w:t>
            </w:r>
            <w:r>
              <w:rPr>
                <w:rFonts w:hint="eastAsia"/>
                <w:color w:val="000000" w:themeColor="text1"/>
                <w:szCs w:val="21"/>
                <w:highlight w:val="none"/>
                <w14:textFill>
                  <w14:solidFill>
                    <w14:schemeClr w14:val="tx1"/>
                  </w14:solidFill>
                </w14:textFill>
              </w:rPr>
              <w:t>密闭管道收集</w:t>
            </w:r>
            <w:r>
              <w:rPr>
                <w:rFonts w:hint="eastAsia"/>
                <w:color w:val="000000" w:themeColor="text1"/>
                <w:szCs w:val="21"/>
                <w:highlight w:val="none"/>
                <w:lang w:val="en-US" w:eastAsia="zh-CN"/>
                <w14:textFill>
                  <w14:solidFill>
                    <w14:schemeClr w14:val="tx1"/>
                  </w14:solidFill>
                </w14:textFill>
              </w:rPr>
              <w:t>+1套仓</w:t>
            </w:r>
            <w:r>
              <w:rPr>
                <w:color w:val="000000" w:themeColor="text1"/>
                <w:szCs w:val="21"/>
                <w:highlight w:val="none"/>
                <w14:textFill>
                  <w14:solidFill>
                    <w14:schemeClr w14:val="tx1"/>
                  </w14:solidFill>
                </w14:textFill>
              </w:rPr>
              <w:t>顶除尘器（除尘效率99%）</w:t>
            </w:r>
            <w:r>
              <w:rPr>
                <w:rFonts w:hint="eastAsia"/>
                <w:color w:val="000000" w:themeColor="text1"/>
                <w:szCs w:val="21"/>
                <w:highlight w:val="none"/>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3</w:t>
            </w:r>
            <w:r>
              <w:rPr>
                <w:rFonts w:hint="eastAsia"/>
                <w:color w:val="000000" w:themeColor="text1"/>
                <w:szCs w:val="21"/>
                <w:highlight w:val="none"/>
                <w14:textFill>
                  <w14:solidFill>
                    <w14:schemeClr w14:val="tx1"/>
                  </w14:solidFill>
                </w14:textFill>
              </w:rPr>
              <w:t>0m</w:t>
            </w:r>
            <w:r>
              <w:rPr>
                <w:rFonts w:hint="eastAsia" w:cs="Times New Roman"/>
                <w:color w:val="000000" w:themeColor="text1"/>
                <w:sz w:val="24"/>
                <w:highlight w:val="none"/>
                <w:lang w:val="en-US" w:eastAsia="zh-CN"/>
                <w14:textFill>
                  <w14:solidFill>
                    <w14:schemeClr w14:val="tx1"/>
                  </w14:solidFill>
                </w14:textFill>
              </w:rPr>
              <w:t>高的</w:t>
            </w:r>
            <w:r>
              <w:rPr>
                <w:color w:val="000000" w:themeColor="text1"/>
                <w:szCs w:val="21"/>
                <w:highlight w:val="none"/>
                <w14:textFill>
                  <w14:solidFill>
                    <w14:schemeClr w14:val="tx1"/>
                  </w14:solidFill>
                </w14:textFill>
              </w:rPr>
              <w:t>排气</w:t>
            </w:r>
            <w:r>
              <w:rPr>
                <w:rFonts w:hint="eastAsia" w:cs="Times New Roman"/>
                <w:b w:val="0"/>
                <w:bCs w:val="0"/>
                <w:color w:val="000000" w:themeColor="text1"/>
                <w:sz w:val="21"/>
                <w:szCs w:val="21"/>
                <w:highlight w:val="none"/>
                <w:lang w:val="en-US" w:eastAsia="zh-CN"/>
                <w14:textFill>
                  <w14:solidFill>
                    <w14:schemeClr w14:val="tx1"/>
                  </w14:solidFill>
                </w14:textFill>
              </w:rPr>
              <w:t>口</w:t>
            </w:r>
            <w:r>
              <w:rPr>
                <w:color w:val="000000" w:themeColor="text1"/>
                <w:szCs w:val="21"/>
                <w:highlight w:val="none"/>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DA012）。</w:t>
            </w:r>
          </w:p>
        </w:tc>
        <w:tc>
          <w:tcPr>
            <w:tcW w:w="1799" w:type="dxa"/>
            <w:vMerge w:val="continue"/>
            <w:noWrap w:val="0"/>
            <w:vAlign w:val="center"/>
          </w:tcPr>
          <w:p w14:paraId="7C2EF35D">
            <w:pPr>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eastAsia"/>
                <w:color w:val="000000" w:themeColor="text1"/>
                <w:szCs w:val="21"/>
                <w:highlight w:val="none"/>
                <w14:textFill>
                  <w14:solidFill>
                    <w14:schemeClr w14:val="tx1"/>
                  </w14:solidFill>
                </w14:textFill>
              </w:rPr>
            </w:pPr>
          </w:p>
        </w:tc>
      </w:tr>
      <w:tr w14:paraId="6F24A5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421" w:type="dxa"/>
            <w:vMerge w:val="continue"/>
            <w:noWrap w:val="0"/>
            <w:vAlign w:val="center"/>
          </w:tcPr>
          <w:p w14:paraId="14C37178">
            <w:pPr>
              <w:adjustRightInd w:val="0"/>
              <w:snapToGrid w:val="0"/>
              <w:jc w:val="center"/>
              <w:rPr>
                <w:b/>
                <w:bCs/>
                <w:color w:val="000000" w:themeColor="text1"/>
                <w:szCs w:val="21"/>
                <w:highlight w:val="none"/>
                <w14:textFill>
                  <w14:solidFill>
                    <w14:schemeClr w14:val="tx1"/>
                  </w14:solidFill>
                </w14:textFill>
              </w:rPr>
            </w:pPr>
          </w:p>
        </w:tc>
        <w:tc>
          <w:tcPr>
            <w:tcW w:w="742" w:type="dxa"/>
            <w:vMerge w:val="continue"/>
            <w:noWrap w:val="0"/>
            <w:vAlign w:val="center"/>
          </w:tcPr>
          <w:p w14:paraId="79B85D3D">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p>
        </w:tc>
        <w:tc>
          <w:tcPr>
            <w:tcW w:w="1244" w:type="dxa"/>
            <w:noWrap w:val="0"/>
            <w:vAlign w:val="center"/>
          </w:tcPr>
          <w:p w14:paraId="415DA92E">
            <w:pPr>
              <w:adjustRightInd w:val="0"/>
              <w:snapToGrid w:val="0"/>
              <w:jc w:val="center"/>
              <w:rPr>
                <w:rFonts w:hint="eastAsia" w:ascii="宋体" w:hAnsi="宋体" w:eastAsia="宋体" w:cs="宋体"/>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小包</w:t>
            </w:r>
            <w:r>
              <w:rPr>
                <w:rFonts w:hint="default" w:ascii="Times New Roman" w:hAnsi="Times New Roman" w:cs="Times New Roman"/>
                <w:color w:val="000000" w:themeColor="text1"/>
                <w:highlight w:val="none"/>
                <w14:textFill>
                  <w14:solidFill>
                    <w14:schemeClr w14:val="tx1"/>
                  </w14:solidFill>
                </w14:textFill>
              </w:rPr>
              <w:t>高岭土产品</w:t>
            </w:r>
            <w:r>
              <w:rPr>
                <w:rFonts w:hint="eastAsia" w:ascii="Times New Roman" w:hAnsi="Times New Roman" w:cs="Times New Roman"/>
                <w:color w:val="000000" w:themeColor="text1"/>
                <w:highlight w:val="none"/>
                <w:lang w:val="en-US" w:eastAsia="zh-CN"/>
                <w14:textFill>
                  <w14:solidFill>
                    <w14:schemeClr w14:val="tx1"/>
                  </w14:solidFill>
                </w14:textFill>
              </w:rPr>
              <w:t>包装</w:t>
            </w:r>
          </w:p>
        </w:tc>
        <w:tc>
          <w:tcPr>
            <w:tcW w:w="1104" w:type="dxa"/>
            <w:noWrap w:val="0"/>
            <w:vAlign w:val="center"/>
          </w:tcPr>
          <w:p w14:paraId="49041BFD">
            <w:pPr>
              <w:keepNext w:val="0"/>
              <w:keepLines w:val="0"/>
              <w:pageBreakBefore w:val="0"/>
              <w:widowControl w:val="0"/>
              <w:kinsoku/>
              <w:wordWrap/>
              <w:overflowPunct/>
              <w:topLinePunct w:val="0"/>
              <w:autoSpaceDE/>
              <w:autoSpaceDN/>
              <w:bidi w:val="0"/>
              <w:spacing w:line="240" w:lineRule="exact"/>
              <w:jc w:val="center"/>
              <w:textAlignment w:val="auto"/>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颗粒物</w:t>
            </w:r>
          </w:p>
        </w:tc>
        <w:tc>
          <w:tcPr>
            <w:tcW w:w="3497" w:type="dxa"/>
            <w:noWrap w:val="0"/>
            <w:vAlign w:val="center"/>
          </w:tcPr>
          <w:p w14:paraId="7E679C37">
            <w:pPr>
              <w:keepNext w:val="0"/>
              <w:keepLines w:val="0"/>
              <w:pageBreakBefore w:val="0"/>
              <w:widowControl w:val="0"/>
              <w:kinsoku/>
              <w:wordWrap/>
              <w:overflowPunct/>
              <w:topLinePunct w:val="0"/>
              <w:autoSpaceDE/>
              <w:autoSpaceDN/>
              <w:bidi w:val="0"/>
              <w:spacing w:line="240" w:lineRule="exact"/>
              <w:jc w:val="both"/>
              <w:textAlignment w:val="auto"/>
              <w:rPr>
                <w:rFonts w:hint="eastAsia" w:eastAsia="宋体"/>
                <w:color w:val="000000" w:themeColor="text1"/>
                <w:szCs w:val="2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集气罩（</w:t>
            </w:r>
            <w:r>
              <w:rPr>
                <w:rFonts w:hint="eastAsia" w:ascii="Times New Roman" w:hAnsi="Times New Roman" w:cs="Times New Roman"/>
                <w:color w:val="000000" w:themeColor="text1"/>
                <w:highlight w:val="none"/>
                <w:lang w:val="en-US" w:eastAsia="zh-CN"/>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t>套）+</w:t>
            </w:r>
            <w:r>
              <w:rPr>
                <w:rFonts w:hint="eastAsia" w:cs="Times New Roman"/>
                <w:color w:val="000000" w:themeColor="text1"/>
                <w:highlight w:val="none"/>
                <w:lang w:eastAsia="zh-CN"/>
                <w14:textFill>
                  <w14:solidFill>
                    <w14:schemeClr w14:val="tx1"/>
                  </w14:solidFill>
                </w14:textFill>
              </w:rPr>
              <w:t>布袋除尘器（覆膜袋式）</w:t>
            </w:r>
            <w:r>
              <w:rPr>
                <w:color w:val="000000" w:themeColor="text1"/>
                <w:szCs w:val="21"/>
                <w:highlight w:val="none"/>
                <w14:textFill>
                  <w14:solidFill>
                    <w14:schemeClr w14:val="tx1"/>
                  </w14:solidFill>
                </w14:textFill>
              </w:rPr>
              <w:t>（除尘效率</w:t>
            </w:r>
            <w:r>
              <w:rPr>
                <w:rFonts w:hint="eastAsia"/>
                <w:color w:val="000000" w:themeColor="text1"/>
                <w:szCs w:val="21"/>
                <w:highlight w:val="none"/>
                <w:lang w:eastAsia="zh-CN"/>
                <w14:textFill>
                  <w14:solidFill>
                    <w14:schemeClr w14:val="tx1"/>
                  </w14:solidFill>
                </w14:textFill>
              </w:rPr>
              <w:t>99%</w:t>
            </w:r>
            <w:r>
              <w:rPr>
                <w:color w:val="000000" w:themeColor="text1"/>
                <w:szCs w:val="21"/>
                <w:highlight w:val="none"/>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20</w:t>
            </w:r>
            <w:r>
              <w:rPr>
                <w:rFonts w:hint="default" w:ascii="Times New Roman" w:hAnsi="Times New Roman" w:cs="Times New Roman"/>
                <w:color w:val="000000" w:themeColor="text1"/>
                <w:highlight w:val="none"/>
                <w:lang w:eastAsia="zh-CN"/>
                <w14:textFill>
                  <w14:solidFill>
                    <w14:schemeClr w14:val="tx1"/>
                  </w14:solidFill>
                </w14:textFill>
              </w:rPr>
              <w:t>m</w:t>
            </w:r>
            <w:r>
              <w:rPr>
                <w:rFonts w:hint="eastAsia" w:cs="Times New Roman"/>
                <w:color w:val="000000" w:themeColor="text1"/>
                <w:sz w:val="24"/>
                <w:highlight w:val="none"/>
                <w:lang w:val="en-US" w:eastAsia="zh-CN"/>
                <w14:textFill>
                  <w14:solidFill>
                    <w14:schemeClr w14:val="tx1"/>
                  </w14:solidFill>
                </w14:textFill>
              </w:rPr>
              <w:t>高的</w:t>
            </w:r>
            <w:r>
              <w:rPr>
                <w:rFonts w:hint="default" w:ascii="Times New Roman" w:hAnsi="Times New Roman" w:cs="Times New Roman"/>
                <w:color w:val="000000" w:themeColor="text1"/>
                <w:highlight w:val="none"/>
                <w14:textFill>
                  <w14:solidFill>
                    <w14:schemeClr w14:val="tx1"/>
                  </w14:solidFill>
                </w14:textFill>
              </w:rPr>
              <w:t>排气</w:t>
            </w:r>
            <w:r>
              <w:rPr>
                <w:rFonts w:hint="eastAsia" w:cs="Times New Roman"/>
                <w:b w:val="0"/>
                <w:bCs w:val="0"/>
                <w:color w:val="000000" w:themeColor="text1"/>
                <w:sz w:val="21"/>
                <w:szCs w:val="21"/>
                <w:highlight w:val="none"/>
                <w:lang w:val="en-US" w:eastAsia="zh-CN"/>
                <w14:textFill>
                  <w14:solidFill>
                    <w14:schemeClr w14:val="tx1"/>
                  </w14:solidFill>
                </w14:textFill>
              </w:rPr>
              <w:t>口</w:t>
            </w:r>
            <w:r>
              <w:rPr>
                <w:rFonts w:hint="default" w:ascii="Times New Roman" w:hAnsi="Times New Roman" w:cs="Times New Roman"/>
                <w:color w:val="000000" w:themeColor="text1"/>
                <w:highlight w:val="none"/>
                <w14:textFill>
                  <w14:solidFill>
                    <w14:schemeClr w14:val="tx1"/>
                  </w14:solidFill>
                </w14:textFill>
              </w:rPr>
              <w:t>（DA01</w:t>
            </w:r>
            <w:r>
              <w:rPr>
                <w:rFonts w:hint="eastAsia" w:cs="Times New Roman"/>
                <w:color w:val="000000" w:themeColor="text1"/>
                <w:highlight w:val="none"/>
                <w:lang w:val="en-US" w:eastAsia="zh-CN"/>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w:t>
            </w:r>
            <w:r>
              <w:rPr>
                <w:rFonts w:hint="eastAsia" w:cs="Times New Roman"/>
                <w:color w:val="000000" w:themeColor="text1"/>
                <w:highlight w:val="none"/>
                <w:lang w:eastAsia="zh-CN"/>
                <w14:textFill>
                  <w14:solidFill>
                    <w14:schemeClr w14:val="tx1"/>
                  </w14:solidFill>
                </w14:textFill>
              </w:rPr>
              <w:t>。</w:t>
            </w:r>
          </w:p>
        </w:tc>
        <w:tc>
          <w:tcPr>
            <w:tcW w:w="1799" w:type="dxa"/>
            <w:vMerge w:val="continue"/>
            <w:noWrap w:val="0"/>
            <w:vAlign w:val="center"/>
          </w:tcPr>
          <w:p w14:paraId="3B164C66">
            <w:pPr>
              <w:keepNext w:val="0"/>
              <w:keepLines w:val="0"/>
              <w:pageBreakBefore w:val="0"/>
              <w:widowControl w:val="0"/>
              <w:kinsoku/>
              <w:wordWrap/>
              <w:overflowPunct/>
              <w:topLinePunct w:val="0"/>
              <w:autoSpaceDE/>
              <w:autoSpaceDN/>
              <w:bidi w:val="0"/>
              <w:adjustRightInd w:val="0"/>
              <w:snapToGrid w:val="0"/>
              <w:spacing w:line="240" w:lineRule="exact"/>
              <w:textAlignment w:val="auto"/>
              <w:rPr>
                <w:rFonts w:hint="eastAsia"/>
                <w:color w:val="000000" w:themeColor="text1"/>
                <w:szCs w:val="21"/>
                <w:highlight w:val="none"/>
                <w14:textFill>
                  <w14:solidFill>
                    <w14:schemeClr w14:val="tx1"/>
                  </w14:solidFill>
                </w14:textFill>
              </w:rPr>
            </w:pPr>
          </w:p>
        </w:tc>
      </w:tr>
      <w:tr w14:paraId="47A1CB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421" w:type="dxa"/>
            <w:vMerge w:val="continue"/>
            <w:noWrap w:val="0"/>
            <w:vAlign w:val="center"/>
          </w:tcPr>
          <w:p w14:paraId="4C0A5FDC">
            <w:pPr>
              <w:adjustRightInd w:val="0"/>
              <w:snapToGrid w:val="0"/>
              <w:jc w:val="center"/>
              <w:rPr>
                <w:b/>
                <w:bCs/>
                <w:color w:val="000000" w:themeColor="text1"/>
                <w:szCs w:val="21"/>
                <w:highlight w:val="none"/>
                <w14:textFill>
                  <w14:solidFill>
                    <w14:schemeClr w14:val="tx1"/>
                  </w14:solidFill>
                </w14:textFill>
              </w:rPr>
            </w:pPr>
          </w:p>
        </w:tc>
        <w:tc>
          <w:tcPr>
            <w:tcW w:w="742" w:type="dxa"/>
            <w:vMerge w:val="continue"/>
            <w:noWrap w:val="0"/>
            <w:vAlign w:val="center"/>
          </w:tcPr>
          <w:p w14:paraId="24606312">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p>
        </w:tc>
        <w:tc>
          <w:tcPr>
            <w:tcW w:w="1244" w:type="dxa"/>
            <w:noWrap w:val="0"/>
            <w:vAlign w:val="center"/>
          </w:tcPr>
          <w:p w14:paraId="7DAA1429">
            <w:pPr>
              <w:adjustRightInd w:val="0"/>
              <w:snapToGrid w:val="0"/>
              <w:jc w:val="center"/>
              <w:rPr>
                <w:rFonts w:hint="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黄料粉仓装卸呼吸粉仓</w:t>
            </w:r>
          </w:p>
        </w:tc>
        <w:tc>
          <w:tcPr>
            <w:tcW w:w="1104" w:type="dxa"/>
            <w:noWrap w:val="0"/>
            <w:vAlign w:val="center"/>
          </w:tcPr>
          <w:p w14:paraId="069EC522">
            <w:pPr>
              <w:keepNext w:val="0"/>
              <w:keepLines w:val="0"/>
              <w:pageBreakBefore w:val="0"/>
              <w:widowControl w:val="0"/>
              <w:kinsoku/>
              <w:wordWrap/>
              <w:overflowPunct/>
              <w:topLinePunct w:val="0"/>
              <w:autoSpaceDE/>
              <w:autoSpaceDN/>
              <w:bidi w:val="0"/>
              <w:spacing w:line="240" w:lineRule="exact"/>
              <w:jc w:val="center"/>
              <w:textAlignment w:val="auto"/>
              <w:rPr>
                <w:rFonts w:hint="eastAsia"/>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颗粒物</w:t>
            </w:r>
          </w:p>
        </w:tc>
        <w:tc>
          <w:tcPr>
            <w:tcW w:w="3497" w:type="dxa"/>
            <w:noWrap w:val="0"/>
            <w:vAlign w:val="center"/>
          </w:tcPr>
          <w:p w14:paraId="6C7E34BB">
            <w:pPr>
              <w:keepNext w:val="0"/>
              <w:keepLines w:val="0"/>
              <w:pageBreakBefore w:val="0"/>
              <w:widowControl w:val="0"/>
              <w:kinsoku/>
              <w:wordWrap/>
              <w:overflowPunct/>
              <w:topLinePunct w:val="0"/>
              <w:autoSpaceDE/>
              <w:autoSpaceDN/>
              <w:bidi w:val="0"/>
              <w:spacing w:line="240" w:lineRule="exact"/>
              <w:jc w:val="both"/>
              <w:textAlignment w:val="auto"/>
              <w:rPr>
                <w:rFonts w:hint="eastAsia" w:eastAsia="宋体"/>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密闭管道收集+</w:t>
            </w:r>
            <w:r>
              <w:rPr>
                <w:rFonts w:hint="eastAsia" w:ascii="Times New Roman" w:hAnsi="Times New Roman" w:cs="Times New Roman"/>
                <w:color w:val="000000" w:themeColor="text1"/>
                <w:highlight w:val="none"/>
                <w:lang w:val="en-US" w:eastAsia="zh-CN"/>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套</w:t>
            </w:r>
            <w:r>
              <w:rPr>
                <w:rFonts w:hint="eastAsia"/>
                <w:color w:val="000000" w:themeColor="text1"/>
                <w:szCs w:val="21"/>
                <w:highlight w:val="none"/>
                <w:lang w:eastAsia="zh-CN"/>
                <w14:textFill>
                  <w14:solidFill>
                    <w14:schemeClr w14:val="tx1"/>
                  </w14:solidFill>
                </w14:textFill>
              </w:rPr>
              <w:t>布袋除尘器（覆膜袋式）</w:t>
            </w:r>
            <w:r>
              <w:rPr>
                <w:color w:val="000000" w:themeColor="text1"/>
                <w:szCs w:val="21"/>
                <w:highlight w:val="none"/>
                <w14:textFill>
                  <w14:solidFill>
                    <w14:schemeClr w14:val="tx1"/>
                  </w14:solidFill>
                </w14:textFill>
              </w:rPr>
              <w:t>（除尘效率</w:t>
            </w:r>
            <w:r>
              <w:rPr>
                <w:rFonts w:hint="eastAsia"/>
                <w:color w:val="000000" w:themeColor="text1"/>
                <w:szCs w:val="21"/>
                <w:highlight w:val="none"/>
                <w:lang w:eastAsia="zh-CN"/>
                <w14:textFill>
                  <w14:solidFill>
                    <w14:schemeClr w14:val="tx1"/>
                  </w14:solidFill>
                </w14:textFill>
              </w:rPr>
              <w:t>99%</w:t>
            </w:r>
            <w:r>
              <w:rPr>
                <w:color w:val="000000" w:themeColor="text1"/>
                <w:szCs w:val="21"/>
                <w:highlight w:val="none"/>
                <w14:textFill>
                  <w14:solidFill>
                    <w14:schemeClr w14:val="tx1"/>
                  </w14:solidFill>
                </w14:textFill>
              </w:rPr>
              <w:t>）</w:t>
            </w:r>
            <w:r>
              <w:rPr>
                <w:rFonts w:hint="eastAsia"/>
                <w:color w:val="000000" w:themeColor="text1"/>
                <w:szCs w:val="21"/>
                <w:highlight w:val="none"/>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15</w:t>
            </w:r>
            <w:r>
              <w:rPr>
                <w:color w:val="000000" w:themeColor="text1"/>
                <w:szCs w:val="21"/>
                <w:highlight w:val="none"/>
                <w14:textFill>
                  <w14:solidFill>
                    <w14:schemeClr w14:val="tx1"/>
                  </w14:solidFill>
                </w14:textFill>
              </w:rPr>
              <w:t>m</w:t>
            </w:r>
            <w:r>
              <w:rPr>
                <w:rFonts w:hint="eastAsia" w:cs="Times New Roman"/>
                <w:color w:val="000000" w:themeColor="text1"/>
                <w:sz w:val="24"/>
                <w:highlight w:val="none"/>
                <w:lang w:val="en-US" w:eastAsia="zh-CN"/>
                <w14:textFill>
                  <w14:solidFill>
                    <w14:schemeClr w14:val="tx1"/>
                  </w14:solidFill>
                </w14:textFill>
              </w:rPr>
              <w:t>高的</w:t>
            </w:r>
            <w:r>
              <w:rPr>
                <w:color w:val="000000" w:themeColor="text1"/>
                <w:szCs w:val="21"/>
                <w:highlight w:val="none"/>
                <w14:textFill>
                  <w14:solidFill>
                    <w14:schemeClr w14:val="tx1"/>
                  </w14:solidFill>
                </w14:textFill>
              </w:rPr>
              <w:t>排气</w:t>
            </w:r>
            <w:r>
              <w:rPr>
                <w:rFonts w:hint="eastAsia" w:cs="Times New Roman"/>
                <w:b w:val="0"/>
                <w:bCs w:val="0"/>
                <w:color w:val="000000" w:themeColor="text1"/>
                <w:sz w:val="21"/>
                <w:szCs w:val="21"/>
                <w:highlight w:val="none"/>
                <w:lang w:val="en-US" w:eastAsia="zh-CN"/>
                <w14:textFill>
                  <w14:solidFill>
                    <w14:schemeClr w14:val="tx1"/>
                  </w14:solidFill>
                </w14:textFill>
              </w:rPr>
              <w:t>口</w:t>
            </w:r>
            <w:r>
              <w:rPr>
                <w:color w:val="000000" w:themeColor="text1"/>
                <w:szCs w:val="21"/>
                <w:highlight w:val="none"/>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DA014</w:t>
            </w:r>
            <w:r>
              <w:rPr>
                <w:color w:val="000000" w:themeColor="text1"/>
                <w:szCs w:val="21"/>
                <w:highlight w:val="none"/>
                <w14:textFill>
                  <w14:solidFill>
                    <w14:schemeClr w14:val="tx1"/>
                  </w14:solidFill>
                </w14:textFill>
              </w:rPr>
              <w:t>）</w:t>
            </w:r>
            <w:r>
              <w:rPr>
                <w:rFonts w:hint="eastAsia"/>
                <w:color w:val="000000" w:themeColor="text1"/>
                <w:szCs w:val="21"/>
                <w:highlight w:val="none"/>
                <w:lang w:eastAsia="zh-CN"/>
                <w14:textFill>
                  <w14:solidFill>
                    <w14:schemeClr w14:val="tx1"/>
                  </w14:solidFill>
                </w14:textFill>
              </w:rPr>
              <w:t>。</w:t>
            </w:r>
          </w:p>
        </w:tc>
        <w:tc>
          <w:tcPr>
            <w:tcW w:w="1799" w:type="dxa"/>
            <w:vMerge w:val="continue"/>
            <w:noWrap w:val="0"/>
            <w:vAlign w:val="center"/>
          </w:tcPr>
          <w:p w14:paraId="4B163B6E">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color w:val="000000" w:themeColor="text1"/>
                <w:szCs w:val="21"/>
                <w:highlight w:val="none"/>
                <w14:textFill>
                  <w14:solidFill>
                    <w14:schemeClr w14:val="tx1"/>
                  </w14:solidFill>
                </w14:textFill>
              </w:rPr>
            </w:pPr>
          </w:p>
        </w:tc>
      </w:tr>
      <w:tr w14:paraId="2A95CF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421" w:type="dxa"/>
            <w:vMerge w:val="continue"/>
            <w:noWrap w:val="0"/>
            <w:vAlign w:val="center"/>
          </w:tcPr>
          <w:p w14:paraId="099D62FA">
            <w:pPr>
              <w:adjustRightInd w:val="0"/>
              <w:snapToGrid w:val="0"/>
              <w:jc w:val="center"/>
              <w:rPr>
                <w:b/>
                <w:bCs/>
                <w:color w:val="000000" w:themeColor="text1"/>
                <w:szCs w:val="21"/>
                <w:highlight w:val="none"/>
                <w14:textFill>
                  <w14:solidFill>
                    <w14:schemeClr w14:val="tx1"/>
                  </w14:solidFill>
                </w14:textFill>
              </w:rPr>
            </w:pPr>
          </w:p>
        </w:tc>
        <w:tc>
          <w:tcPr>
            <w:tcW w:w="742" w:type="dxa"/>
            <w:vMerge w:val="continue"/>
            <w:noWrap w:val="0"/>
            <w:vAlign w:val="center"/>
          </w:tcPr>
          <w:p w14:paraId="3A88EE63">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p>
        </w:tc>
        <w:tc>
          <w:tcPr>
            <w:tcW w:w="1244" w:type="dxa"/>
            <w:noWrap w:val="0"/>
            <w:vAlign w:val="center"/>
          </w:tcPr>
          <w:p w14:paraId="63F6C43C">
            <w:pPr>
              <w:keepNext w:val="0"/>
              <w:keepLines w:val="0"/>
              <w:pageBreakBefore w:val="0"/>
              <w:widowControl w:val="0"/>
              <w:kinsoku/>
              <w:wordWrap/>
              <w:overflowPunct/>
              <w:topLinePunct w:val="0"/>
              <w:autoSpaceDE/>
              <w:autoSpaceDN/>
              <w:bidi w:val="0"/>
              <w:spacing w:line="240" w:lineRule="exact"/>
              <w:jc w:val="center"/>
              <w:textAlignment w:val="auto"/>
              <w:rPr>
                <w:rFonts w:hint="eastAsia"/>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石灰石</w:t>
            </w:r>
          </w:p>
          <w:p w14:paraId="1196D144">
            <w:pPr>
              <w:keepNext w:val="0"/>
              <w:keepLines w:val="0"/>
              <w:pageBreakBefore w:val="0"/>
              <w:widowControl w:val="0"/>
              <w:kinsoku/>
              <w:wordWrap/>
              <w:overflowPunct/>
              <w:topLinePunct w:val="0"/>
              <w:autoSpaceDE/>
              <w:autoSpaceDN/>
              <w:bidi w:val="0"/>
              <w:spacing w:line="240" w:lineRule="exact"/>
              <w:jc w:val="center"/>
              <w:textAlignment w:val="auto"/>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粉仓</w:t>
            </w:r>
          </w:p>
        </w:tc>
        <w:tc>
          <w:tcPr>
            <w:tcW w:w="1104" w:type="dxa"/>
            <w:noWrap w:val="0"/>
            <w:vAlign w:val="center"/>
          </w:tcPr>
          <w:p w14:paraId="089503BC">
            <w:pPr>
              <w:keepNext w:val="0"/>
              <w:keepLines w:val="0"/>
              <w:pageBreakBefore w:val="0"/>
              <w:widowControl w:val="0"/>
              <w:kinsoku/>
              <w:wordWrap/>
              <w:overflowPunct/>
              <w:topLinePunct w:val="0"/>
              <w:autoSpaceDE/>
              <w:autoSpaceDN/>
              <w:bidi w:val="0"/>
              <w:spacing w:line="240" w:lineRule="exact"/>
              <w:jc w:val="center"/>
              <w:textAlignment w:val="auto"/>
              <w:rPr>
                <w:rFonts w:hint="eastAsia"/>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颗粒物</w:t>
            </w:r>
          </w:p>
        </w:tc>
        <w:tc>
          <w:tcPr>
            <w:tcW w:w="3497" w:type="dxa"/>
            <w:noWrap w:val="0"/>
            <w:vAlign w:val="center"/>
          </w:tcPr>
          <w:p w14:paraId="277B47EA">
            <w:pPr>
              <w:keepNext w:val="0"/>
              <w:keepLines w:val="0"/>
              <w:pageBreakBefore w:val="0"/>
              <w:widowControl w:val="0"/>
              <w:kinsoku/>
              <w:wordWrap/>
              <w:overflowPunct/>
              <w:topLinePunct w:val="0"/>
              <w:autoSpaceDE/>
              <w:autoSpaceDN/>
              <w:bidi w:val="0"/>
              <w:spacing w:line="240" w:lineRule="exact"/>
              <w:jc w:val="both"/>
              <w:textAlignment w:val="auto"/>
              <w:rPr>
                <w:rFonts w:hint="eastAsia"/>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通过“封闭设备+</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布袋除尘器（覆膜袋式）</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”处理后经1根</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18</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m</w:t>
            </w:r>
            <w:r>
              <w:rPr>
                <w:rFonts w:hint="eastAsia" w:cs="Times New Roman"/>
                <w:color w:val="000000" w:themeColor="text1"/>
                <w:sz w:val="24"/>
                <w:highlight w:val="none"/>
                <w:lang w:val="en-US" w:eastAsia="zh-CN"/>
                <w14:textFill>
                  <w14:solidFill>
                    <w14:schemeClr w14:val="tx1"/>
                  </w14:solidFill>
                </w14:textFill>
              </w:rPr>
              <w:t>高的</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（DA01</w:t>
            </w:r>
            <w:r>
              <w:rPr>
                <w:rFonts w:hint="eastAsia" w:ascii="Times New Roman" w:hAnsi="Times New Roman" w:cs="Times New Roman"/>
                <w:b w:val="0"/>
                <w:bCs w:val="0"/>
                <w:color w:val="000000" w:themeColor="text1"/>
                <w:sz w:val="21"/>
                <w:szCs w:val="21"/>
                <w:highlight w:val="none"/>
                <w:lang w:val="en-US" w:eastAsia="zh-CN"/>
                <w14:textFill>
                  <w14:solidFill>
                    <w14:schemeClr w14:val="tx1"/>
                  </w14:solidFill>
                </w14:textFill>
              </w:rPr>
              <w:t>5</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w:t>
            </w:r>
            <w:r>
              <w:rPr>
                <w:rFonts w:hint="eastAsia" w:cs="Times New Roman"/>
                <w:b w:val="0"/>
                <w:bCs w:val="0"/>
                <w:color w:val="000000" w:themeColor="text1"/>
                <w:sz w:val="21"/>
                <w:szCs w:val="21"/>
                <w:highlight w:val="none"/>
                <w:lang w:val="en-US" w:eastAsia="zh-CN"/>
                <w14:textFill>
                  <w14:solidFill>
                    <w14:schemeClr w14:val="tx1"/>
                  </w14:solidFill>
                </w14:textFill>
              </w:rPr>
              <w:t>排气口</w:t>
            </w:r>
            <w:r>
              <w:rPr>
                <w:rFonts w:hint="default" w:ascii="Times New Roman" w:hAnsi="Times New Roman" w:eastAsia="宋体" w:cs="Times New Roman"/>
                <w:b w:val="0"/>
                <w:bCs w:val="0"/>
                <w:color w:val="000000" w:themeColor="text1"/>
                <w:sz w:val="21"/>
                <w:szCs w:val="21"/>
                <w:highlight w:val="none"/>
                <w:lang w:val="en-US" w:eastAsia="zh-CN"/>
                <w14:textFill>
                  <w14:solidFill>
                    <w14:schemeClr w14:val="tx1"/>
                  </w14:solidFill>
                </w14:textFill>
              </w:rPr>
              <w:t>排放</w:t>
            </w:r>
            <w:r>
              <w:rPr>
                <w:rFonts w:hint="eastAsia" w:cs="Times New Roman"/>
                <w:b w:val="0"/>
                <w:bCs w:val="0"/>
                <w:color w:val="000000" w:themeColor="text1"/>
                <w:sz w:val="21"/>
                <w:szCs w:val="21"/>
                <w:highlight w:val="none"/>
                <w:lang w:val="en-US" w:eastAsia="zh-CN"/>
                <w14:textFill>
                  <w14:solidFill>
                    <w14:schemeClr w14:val="tx1"/>
                  </w14:solidFill>
                </w14:textFill>
              </w:rPr>
              <w:t>。</w:t>
            </w:r>
          </w:p>
        </w:tc>
        <w:tc>
          <w:tcPr>
            <w:tcW w:w="1799" w:type="dxa"/>
            <w:vMerge w:val="continue"/>
            <w:noWrap w:val="0"/>
            <w:vAlign w:val="center"/>
          </w:tcPr>
          <w:p w14:paraId="0142C9BE">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color w:val="000000" w:themeColor="text1"/>
                <w:szCs w:val="21"/>
                <w:highlight w:val="none"/>
                <w14:textFill>
                  <w14:solidFill>
                    <w14:schemeClr w14:val="tx1"/>
                  </w14:solidFill>
                </w14:textFill>
              </w:rPr>
            </w:pPr>
          </w:p>
        </w:tc>
      </w:tr>
      <w:tr w14:paraId="667A69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421" w:type="dxa"/>
            <w:vMerge w:val="continue"/>
            <w:noWrap w:val="0"/>
            <w:vAlign w:val="center"/>
          </w:tcPr>
          <w:p w14:paraId="299874B9">
            <w:pPr>
              <w:adjustRightInd w:val="0"/>
              <w:snapToGrid w:val="0"/>
              <w:jc w:val="center"/>
              <w:rPr>
                <w:b/>
                <w:bCs/>
                <w:color w:val="000000" w:themeColor="text1"/>
                <w:szCs w:val="21"/>
                <w:highlight w:val="none"/>
                <w14:textFill>
                  <w14:solidFill>
                    <w14:schemeClr w14:val="tx1"/>
                  </w14:solidFill>
                </w14:textFill>
              </w:rPr>
            </w:pPr>
          </w:p>
        </w:tc>
        <w:tc>
          <w:tcPr>
            <w:tcW w:w="742" w:type="dxa"/>
            <w:vMerge w:val="continue"/>
            <w:noWrap w:val="0"/>
            <w:vAlign w:val="center"/>
          </w:tcPr>
          <w:p w14:paraId="36BD7F9D">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p>
        </w:tc>
        <w:tc>
          <w:tcPr>
            <w:tcW w:w="1244" w:type="dxa"/>
            <w:noWrap w:val="0"/>
            <w:vAlign w:val="center"/>
          </w:tcPr>
          <w:p w14:paraId="765C5A5A">
            <w:pPr>
              <w:keepNext w:val="0"/>
              <w:keepLines w:val="0"/>
              <w:pageBreakBefore w:val="0"/>
              <w:widowControl w:val="0"/>
              <w:kinsoku/>
              <w:wordWrap/>
              <w:overflowPunct/>
              <w:topLinePunct w:val="0"/>
              <w:autoSpaceDE/>
              <w:autoSpaceDN/>
              <w:bidi w:val="0"/>
              <w:spacing w:line="240" w:lineRule="exact"/>
              <w:jc w:val="center"/>
              <w:textAlignment w:val="auto"/>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成品库堆棚</w:t>
            </w:r>
          </w:p>
        </w:tc>
        <w:tc>
          <w:tcPr>
            <w:tcW w:w="1104" w:type="dxa"/>
            <w:noWrap w:val="0"/>
            <w:vAlign w:val="center"/>
          </w:tcPr>
          <w:p w14:paraId="332C9C8B">
            <w:pPr>
              <w:keepNext w:val="0"/>
              <w:keepLines w:val="0"/>
              <w:pageBreakBefore w:val="0"/>
              <w:widowControl w:val="0"/>
              <w:kinsoku/>
              <w:wordWrap/>
              <w:overflowPunct/>
              <w:topLinePunct w:val="0"/>
              <w:autoSpaceDE/>
              <w:autoSpaceDN/>
              <w:bidi w:val="0"/>
              <w:spacing w:line="240" w:lineRule="exact"/>
              <w:jc w:val="center"/>
              <w:textAlignment w:val="auto"/>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颗粒物</w:t>
            </w:r>
          </w:p>
        </w:tc>
        <w:tc>
          <w:tcPr>
            <w:tcW w:w="3497" w:type="dxa"/>
            <w:noWrap w:val="0"/>
            <w:vAlign w:val="center"/>
          </w:tcPr>
          <w:p w14:paraId="432D4435">
            <w:pPr>
              <w:keepNext w:val="0"/>
              <w:keepLines w:val="0"/>
              <w:pageBreakBefore w:val="0"/>
              <w:widowControl w:val="0"/>
              <w:kinsoku/>
              <w:wordWrap/>
              <w:overflowPunct/>
              <w:topLinePunct w:val="0"/>
              <w:autoSpaceDE/>
              <w:autoSpaceDN/>
              <w:bidi w:val="0"/>
              <w:spacing w:line="240" w:lineRule="exact"/>
              <w:jc w:val="both"/>
              <w:textAlignment w:val="auto"/>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2764</w:t>
            </w:r>
            <w:r>
              <w:rPr>
                <w:rFonts w:hint="eastAsia"/>
                <w:color w:val="000000" w:themeColor="text1"/>
                <w:szCs w:val="21"/>
                <w:highlight w:val="none"/>
                <w14:textFill>
                  <w14:solidFill>
                    <w14:schemeClr w14:val="tx1"/>
                  </w14:solidFill>
                </w14:textFill>
              </w:rPr>
              <w:t>m</w:t>
            </w:r>
            <w:r>
              <w:rPr>
                <w:rFonts w:hint="eastAsia"/>
                <w:color w:val="000000" w:themeColor="text1"/>
                <w:szCs w:val="21"/>
                <w:highlight w:val="none"/>
                <w:vertAlign w:val="superscript"/>
                <w14:textFill>
                  <w14:solidFill>
                    <w14:schemeClr w14:val="tx1"/>
                  </w14:solidFill>
                </w14:textFill>
              </w:rPr>
              <w:t>2</w:t>
            </w:r>
            <w:r>
              <w:rPr>
                <w:color w:val="000000" w:themeColor="text1"/>
                <w:szCs w:val="21"/>
                <w:highlight w:val="none"/>
                <w14:textFill>
                  <w14:solidFill>
                    <w14:schemeClr w14:val="tx1"/>
                  </w14:solidFill>
                </w14:textFill>
              </w:rPr>
              <w:t>全</w:t>
            </w:r>
            <w:r>
              <w:rPr>
                <w:rFonts w:hint="eastAsia"/>
                <w:color w:val="000000" w:themeColor="text1"/>
                <w:szCs w:val="21"/>
                <w:highlight w:val="none"/>
                <w14:textFill>
                  <w14:solidFill>
                    <w14:schemeClr w14:val="tx1"/>
                  </w14:solidFill>
                </w14:textFill>
              </w:rPr>
              <w:t>封闭</w:t>
            </w:r>
            <w:r>
              <w:rPr>
                <w:rFonts w:hint="eastAsia"/>
                <w:color w:val="000000" w:themeColor="text1"/>
                <w:szCs w:val="21"/>
                <w:highlight w:val="none"/>
                <w:lang w:val="en-US" w:eastAsia="zh-CN"/>
                <w14:textFill>
                  <w14:solidFill>
                    <w14:schemeClr w14:val="tx1"/>
                  </w14:solidFill>
                </w14:textFill>
              </w:rPr>
              <w:t>堆棚</w:t>
            </w:r>
            <w:r>
              <w:rPr>
                <w:rFonts w:hint="eastAsia" w:ascii="Times New Roman" w:hAnsi="Times New Roman" w:cs="Times New Roman"/>
                <w:color w:val="000000" w:themeColor="text1"/>
                <w:szCs w:val="21"/>
                <w:highlight w:val="none"/>
                <w:lang w:val="en-US" w:eastAsia="zh-CN"/>
                <w14:textFill>
                  <w14:solidFill>
                    <w14:schemeClr w14:val="tx1"/>
                  </w14:solidFill>
                </w14:textFill>
              </w:rPr>
              <w:t>内设置5个成品仓，9条包装生产线</w:t>
            </w:r>
            <w:r>
              <w:rPr>
                <w:rFonts w:hint="default" w:ascii="Times New Roman" w:hAnsi="Times New Roman" w:cs="Times New Roman"/>
                <w:color w:val="000000" w:themeColor="text1"/>
                <w:szCs w:val="21"/>
                <w:highlight w:val="none"/>
                <w14:textFill>
                  <w14:solidFill>
                    <w14:schemeClr w14:val="tx1"/>
                  </w14:solidFill>
                </w14:textFill>
              </w:rPr>
              <w:t>。</w:t>
            </w:r>
          </w:p>
        </w:tc>
        <w:tc>
          <w:tcPr>
            <w:tcW w:w="1799" w:type="dxa"/>
            <w:vMerge w:val="continue"/>
            <w:noWrap w:val="0"/>
            <w:vAlign w:val="center"/>
          </w:tcPr>
          <w:p w14:paraId="5BD71644">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color w:val="000000" w:themeColor="text1"/>
                <w:szCs w:val="21"/>
                <w:highlight w:val="none"/>
                <w14:textFill>
                  <w14:solidFill>
                    <w14:schemeClr w14:val="tx1"/>
                  </w14:solidFill>
                </w14:textFill>
              </w:rPr>
            </w:pPr>
          </w:p>
        </w:tc>
      </w:tr>
      <w:tr w14:paraId="1DC2DF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421" w:type="dxa"/>
            <w:vMerge w:val="restart"/>
            <w:noWrap w:val="0"/>
            <w:vAlign w:val="center"/>
          </w:tcPr>
          <w:p w14:paraId="75B457DA">
            <w:pPr>
              <w:adjustRightInd w:val="0"/>
              <w:snapToGrid w:val="0"/>
              <w:spacing w:line="240" w:lineRule="exact"/>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地表水环境</w:t>
            </w:r>
          </w:p>
        </w:tc>
        <w:tc>
          <w:tcPr>
            <w:tcW w:w="742" w:type="dxa"/>
            <w:noWrap w:val="0"/>
            <w:vAlign w:val="center"/>
          </w:tcPr>
          <w:p w14:paraId="0D418735">
            <w:pPr>
              <w:keepNext w:val="0"/>
              <w:keepLines w:val="0"/>
              <w:pageBreakBefore w:val="0"/>
              <w:widowControl w:val="0"/>
              <w:kinsoku/>
              <w:wordWrap/>
              <w:overflowPunct/>
              <w:topLinePunct w:val="0"/>
              <w:autoSpaceDE/>
              <w:autoSpaceDN/>
              <w:bidi w:val="0"/>
              <w:spacing w:line="240" w:lineRule="exact"/>
              <w:jc w:val="center"/>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施工期</w:t>
            </w:r>
          </w:p>
        </w:tc>
        <w:tc>
          <w:tcPr>
            <w:tcW w:w="1244" w:type="dxa"/>
            <w:noWrap w:val="0"/>
            <w:vAlign w:val="center"/>
          </w:tcPr>
          <w:p w14:paraId="404C3351">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施工废水</w:t>
            </w:r>
          </w:p>
        </w:tc>
        <w:tc>
          <w:tcPr>
            <w:tcW w:w="1104" w:type="dxa"/>
            <w:noWrap w:val="0"/>
            <w:vAlign w:val="center"/>
          </w:tcPr>
          <w:p w14:paraId="6BF91B3C">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SS</w:t>
            </w:r>
          </w:p>
        </w:tc>
        <w:tc>
          <w:tcPr>
            <w:tcW w:w="3497" w:type="dxa"/>
            <w:noWrap w:val="0"/>
            <w:vAlign w:val="center"/>
          </w:tcPr>
          <w:p w14:paraId="132124D9">
            <w:pPr>
              <w:keepNext w:val="0"/>
              <w:keepLines w:val="0"/>
              <w:pageBreakBefore w:val="0"/>
              <w:widowControl w:val="0"/>
              <w:kinsoku/>
              <w:wordWrap/>
              <w:overflowPunct/>
              <w:topLinePunct w:val="0"/>
              <w:autoSpaceDE/>
              <w:autoSpaceDN/>
              <w:bidi w:val="0"/>
              <w:adjustRightInd w:val="0"/>
              <w:snapToGrid w:val="0"/>
              <w:spacing w:line="240" w:lineRule="exact"/>
              <w:jc w:val="both"/>
              <w:textAlignment w:val="auto"/>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施工废水沉淀后用于场地洒水抑尘。</w:t>
            </w:r>
          </w:p>
        </w:tc>
        <w:tc>
          <w:tcPr>
            <w:tcW w:w="1799" w:type="dxa"/>
            <w:noWrap w:val="0"/>
            <w:vAlign w:val="center"/>
          </w:tcPr>
          <w:p w14:paraId="15D7D1B1">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r>
      <w:tr w14:paraId="662077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421" w:type="dxa"/>
            <w:vMerge w:val="continue"/>
            <w:noWrap w:val="0"/>
            <w:vAlign w:val="center"/>
          </w:tcPr>
          <w:p w14:paraId="5FD4A98A">
            <w:pPr>
              <w:adjustRightInd w:val="0"/>
              <w:snapToGrid w:val="0"/>
              <w:spacing w:line="240" w:lineRule="exact"/>
              <w:rPr>
                <w:color w:val="000000" w:themeColor="text1"/>
                <w:szCs w:val="21"/>
                <w:highlight w:val="none"/>
                <w14:textFill>
                  <w14:solidFill>
                    <w14:schemeClr w14:val="tx1"/>
                  </w14:solidFill>
                </w14:textFill>
              </w:rPr>
            </w:pPr>
          </w:p>
        </w:tc>
        <w:tc>
          <w:tcPr>
            <w:tcW w:w="742" w:type="dxa"/>
            <w:vMerge w:val="restart"/>
            <w:noWrap w:val="0"/>
            <w:vAlign w:val="center"/>
          </w:tcPr>
          <w:p w14:paraId="280045DD">
            <w:pPr>
              <w:keepNext w:val="0"/>
              <w:keepLines w:val="0"/>
              <w:pageBreakBefore w:val="0"/>
              <w:widowControl w:val="0"/>
              <w:kinsoku/>
              <w:wordWrap/>
              <w:overflowPunct/>
              <w:topLinePunct w:val="0"/>
              <w:autoSpaceDE/>
              <w:autoSpaceDN/>
              <w:bidi w:val="0"/>
              <w:spacing w:line="240" w:lineRule="exact"/>
              <w:jc w:val="center"/>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运营期</w:t>
            </w:r>
          </w:p>
        </w:tc>
        <w:tc>
          <w:tcPr>
            <w:tcW w:w="1244" w:type="dxa"/>
            <w:vMerge w:val="restart"/>
            <w:noWrap w:val="0"/>
            <w:vAlign w:val="center"/>
          </w:tcPr>
          <w:p w14:paraId="289030C0">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生活污水</w:t>
            </w:r>
          </w:p>
        </w:tc>
        <w:tc>
          <w:tcPr>
            <w:tcW w:w="1104" w:type="dxa"/>
            <w:noWrap w:val="0"/>
            <w:vAlign w:val="center"/>
          </w:tcPr>
          <w:p w14:paraId="7B83CDD5">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lang w:bidi="ar"/>
                <w14:textFill>
                  <w14:solidFill>
                    <w14:schemeClr w14:val="tx1"/>
                  </w14:solidFill>
                </w14:textFill>
              </w:rPr>
            </w:pPr>
            <w:r>
              <w:rPr>
                <w:color w:val="000000" w:themeColor="text1"/>
                <w:szCs w:val="21"/>
                <w:highlight w:val="none"/>
                <w14:textFill>
                  <w14:solidFill>
                    <w14:schemeClr w14:val="tx1"/>
                  </w14:solidFill>
                </w14:textFill>
              </w:rPr>
              <w:t>COD</w:t>
            </w:r>
          </w:p>
        </w:tc>
        <w:tc>
          <w:tcPr>
            <w:tcW w:w="3497" w:type="dxa"/>
            <w:vMerge w:val="restart"/>
            <w:noWrap w:val="0"/>
            <w:vAlign w:val="center"/>
          </w:tcPr>
          <w:p w14:paraId="42480B7E">
            <w:pPr>
              <w:adjustRightInd w:val="0"/>
              <w:snapToGrid w:val="0"/>
              <w:jc w:val="both"/>
              <w:rPr>
                <w:rFonts w:hint="default" w:ascii="Times New Roman" w:hAnsi="Times New Roman" w:cs="Times New Roman"/>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防渗化粪池收集后通过罐车拉运至园区污水处理厂处理。</w:t>
            </w:r>
          </w:p>
        </w:tc>
        <w:tc>
          <w:tcPr>
            <w:tcW w:w="1799" w:type="dxa"/>
            <w:vMerge w:val="restart"/>
            <w:noWrap w:val="0"/>
            <w:vAlign w:val="center"/>
          </w:tcPr>
          <w:p w14:paraId="466D1FE6">
            <w:pPr>
              <w:keepNext w:val="0"/>
              <w:keepLines w:val="0"/>
              <w:pageBreakBefore w:val="0"/>
              <w:widowControl w:val="0"/>
              <w:kinsoku/>
              <w:wordWrap/>
              <w:overflowPunct/>
              <w:topLinePunct w:val="0"/>
              <w:autoSpaceDE/>
              <w:autoSpaceDN/>
              <w:bidi w:val="0"/>
              <w:adjustRightInd w:val="0"/>
              <w:snapToGrid w:val="0"/>
              <w:spacing w:line="240" w:lineRule="exact"/>
              <w:jc w:val="both"/>
              <w:textAlignment w:val="auto"/>
              <w:rPr>
                <w:color w:val="000000" w:themeColor="text1"/>
                <w:szCs w:val="21"/>
                <w:highlight w:val="none"/>
                <w14:textFill>
                  <w14:solidFill>
                    <w14:schemeClr w14:val="tx1"/>
                  </w14:solidFill>
                </w14:textFill>
              </w:rPr>
            </w:pPr>
            <w:r>
              <w:rPr>
                <w:rFonts w:hint="default"/>
                <w:color w:val="000000" w:themeColor="text1"/>
                <w:szCs w:val="21"/>
                <w:highlight w:val="none"/>
                <w:lang w:val="en-US" w:eastAsia="zh-CN"/>
                <w14:textFill>
                  <w14:solidFill>
                    <w14:schemeClr w14:val="tx1"/>
                  </w14:solidFill>
                </w14:textFill>
              </w:rPr>
              <w:t>污水处理厂废水水质接纳标准</w:t>
            </w:r>
            <w:r>
              <w:rPr>
                <w:rFonts w:hint="eastAsia"/>
                <w:color w:val="000000" w:themeColor="text1"/>
                <w:szCs w:val="21"/>
                <w:highlight w:val="none"/>
                <w:lang w:val="en-US" w:eastAsia="zh-CN"/>
                <w14:textFill>
                  <w14:solidFill>
                    <w14:schemeClr w14:val="tx1"/>
                  </w14:solidFill>
                </w14:textFill>
              </w:rPr>
              <w:t>，详见4-18</w:t>
            </w:r>
          </w:p>
        </w:tc>
      </w:tr>
      <w:tr w14:paraId="6D119A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421" w:type="dxa"/>
            <w:vMerge w:val="continue"/>
            <w:noWrap w:val="0"/>
            <w:vAlign w:val="center"/>
          </w:tcPr>
          <w:p w14:paraId="0D488E4B">
            <w:pPr>
              <w:adjustRightInd w:val="0"/>
              <w:snapToGrid w:val="0"/>
              <w:spacing w:line="240" w:lineRule="exact"/>
              <w:rPr>
                <w:color w:val="000000" w:themeColor="text1"/>
                <w:szCs w:val="21"/>
                <w:highlight w:val="none"/>
                <w14:textFill>
                  <w14:solidFill>
                    <w14:schemeClr w14:val="tx1"/>
                  </w14:solidFill>
                </w14:textFill>
              </w:rPr>
            </w:pPr>
          </w:p>
        </w:tc>
        <w:tc>
          <w:tcPr>
            <w:tcW w:w="742" w:type="dxa"/>
            <w:vMerge w:val="continue"/>
            <w:noWrap w:val="0"/>
            <w:vAlign w:val="center"/>
          </w:tcPr>
          <w:p w14:paraId="10924ADC">
            <w:pPr>
              <w:keepNext w:val="0"/>
              <w:keepLines w:val="0"/>
              <w:pageBreakBefore w:val="0"/>
              <w:widowControl w:val="0"/>
              <w:kinsoku/>
              <w:wordWrap/>
              <w:overflowPunct/>
              <w:topLinePunct w:val="0"/>
              <w:autoSpaceDE/>
              <w:autoSpaceDN/>
              <w:bidi w:val="0"/>
              <w:spacing w:line="240" w:lineRule="exact"/>
              <w:jc w:val="center"/>
              <w:textAlignment w:val="auto"/>
              <w:rPr>
                <w:color w:val="000000" w:themeColor="text1"/>
                <w:szCs w:val="21"/>
                <w:highlight w:val="none"/>
                <w14:textFill>
                  <w14:solidFill>
                    <w14:schemeClr w14:val="tx1"/>
                  </w14:solidFill>
                </w14:textFill>
              </w:rPr>
            </w:pPr>
          </w:p>
        </w:tc>
        <w:tc>
          <w:tcPr>
            <w:tcW w:w="1244" w:type="dxa"/>
            <w:vMerge w:val="continue"/>
            <w:noWrap w:val="0"/>
            <w:vAlign w:val="center"/>
          </w:tcPr>
          <w:p w14:paraId="5E49B8BD">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color w:val="000000" w:themeColor="text1"/>
                <w:szCs w:val="21"/>
                <w:highlight w:val="none"/>
                <w14:textFill>
                  <w14:solidFill>
                    <w14:schemeClr w14:val="tx1"/>
                  </w14:solidFill>
                </w14:textFill>
              </w:rPr>
            </w:pPr>
          </w:p>
        </w:tc>
        <w:tc>
          <w:tcPr>
            <w:tcW w:w="1104" w:type="dxa"/>
            <w:noWrap w:val="0"/>
            <w:vAlign w:val="center"/>
          </w:tcPr>
          <w:p w14:paraId="5FDA4B4D">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氨氮</w:t>
            </w:r>
          </w:p>
        </w:tc>
        <w:tc>
          <w:tcPr>
            <w:tcW w:w="3497" w:type="dxa"/>
            <w:vMerge w:val="continue"/>
            <w:noWrap w:val="0"/>
            <w:vAlign w:val="center"/>
          </w:tcPr>
          <w:p w14:paraId="33A6D800">
            <w:pPr>
              <w:adjustRightInd w:val="0"/>
              <w:snapToGrid w:val="0"/>
              <w:jc w:val="both"/>
              <w:rPr>
                <w:rFonts w:hint="eastAsia" w:ascii="Times New Roman" w:hAnsi="Times New Roman" w:cs="Times New Roman"/>
                <w:color w:val="000000" w:themeColor="text1"/>
                <w:szCs w:val="21"/>
                <w:highlight w:val="none"/>
                <w:lang w:val="en-US" w:eastAsia="zh-CN"/>
                <w14:textFill>
                  <w14:solidFill>
                    <w14:schemeClr w14:val="tx1"/>
                  </w14:solidFill>
                </w14:textFill>
              </w:rPr>
            </w:pPr>
          </w:p>
        </w:tc>
        <w:tc>
          <w:tcPr>
            <w:tcW w:w="1799" w:type="dxa"/>
            <w:vMerge w:val="continue"/>
            <w:noWrap w:val="0"/>
            <w:vAlign w:val="center"/>
          </w:tcPr>
          <w:p w14:paraId="6B507884">
            <w:pPr>
              <w:keepNext w:val="0"/>
              <w:keepLines w:val="0"/>
              <w:pageBreakBefore w:val="0"/>
              <w:widowControl w:val="0"/>
              <w:kinsoku/>
              <w:wordWrap/>
              <w:overflowPunct/>
              <w:topLinePunct w:val="0"/>
              <w:autoSpaceDE/>
              <w:autoSpaceDN/>
              <w:bidi w:val="0"/>
              <w:adjustRightInd w:val="0"/>
              <w:snapToGrid w:val="0"/>
              <w:spacing w:line="240" w:lineRule="exact"/>
              <w:jc w:val="both"/>
              <w:textAlignment w:val="auto"/>
              <w:rPr>
                <w:rFonts w:hint="eastAsia"/>
                <w:color w:val="000000" w:themeColor="text1"/>
                <w:szCs w:val="21"/>
                <w:highlight w:val="none"/>
                <w14:textFill>
                  <w14:solidFill>
                    <w14:schemeClr w14:val="tx1"/>
                  </w14:solidFill>
                </w14:textFill>
              </w:rPr>
            </w:pPr>
          </w:p>
        </w:tc>
      </w:tr>
      <w:tr w14:paraId="3BBFED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421" w:type="dxa"/>
            <w:vMerge w:val="continue"/>
            <w:noWrap w:val="0"/>
            <w:vAlign w:val="center"/>
          </w:tcPr>
          <w:p w14:paraId="361E01DC">
            <w:pPr>
              <w:adjustRightInd w:val="0"/>
              <w:snapToGrid w:val="0"/>
              <w:spacing w:line="240" w:lineRule="exact"/>
              <w:rPr>
                <w:color w:val="000000" w:themeColor="text1"/>
                <w:szCs w:val="21"/>
                <w:highlight w:val="none"/>
                <w14:textFill>
                  <w14:solidFill>
                    <w14:schemeClr w14:val="tx1"/>
                  </w14:solidFill>
                </w14:textFill>
              </w:rPr>
            </w:pPr>
          </w:p>
        </w:tc>
        <w:tc>
          <w:tcPr>
            <w:tcW w:w="742" w:type="dxa"/>
            <w:vMerge w:val="continue"/>
            <w:noWrap w:val="0"/>
            <w:vAlign w:val="center"/>
          </w:tcPr>
          <w:p w14:paraId="1551A61A">
            <w:pPr>
              <w:keepNext w:val="0"/>
              <w:keepLines w:val="0"/>
              <w:pageBreakBefore w:val="0"/>
              <w:widowControl w:val="0"/>
              <w:kinsoku/>
              <w:wordWrap/>
              <w:overflowPunct/>
              <w:topLinePunct w:val="0"/>
              <w:autoSpaceDE/>
              <w:autoSpaceDN/>
              <w:bidi w:val="0"/>
              <w:spacing w:line="240" w:lineRule="exact"/>
              <w:jc w:val="center"/>
              <w:textAlignment w:val="auto"/>
              <w:rPr>
                <w:color w:val="000000" w:themeColor="text1"/>
                <w:szCs w:val="21"/>
                <w:highlight w:val="none"/>
                <w14:textFill>
                  <w14:solidFill>
                    <w14:schemeClr w14:val="tx1"/>
                  </w14:solidFill>
                </w14:textFill>
              </w:rPr>
            </w:pPr>
          </w:p>
        </w:tc>
        <w:tc>
          <w:tcPr>
            <w:tcW w:w="1244" w:type="dxa"/>
            <w:noWrap w:val="0"/>
            <w:vAlign w:val="center"/>
          </w:tcPr>
          <w:p w14:paraId="0A4300DF">
            <w:pPr>
              <w:adjustRightInd w:val="0"/>
              <w:snapToGrid w:val="0"/>
              <w:jc w:val="both"/>
              <w:rPr>
                <w:rFonts w:hint="default" w:ascii="Times New Roman" w:hAnsi="Times New Roman" w:cs="Times New Roman"/>
                <w:color w:val="000000" w:themeColor="text1"/>
                <w:szCs w:val="21"/>
                <w:highlight w:val="none"/>
                <w:lang w:val="en-US" w:eastAsia="zh-CN"/>
                <w14:textFill>
                  <w14:solidFill>
                    <w14:schemeClr w14:val="tx1"/>
                  </w14:solidFill>
                </w14:textFill>
              </w:rPr>
            </w:pPr>
            <w:r>
              <w:rPr>
                <w:rFonts w:hint="eastAsia" w:cs="Times New Roman"/>
                <w:color w:val="000000" w:themeColor="text1"/>
                <w:szCs w:val="21"/>
                <w:highlight w:val="none"/>
                <w:lang w:val="en-US" w:eastAsia="zh-CN"/>
                <w14:textFill>
                  <w14:solidFill>
                    <w14:schemeClr w14:val="tx1"/>
                  </w14:solidFill>
                </w14:textFill>
              </w:rPr>
              <w:t>冷却水排水</w:t>
            </w:r>
          </w:p>
        </w:tc>
        <w:tc>
          <w:tcPr>
            <w:tcW w:w="1104" w:type="dxa"/>
            <w:noWrap w:val="0"/>
            <w:vAlign w:val="center"/>
          </w:tcPr>
          <w:p w14:paraId="0B216F84">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c>
          <w:tcPr>
            <w:tcW w:w="3497" w:type="dxa"/>
            <w:noWrap w:val="0"/>
            <w:vAlign w:val="center"/>
          </w:tcPr>
          <w:p w14:paraId="5D3591BE">
            <w:pPr>
              <w:adjustRightInd w:val="0"/>
              <w:snapToGrid w:val="0"/>
              <w:jc w:val="both"/>
              <w:rPr>
                <w:rFonts w:hint="default" w:ascii="Times New Roman" w:hAnsi="Times New Roman" w:cs="Times New Roman"/>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项目循环冷却水系统排水</w:t>
            </w:r>
            <w:r>
              <w:rPr>
                <w:rFonts w:hint="default" w:ascii="Times New Roman" w:hAnsi="Times New Roman" w:cs="Times New Roman"/>
                <w:color w:val="000000" w:themeColor="text1"/>
                <w:szCs w:val="21"/>
                <w:highlight w:val="none"/>
                <w:lang w:val="en-US" w:eastAsia="zh-CN"/>
                <w14:textFill>
                  <w14:solidFill>
                    <w14:schemeClr w14:val="tx1"/>
                  </w14:solidFill>
                </w14:textFill>
              </w:rPr>
              <w:t>通过罐车拉运至污水处理厂</w:t>
            </w:r>
            <w:r>
              <w:rPr>
                <w:rFonts w:hint="eastAsia" w:ascii="Times New Roman" w:hAnsi="Times New Roman" w:cs="Times New Roman"/>
                <w:color w:val="000000" w:themeColor="text1"/>
                <w:szCs w:val="21"/>
                <w:highlight w:val="none"/>
                <w:lang w:val="en-US" w:eastAsia="zh-CN"/>
                <w14:textFill>
                  <w14:solidFill>
                    <w14:schemeClr w14:val="tx1"/>
                  </w14:solidFill>
                </w14:textFill>
              </w:rPr>
              <w:t>。</w:t>
            </w:r>
          </w:p>
        </w:tc>
        <w:tc>
          <w:tcPr>
            <w:tcW w:w="1799" w:type="dxa"/>
            <w:vMerge w:val="continue"/>
            <w:noWrap w:val="0"/>
            <w:vAlign w:val="center"/>
          </w:tcPr>
          <w:p w14:paraId="2B4B0C70">
            <w:pPr>
              <w:keepNext w:val="0"/>
              <w:keepLines w:val="0"/>
              <w:pageBreakBefore w:val="0"/>
              <w:widowControl w:val="0"/>
              <w:kinsoku/>
              <w:wordWrap/>
              <w:overflowPunct/>
              <w:topLinePunct w:val="0"/>
              <w:autoSpaceDE/>
              <w:autoSpaceDN/>
              <w:bidi w:val="0"/>
              <w:adjustRightInd w:val="0"/>
              <w:snapToGrid w:val="0"/>
              <w:spacing w:line="240" w:lineRule="exact"/>
              <w:jc w:val="both"/>
              <w:textAlignment w:val="auto"/>
              <w:rPr>
                <w:color w:val="000000" w:themeColor="text1"/>
                <w:szCs w:val="21"/>
                <w:highlight w:val="none"/>
                <w14:textFill>
                  <w14:solidFill>
                    <w14:schemeClr w14:val="tx1"/>
                  </w14:solidFill>
                </w14:textFill>
              </w:rPr>
            </w:pPr>
          </w:p>
        </w:tc>
      </w:tr>
      <w:tr w14:paraId="4A32D6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421" w:type="dxa"/>
            <w:vMerge w:val="continue"/>
            <w:noWrap w:val="0"/>
            <w:vAlign w:val="center"/>
          </w:tcPr>
          <w:p w14:paraId="626F9618">
            <w:pPr>
              <w:adjustRightInd w:val="0"/>
              <w:snapToGrid w:val="0"/>
              <w:spacing w:line="240" w:lineRule="exact"/>
              <w:rPr>
                <w:color w:val="000000" w:themeColor="text1"/>
                <w:szCs w:val="21"/>
                <w:highlight w:val="none"/>
                <w14:textFill>
                  <w14:solidFill>
                    <w14:schemeClr w14:val="tx1"/>
                  </w14:solidFill>
                </w14:textFill>
              </w:rPr>
            </w:pPr>
          </w:p>
        </w:tc>
        <w:tc>
          <w:tcPr>
            <w:tcW w:w="742" w:type="dxa"/>
            <w:vMerge w:val="continue"/>
            <w:noWrap w:val="0"/>
            <w:vAlign w:val="center"/>
          </w:tcPr>
          <w:p w14:paraId="33C913BA">
            <w:pPr>
              <w:keepNext w:val="0"/>
              <w:keepLines w:val="0"/>
              <w:pageBreakBefore w:val="0"/>
              <w:widowControl w:val="0"/>
              <w:kinsoku/>
              <w:wordWrap/>
              <w:overflowPunct/>
              <w:topLinePunct w:val="0"/>
              <w:autoSpaceDE/>
              <w:autoSpaceDN/>
              <w:bidi w:val="0"/>
              <w:spacing w:line="240" w:lineRule="exact"/>
              <w:jc w:val="center"/>
              <w:textAlignment w:val="auto"/>
              <w:rPr>
                <w:color w:val="000000" w:themeColor="text1"/>
                <w:szCs w:val="21"/>
                <w:highlight w:val="none"/>
                <w14:textFill>
                  <w14:solidFill>
                    <w14:schemeClr w14:val="tx1"/>
                  </w14:solidFill>
                </w14:textFill>
              </w:rPr>
            </w:pPr>
          </w:p>
        </w:tc>
        <w:tc>
          <w:tcPr>
            <w:tcW w:w="1244" w:type="dxa"/>
            <w:noWrap w:val="0"/>
            <w:vAlign w:val="center"/>
          </w:tcPr>
          <w:p w14:paraId="5EC5A7CD">
            <w:pPr>
              <w:adjustRightInd w:val="0"/>
              <w:snapToGrid w:val="0"/>
              <w:jc w:val="center"/>
              <w:rPr>
                <w:rFonts w:hint="eastAsia" w:eastAsia="宋体"/>
                <w:color w:val="000000" w:themeColor="text1"/>
                <w:szCs w:val="21"/>
                <w:highlight w:val="none"/>
                <w:lang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软水排水</w:t>
            </w:r>
          </w:p>
        </w:tc>
        <w:tc>
          <w:tcPr>
            <w:tcW w:w="1104" w:type="dxa"/>
            <w:noWrap w:val="0"/>
            <w:vAlign w:val="center"/>
          </w:tcPr>
          <w:p w14:paraId="0B2630CD">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SS、TDS</w:t>
            </w:r>
          </w:p>
        </w:tc>
        <w:tc>
          <w:tcPr>
            <w:tcW w:w="3497" w:type="dxa"/>
            <w:noWrap w:val="0"/>
            <w:vAlign w:val="center"/>
          </w:tcPr>
          <w:p w14:paraId="72BF7F5F">
            <w:pPr>
              <w:adjustRightInd w:val="0"/>
              <w:snapToGrid w:val="0"/>
              <w:jc w:val="both"/>
              <w:rPr>
                <w:rFonts w:hint="default" w:ascii="Times New Roman" w:hAnsi="Times New Roman" w:cs="Times New Roman"/>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罐车拉运</w:t>
            </w:r>
            <w:r>
              <w:rPr>
                <w:rFonts w:hint="default" w:ascii="Times New Roman" w:hAnsi="Times New Roman" w:cs="Times New Roman"/>
                <w:color w:val="000000" w:themeColor="text1"/>
                <w:szCs w:val="21"/>
                <w:highlight w:val="none"/>
                <w:lang w:val="en-US" w:eastAsia="zh-CN"/>
                <w14:textFill>
                  <w14:solidFill>
                    <w14:schemeClr w14:val="tx1"/>
                  </w14:solidFill>
                </w14:textFill>
              </w:rPr>
              <w:t>至园区生产废水处理厂处理</w:t>
            </w:r>
            <w:r>
              <w:rPr>
                <w:rFonts w:hint="eastAsia" w:ascii="Times New Roman" w:hAnsi="Times New Roman" w:cs="Times New Roman"/>
                <w:color w:val="000000" w:themeColor="text1"/>
                <w:szCs w:val="21"/>
                <w:highlight w:val="none"/>
                <w:lang w:val="en-US" w:eastAsia="zh-CN"/>
                <w14:textFill>
                  <w14:solidFill>
                    <w14:schemeClr w14:val="tx1"/>
                  </w14:solidFill>
                </w14:textFill>
              </w:rPr>
              <w:t>。</w:t>
            </w:r>
          </w:p>
        </w:tc>
        <w:tc>
          <w:tcPr>
            <w:tcW w:w="1799" w:type="dxa"/>
            <w:vMerge w:val="continue"/>
            <w:noWrap w:val="0"/>
            <w:vAlign w:val="center"/>
          </w:tcPr>
          <w:p w14:paraId="769E11A0">
            <w:pPr>
              <w:keepNext w:val="0"/>
              <w:keepLines w:val="0"/>
              <w:pageBreakBefore w:val="0"/>
              <w:widowControl w:val="0"/>
              <w:kinsoku/>
              <w:wordWrap/>
              <w:overflowPunct/>
              <w:topLinePunct w:val="0"/>
              <w:autoSpaceDE/>
              <w:autoSpaceDN/>
              <w:bidi w:val="0"/>
              <w:adjustRightInd w:val="0"/>
              <w:snapToGrid w:val="0"/>
              <w:spacing w:line="240" w:lineRule="exact"/>
              <w:jc w:val="both"/>
              <w:textAlignment w:val="auto"/>
              <w:rPr>
                <w:color w:val="000000" w:themeColor="text1"/>
                <w:szCs w:val="21"/>
                <w:highlight w:val="none"/>
                <w14:textFill>
                  <w14:solidFill>
                    <w14:schemeClr w14:val="tx1"/>
                  </w14:solidFill>
                </w14:textFill>
              </w:rPr>
            </w:pPr>
          </w:p>
        </w:tc>
      </w:tr>
      <w:tr w14:paraId="521A77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421" w:type="dxa"/>
            <w:vMerge w:val="continue"/>
            <w:noWrap w:val="0"/>
            <w:vAlign w:val="center"/>
          </w:tcPr>
          <w:p w14:paraId="543881B6">
            <w:pPr>
              <w:adjustRightInd w:val="0"/>
              <w:snapToGrid w:val="0"/>
              <w:spacing w:line="240" w:lineRule="exact"/>
              <w:rPr>
                <w:color w:val="000000" w:themeColor="text1"/>
                <w:szCs w:val="21"/>
                <w:highlight w:val="none"/>
                <w14:textFill>
                  <w14:solidFill>
                    <w14:schemeClr w14:val="tx1"/>
                  </w14:solidFill>
                </w14:textFill>
              </w:rPr>
            </w:pPr>
          </w:p>
        </w:tc>
        <w:tc>
          <w:tcPr>
            <w:tcW w:w="742" w:type="dxa"/>
            <w:vMerge w:val="continue"/>
            <w:noWrap w:val="0"/>
            <w:vAlign w:val="center"/>
          </w:tcPr>
          <w:p w14:paraId="71A2034E">
            <w:pPr>
              <w:keepNext w:val="0"/>
              <w:keepLines w:val="0"/>
              <w:pageBreakBefore w:val="0"/>
              <w:widowControl w:val="0"/>
              <w:kinsoku/>
              <w:wordWrap/>
              <w:overflowPunct/>
              <w:topLinePunct w:val="0"/>
              <w:autoSpaceDE/>
              <w:autoSpaceDN/>
              <w:bidi w:val="0"/>
              <w:spacing w:line="240" w:lineRule="exact"/>
              <w:jc w:val="center"/>
              <w:textAlignment w:val="auto"/>
              <w:rPr>
                <w:color w:val="000000" w:themeColor="text1"/>
                <w:szCs w:val="21"/>
                <w:highlight w:val="none"/>
                <w14:textFill>
                  <w14:solidFill>
                    <w14:schemeClr w14:val="tx1"/>
                  </w14:solidFill>
                </w14:textFill>
              </w:rPr>
            </w:pPr>
          </w:p>
        </w:tc>
        <w:tc>
          <w:tcPr>
            <w:tcW w:w="1244" w:type="dxa"/>
            <w:noWrap w:val="0"/>
            <w:vAlign w:val="center"/>
          </w:tcPr>
          <w:p w14:paraId="3F60C8DF">
            <w:pPr>
              <w:adjustRightInd w:val="0"/>
              <w:snapToGrid w:val="0"/>
              <w:jc w:val="center"/>
              <w:rPr>
                <w:rFonts w:hint="eastAsia"/>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余热</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锅炉排水</w:t>
            </w:r>
          </w:p>
        </w:tc>
        <w:tc>
          <w:tcPr>
            <w:tcW w:w="1104" w:type="dxa"/>
            <w:noWrap w:val="0"/>
            <w:vAlign w:val="center"/>
          </w:tcPr>
          <w:p w14:paraId="4ECE9FCA">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SS、TDS</w:t>
            </w:r>
          </w:p>
        </w:tc>
        <w:tc>
          <w:tcPr>
            <w:tcW w:w="3497" w:type="dxa"/>
            <w:noWrap w:val="0"/>
            <w:vAlign w:val="center"/>
          </w:tcPr>
          <w:p w14:paraId="508C2D89">
            <w:pPr>
              <w:adjustRightInd w:val="0"/>
              <w:snapToGrid w:val="0"/>
              <w:jc w:val="both"/>
              <w:rPr>
                <w:rFonts w:hint="eastAsia" w:ascii="Times New Roman" w:hAnsi="Times New Roman" w:cs="Times New Roman"/>
                <w:color w:val="000000" w:themeColor="text1"/>
                <w:szCs w:val="21"/>
                <w:highlight w:val="none"/>
                <w:lang w:val="en-US" w:eastAsia="zh-CN"/>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罐车拉运</w:t>
            </w:r>
            <w:r>
              <w:rPr>
                <w:rFonts w:hint="default" w:ascii="Times New Roman" w:hAnsi="Times New Roman" w:cs="Times New Roman"/>
                <w:color w:val="000000" w:themeColor="text1"/>
                <w:szCs w:val="21"/>
                <w:highlight w:val="none"/>
                <w:lang w:val="en-US" w:eastAsia="zh-CN"/>
                <w14:textFill>
                  <w14:solidFill>
                    <w14:schemeClr w14:val="tx1"/>
                  </w14:solidFill>
                </w14:textFill>
              </w:rPr>
              <w:t>至园区生产废水处理厂处理</w:t>
            </w:r>
            <w:r>
              <w:rPr>
                <w:rFonts w:hint="eastAsia" w:ascii="Times New Roman" w:hAnsi="Times New Roman" w:cs="Times New Roman"/>
                <w:color w:val="000000" w:themeColor="text1"/>
                <w:szCs w:val="21"/>
                <w:highlight w:val="none"/>
                <w:lang w:val="en-US" w:eastAsia="zh-CN"/>
                <w14:textFill>
                  <w14:solidFill>
                    <w14:schemeClr w14:val="tx1"/>
                  </w14:solidFill>
                </w14:textFill>
              </w:rPr>
              <w:t>。</w:t>
            </w:r>
          </w:p>
        </w:tc>
        <w:tc>
          <w:tcPr>
            <w:tcW w:w="1799" w:type="dxa"/>
            <w:vMerge w:val="continue"/>
            <w:noWrap w:val="0"/>
            <w:vAlign w:val="center"/>
          </w:tcPr>
          <w:p w14:paraId="02BF0BC1">
            <w:pPr>
              <w:keepNext w:val="0"/>
              <w:keepLines w:val="0"/>
              <w:pageBreakBefore w:val="0"/>
              <w:widowControl w:val="0"/>
              <w:kinsoku/>
              <w:wordWrap/>
              <w:overflowPunct/>
              <w:topLinePunct w:val="0"/>
              <w:autoSpaceDE/>
              <w:autoSpaceDN/>
              <w:bidi w:val="0"/>
              <w:adjustRightInd w:val="0"/>
              <w:snapToGrid w:val="0"/>
              <w:spacing w:line="240" w:lineRule="exact"/>
              <w:jc w:val="both"/>
              <w:textAlignment w:val="auto"/>
              <w:rPr>
                <w:color w:val="000000" w:themeColor="text1"/>
                <w:szCs w:val="21"/>
                <w:highlight w:val="none"/>
                <w14:textFill>
                  <w14:solidFill>
                    <w14:schemeClr w14:val="tx1"/>
                  </w14:solidFill>
                </w14:textFill>
              </w:rPr>
            </w:pPr>
          </w:p>
        </w:tc>
      </w:tr>
      <w:tr w14:paraId="3D354F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6" w:hRule="atLeast"/>
          <w:jc w:val="center"/>
        </w:trPr>
        <w:tc>
          <w:tcPr>
            <w:tcW w:w="421" w:type="dxa"/>
            <w:vMerge w:val="continue"/>
            <w:noWrap w:val="0"/>
            <w:vAlign w:val="center"/>
          </w:tcPr>
          <w:p w14:paraId="5CC1B12A">
            <w:pPr>
              <w:adjustRightInd w:val="0"/>
              <w:snapToGrid w:val="0"/>
              <w:spacing w:line="240" w:lineRule="exact"/>
              <w:rPr>
                <w:color w:val="000000" w:themeColor="text1"/>
                <w:szCs w:val="21"/>
                <w:highlight w:val="none"/>
                <w14:textFill>
                  <w14:solidFill>
                    <w14:schemeClr w14:val="tx1"/>
                  </w14:solidFill>
                </w14:textFill>
              </w:rPr>
            </w:pPr>
          </w:p>
        </w:tc>
        <w:tc>
          <w:tcPr>
            <w:tcW w:w="742" w:type="dxa"/>
            <w:vMerge w:val="continue"/>
            <w:noWrap w:val="0"/>
            <w:vAlign w:val="center"/>
          </w:tcPr>
          <w:p w14:paraId="45B65FD3">
            <w:pPr>
              <w:keepNext w:val="0"/>
              <w:keepLines w:val="0"/>
              <w:pageBreakBefore w:val="0"/>
              <w:widowControl w:val="0"/>
              <w:kinsoku/>
              <w:wordWrap/>
              <w:overflowPunct/>
              <w:topLinePunct w:val="0"/>
              <w:autoSpaceDE/>
              <w:autoSpaceDN/>
              <w:bidi w:val="0"/>
              <w:spacing w:line="240" w:lineRule="exact"/>
              <w:jc w:val="center"/>
              <w:textAlignment w:val="auto"/>
              <w:rPr>
                <w:color w:val="000000" w:themeColor="text1"/>
                <w:szCs w:val="21"/>
                <w:highlight w:val="none"/>
                <w14:textFill>
                  <w14:solidFill>
                    <w14:schemeClr w14:val="tx1"/>
                  </w14:solidFill>
                </w14:textFill>
              </w:rPr>
            </w:pPr>
          </w:p>
        </w:tc>
        <w:tc>
          <w:tcPr>
            <w:tcW w:w="1244" w:type="dxa"/>
            <w:noWrap w:val="0"/>
            <w:vAlign w:val="center"/>
          </w:tcPr>
          <w:p w14:paraId="6FE5282A">
            <w:pPr>
              <w:adjustRightInd w:val="0"/>
              <w:snapToGrid w:val="0"/>
              <w:jc w:val="center"/>
              <w:rPr>
                <w:rFonts w:hint="eastAsia"/>
                <w:color w:val="000000" w:themeColor="text1"/>
                <w:szCs w:val="21"/>
                <w:highlight w:val="none"/>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脱硫废水</w:t>
            </w:r>
          </w:p>
        </w:tc>
        <w:tc>
          <w:tcPr>
            <w:tcW w:w="1104" w:type="dxa"/>
            <w:noWrap w:val="0"/>
            <w:vAlign w:val="center"/>
          </w:tcPr>
          <w:p w14:paraId="482047DE">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default"/>
                <w:color w:val="000000" w:themeColor="text1"/>
                <w:szCs w:val="21"/>
                <w:highlight w:val="none"/>
                <w:lang w:val="en-US"/>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SS、TDS、重金属</w:t>
            </w:r>
          </w:p>
        </w:tc>
        <w:tc>
          <w:tcPr>
            <w:tcW w:w="3497" w:type="dxa"/>
            <w:noWrap w:val="0"/>
            <w:vAlign w:val="center"/>
          </w:tcPr>
          <w:p w14:paraId="59895494">
            <w:pPr>
              <w:keepNext w:val="0"/>
              <w:keepLines w:val="0"/>
              <w:pageBreakBefore w:val="0"/>
              <w:widowControl w:val="0"/>
              <w:kinsoku/>
              <w:wordWrap/>
              <w:overflowPunct/>
              <w:topLinePunct w:val="0"/>
              <w:autoSpaceDE/>
              <w:autoSpaceDN/>
              <w:bidi w:val="0"/>
              <w:adjustRightInd w:val="0"/>
              <w:snapToGrid w:val="0"/>
              <w:spacing w:line="240" w:lineRule="exact"/>
              <w:jc w:val="both"/>
              <w:textAlignment w:val="auto"/>
              <w:rPr>
                <w:color w:val="000000" w:themeColor="text1"/>
                <w:szCs w:val="21"/>
                <w:highlight w:val="none"/>
                <w14:textFill>
                  <w14:solidFill>
                    <w14:schemeClr w14:val="tx1"/>
                  </w14:solidFill>
                </w14:textFill>
              </w:rPr>
            </w:pPr>
            <w:r>
              <w:rPr>
                <w:rFonts w:hint="default" w:ascii="宋体" w:hAnsi="宋体" w:eastAsia="宋体" w:cs="宋体"/>
                <w:color w:val="000000" w:themeColor="text1"/>
                <w:kern w:val="0"/>
                <w:sz w:val="21"/>
                <w:szCs w:val="21"/>
                <w:highlight w:val="none"/>
                <w:lang w:val="en-US" w:eastAsia="zh-CN" w:bidi="ar"/>
                <w14:textFill>
                  <w14:solidFill>
                    <w14:schemeClr w14:val="tx1"/>
                  </w14:solidFill>
                </w14:textFill>
              </w:rPr>
              <w:t>经三联箱装置处理后</w:t>
            </w:r>
            <w:r>
              <w:rPr>
                <w:rFonts w:hint="eastAsia" w:ascii="宋体" w:hAnsi="宋体" w:cs="宋体"/>
                <w:color w:val="000000" w:themeColor="text1"/>
                <w:kern w:val="0"/>
                <w:sz w:val="21"/>
                <w:szCs w:val="21"/>
                <w:highlight w:val="none"/>
                <w:lang w:val="en-US" w:eastAsia="zh-CN" w:bidi="ar"/>
                <w14:textFill>
                  <w14:solidFill>
                    <w14:schemeClr w14:val="tx1"/>
                  </w14:solidFill>
                </w14:textFill>
              </w:rPr>
              <w:t>回用。</w:t>
            </w:r>
          </w:p>
        </w:tc>
        <w:tc>
          <w:tcPr>
            <w:tcW w:w="1799" w:type="dxa"/>
            <w:noWrap w:val="0"/>
            <w:vAlign w:val="center"/>
          </w:tcPr>
          <w:p w14:paraId="7BFED393">
            <w:pPr>
              <w:keepNext w:val="0"/>
              <w:keepLines w:val="0"/>
              <w:pageBreakBefore w:val="0"/>
              <w:widowControl w:val="0"/>
              <w:kinsoku/>
              <w:wordWrap/>
              <w:overflowPunct/>
              <w:topLinePunct w:val="0"/>
              <w:autoSpaceDE/>
              <w:autoSpaceDN/>
              <w:bidi w:val="0"/>
              <w:adjustRightInd w:val="0"/>
              <w:snapToGrid w:val="0"/>
              <w:spacing w:line="240" w:lineRule="exact"/>
              <w:jc w:val="both"/>
              <w:textAlignment w:val="auto"/>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满足《城市污水再生利用 工业用水水质》（GB/T 19923-2024）</w:t>
            </w:r>
          </w:p>
        </w:tc>
      </w:tr>
      <w:tr w14:paraId="023056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421" w:type="dxa"/>
            <w:vMerge w:val="restart"/>
            <w:noWrap w:val="0"/>
            <w:vAlign w:val="center"/>
          </w:tcPr>
          <w:p w14:paraId="6C35EC9F">
            <w:pPr>
              <w:adjustRightInd w:val="0"/>
              <w:snapToGrid w:val="0"/>
              <w:jc w:val="center"/>
              <w:rPr>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声环境</w:t>
            </w:r>
          </w:p>
        </w:tc>
        <w:tc>
          <w:tcPr>
            <w:tcW w:w="742" w:type="dxa"/>
            <w:noWrap w:val="0"/>
            <w:vAlign w:val="center"/>
          </w:tcPr>
          <w:p w14:paraId="053CE272">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施工期</w:t>
            </w:r>
          </w:p>
        </w:tc>
        <w:tc>
          <w:tcPr>
            <w:tcW w:w="1244" w:type="dxa"/>
            <w:noWrap w:val="0"/>
            <w:vAlign w:val="center"/>
          </w:tcPr>
          <w:p w14:paraId="73E453B4">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土石方开挖和</w:t>
            </w:r>
            <w:r>
              <w:rPr>
                <w:rFonts w:hint="eastAsia"/>
                <w:color w:val="000000" w:themeColor="text1"/>
                <w:szCs w:val="21"/>
                <w:highlight w:val="none"/>
                <w14:textFill>
                  <w14:solidFill>
                    <w14:schemeClr w14:val="tx1"/>
                  </w14:solidFill>
                </w14:textFill>
              </w:rPr>
              <w:t>工程建设</w:t>
            </w:r>
          </w:p>
        </w:tc>
        <w:tc>
          <w:tcPr>
            <w:tcW w:w="1104" w:type="dxa"/>
            <w:noWrap w:val="0"/>
            <w:vAlign w:val="center"/>
          </w:tcPr>
          <w:p w14:paraId="0F8BDD6E">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噪声</w:t>
            </w:r>
          </w:p>
        </w:tc>
        <w:tc>
          <w:tcPr>
            <w:tcW w:w="3497" w:type="dxa"/>
            <w:noWrap w:val="0"/>
            <w:vAlign w:val="center"/>
          </w:tcPr>
          <w:p w14:paraId="24C5CA40">
            <w:pPr>
              <w:keepNext w:val="0"/>
              <w:keepLines w:val="0"/>
              <w:pageBreakBefore w:val="0"/>
              <w:widowControl w:val="0"/>
              <w:kinsoku/>
              <w:wordWrap/>
              <w:overflowPunct/>
              <w:topLinePunct w:val="0"/>
              <w:autoSpaceDE/>
              <w:autoSpaceDN/>
              <w:bidi w:val="0"/>
              <w:adjustRightInd w:val="0"/>
              <w:snapToGrid w:val="0"/>
              <w:spacing w:line="240" w:lineRule="exact"/>
              <w:jc w:val="both"/>
              <w:textAlignment w:val="auto"/>
              <w:rPr>
                <w:rFonts w:hint="eastAsia" w:eastAsia="宋体"/>
                <w:color w:val="000000" w:themeColor="text1"/>
                <w:szCs w:val="21"/>
                <w:highlight w:val="none"/>
                <w:lang w:eastAsia="zh-CN"/>
                <w14:textFill>
                  <w14:solidFill>
                    <w14:schemeClr w14:val="tx1"/>
                  </w14:solidFill>
                </w14:textFill>
              </w:rPr>
            </w:pPr>
            <w:r>
              <w:rPr>
                <w:color w:val="000000" w:themeColor="text1"/>
                <w:szCs w:val="21"/>
                <w:highlight w:val="none"/>
                <w14:textFill>
                  <w14:solidFill>
                    <w14:schemeClr w14:val="tx1"/>
                  </w14:solidFill>
                </w14:textFill>
              </w:rPr>
              <w:t>设置围挡、加强设备维护</w:t>
            </w:r>
            <w:r>
              <w:rPr>
                <w:rFonts w:hint="eastAsia"/>
                <w:color w:val="000000" w:themeColor="text1"/>
                <w:szCs w:val="21"/>
                <w:highlight w:val="none"/>
                <w:lang w:eastAsia="zh-CN"/>
                <w14:textFill>
                  <w14:solidFill>
                    <w14:schemeClr w14:val="tx1"/>
                  </w14:solidFill>
                </w14:textFill>
              </w:rPr>
              <w:t>。</w:t>
            </w:r>
          </w:p>
        </w:tc>
        <w:tc>
          <w:tcPr>
            <w:tcW w:w="1799" w:type="dxa"/>
            <w:noWrap w:val="0"/>
            <w:vAlign w:val="center"/>
          </w:tcPr>
          <w:p w14:paraId="2B4214B4">
            <w:pPr>
              <w:keepNext w:val="0"/>
              <w:keepLines w:val="0"/>
              <w:pageBreakBefore w:val="0"/>
              <w:widowControl w:val="0"/>
              <w:kinsoku/>
              <w:wordWrap/>
              <w:overflowPunct/>
              <w:topLinePunct w:val="0"/>
              <w:autoSpaceDE/>
              <w:autoSpaceDN/>
              <w:bidi w:val="0"/>
              <w:adjustRightInd w:val="0"/>
              <w:snapToGrid w:val="0"/>
              <w:spacing w:line="240" w:lineRule="exact"/>
              <w:jc w:val="both"/>
              <w:textAlignment w:val="auto"/>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《建筑施工噪声排放标准》（GB12523-20</w:t>
            </w:r>
            <w:r>
              <w:rPr>
                <w:rFonts w:hint="eastAsia"/>
                <w:color w:val="000000" w:themeColor="text1"/>
                <w:szCs w:val="21"/>
                <w:highlight w:val="none"/>
                <w:lang w:val="en-US" w:eastAsia="zh-CN"/>
                <w14:textFill>
                  <w14:solidFill>
                    <w14:schemeClr w14:val="tx1"/>
                  </w14:solidFill>
                </w14:textFill>
              </w:rPr>
              <w:t>25</w:t>
            </w:r>
            <w:r>
              <w:rPr>
                <w:rFonts w:hint="eastAsia"/>
                <w:color w:val="000000" w:themeColor="text1"/>
                <w:szCs w:val="21"/>
                <w:highlight w:val="none"/>
                <w14:textFill>
                  <w14:solidFill>
                    <w14:schemeClr w14:val="tx1"/>
                  </w14:solidFill>
                </w14:textFill>
              </w:rPr>
              <w:t>）</w:t>
            </w:r>
          </w:p>
        </w:tc>
      </w:tr>
      <w:tr w14:paraId="02A890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9" w:hRule="atLeast"/>
          <w:jc w:val="center"/>
        </w:trPr>
        <w:tc>
          <w:tcPr>
            <w:tcW w:w="421" w:type="dxa"/>
            <w:vMerge w:val="continue"/>
            <w:noWrap w:val="0"/>
            <w:vAlign w:val="center"/>
          </w:tcPr>
          <w:p w14:paraId="39E137B2">
            <w:pPr>
              <w:adjustRightInd w:val="0"/>
              <w:snapToGrid w:val="0"/>
              <w:jc w:val="center"/>
              <w:rPr>
                <w:color w:val="000000" w:themeColor="text1"/>
                <w:szCs w:val="21"/>
                <w:highlight w:val="none"/>
                <w14:textFill>
                  <w14:solidFill>
                    <w14:schemeClr w14:val="tx1"/>
                  </w14:solidFill>
                </w14:textFill>
              </w:rPr>
            </w:pPr>
          </w:p>
        </w:tc>
        <w:tc>
          <w:tcPr>
            <w:tcW w:w="742" w:type="dxa"/>
            <w:noWrap w:val="0"/>
            <w:vAlign w:val="center"/>
          </w:tcPr>
          <w:p w14:paraId="7F544EA4">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运营期</w:t>
            </w:r>
          </w:p>
        </w:tc>
        <w:tc>
          <w:tcPr>
            <w:tcW w:w="1244" w:type="dxa"/>
            <w:noWrap w:val="0"/>
            <w:vAlign w:val="center"/>
          </w:tcPr>
          <w:p w14:paraId="5404F8BD">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风机、泵</w:t>
            </w:r>
            <w:r>
              <w:rPr>
                <w:rFonts w:hint="eastAsia"/>
                <w:color w:val="000000" w:themeColor="text1"/>
                <w:szCs w:val="21"/>
                <w:highlight w:val="none"/>
                <w14:textFill>
                  <w14:solidFill>
                    <w14:schemeClr w14:val="tx1"/>
                  </w14:solidFill>
                </w14:textFill>
              </w:rPr>
              <w:t>等</w:t>
            </w:r>
          </w:p>
        </w:tc>
        <w:tc>
          <w:tcPr>
            <w:tcW w:w="1104" w:type="dxa"/>
            <w:noWrap w:val="0"/>
            <w:vAlign w:val="center"/>
          </w:tcPr>
          <w:p w14:paraId="346BA672">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噪声</w:t>
            </w:r>
          </w:p>
        </w:tc>
        <w:tc>
          <w:tcPr>
            <w:tcW w:w="3497" w:type="dxa"/>
            <w:noWrap w:val="0"/>
            <w:vAlign w:val="center"/>
          </w:tcPr>
          <w:p w14:paraId="3C468F61">
            <w:pPr>
              <w:keepNext w:val="0"/>
              <w:keepLines w:val="0"/>
              <w:pageBreakBefore w:val="0"/>
              <w:widowControl w:val="0"/>
              <w:kinsoku/>
              <w:wordWrap/>
              <w:overflowPunct/>
              <w:topLinePunct w:val="0"/>
              <w:autoSpaceDE/>
              <w:autoSpaceDN/>
              <w:bidi w:val="0"/>
              <w:adjustRightInd w:val="0"/>
              <w:snapToGrid w:val="0"/>
              <w:spacing w:line="240" w:lineRule="exact"/>
              <w:jc w:val="both"/>
              <w:textAlignment w:val="auto"/>
              <w:rPr>
                <w:rFonts w:hint="eastAsia" w:eastAsia="宋体"/>
                <w:color w:val="000000" w:themeColor="text1"/>
                <w:szCs w:val="21"/>
                <w:highlight w:val="none"/>
                <w:lang w:eastAsia="zh-CN"/>
                <w14:textFill>
                  <w14:solidFill>
                    <w14:schemeClr w14:val="tx1"/>
                  </w14:solidFill>
                </w14:textFill>
              </w:rPr>
            </w:pPr>
            <w:r>
              <w:rPr>
                <w:color w:val="000000" w:themeColor="text1"/>
                <w:szCs w:val="21"/>
                <w:highlight w:val="none"/>
                <w14:textFill>
                  <w14:solidFill>
                    <w14:schemeClr w14:val="tx1"/>
                  </w14:solidFill>
                </w14:textFill>
              </w:rPr>
              <w:t>机械设备的基底加厚、铺置隔声垫、采用低噪音设备以防振动产生二次噪声污染</w:t>
            </w:r>
            <w:r>
              <w:rPr>
                <w:rFonts w:hint="eastAsia"/>
                <w:color w:val="000000" w:themeColor="text1"/>
                <w:szCs w:val="21"/>
                <w:highlight w:val="none"/>
                <w:lang w:eastAsia="zh-CN"/>
                <w14:textFill>
                  <w14:solidFill>
                    <w14:schemeClr w14:val="tx1"/>
                  </w14:solidFill>
                </w14:textFill>
              </w:rPr>
              <w:t>。</w:t>
            </w:r>
          </w:p>
        </w:tc>
        <w:tc>
          <w:tcPr>
            <w:tcW w:w="1799" w:type="dxa"/>
            <w:noWrap w:val="0"/>
            <w:vAlign w:val="center"/>
          </w:tcPr>
          <w:p w14:paraId="348A129D">
            <w:pPr>
              <w:keepNext w:val="0"/>
              <w:keepLines w:val="0"/>
              <w:pageBreakBefore w:val="0"/>
              <w:widowControl w:val="0"/>
              <w:kinsoku/>
              <w:wordWrap/>
              <w:overflowPunct/>
              <w:topLinePunct w:val="0"/>
              <w:autoSpaceDE/>
              <w:autoSpaceDN/>
              <w:bidi w:val="0"/>
              <w:adjustRightInd w:val="0"/>
              <w:snapToGrid w:val="0"/>
              <w:spacing w:line="240" w:lineRule="exact"/>
              <w:jc w:val="both"/>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《工业企业厂界环境噪声排放标准》</w:t>
            </w:r>
            <w:r>
              <w:rPr>
                <w:rFonts w:hint="eastAsia"/>
                <w:color w:val="000000" w:themeColor="text1"/>
                <w:szCs w:val="21"/>
                <w:highlight w:val="none"/>
                <w:lang w:eastAsia="zh-CN"/>
                <w14:textFill>
                  <w14:solidFill>
                    <w14:schemeClr w14:val="tx1"/>
                  </w14:solidFill>
                </w14:textFill>
              </w:rPr>
              <w:t>（</w:t>
            </w:r>
            <w:r>
              <w:rPr>
                <w:color w:val="000000" w:themeColor="text1"/>
                <w:szCs w:val="21"/>
                <w:highlight w:val="none"/>
                <w14:textFill>
                  <w14:solidFill>
                    <w14:schemeClr w14:val="tx1"/>
                  </w14:solidFill>
                </w14:textFill>
              </w:rPr>
              <w:t>GB12348-2008）3类标准</w:t>
            </w:r>
          </w:p>
        </w:tc>
      </w:tr>
      <w:tr w14:paraId="597AEE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1163" w:type="dxa"/>
            <w:gridSpan w:val="2"/>
            <w:noWrap w:val="0"/>
            <w:vAlign w:val="center"/>
          </w:tcPr>
          <w:p w14:paraId="10B56750">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电磁辐射</w:t>
            </w:r>
          </w:p>
        </w:tc>
        <w:tc>
          <w:tcPr>
            <w:tcW w:w="7644" w:type="dxa"/>
            <w:gridSpan w:val="4"/>
            <w:noWrap w:val="0"/>
            <w:vAlign w:val="center"/>
          </w:tcPr>
          <w:p w14:paraId="760BD125">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r>
      <w:tr w14:paraId="58BF8B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421" w:type="dxa"/>
            <w:vMerge w:val="restart"/>
            <w:noWrap w:val="0"/>
            <w:vAlign w:val="center"/>
          </w:tcPr>
          <w:p w14:paraId="528CB2A9">
            <w:pPr>
              <w:adjustRightInd w:val="0"/>
              <w:snapToGrid w:val="0"/>
              <w:jc w:val="center"/>
              <w:rPr>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固体废物</w:t>
            </w:r>
          </w:p>
        </w:tc>
        <w:tc>
          <w:tcPr>
            <w:tcW w:w="742" w:type="dxa"/>
            <w:noWrap w:val="0"/>
            <w:vAlign w:val="center"/>
          </w:tcPr>
          <w:p w14:paraId="7AE4B39F">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施工期</w:t>
            </w:r>
          </w:p>
        </w:tc>
        <w:tc>
          <w:tcPr>
            <w:tcW w:w="1244" w:type="dxa"/>
            <w:noWrap w:val="0"/>
            <w:vAlign w:val="center"/>
          </w:tcPr>
          <w:p w14:paraId="200729A2">
            <w:pPr>
              <w:keepNext w:val="0"/>
              <w:keepLines w:val="0"/>
              <w:pageBreakBefore w:val="0"/>
              <w:widowControl w:val="0"/>
              <w:kinsoku/>
              <w:wordWrap/>
              <w:overflowPunct/>
              <w:topLinePunct w:val="0"/>
              <w:autoSpaceDE/>
              <w:autoSpaceDN/>
              <w:bidi w:val="0"/>
              <w:adjustRightInd w:val="0"/>
              <w:spacing w:line="240" w:lineRule="exact"/>
              <w:jc w:val="center"/>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施工建设</w:t>
            </w:r>
          </w:p>
        </w:tc>
        <w:tc>
          <w:tcPr>
            <w:tcW w:w="1104" w:type="dxa"/>
            <w:noWrap w:val="0"/>
            <w:vAlign w:val="center"/>
          </w:tcPr>
          <w:p w14:paraId="6FA57ED2">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建筑垃圾和生活垃圾</w:t>
            </w:r>
          </w:p>
        </w:tc>
        <w:tc>
          <w:tcPr>
            <w:tcW w:w="3497" w:type="dxa"/>
            <w:noWrap w:val="0"/>
            <w:vAlign w:val="top"/>
          </w:tcPr>
          <w:p w14:paraId="2D84662F">
            <w:pPr>
              <w:keepNext w:val="0"/>
              <w:keepLines w:val="0"/>
              <w:pageBreakBefore w:val="0"/>
              <w:widowControl w:val="0"/>
              <w:kinsoku/>
              <w:wordWrap/>
              <w:overflowPunct/>
              <w:topLinePunct w:val="0"/>
              <w:autoSpaceDE/>
              <w:autoSpaceDN/>
              <w:bidi w:val="0"/>
              <w:adjustRightInd w:val="0"/>
              <w:snapToGrid w:val="0"/>
              <w:spacing w:line="240" w:lineRule="auto"/>
              <w:ind w:right="0"/>
              <w:jc w:val="both"/>
              <w:textAlignment w:val="auto"/>
              <w:rPr>
                <w:rFonts w:hint="eastAsia" w:eastAsia="宋体"/>
                <w:color w:val="000000" w:themeColor="text1"/>
                <w:szCs w:val="21"/>
                <w:highlight w:val="none"/>
                <w:lang w:eastAsia="zh-CN"/>
                <w14:textFill>
                  <w14:solidFill>
                    <w14:schemeClr w14:val="tx1"/>
                  </w14:solidFill>
                </w14:textFill>
              </w:rPr>
            </w:pPr>
            <w:r>
              <w:rPr>
                <w:color w:val="000000" w:themeColor="text1"/>
                <w:szCs w:val="21"/>
                <w:highlight w:val="none"/>
                <w14:textFill>
                  <w14:solidFill>
                    <w14:schemeClr w14:val="tx1"/>
                  </w14:solidFill>
                </w14:textFill>
              </w:rPr>
              <w:t>土石方回填、建筑垃圾及时清运、生活垃圾委托环卫部门处理</w:t>
            </w:r>
            <w:r>
              <w:rPr>
                <w:rFonts w:hint="eastAsia"/>
                <w:color w:val="000000" w:themeColor="text1"/>
                <w:szCs w:val="21"/>
                <w:highlight w:val="none"/>
                <w:lang w:eastAsia="zh-CN"/>
                <w14:textFill>
                  <w14:solidFill>
                    <w14:schemeClr w14:val="tx1"/>
                  </w14:solidFill>
                </w14:textFill>
              </w:rPr>
              <w:t>。</w:t>
            </w:r>
          </w:p>
        </w:tc>
        <w:tc>
          <w:tcPr>
            <w:tcW w:w="1799" w:type="dxa"/>
            <w:noWrap w:val="0"/>
            <w:vAlign w:val="center"/>
          </w:tcPr>
          <w:p w14:paraId="084FDB8B">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r>
      <w:tr w14:paraId="18580C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421" w:type="dxa"/>
            <w:vMerge w:val="continue"/>
            <w:noWrap w:val="0"/>
            <w:vAlign w:val="center"/>
          </w:tcPr>
          <w:p w14:paraId="71585D98">
            <w:pPr>
              <w:adjustRightInd w:val="0"/>
              <w:snapToGrid w:val="0"/>
              <w:jc w:val="center"/>
              <w:rPr>
                <w:color w:val="000000" w:themeColor="text1"/>
                <w:szCs w:val="21"/>
                <w:highlight w:val="none"/>
                <w14:textFill>
                  <w14:solidFill>
                    <w14:schemeClr w14:val="tx1"/>
                  </w14:solidFill>
                </w14:textFill>
              </w:rPr>
            </w:pPr>
          </w:p>
        </w:tc>
        <w:tc>
          <w:tcPr>
            <w:tcW w:w="742" w:type="dxa"/>
            <w:vMerge w:val="restart"/>
            <w:noWrap w:val="0"/>
            <w:vAlign w:val="center"/>
          </w:tcPr>
          <w:p w14:paraId="0F4F69FE">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运营期</w:t>
            </w:r>
          </w:p>
        </w:tc>
        <w:tc>
          <w:tcPr>
            <w:tcW w:w="1244" w:type="dxa"/>
            <w:noWrap w:val="0"/>
            <w:vAlign w:val="center"/>
          </w:tcPr>
          <w:p w14:paraId="702FEEFB">
            <w:pPr>
              <w:keepNext w:val="0"/>
              <w:keepLines w:val="0"/>
              <w:pageBreakBefore w:val="0"/>
              <w:widowControl w:val="0"/>
              <w:kinsoku/>
              <w:wordWrap/>
              <w:overflowPunct/>
              <w:topLinePunct w:val="0"/>
              <w:autoSpaceDE/>
              <w:autoSpaceDN/>
              <w:bidi w:val="0"/>
              <w:spacing w:line="240" w:lineRule="exact"/>
              <w:jc w:val="center"/>
              <w:textAlignment w:val="auto"/>
              <w:rPr>
                <w:bCs/>
                <w:color w:val="000000" w:themeColor="text1"/>
                <w:kern w:val="2"/>
                <w:sz w:val="21"/>
                <w:szCs w:val="21"/>
                <w:highlight w:val="none"/>
                <w:lang w:val="en-US" w:eastAsia="zh-CN" w:bidi="ar-SA"/>
                <w14:textFill>
                  <w14:solidFill>
                    <w14:schemeClr w14:val="tx1"/>
                  </w14:solidFill>
                </w14:textFill>
              </w:rPr>
            </w:pPr>
            <w:r>
              <w:rPr>
                <w:rFonts w:hint="eastAsia"/>
                <w:bCs/>
                <w:color w:val="000000" w:themeColor="text1"/>
                <w:szCs w:val="21"/>
                <w:highlight w:val="none"/>
                <w14:textFill>
                  <w14:solidFill>
                    <w14:schemeClr w14:val="tx1"/>
                  </w14:solidFill>
                </w14:textFill>
              </w:rPr>
              <w:t>员工</w:t>
            </w:r>
          </w:p>
        </w:tc>
        <w:tc>
          <w:tcPr>
            <w:tcW w:w="1104" w:type="dxa"/>
            <w:noWrap w:val="0"/>
            <w:vAlign w:val="center"/>
          </w:tcPr>
          <w:p w14:paraId="5620F63A">
            <w:pPr>
              <w:keepNext w:val="0"/>
              <w:keepLines w:val="0"/>
              <w:pageBreakBefore w:val="0"/>
              <w:widowControl w:val="0"/>
              <w:kinsoku/>
              <w:wordWrap/>
              <w:overflowPunct/>
              <w:topLinePunct w:val="0"/>
              <w:autoSpaceDE/>
              <w:autoSpaceDN/>
              <w:bidi w:val="0"/>
              <w:spacing w:line="240" w:lineRule="exact"/>
              <w:jc w:val="center"/>
              <w:textAlignment w:val="auto"/>
              <w:rPr>
                <w:rFonts w:hint="eastAsia"/>
                <w:bCs/>
                <w:color w:val="000000" w:themeColor="text1"/>
                <w:kern w:val="2"/>
                <w:sz w:val="21"/>
                <w:szCs w:val="21"/>
                <w:highlight w:val="none"/>
                <w:lang w:val="en-US" w:eastAsia="zh-CN" w:bidi="ar-SA"/>
                <w14:textFill>
                  <w14:solidFill>
                    <w14:schemeClr w14:val="tx1"/>
                  </w14:solidFill>
                </w14:textFill>
              </w:rPr>
            </w:pPr>
            <w:r>
              <w:rPr>
                <w:rFonts w:hint="eastAsia"/>
                <w:bCs/>
                <w:color w:val="000000" w:themeColor="text1"/>
                <w:szCs w:val="21"/>
                <w:highlight w:val="none"/>
                <w14:textFill>
                  <w14:solidFill>
                    <w14:schemeClr w14:val="tx1"/>
                  </w14:solidFill>
                </w14:textFill>
              </w:rPr>
              <w:t>生活垃圾</w:t>
            </w:r>
          </w:p>
        </w:tc>
        <w:tc>
          <w:tcPr>
            <w:tcW w:w="3497" w:type="dxa"/>
            <w:noWrap w:val="0"/>
            <w:vAlign w:val="center"/>
          </w:tcPr>
          <w:p w14:paraId="3D6ACC45">
            <w:pPr>
              <w:keepNext w:val="0"/>
              <w:keepLines w:val="0"/>
              <w:pageBreakBefore w:val="0"/>
              <w:widowControl w:val="0"/>
              <w:kinsoku/>
              <w:wordWrap/>
              <w:overflowPunct/>
              <w:topLinePunct w:val="0"/>
              <w:autoSpaceDE/>
              <w:autoSpaceDN/>
              <w:bidi w:val="0"/>
              <w:spacing w:line="240" w:lineRule="auto"/>
              <w:ind w:right="0"/>
              <w:jc w:val="both"/>
              <w:textAlignment w:val="auto"/>
              <w:rPr>
                <w:rFonts w:hint="eastAsia" w:eastAsia="宋体"/>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收集后委托环卫部门处理</w:t>
            </w:r>
            <w:r>
              <w:rPr>
                <w:rFonts w:hint="eastAsia"/>
                <w:color w:val="000000" w:themeColor="text1"/>
                <w:szCs w:val="21"/>
                <w:highlight w:val="none"/>
                <w:lang w:eastAsia="zh-CN"/>
                <w14:textFill>
                  <w14:solidFill>
                    <w14:schemeClr w14:val="tx1"/>
                  </w14:solidFill>
                </w14:textFill>
              </w:rPr>
              <w:t>。</w:t>
            </w:r>
          </w:p>
        </w:tc>
        <w:tc>
          <w:tcPr>
            <w:tcW w:w="1799" w:type="dxa"/>
            <w:noWrap w:val="0"/>
            <w:vAlign w:val="center"/>
          </w:tcPr>
          <w:p w14:paraId="546366A5">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r>
      <w:tr w14:paraId="6FA45C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421" w:type="dxa"/>
            <w:vMerge w:val="continue"/>
            <w:noWrap w:val="0"/>
            <w:vAlign w:val="center"/>
          </w:tcPr>
          <w:p w14:paraId="6A51DF10">
            <w:pPr>
              <w:adjustRightInd w:val="0"/>
              <w:snapToGrid w:val="0"/>
              <w:jc w:val="center"/>
              <w:rPr>
                <w:color w:val="000000" w:themeColor="text1"/>
                <w:szCs w:val="21"/>
                <w:highlight w:val="none"/>
                <w14:textFill>
                  <w14:solidFill>
                    <w14:schemeClr w14:val="tx1"/>
                  </w14:solidFill>
                </w14:textFill>
              </w:rPr>
            </w:pPr>
          </w:p>
        </w:tc>
        <w:tc>
          <w:tcPr>
            <w:tcW w:w="742" w:type="dxa"/>
            <w:vMerge w:val="continue"/>
            <w:noWrap w:val="0"/>
            <w:vAlign w:val="center"/>
          </w:tcPr>
          <w:p w14:paraId="267D854F">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p>
        </w:tc>
        <w:tc>
          <w:tcPr>
            <w:tcW w:w="1244" w:type="dxa"/>
            <w:noWrap w:val="0"/>
            <w:vAlign w:val="center"/>
          </w:tcPr>
          <w:p w14:paraId="3CC4B052">
            <w:pPr>
              <w:keepNext w:val="0"/>
              <w:keepLines w:val="0"/>
              <w:pageBreakBefore w:val="0"/>
              <w:widowControl w:val="0"/>
              <w:kinsoku/>
              <w:wordWrap/>
              <w:overflowPunct/>
              <w:topLinePunct w:val="0"/>
              <w:autoSpaceDE/>
              <w:autoSpaceDN/>
              <w:bidi w:val="0"/>
              <w:spacing w:line="240" w:lineRule="exact"/>
              <w:jc w:val="center"/>
              <w:textAlignment w:val="auto"/>
              <w:rPr>
                <w:rFonts w:hint="eastAsia"/>
                <w:color w:val="000000" w:themeColor="text1"/>
                <w:kern w:val="2"/>
                <w:sz w:val="21"/>
                <w:szCs w:val="21"/>
                <w:highlight w:val="none"/>
                <w:lang w:val="en-US" w:eastAsia="zh-CN" w:bidi="ar-SA"/>
                <w14:textFill>
                  <w14:solidFill>
                    <w14:schemeClr w14:val="tx1"/>
                  </w14:solidFill>
                </w14:textFill>
              </w:rPr>
            </w:pPr>
            <w:r>
              <w:rPr>
                <w:rFonts w:hint="eastAsia"/>
                <w:bCs/>
                <w:color w:val="000000" w:themeColor="text1"/>
                <w:szCs w:val="21"/>
                <w:highlight w:val="none"/>
                <w14:textFill>
                  <w14:solidFill>
                    <w14:schemeClr w14:val="tx1"/>
                  </w14:solidFill>
                </w14:textFill>
              </w:rPr>
              <w:t>除尘器</w:t>
            </w:r>
          </w:p>
        </w:tc>
        <w:tc>
          <w:tcPr>
            <w:tcW w:w="1104" w:type="dxa"/>
            <w:noWrap w:val="0"/>
            <w:vAlign w:val="center"/>
          </w:tcPr>
          <w:p w14:paraId="7E96AF83">
            <w:pPr>
              <w:keepNext w:val="0"/>
              <w:keepLines w:val="0"/>
              <w:pageBreakBefore w:val="0"/>
              <w:widowControl w:val="0"/>
              <w:kinsoku/>
              <w:wordWrap/>
              <w:overflowPunct/>
              <w:topLinePunct w:val="0"/>
              <w:autoSpaceDE/>
              <w:autoSpaceDN/>
              <w:bidi w:val="0"/>
              <w:spacing w:line="240" w:lineRule="exact"/>
              <w:jc w:val="center"/>
              <w:textAlignment w:val="auto"/>
              <w:rPr>
                <w:rFonts w:hint="eastAsia" w:eastAsia="宋体"/>
                <w:color w:val="000000" w:themeColor="text1"/>
                <w:kern w:val="2"/>
                <w:sz w:val="21"/>
                <w:szCs w:val="21"/>
                <w:highlight w:val="none"/>
                <w:lang w:val="en-US" w:eastAsia="zh-CN" w:bidi="ar-SA"/>
                <w14:textFill>
                  <w14:solidFill>
                    <w14:schemeClr w14:val="tx1"/>
                  </w14:solidFill>
                </w14:textFill>
              </w:rPr>
            </w:pPr>
            <w:r>
              <w:rPr>
                <w:rFonts w:hint="eastAsia" w:eastAsia="宋体"/>
                <w:color w:val="000000" w:themeColor="text1"/>
                <w:szCs w:val="21"/>
                <w:highlight w:val="none"/>
                <w:lang w:eastAsia="zh-CN"/>
                <w14:textFill>
                  <w14:solidFill>
                    <w14:schemeClr w14:val="tx1"/>
                  </w14:solidFill>
                </w14:textFill>
              </w:rPr>
              <w:t>除尘器回收尘</w:t>
            </w:r>
          </w:p>
        </w:tc>
        <w:tc>
          <w:tcPr>
            <w:tcW w:w="3497" w:type="dxa"/>
            <w:noWrap w:val="0"/>
            <w:vAlign w:val="center"/>
          </w:tcPr>
          <w:p w14:paraId="11D857B4">
            <w:pPr>
              <w:keepNext w:val="0"/>
              <w:keepLines w:val="0"/>
              <w:pageBreakBefore w:val="0"/>
              <w:widowControl w:val="0"/>
              <w:kinsoku/>
              <w:wordWrap/>
              <w:overflowPunct/>
              <w:topLinePunct w:val="0"/>
              <w:autoSpaceDE/>
              <w:autoSpaceDN/>
              <w:bidi w:val="0"/>
              <w:spacing w:line="240" w:lineRule="auto"/>
              <w:ind w:right="0"/>
              <w:jc w:val="both"/>
              <w:textAlignment w:val="auto"/>
              <w:rPr>
                <w:rFonts w:hint="eastAsia" w:eastAsia="宋体"/>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0"/>
                <w:szCs w:val="21"/>
                <w:highlight w:val="none"/>
                <w:lang w:val="en-US" w:eastAsia="zh-CN"/>
                <w14:textFill>
                  <w14:solidFill>
                    <w14:schemeClr w14:val="tx1"/>
                  </w14:solidFill>
                </w14:textFill>
              </w:rPr>
              <w:t>定期外售综合利用，</w:t>
            </w:r>
            <w:r>
              <w:rPr>
                <w:rFonts w:hint="default" w:ascii="Times New Roman" w:hAnsi="Times New Roman" w:cs="Times New Roman"/>
                <w:color w:val="000000" w:themeColor="text1"/>
                <w:kern w:val="0"/>
                <w:szCs w:val="21"/>
                <w:highlight w:val="none"/>
                <w:lang w:eastAsia="zh-CN"/>
                <w14:textFill>
                  <w14:solidFill>
                    <w14:schemeClr w14:val="tx1"/>
                  </w14:solidFill>
                </w14:textFill>
              </w:rPr>
              <w:t>不外排</w:t>
            </w:r>
            <w:r>
              <w:rPr>
                <w:rFonts w:hint="default" w:ascii="Times New Roman" w:hAnsi="Times New Roman" w:cs="Times New Roman"/>
                <w:color w:val="000000" w:themeColor="text1"/>
                <w:szCs w:val="21"/>
                <w:highlight w:val="none"/>
                <w14:textFill>
                  <w14:solidFill>
                    <w14:schemeClr w14:val="tx1"/>
                  </w14:solidFill>
                </w14:textFill>
              </w:rPr>
              <w:t>。</w:t>
            </w:r>
          </w:p>
        </w:tc>
        <w:tc>
          <w:tcPr>
            <w:tcW w:w="1799" w:type="dxa"/>
            <w:noWrap w:val="0"/>
            <w:vAlign w:val="center"/>
          </w:tcPr>
          <w:p w14:paraId="0324A8EA">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r>
      <w:tr w14:paraId="45E212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421" w:type="dxa"/>
            <w:vMerge w:val="continue"/>
            <w:noWrap w:val="0"/>
            <w:vAlign w:val="center"/>
          </w:tcPr>
          <w:p w14:paraId="33D72E4D">
            <w:pPr>
              <w:adjustRightInd w:val="0"/>
              <w:snapToGrid w:val="0"/>
              <w:jc w:val="center"/>
              <w:rPr>
                <w:color w:val="000000" w:themeColor="text1"/>
                <w:szCs w:val="21"/>
                <w:highlight w:val="none"/>
                <w14:textFill>
                  <w14:solidFill>
                    <w14:schemeClr w14:val="tx1"/>
                  </w14:solidFill>
                </w14:textFill>
              </w:rPr>
            </w:pPr>
          </w:p>
        </w:tc>
        <w:tc>
          <w:tcPr>
            <w:tcW w:w="742" w:type="dxa"/>
            <w:vMerge w:val="continue"/>
            <w:noWrap w:val="0"/>
            <w:vAlign w:val="center"/>
          </w:tcPr>
          <w:p w14:paraId="6AE7FBA0">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p>
        </w:tc>
        <w:tc>
          <w:tcPr>
            <w:tcW w:w="1244" w:type="dxa"/>
            <w:noWrap w:val="0"/>
            <w:vAlign w:val="center"/>
          </w:tcPr>
          <w:p w14:paraId="7FCEE3E6">
            <w:pPr>
              <w:keepNext w:val="0"/>
              <w:keepLines w:val="0"/>
              <w:pageBreakBefore w:val="0"/>
              <w:widowControl w:val="0"/>
              <w:kinsoku/>
              <w:wordWrap/>
              <w:overflowPunct/>
              <w:topLinePunct w:val="0"/>
              <w:autoSpaceDE/>
              <w:autoSpaceDN/>
              <w:bidi w:val="0"/>
              <w:spacing w:line="240" w:lineRule="exact"/>
              <w:jc w:val="center"/>
              <w:textAlignment w:val="auto"/>
              <w:rPr>
                <w:rFonts w:hint="eastAsia"/>
                <w:bCs/>
                <w:color w:val="000000" w:themeColor="text1"/>
                <w:kern w:val="2"/>
                <w:sz w:val="21"/>
                <w:szCs w:val="21"/>
                <w:highlight w:val="none"/>
                <w:lang w:val="en-US" w:eastAsia="zh-CN" w:bidi="ar-SA"/>
                <w14:textFill>
                  <w14:solidFill>
                    <w14:schemeClr w14:val="tx1"/>
                  </w14:solidFill>
                </w14:textFill>
              </w:rPr>
            </w:pPr>
            <w:r>
              <w:rPr>
                <w:rFonts w:hint="eastAsia"/>
                <w:bCs/>
                <w:color w:val="000000" w:themeColor="text1"/>
                <w:szCs w:val="21"/>
                <w:highlight w:val="none"/>
                <w14:textFill>
                  <w14:solidFill>
                    <w14:schemeClr w14:val="tx1"/>
                  </w14:solidFill>
                </w14:textFill>
              </w:rPr>
              <w:t>生产</w:t>
            </w:r>
          </w:p>
        </w:tc>
        <w:tc>
          <w:tcPr>
            <w:tcW w:w="1104" w:type="dxa"/>
            <w:noWrap w:val="0"/>
            <w:vAlign w:val="center"/>
          </w:tcPr>
          <w:p w14:paraId="1B0CCEC3">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bCs/>
                <w:color w:val="000000" w:themeColor="text1"/>
                <w:kern w:val="2"/>
                <w:sz w:val="21"/>
                <w:szCs w:val="21"/>
                <w:highlight w:val="none"/>
                <w:lang w:val="en-US" w:eastAsia="zh-CN" w:bidi="ar-SA"/>
                <w14:textFill>
                  <w14:solidFill>
                    <w14:schemeClr w14:val="tx1"/>
                  </w14:solidFill>
                </w14:textFill>
              </w:rPr>
            </w:pPr>
            <w:r>
              <w:rPr>
                <w:rFonts w:hint="eastAsia"/>
                <w:bCs/>
                <w:color w:val="000000" w:themeColor="text1"/>
                <w:szCs w:val="21"/>
                <w:highlight w:val="none"/>
                <w14:textFill>
                  <w14:solidFill>
                    <w14:schemeClr w14:val="tx1"/>
                  </w14:solidFill>
                </w14:textFill>
              </w:rPr>
              <w:t>不合格品</w:t>
            </w:r>
            <w:r>
              <w:rPr>
                <w:rFonts w:hint="eastAsia"/>
                <w:bCs/>
                <w:color w:val="000000" w:themeColor="text1"/>
                <w:szCs w:val="21"/>
                <w:highlight w:val="none"/>
                <w:lang w:eastAsia="zh-CN"/>
                <w14:textFill>
                  <w14:solidFill>
                    <w14:schemeClr w14:val="tx1"/>
                  </w14:solidFill>
                </w14:textFill>
              </w:rPr>
              <w:t>（</w:t>
            </w:r>
            <w:r>
              <w:rPr>
                <w:rFonts w:hint="eastAsia"/>
                <w:bCs/>
                <w:color w:val="000000" w:themeColor="text1"/>
                <w:szCs w:val="21"/>
                <w:highlight w:val="none"/>
                <w:lang w:val="en-US" w:eastAsia="zh-CN"/>
                <w14:textFill>
                  <w14:solidFill>
                    <w14:schemeClr w14:val="tx1"/>
                  </w14:solidFill>
                </w14:textFill>
              </w:rPr>
              <w:t>黄料）</w:t>
            </w:r>
          </w:p>
        </w:tc>
        <w:tc>
          <w:tcPr>
            <w:tcW w:w="3497" w:type="dxa"/>
            <w:noWrap w:val="0"/>
            <w:vAlign w:val="center"/>
          </w:tcPr>
          <w:p w14:paraId="23137CD7">
            <w:pPr>
              <w:keepNext w:val="0"/>
              <w:keepLines w:val="0"/>
              <w:pageBreakBefore w:val="0"/>
              <w:widowControl w:val="0"/>
              <w:kinsoku/>
              <w:wordWrap/>
              <w:overflowPunct/>
              <w:topLinePunct w:val="0"/>
              <w:autoSpaceDE/>
              <w:autoSpaceDN/>
              <w:bidi w:val="0"/>
              <w:spacing w:line="240" w:lineRule="auto"/>
              <w:ind w:right="0"/>
              <w:jc w:val="both"/>
              <w:textAlignment w:val="auto"/>
              <w:rPr>
                <w:rFonts w:hint="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0"/>
                <w:szCs w:val="21"/>
                <w:highlight w:val="none"/>
                <w:lang w:val="en-US" w:eastAsia="zh-CN"/>
                <w14:textFill>
                  <w14:solidFill>
                    <w14:schemeClr w14:val="tx1"/>
                  </w14:solidFill>
                </w14:textFill>
              </w:rPr>
              <w:t>暂存2个筒仓，定期外售综合利用，</w:t>
            </w:r>
            <w:r>
              <w:rPr>
                <w:rFonts w:hint="default" w:ascii="Times New Roman" w:hAnsi="Times New Roman" w:cs="Times New Roman"/>
                <w:color w:val="000000" w:themeColor="text1"/>
                <w:kern w:val="0"/>
                <w:szCs w:val="21"/>
                <w:highlight w:val="none"/>
                <w:lang w:eastAsia="zh-CN"/>
                <w14:textFill>
                  <w14:solidFill>
                    <w14:schemeClr w14:val="tx1"/>
                  </w14:solidFill>
                </w14:textFill>
              </w:rPr>
              <w:t>不外排</w:t>
            </w:r>
            <w:r>
              <w:rPr>
                <w:rFonts w:hint="default" w:ascii="Times New Roman" w:hAnsi="Times New Roman" w:cs="Times New Roman"/>
                <w:color w:val="000000" w:themeColor="text1"/>
                <w:szCs w:val="21"/>
                <w:highlight w:val="none"/>
                <w14:textFill>
                  <w14:solidFill>
                    <w14:schemeClr w14:val="tx1"/>
                  </w14:solidFill>
                </w14:textFill>
              </w:rPr>
              <w:t>。</w:t>
            </w:r>
          </w:p>
        </w:tc>
        <w:tc>
          <w:tcPr>
            <w:tcW w:w="1799" w:type="dxa"/>
            <w:noWrap w:val="0"/>
            <w:vAlign w:val="center"/>
          </w:tcPr>
          <w:p w14:paraId="4262367C">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r>
      <w:tr w14:paraId="2E62BF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421" w:type="dxa"/>
            <w:vMerge w:val="continue"/>
            <w:noWrap w:val="0"/>
            <w:vAlign w:val="center"/>
          </w:tcPr>
          <w:p w14:paraId="796FCC4B">
            <w:pPr>
              <w:adjustRightInd w:val="0"/>
              <w:snapToGrid w:val="0"/>
              <w:jc w:val="center"/>
              <w:rPr>
                <w:color w:val="000000" w:themeColor="text1"/>
                <w:szCs w:val="21"/>
                <w:highlight w:val="none"/>
                <w14:textFill>
                  <w14:solidFill>
                    <w14:schemeClr w14:val="tx1"/>
                  </w14:solidFill>
                </w14:textFill>
              </w:rPr>
            </w:pPr>
          </w:p>
        </w:tc>
        <w:tc>
          <w:tcPr>
            <w:tcW w:w="742" w:type="dxa"/>
            <w:vMerge w:val="continue"/>
            <w:noWrap w:val="0"/>
            <w:vAlign w:val="center"/>
          </w:tcPr>
          <w:p w14:paraId="595ADC2D">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p>
        </w:tc>
        <w:tc>
          <w:tcPr>
            <w:tcW w:w="1244" w:type="dxa"/>
            <w:vMerge w:val="restart"/>
            <w:noWrap w:val="0"/>
            <w:vAlign w:val="center"/>
          </w:tcPr>
          <w:p w14:paraId="39A8E11D">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辅助工程</w:t>
            </w:r>
          </w:p>
        </w:tc>
        <w:tc>
          <w:tcPr>
            <w:tcW w:w="1104" w:type="dxa"/>
            <w:noWrap w:val="0"/>
            <w:vAlign w:val="center"/>
          </w:tcPr>
          <w:p w14:paraId="0C016742">
            <w:pPr>
              <w:adjustRightInd w:val="0"/>
              <w:snapToGrid w:val="0"/>
              <w:jc w:val="center"/>
              <w:rPr>
                <w:bCs/>
                <w:color w:val="000000" w:themeColor="text1"/>
                <w:szCs w:val="21"/>
                <w:highlight w:val="none"/>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废滤材</w:t>
            </w:r>
          </w:p>
        </w:tc>
        <w:tc>
          <w:tcPr>
            <w:tcW w:w="3497" w:type="dxa"/>
            <w:noWrap w:val="0"/>
            <w:vAlign w:val="center"/>
          </w:tcPr>
          <w:p w14:paraId="3A0FA00A">
            <w:pPr>
              <w:keepNext w:val="0"/>
              <w:keepLines w:val="0"/>
              <w:pageBreakBefore w:val="0"/>
              <w:widowControl w:val="0"/>
              <w:kinsoku/>
              <w:wordWrap/>
              <w:overflowPunct/>
              <w:topLinePunct w:val="0"/>
              <w:autoSpaceDE/>
              <w:autoSpaceDN/>
              <w:bidi w:val="0"/>
              <w:adjustRightInd w:val="0"/>
              <w:snapToGrid w:val="0"/>
              <w:spacing w:line="240" w:lineRule="auto"/>
              <w:ind w:right="0"/>
              <w:jc w:val="both"/>
              <w:textAlignment w:val="auto"/>
              <w:rPr>
                <w:color w:val="000000" w:themeColor="text1"/>
                <w:szCs w:val="21"/>
                <w:highlight w:val="none"/>
                <w14:textFill>
                  <w14:solidFill>
                    <w14:schemeClr w14:val="tx1"/>
                  </w14:solidFill>
                </w14:textFill>
              </w:rPr>
            </w:pPr>
            <w:r>
              <w:rPr>
                <w:rFonts w:hint="eastAsia" w:ascii="Times New Roman" w:hAnsi="Times New Roman" w:cs="Times New Roman"/>
                <w:color w:val="000000" w:themeColor="text1"/>
                <w:kern w:val="0"/>
                <w:szCs w:val="21"/>
                <w:highlight w:val="none"/>
                <w:lang w:val="en-US" w:eastAsia="zh-CN"/>
                <w14:textFill>
                  <w14:solidFill>
                    <w14:schemeClr w14:val="tx1"/>
                  </w14:solidFill>
                </w14:textFill>
              </w:rPr>
              <w:t>软水制备产生的废弃滤材，一般固废库暂存，定期送综合利用</w:t>
            </w:r>
            <w:r>
              <w:rPr>
                <w:rFonts w:hint="eastAsia" w:cs="Times New Roman"/>
                <w:color w:val="000000" w:themeColor="text1"/>
                <w:kern w:val="0"/>
                <w:szCs w:val="21"/>
                <w:highlight w:val="none"/>
                <w:lang w:val="en-US" w:eastAsia="zh-CN"/>
                <w14:textFill>
                  <w14:solidFill>
                    <w14:schemeClr w14:val="tx1"/>
                  </w14:solidFill>
                </w14:textFill>
              </w:rPr>
              <w:t>。</w:t>
            </w:r>
          </w:p>
        </w:tc>
        <w:tc>
          <w:tcPr>
            <w:tcW w:w="1799" w:type="dxa"/>
            <w:noWrap w:val="0"/>
            <w:vAlign w:val="center"/>
          </w:tcPr>
          <w:p w14:paraId="09FDDC70">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r>
      <w:tr w14:paraId="30112F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421" w:type="dxa"/>
            <w:vMerge w:val="continue"/>
            <w:noWrap w:val="0"/>
            <w:vAlign w:val="center"/>
          </w:tcPr>
          <w:p w14:paraId="6E39728E">
            <w:pPr>
              <w:adjustRightInd w:val="0"/>
              <w:snapToGrid w:val="0"/>
              <w:jc w:val="center"/>
              <w:rPr>
                <w:color w:val="000000" w:themeColor="text1"/>
                <w:szCs w:val="21"/>
                <w:highlight w:val="none"/>
                <w14:textFill>
                  <w14:solidFill>
                    <w14:schemeClr w14:val="tx1"/>
                  </w14:solidFill>
                </w14:textFill>
              </w:rPr>
            </w:pPr>
          </w:p>
        </w:tc>
        <w:tc>
          <w:tcPr>
            <w:tcW w:w="742" w:type="dxa"/>
            <w:vMerge w:val="continue"/>
            <w:noWrap w:val="0"/>
            <w:vAlign w:val="center"/>
          </w:tcPr>
          <w:p w14:paraId="7F5E6682">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p>
        </w:tc>
        <w:tc>
          <w:tcPr>
            <w:tcW w:w="1244" w:type="dxa"/>
            <w:vMerge w:val="continue"/>
            <w:noWrap w:val="0"/>
            <w:vAlign w:val="center"/>
          </w:tcPr>
          <w:p w14:paraId="36E44DB0">
            <w:pPr>
              <w:keepNext w:val="0"/>
              <w:keepLines w:val="0"/>
              <w:pageBreakBefore w:val="0"/>
              <w:widowControl w:val="0"/>
              <w:kinsoku/>
              <w:wordWrap/>
              <w:overflowPunct/>
              <w:topLinePunct w:val="0"/>
              <w:autoSpaceDE/>
              <w:autoSpaceDN/>
              <w:bidi w:val="0"/>
              <w:spacing w:line="240" w:lineRule="exact"/>
              <w:jc w:val="center"/>
              <w:textAlignment w:val="auto"/>
              <w:rPr>
                <w:bCs/>
                <w:color w:val="000000" w:themeColor="text1"/>
                <w:szCs w:val="21"/>
                <w:highlight w:val="none"/>
                <w14:textFill>
                  <w14:solidFill>
                    <w14:schemeClr w14:val="tx1"/>
                  </w14:solidFill>
                </w14:textFill>
              </w:rPr>
            </w:pPr>
          </w:p>
        </w:tc>
        <w:tc>
          <w:tcPr>
            <w:tcW w:w="1104" w:type="dxa"/>
            <w:noWrap w:val="0"/>
            <w:vAlign w:val="center"/>
          </w:tcPr>
          <w:p w14:paraId="7336343B">
            <w:pPr>
              <w:adjustRightInd w:val="0"/>
              <w:snapToGrid w:val="0"/>
              <w:jc w:val="center"/>
              <w:rPr>
                <w:bCs/>
                <w:color w:val="000000" w:themeColor="text1"/>
                <w:szCs w:val="21"/>
                <w:highlight w:val="none"/>
                <w14:textFill>
                  <w14:solidFill>
                    <w14:schemeClr w14:val="tx1"/>
                  </w14:solidFill>
                </w14:textFill>
              </w:rPr>
            </w:pPr>
            <w:r>
              <w:rPr>
                <w:rFonts w:hint="eastAsia" w:ascii="Times New Roman" w:hAnsi="Times New Roman" w:cs="Times New Roman"/>
                <w:color w:val="000000" w:themeColor="text1"/>
                <w:szCs w:val="21"/>
                <w:highlight w:val="none"/>
                <w:lang w:val="en-US" w:eastAsia="zh-CN"/>
                <w14:textFill>
                  <w14:solidFill>
                    <w14:schemeClr w14:val="tx1"/>
                  </w14:solidFill>
                </w14:textFill>
              </w:rPr>
              <w:t>废滤芯</w:t>
            </w:r>
          </w:p>
        </w:tc>
        <w:tc>
          <w:tcPr>
            <w:tcW w:w="3497" w:type="dxa"/>
            <w:noWrap w:val="0"/>
            <w:vAlign w:val="center"/>
          </w:tcPr>
          <w:p w14:paraId="0013735D">
            <w:pPr>
              <w:keepNext w:val="0"/>
              <w:keepLines w:val="0"/>
              <w:pageBreakBefore w:val="0"/>
              <w:widowControl w:val="0"/>
              <w:kinsoku/>
              <w:wordWrap/>
              <w:overflowPunct/>
              <w:topLinePunct w:val="0"/>
              <w:autoSpaceDE/>
              <w:autoSpaceDN/>
              <w:bidi w:val="0"/>
              <w:adjustRightInd w:val="0"/>
              <w:snapToGrid w:val="0"/>
              <w:spacing w:line="240" w:lineRule="auto"/>
              <w:ind w:right="0"/>
              <w:jc w:val="both"/>
              <w:textAlignment w:val="auto"/>
              <w:rPr>
                <w:color w:val="000000" w:themeColor="text1"/>
                <w:szCs w:val="21"/>
                <w:highlight w:val="none"/>
                <w14:textFill>
                  <w14:solidFill>
                    <w14:schemeClr w14:val="tx1"/>
                  </w14:solidFill>
                </w14:textFill>
              </w:rPr>
            </w:pPr>
            <w:r>
              <w:rPr>
                <w:rFonts w:hint="eastAsia" w:ascii="Times New Roman" w:hAnsi="Times New Roman" w:cs="Times New Roman"/>
                <w:color w:val="000000" w:themeColor="text1"/>
                <w:kern w:val="0"/>
                <w:szCs w:val="21"/>
                <w:highlight w:val="none"/>
                <w:lang w:val="en-US" w:eastAsia="zh-CN"/>
                <w14:textFill>
                  <w14:solidFill>
                    <w14:schemeClr w14:val="tx1"/>
                  </w14:solidFill>
                </w14:textFill>
              </w:rPr>
              <w:t>空压站废滤芯一般固废库暂存，定期送综合利用</w:t>
            </w:r>
            <w:r>
              <w:rPr>
                <w:rFonts w:hint="eastAsia" w:cs="Times New Roman"/>
                <w:color w:val="000000" w:themeColor="text1"/>
                <w:kern w:val="0"/>
                <w:szCs w:val="21"/>
                <w:highlight w:val="none"/>
                <w:lang w:val="en-US" w:eastAsia="zh-CN"/>
                <w14:textFill>
                  <w14:solidFill>
                    <w14:schemeClr w14:val="tx1"/>
                  </w14:solidFill>
                </w14:textFill>
              </w:rPr>
              <w:t>。</w:t>
            </w:r>
          </w:p>
        </w:tc>
        <w:tc>
          <w:tcPr>
            <w:tcW w:w="1799" w:type="dxa"/>
            <w:noWrap w:val="0"/>
            <w:vAlign w:val="center"/>
          </w:tcPr>
          <w:p w14:paraId="380516AD">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r>
      <w:tr w14:paraId="2FDCCD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421" w:type="dxa"/>
            <w:vMerge w:val="continue"/>
            <w:noWrap w:val="0"/>
            <w:vAlign w:val="center"/>
          </w:tcPr>
          <w:p w14:paraId="3042F035">
            <w:pPr>
              <w:adjustRightInd w:val="0"/>
              <w:snapToGrid w:val="0"/>
              <w:jc w:val="center"/>
              <w:rPr>
                <w:color w:val="000000" w:themeColor="text1"/>
                <w:szCs w:val="21"/>
                <w:highlight w:val="none"/>
                <w14:textFill>
                  <w14:solidFill>
                    <w14:schemeClr w14:val="tx1"/>
                  </w14:solidFill>
                </w14:textFill>
              </w:rPr>
            </w:pPr>
          </w:p>
        </w:tc>
        <w:tc>
          <w:tcPr>
            <w:tcW w:w="742" w:type="dxa"/>
            <w:vMerge w:val="continue"/>
            <w:noWrap w:val="0"/>
            <w:vAlign w:val="center"/>
          </w:tcPr>
          <w:p w14:paraId="46010160">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p>
        </w:tc>
        <w:tc>
          <w:tcPr>
            <w:tcW w:w="1244" w:type="dxa"/>
            <w:noWrap w:val="0"/>
            <w:vAlign w:val="center"/>
          </w:tcPr>
          <w:p w14:paraId="4511133A">
            <w:pPr>
              <w:keepNext w:val="0"/>
              <w:keepLines w:val="0"/>
              <w:pageBreakBefore w:val="0"/>
              <w:widowControl w:val="0"/>
              <w:kinsoku/>
              <w:wordWrap/>
              <w:overflowPunct/>
              <w:topLinePunct w:val="0"/>
              <w:autoSpaceDE/>
              <w:autoSpaceDN/>
              <w:bidi w:val="0"/>
              <w:spacing w:line="240" w:lineRule="exact"/>
              <w:jc w:val="center"/>
              <w:textAlignment w:val="auto"/>
              <w:rPr>
                <w:rFonts w:hint="eastAsia" w:eastAsia="宋体"/>
                <w:bCs/>
                <w:color w:val="000000" w:themeColor="text1"/>
                <w:kern w:val="2"/>
                <w:sz w:val="21"/>
                <w:szCs w:val="21"/>
                <w:highlight w:val="none"/>
                <w:lang w:val="en-US" w:eastAsia="zh-CN" w:bidi="ar-SA"/>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废气治理</w:t>
            </w:r>
          </w:p>
        </w:tc>
        <w:tc>
          <w:tcPr>
            <w:tcW w:w="1104" w:type="dxa"/>
            <w:noWrap w:val="0"/>
            <w:vAlign w:val="center"/>
          </w:tcPr>
          <w:p w14:paraId="6F4E3960">
            <w:pPr>
              <w:keepNext w:val="0"/>
              <w:keepLines w:val="0"/>
              <w:pageBreakBefore w:val="0"/>
              <w:widowControl w:val="0"/>
              <w:kinsoku/>
              <w:wordWrap/>
              <w:overflowPunct/>
              <w:topLinePunct w:val="0"/>
              <w:autoSpaceDE/>
              <w:autoSpaceDN/>
              <w:bidi w:val="0"/>
              <w:spacing w:line="240" w:lineRule="exact"/>
              <w:jc w:val="center"/>
              <w:textAlignment w:val="auto"/>
              <w:rPr>
                <w:rFonts w:hint="eastAsia" w:eastAsia="宋体"/>
                <w:bCs/>
                <w:color w:val="000000" w:themeColor="text1"/>
                <w:kern w:val="2"/>
                <w:sz w:val="21"/>
                <w:szCs w:val="21"/>
                <w:highlight w:val="none"/>
                <w:lang w:val="en-US" w:eastAsia="zh-CN" w:bidi="ar-SA"/>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脱硫石膏</w:t>
            </w:r>
          </w:p>
        </w:tc>
        <w:tc>
          <w:tcPr>
            <w:tcW w:w="3497" w:type="dxa"/>
            <w:noWrap w:val="0"/>
            <w:vAlign w:val="center"/>
          </w:tcPr>
          <w:p w14:paraId="157029AE">
            <w:pPr>
              <w:keepNext w:val="0"/>
              <w:keepLines w:val="0"/>
              <w:pageBreakBefore w:val="0"/>
              <w:widowControl w:val="0"/>
              <w:kinsoku/>
              <w:wordWrap/>
              <w:overflowPunct/>
              <w:topLinePunct w:val="0"/>
              <w:autoSpaceDE/>
              <w:autoSpaceDN/>
              <w:bidi w:val="0"/>
              <w:spacing w:line="240" w:lineRule="auto"/>
              <w:ind w:right="0"/>
              <w:jc w:val="both"/>
              <w:textAlignment w:val="auto"/>
              <w:rPr>
                <w:rFonts w:hint="eastAsia"/>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0"/>
                <w:szCs w:val="21"/>
                <w:highlight w:val="none"/>
                <w:lang w:val="en-US" w:eastAsia="zh-CN"/>
                <w14:textFill>
                  <w14:solidFill>
                    <w14:schemeClr w14:val="tx1"/>
                  </w14:solidFill>
                </w14:textFill>
              </w:rPr>
              <w:t>1座50m</w:t>
            </w:r>
            <w:r>
              <w:rPr>
                <w:rFonts w:hint="eastAsia" w:ascii="Times New Roman" w:hAnsi="Times New Roman" w:cs="Times New Roman"/>
                <w:color w:val="000000" w:themeColor="text1"/>
                <w:kern w:val="0"/>
                <w:szCs w:val="21"/>
                <w:highlight w:val="none"/>
                <w:vertAlign w:val="superscript"/>
                <w:lang w:val="en-US" w:eastAsia="zh-CN"/>
                <w14:textFill>
                  <w14:solidFill>
                    <w14:schemeClr w14:val="tx1"/>
                  </w14:solidFill>
                </w14:textFill>
              </w:rPr>
              <w:t>2</w:t>
            </w:r>
            <w:r>
              <w:rPr>
                <w:rFonts w:hint="eastAsia" w:ascii="Times New Roman" w:hAnsi="Times New Roman" w:cs="Times New Roman"/>
                <w:color w:val="000000" w:themeColor="text1"/>
                <w:kern w:val="0"/>
                <w:szCs w:val="21"/>
                <w:highlight w:val="none"/>
                <w:lang w:val="en-US" w:eastAsia="zh-CN"/>
                <w14:textFill>
                  <w14:solidFill>
                    <w14:schemeClr w14:val="tx1"/>
                  </w14:solidFill>
                </w14:textFill>
              </w:rPr>
              <w:t>的一般固废库暂存，定期外售</w:t>
            </w:r>
            <w:r>
              <w:rPr>
                <w:rFonts w:hint="default" w:ascii="Times New Roman" w:hAnsi="Times New Roman" w:cs="Times New Roman"/>
                <w:color w:val="000000" w:themeColor="text1"/>
                <w:kern w:val="0"/>
                <w:szCs w:val="21"/>
                <w:highlight w:val="none"/>
                <w14:textFill>
                  <w14:solidFill>
                    <w14:schemeClr w14:val="tx1"/>
                  </w14:solidFill>
                </w14:textFill>
              </w:rPr>
              <w:t>作为原材料</w:t>
            </w:r>
            <w:r>
              <w:rPr>
                <w:rFonts w:hint="eastAsia" w:ascii="Times New Roman" w:hAnsi="Times New Roman" w:cs="Times New Roman"/>
                <w:color w:val="000000" w:themeColor="text1"/>
                <w:kern w:val="0"/>
                <w:szCs w:val="21"/>
                <w:highlight w:val="none"/>
                <w:lang w:val="en-US" w:eastAsia="zh-CN"/>
                <w14:textFill>
                  <w14:solidFill>
                    <w14:schemeClr w14:val="tx1"/>
                  </w14:solidFill>
                </w14:textFill>
              </w:rPr>
              <w:t>综合利用</w:t>
            </w:r>
            <w:r>
              <w:rPr>
                <w:rFonts w:hint="eastAsia" w:ascii="Times New Roman" w:hAnsi="Times New Roman" w:cs="Times New Roman"/>
                <w:color w:val="000000" w:themeColor="text1"/>
                <w:kern w:val="0"/>
                <w:szCs w:val="21"/>
                <w:highlight w:val="none"/>
                <w:lang w:eastAsia="zh-CN"/>
                <w14:textFill>
                  <w14:solidFill>
                    <w14:schemeClr w14:val="tx1"/>
                  </w14:solidFill>
                </w14:textFill>
              </w:rPr>
              <w:t>，</w:t>
            </w:r>
            <w:r>
              <w:rPr>
                <w:rFonts w:hint="default" w:ascii="Times New Roman" w:hAnsi="Times New Roman" w:cs="Times New Roman"/>
                <w:color w:val="000000" w:themeColor="text1"/>
                <w:kern w:val="0"/>
                <w:szCs w:val="21"/>
                <w:highlight w:val="none"/>
                <w:lang w:eastAsia="zh-CN"/>
                <w14:textFill>
                  <w14:solidFill>
                    <w14:schemeClr w14:val="tx1"/>
                  </w14:solidFill>
                </w14:textFill>
              </w:rPr>
              <w:t>不外排</w:t>
            </w:r>
            <w:r>
              <w:rPr>
                <w:rFonts w:hint="default" w:ascii="Times New Roman" w:hAnsi="Times New Roman" w:cs="Times New Roman"/>
                <w:color w:val="000000" w:themeColor="text1"/>
                <w:szCs w:val="21"/>
                <w:highlight w:val="none"/>
                <w14:textFill>
                  <w14:solidFill>
                    <w14:schemeClr w14:val="tx1"/>
                  </w14:solidFill>
                </w14:textFill>
              </w:rPr>
              <w:t>。</w:t>
            </w:r>
          </w:p>
        </w:tc>
        <w:tc>
          <w:tcPr>
            <w:tcW w:w="1799" w:type="dxa"/>
            <w:noWrap w:val="0"/>
            <w:vAlign w:val="center"/>
          </w:tcPr>
          <w:p w14:paraId="562B9EA2">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w:t>
            </w:r>
          </w:p>
        </w:tc>
      </w:tr>
      <w:tr w14:paraId="7A8918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421" w:type="dxa"/>
            <w:vMerge w:val="continue"/>
            <w:noWrap w:val="0"/>
            <w:vAlign w:val="center"/>
          </w:tcPr>
          <w:p w14:paraId="258CD325">
            <w:pPr>
              <w:adjustRightInd w:val="0"/>
              <w:snapToGrid w:val="0"/>
              <w:jc w:val="center"/>
              <w:rPr>
                <w:color w:val="000000" w:themeColor="text1"/>
                <w:szCs w:val="21"/>
                <w:highlight w:val="none"/>
                <w14:textFill>
                  <w14:solidFill>
                    <w14:schemeClr w14:val="tx1"/>
                  </w14:solidFill>
                </w14:textFill>
              </w:rPr>
            </w:pPr>
          </w:p>
        </w:tc>
        <w:tc>
          <w:tcPr>
            <w:tcW w:w="742" w:type="dxa"/>
            <w:vMerge w:val="continue"/>
            <w:noWrap w:val="0"/>
            <w:vAlign w:val="center"/>
          </w:tcPr>
          <w:p w14:paraId="3E6C529E">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p>
        </w:tc>
        <w:tc>
          <w:tcPr>
            <w:tcW w:w="1244" w:type="dxa"/>
            <w:vMerge w:val="restart"/>
            <w:noWrap w:val="0"/>
            <w:vAlign w:val="center"/>
          </w:tcPr>
          <w:p w14:paraId="4F87B06C">
            <w:pPr>
              <w:keepNext w:val="0"/>
              <w:keepLines w:val="0"/>
              <w:pageBreakBefore w:val="0"/>
              <w:widowControl w:val="0"/>
              <w:kinsoku/>
              <w:wordWrap/>
              <w:overflowPunct/>
              <w:topLinePunct w:val="0"/>
              <w:autoSpaceDE/>
              <w:autoSpaceDN/>
              <w:bidi w:val="0"/>
              <w:spacing w:line="240" w:lineRule="exact"/>
              <w:jc w:val="center"/>
              <w:textAlignment w:val="auto"/>
              <w:rPr>
                <w:rFonts w:hint="default"/>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机修</w:t>
            </w:r>
          </w:p>
        </w:tc>
        <w:tc>
          <w:tcPr>
            <w:tcW w:w="1104" w:type="dxa"/>
            <w:noWrap w:val="0"/>
            <w:vAlign w:val="center"/>
          </w:tcPr>
          <w:p w14:paraId="268BB785">
            <w:pPr>
              <w:keepNext w:val="0"/>
              <w:keepLines w:val="0"/>
              <w:pageBreakBefore w:val="0"/>
              <w:widowControl w:val="0"/>
              <w:kinsoku/>
              <w:wordWrap/>
              <w:overflowPunct/>
              <w:topLinePunct w:val="0"/>
              <w:autoSpaceDE/>
              <w:autoSpaceDN/>
              <w:bidi w:val="0"/>
              <w:spacing w:line="240" w:lineRule="exact"/>
              <w:jc w:val="center"/>
              <w:textAlignment w:val="auto"/>
              <w:rPr>
                <w:rFonts w:hint="eastAsia"/>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废机油</w:t>
            </w:r>
          </w:p>
        </w:tc>
        <w:tc>
          <w:tcPr>
            <w:tcW w:w="3497" w:type="dxa"/>
            <w:vMerge w:val="restart"/>
            <w:noWrap w:val="0"/>
            <w:vAlign w:val="center"/>
          </w:tcPr>
          <w:p w14:paraId="4C0C9B7D">
            <w:pPr>
              <w:keepNext w:val="0"/>
              <w:keepLines w:val="0"/>
              <w:pageBreakBefore w:val="0"/>
              <w:widowControl w:val="0"/>
              <w:kinsoku/>
              <w:wordWrap/>
              <w:overflowPunct/>
              <w:topLinePunct w:val="0"/>
              <w:autoSpaceDE/>
              <w:autoSpaceDN/>
              <w:bidi w:val="0"/>
              <w:spacing w:line="240" w:lineRule="auto"/>
              <w:ind w:right="0"/>
              <w:jc w:val="both"/>
              <w:textAlignment w:val="auto"/>
              <w:rPr>
                <w:rFonts w:hint="eastAsia" w:ascii="Times New Roman" w:hAnsi="Times New Roman" w:cs="Times New Roman"/>
                <w:color w:val="000000" w:themeColor="text1"/>
                <w:kern w:val="0"/>
                <w:szCs w:val="21"/>
                <w:highlight w:val="none"/>
                <w:lang w:val="en-US" w:eastAsia="zh-CN"/>
                <w14:textFill>
                  <w14:solidFill>
                    <w14:schemeClr w14:val="tx1"/>
                  </w14:solidFill>
                </w14:textFill>
              </w:rPr>
            </w:pP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收集后暂存于</w:t>
            </w:r>
            <w:r>
              <w:rPr>
                <w:rFonts w:hint="default" w:ascii="Times New Roman" w:hAnsi="Times New Roman" w:cs="Times New Roman"/>
                <w:b w:val="0"/>
                <w:bCs w:val="0"/>
                <w:color w:val="000000" w:themeColor="text1"/>
                <w:sz w:val="21"/>
                <w:szCs w:val="21"/>
                <w:highlight w:val="none"/>
                <w:lang w:val="en-US" w:eastAsia="zh-CN"/>
                <w14:textFill>
                  <w14:solidFill>
                    <w14:schemeClr w14:val="tx1"/>
                  </w14:solidFill>
                </w14:textFill>
              </w:rPr>
              <w:t>30m</w:t>
            </w:r>
            <w:r>
              <w:rPr>
                <w:rFonts w:hint="default" w:ascii="Times New Roman" w:hAnsi="Times New Roman" w:cs="Times New Roman"/>
                <w:b w:val="0"/>
                <w:bCs w:val="0"/>
                <w:color w:val="000000" w:themeColor="text1"/>
                <w:sz w:val="21"/>
                <w:szCs w:val="21"/>
                <w:highlight w:val="none"/>
                <w:vertAlign w:val="superscript"/>
                <w:lang w:val="en-US" w:eastAsia="zh-CN"/>
                <w14:textFill>
                  <w14:solidFill>
                    <w14:schemeClr w14:val="tx1"/>
                  </w14:solidFill>
                </w14:textFill>
              </w:rPr>
              <w:t>3</w:t>
            </w:r>
            <w:r>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t>危废暂存间，定期委托有危废处理资质的单位处理。</w:t>
            </w:r>
          </w:p>
        </w:tc>
        <w:tc>
          <w:tcPr>
            <w:tcW w:w="1799" w:type="dxa"/>
            <w:noWrap w:val="0"/>
            <w:vAlign w:val="center"/>
          </w:tcPr>
          <w:p w14:paraId="1EAE0136">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color w:val="000000" w:themeColor="text1"/>
                <w:szCs w:val="21"/>
                <w:highlight w:val="none"/>
                <w:lang w:val="en-US" w:eastAsia="zh-CN"/>
                <w14:textFill>
                  <w14:solidFill>
                    <w14:schemeClr w14:val="tx1"/>
                  </w14:solidFill>
                </w14:textFill>
              </w:rPr>
            </w:pPr>
          </w:p>
        </w:tc>
      </w:tr>
      <w:tr w14:paraId="57A3BA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421" w:type="dxa"/>
            <w:vMerge w:val="continue"/>
            <w:noWrap w:val="0"/>
            <w:vAlign w:val="center"/>
          </w:tcPr>
          <w:p w14:paraId="1A9A0D39">
            <w:pPr>
              <w:adjustRightInd w:val="0"/>
              <w:snapToGrid w:val="0"/>
              <w:jc w:val="center"/>
              <w:rPr>
                <w:color w:val="000000" w:themeColor="text1"/>
                <w:szCs w:val="21"/>
                <w:highlight w:val="none"/>
                <w14:textFill>
                  <w14:solidFill>
                    <w14:schemeClr w14:val="tx1"/>
                  </w14:solidFill>
                </w14:textFill>
              </w:rPr>
            </w:pPr>
          </w:p>
        </w:tc>
        <w:tc>
          <w:tcPr>
            <w:tcW w:w="742" w:type="dxa"/>
            <w:vMerge w:val="continue"/>
            <w:noWrap w:val="0"/>
            <w:vAlign w:val="center"/>
          </w:tcPr>
          <w:p w14:paraId="60E543F8">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p>
        </w:tc>
        <w:tc>
          <w:tcPr>
            <w:tcW w:w="1244" w:type="dxa"/>
            <w:vMerge w:val="continue"/>
            <w:noWrap w:val="0"/>
            <w:vAlign w:val="center"/>
          </w:tcPr>
          <w:p w14:paraId="26C826E4">
            <w:pPr>
              <w:keepNext w:val="0"/>
              <w:keepLines w:val="0"/>
              <w:pageBreakBefore w:val="0"/>
              <w:widowControl w:val="0"/>
              <w:kinsoku/>
              <w:wordWrap/>
              <w:overflowPunct/>
              <w:topLinePunct w:val="0"/>
              <w:autoSpaceDE/>
              <w:autoSpaceDN/>
              <w:bidi w:val="0"/>
              <w:spacing w:line="240" w:lineRule="exact"/>
              <w:jc w:val="center"/>
              <w:textAlignment w:val="auto"/>
              <w:rPr>
                <w:rFonts w:hint="default"/>
                <w:bCs/>
                <w:color w:val="000000" w:themeColor="text1"/>
                <w:szCs w:val="21"/>
                <w:highlight w:val="none"/>
                <w:lang w:val="en-US" w:eastAsia="zh-CN"/>
                <w14:textFill>
                  <w14:solidFill>
                    <w14:schemeClr w14:val="tx1"/>
                  </w14:solidFill>
                </w14:textFill>
              </w:rPr>
            </w:pPr>
          </w:p>
        </w:tc>
        <w:tc>
          <w:tcPr>
            <w:tcW w:w="1104" w:type="dxa"/>
            <w:noWrap w:val="0"/>
            <w:vAlign w:val="center"/>
          </w:tcPr>
          <w:p w14:paraId="322AA344">
            <w:pPr>
              <w:keepNext w:val="0"/>
              <w:keepLines w:val="0"/>
              <w:pageBreakBefore w:val="0"/>
              <w:widowControl w:val="0"/>
              <w:kinsoku/>
              <w:wordWrap/>
              <w:overflowPunct/>
              <w:topLinePunct w:val="0"/>
              <w:autoSpaceDE/>
              <w:autoSpaceDN/>
              <w:bidi w:val="0"/>
              <w:spacing w:line="240" w:lineRule="exact"/>
              <w:jc w:val="center"/>
              <w:textAlignment w:val="auto"/>
              <w:rPr>
                <w:rFonts w:hint="default"/>
                <w:bCs/>
                <w:color w:val="000000" w:themeColor="text1"/>
                <w:szCs w:val="21"/>
                <w:highlight w:val="none"/>
                <w:lang w:val="en-US" w:eastAsia="zh-CN"/>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废油桶</w:t>
            </w:r>
          </w:p>
        </w:tc>
        <w:tc>
          <w:tcPr>
            <w:tcW w:w="3497" w:type="dxa"/>
            <w:vMerge w:val="continue"/>
            <w:noWrap w:val="0"/>
            <w:vAlign w:val="center"/>
          </w:tcPr>
          <w:p w14:paraId="722FFC13">
            <w:pPr>
              <w:keepNext w:val="0"/>
              <w:keepLines w:val="0"/>
              <w:pageBreakBefore w:val="0"/>
              <w:widowControl w:val="0"/>
              <w:kinsoku/>
              <w:wordWrap/>
              <w:overflowPunct/>
              <w:topLinePunct w:val="0"/>
              <w:autoSpaceDE/>
              <w:autoSpaceDN/>
              <w:bidi w:val="0"/>
              <w:spacing w:line="240" w:lineRule="auto"/>
              <w:ind w:right="0"/>
              <w:jc w:val="both"/>
              <w:textAlignment w:val="auto"/>
              <w:rPr>
                <w:rFonts w:hint="default" w:ascii="Times New Roman" w:hAnsi="Times New Roman" w:cs="Times New Roman"/>
                <w:b w:val="0"/>
                <w:bCs w:val="0"/>
                <w:color w:val="000000" w:themeColor="text1"/>
                <w:sz w:val="21"/>
                <w:szCs w:val="21"/>
                <w:highlight w:val="none"/>
                <w:lang w:eastAsia="zh-CN"/>
                <w14:textFill>
                  <w14:solidFill>
                    <w14:schemeClr w14:val="tx1"/>
                  </w14:solidFill>
                </w14:textFill>
              </w:rPr>
            </w:pPr>
          </w:p>
        </w:tc>
        <w:tc>
          <w:tcPr>
            <w:tcW w:w="1799" w:type="dxa"/>
            <w:noWrap w:val="0"/>
            <w:vAlign w:val="center"/>
          </w:tcPr>
          <w:p w14:paraId="6B820AF5">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rFonts w:hint="eastAsia"/>
                <w:color w:val="000000" w:themeColor="text1"/>
                <w:szCs w:val="21"/>
                <w:highlight w:val="none"/>
                <w:lang w:val="en-US" w:eastAsia="zh-CN"/>
                <w14:textFill>
                  <w14:solidFill>
                    <w14:schemeClr w14:val="tx1"/>
                  </w14:solidFill>
                </w14:textFill>
              </w:rPr>
            </w:pPr>
          </w:p>
        </w:tc>
      </w:tr>
      <w:tr w14:paraId="78743F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421" w:type="dxa"/>
            <w:vMerge w:val="continue"/>
            <w:noWrap w:val="0"/>
            <w:vAlign w:val="center"/>
          </w:tcPr>
          <w:p w14:paraId="2269D181">
            <w:pPr>
              <w:adjustRightInd w:val="0"/>
              <w:snapToGrid w:val="0"/>
              <w:jc w:val="center"/>
              <w:rPr>
                <w:color w:val="000000" w:themeColor="text1"/>
                <w:szCs w:val="21"/>
                <w:highlight w:val="none"/>
                <w14:textFill>
                  <w14:solidFill>
                    <w14:schemeClr w14:val="tx1"/>
                  </w14:solidFill>
                </w14:textFill>
              </w:rPr>
            </w:pPr>
          </w:p>
        </w:tc>
        <w:tc>
          <w:tcPr>
            <w:tcW w:w="742" w:type="dxa"/>
            <w:vMerge w:val="continue"/>
            <w:noWrap w:val="0"/>
            <w:vAlign w:val="center"/>
          </w:tcPr>
          <w:p w14:paraId="07126CEF">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p>
        </w:tc>
        <w:tc>
          <w:tcPr>
            <w:tcW w:w="1244" w:type="dxa"/>
            <w:noWrap w:val="0"/>
            <w:vAlign w:val="center"/>
          </w:tcPr>
          <w:p w14:paraId="5B4C1142">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bCs/>
                <w:color w:val="000000" w:themeColor="text1"/>
                <w:szCs w:val="21"/>
                <w:highlight w:val="none"/>
                <w:lang w:val="en-US" w:eastAsia="zh-CN"/>
                <w14:textFill>
                  <w14:solidFill>
                    <w14:schemeClr w14:val="tx1"/>
                  </w14:solidFill>
                </w14:textFill>
              </w:rPr>
            </w:pPr>
            <w:r>
              <w:rPr>
                <w:rFonts w:hint="eastAsia" w:eastAsia="宋体"/>
                <w:bCs/>
                <w:color w:val="000000" w:themeColor="text1"/>
                <w:szCs w:val="21"/>
                <w:highlight w:val="none"/>
                <w:lang w:val="en-US" w:eastAsia="zh-CN"/>
                <w14:textFill>
                  <w14:solidFill>
                    <w14:schemeClr w14:val="tx1"/>
                  </w14:solidFill>
                </w14:textFill>
              </w:rPr>
              <w:t>废水处理</w:t>
            </w:r>
          </w:p>
        </w:tc>
        <w:tc>
          <w:tcPr>
            <w:tcW w:w="1104" w:type="dxa"/>
            <w:noWrap w:val="0"/>
            <w:vAlign w:val="center"/>
          </w:tcPr>
          <w:p w14:paraId="67E459F4">
            <w:pPr>
              <w:keepNext w:val="0"/>
              <w:keepLines w:val="0"/>
              <w:pageBreakBefore w:val="0"/>
              <w:widowControl w:val="0"/>
              <w:kinsoku/>
              <w:wordWrap/>
              <w:overflowPunct/>
              <w:topLinePunct w:val="0"/>
              <w:autoSpaceDE/>
              <w:autoSpaceDN/>
              <w:bidi w:val="0"/>
              <w:spacing w:line="240" w:lineRule="exact"/>
              <w:jc w:val="center"/>
              <w:textAlignment w:val="auto"/>
              <w:rPr>
                <w:rFonts w:hint="default" w:eastAsia="宋体"/>
                <w:bCs/>
                <w:color w:val="000000" w:themeColor="text1"/>
                <w:szCs w:val="21"/>
                <w:highlight w:val="none"/>
                <w:lang w:val="en-US" w:eastAsia="zh-CN"/>
                <w14:textFill>
                  <w14:solidFill>
                    <w14:schemeClr w14:val="tx1"/>
                  </w14:solidFill>
                </w14:textFill>
              </w:rPr>
            </w:pPr>
            <w:r>
              <w:rPr>
                <w:rFonts w:hint="eastAsia" w:eastAsia="宋体"/>
                <w:bCs/>
                <w:color w:val="000000" w:themeColor="text1"/>
                <w:szCs w:val="21"/>
                <w:highlight w:val="none"/>
                <w:lang w:val="en-US" w:eastAsia="zh-CN"/>
                <w14:textFill>
                  <w14:solidFill>
                    <w14:schemeClr w14:val="tx1"/>
                  </w14:solidFill>
                </w14:textFill>
              </w:rPr>
              <w:t>脱硫废水污泥</w:t>
            </w:r>
          </w:p>
        </w:tc>
        <w:tc>
          <w:tcPr>
            <w:tcW w:w="3497" w:type="dxa"/>
            <w:noWrap w:val="0"/>
            <w:vAlign w:val="center"/>
          </w:tcPr>
          <w:p w14:paraId="665AAF77">
            <w:pPr>
              <w:pStyle w:val="116"/>
              <w:keepNext w:val="0"/>
              <w:keepLines w:val="0"/>
              <w:pageBreakBefore w:val="0"/>
              <w:widowControl w:val="0"/>
              <w:kinsoku/>
              <w:wordWrap/>
              <w:overflowPunct/>
              <w:topLinePunct w:val="0"/>
              <w:autoSpaceDE/>
              <w:autoSpaceDN/>
              <w:bidi w:val="0"/>
              <w:spacing w:line="240" w:lineRule="auto"/>
              <w:ind w:right="0"/>
              <w:jc w:val="both"/>
              <w:textAlignment w:val="auto"/>
              <w:rPr>
                <w:rFonts w:hint="eastAsia" w:eastAsia="宋体"/>
                <w:color w:val="000000" w:themeColor="text1"/>
                <w:szCs w:val="21"/>
                <w:highlight w:val="none"/>
                <w:lang w:eastAsia="zh-CN"/>
                <w14:textFill>
                  <w14:solidFill>
                    <w14:schemeClr w14:val="tx1"/>
                  </w14:solidFill>
                </w14:textFill>
              </w:rPr>
            </w:pPr>
            <w:r>
              <w:rPr>
                <w:rFonts w:hint="eastAsia" w:ascii="Times New Roman" w:hAnsi="Times New Roman" w:cs="Times New Roman"/>
                <w:color w:val="000000" w:themeColor="text1"/>
                <w:kern w:val="0"/>
                <w:szCs w:val="21"/>
                <w:highlight w:val="none"/>
                <w:lang w:val="en-US" w:eastAsia="zh-CN"/>
                <w14:textFill>
                  <w14:solidFill>
                    <w14:schemeClr w14:val="tx1"/>
                  </w14:solidFill>
                </w14:textFill>
              </w:rPr>
              <w:t>1座30m</w:t>
            </w:r>
            <w:r>
              <w:rPr>
                <w:rFonts w:hint="eastAsia" w:ascii="Times New Roman" w:hAnsi="Times New Roman" w:cs="Times New Roman"/>
                <w:color w:val="000000" w:themeColor="text1"/>
                <w:kern w:val="0"/>
                <w:szCs w:val="21"/>
                <w:highlight w:val="none"/>
                <w:vertAlign w:val="superscript"/>
                <w:lang w:val="en-US" w:eastAsia="zh-CN"/>
                <w14:textFill>
                  <w14:solidFill>
                    <w14:schemeClr w14:val="tx1"/>
                  </w14:solidFill>
                </w14:textFill>
              </w:rPr>
              <w:t>2</w:t>
            </w:r>
            <w:r>
              <w:rPr>
                <w:rFonts w:hint="eastAsia" w:ascii="Times New Roman" w:hAnsi="Times New Roman" w:cs="Times New Roman"/>
                <w:color w:val="000000" w:themeColor="text1"/>
                <w:kern w:val="0"/>
                <w:szCs w:val="21"/>
                <w:highlight w:val="none"/>
                <w:lang w:val="en-US" w:eastAsia="zh-CN"/>
                <w14:textFill>
                  <w14:solidFill>
                    <w14:schemeClr w14:val="tx1"/>
                  </w14:solidFill>
                </w14:textFill>
              </w:rPr>
              <w:t>的</w:t>
            </w:r>
            <w:r>
              <w:rPr>
                <w:rFonts w:hint="default" w:ascii="Times New Roman" w:hAnsi="Times New Roman" w:cs="Times New Roman"/>
                <w:color w:val="000000" w:themeColor="text1"/>
                <w:spacing w:val="1"/>
                <w:sz w:val="21"/>
                <w:szCs w:val="21"/>
                <w:highlight w:val="none"/>
                <w:lang w:val="en-US" w:eastAsia="zh-CN"/>
                <w14:textFill>
                  <w14:solidFill>
                    <w14:schemeClr w14:val="tx1"/>
                  </w14:solidFill>
                </w14:textFill>
              </w:rPr>
              <w:t>暂存危废库，</w:t>
            </w:r>
            <w:r>
              <w:rPr>
                <w:rFonts w:hint="eastAsia"/>
                <w:color w:val="000000" w:themeColor="text1"/>
                <w:highlight w:val="none"/>
                <w14:textFill>
                  <w14:solidFill>
                    <w14:schemeClr w14:val="tx1"/>
                  </w14:solidFill>
                </w14:textFill>
              </w:rPr>
              <w:t>暂时按照危废进行管理，鉴别为一般固废的，按照一般固废管理并处理</w:t>
            </w:r>
            <w:r>
              <w:rPr>
                <w:rFonts w:hint="eastAsia"/>
                <w:color w:val="000000" w:themeColor="text1"/>
                <w:highlight w:val="none"/>
                <w:lang w:eastAsia="zh-CN"/>
                <w14:textFill>
                  <w14:solidFill>
                    <w14:schemeClr w14:val="tx1"/>
                  </w14:solidFill>
                </w14:textFill>
              </w:rPr>
              <w:t>。</w:t>
            </w:r>
          </w:p>
        </w:tc>
        <w:tc>
          <w:tcPr>
            <w:tcW w:w="1799" w:type="dxa"/>
            <w:noWrap w:val="0"/>
            <w:vAlign w:val="center"/>
          </w:tcPr>
          <w:p w14:paraId="3CED8479">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w:t>
            </w:r>
          </w:p>
        </w:tc>
      </w:tr>
      <w:tr w14:paraId="24FA79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1163" w:type="dxa"/>
            <w:gridSpan w:val="2"/>
            <w:noWrap w:val="0"/>
            <w:vAlign w:val="center"/>
          </w:tcPr>
          <w:p w14:paraId="0C8D6B77">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土壤及地下水污染防治措施</w:t>
            </w:r>
          </w:p>
        </w:tc>
        <w:tc>
          <w:tcPr>
            <w:tcW w:w="7644" w:type="dxa"/>
            <w:gridSpan w:val="4"/>
            <w:noWrap w:val="0"/>
            <w:vAlign w:val="center"/>
          </w:tcPr>
          <w:p w14:paraId="357534AA">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exact"/>
              <w:jc w:val="both"/>
              <w:textAlignment w:val="auto"/>
              <w:rPr>
                <w:rFonts w:hint="eastAsia" w:ascii="Times New Roman"/>
                <w:color w:val="000000" w:themeColor="text1"/>
                <w:highlight w:val="none"/>
                <w:lang w:eastAsia="zh-CN"/>
                <w14:textFill>
                  <w14:solidFill>
                    <w14:schemeClr w14:val="tx1"/>
                  </w14:solidFill>
                </w14:textFill>
              </w:rPr>
            </w:pPr>
            <w:r>
              <w:rPr>
                <w:rFonts w:hint="eastAsia" w:ascii="Times New Roman"/>
                <w:color w:val="000000" w:themeColor="text1"/>
                <w:highlight w:val="none"/>
                <w:lang w:val="en-US" w:eastAsia="zh-CN"/>
                <w14:textFill>
                  <w14:solidFill>
                    <w14:schemeClr w14:val="tx1"/>
                  </w14:solidFill>
                </w14:textFill>
              </w:rPr>
              <w:t>1）</w:t>
            </w:r>
            <w:r>
              <w:rPr>
                <w:rFonts w:hint="eastAsia" w:ascii="Times New Roman"/>
                <w:color w:val="000000" w:themeColor="text1"/>
                <w:highlight w:val="none"/>
                <w:lang w:eastAsia="zh-CN"/>
                <w14:textFill>
                  <w14:solidFill>
                    <w14:schemeClr w14:val="tx1"/>
                  </w14:solidFill>
                </w14:textFill>
              </w:rPr>
              <w:t>加强日常管理和维修维护工作，防止跑冒滴漏现象的发生；</w:t>
            </w:r>
          </w:p>
          <w:p w14:paraId="0E4B1A49">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exact"/>
              <w:jc w:val="both"/>
              <w:textAlignment w:val="auto"/>
              <w:rPr>
                <w:rFonts w:hint="eastAsia" w:ascii="Times New Roman"/>
                <w:color w:val="000000" w:themeColor="text1"/>
                <w:highlight w:val="none"/>
                <w:lang w:eastAsia="zh-CN"/>
                <w14:textFill>
                  <w14:solidFill>
                    <w14:schemeClr w14:val="tx1"/>
                  </w14:solidFill>
                </w14:textFill>
              </w:rPr>
            </w:pPr>
            <w:r>
              <w:rPr>
                <w:rFonts w:hint="eastAsia" w:ascii="Times New Roman"/>
                <w:color w:val="000000" w:themeColor="text1"/>
                <w:highlight w:val="none"/>
                <w:lang w:val="en-US" w:eastAsia="zh-CN"/>
                <w14:textFill>
                  <w14:solidFill>
                    <w14:schemeClr w14:val="tx1"/>
                  </w14:solidFill>
                </w14:textFill>
              </w:rPr>
              <w:t>2）</w:t>
            </w:r>
            <w:r>
              <w:rPr>
                <w:rFonts w:hint="eastAsia" w:ascii="Times New Roman"/>
                <w:color w:val="000000" w:themeColor="text1"/>
                <w:highlight w:val="none"/>
                <w:lang w:eastAsia="zh-CN"/>
                <w14:textFill>
                  <w14:solidFill>
                    <w14:schemeClr w14:val="tx1"/>
                  </w14:solidFill>
                </w14:textFill>
              </w:rPr>
              <w:t>将</w:t>
            </w:r>
            <w:r>
              <w:rPr>
                <w:rFonts w:hint="eastAsia" w:cs="Times New Roman"/>
                <w:color w:val="000000" w:themeColor="text1"/>
                <w:spacing w:val="1"/>
                <w:sz w:val="21"/>
                <w:szCs w:val="21"/>
                <w:highlight w:val="none"/>
                <w:lang w:val="en-US" w:eastAsia="zh-CN"/>
                <w14:textFill>
                  <w14:solidFill>
                    <w14:schemeClr w14:val="tx1"/>
                  </w14:solidFill>
                </w14:textFill>
              </w:rPr>
              <w:t>原料粉</w:t>
            </w:r>
            <w: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筒仓、机修车间</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w:t>
            </w:r>
            <w: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分选</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车间、</w:t>
            </w:r>
            <w: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悬浮炉和回转窑区</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w:t>
            </w:r>
            <w:r>
              <w:rPr>
                <w:rFonts w:hint="default" w:ascii="Times New Roman" w:hAnsi="Times New Roman" w:cs="Times New Roman"/>
                <w:color w:val="000000" w:themeColor="text1"/>
                <w:spacing w:val="1"/>
                <w:sz w:val="21"/>
                <w:szCs w:val="21"/>
                <w:highlight w:val="none"/>
                <w:lang w:val="en-US" w:eastAsia="zh-CN"/>
                <w14:textFill>
                  <w14:solidFill>
                    <w14:schemeClr w14:val="tx1"/>
                  </w14:solidFill>
                </w14:textFill>
              </w:rPr>
              <w:t>冷却系统区、</w:t>
            </w:r>
            <w: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成品</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堆棚、</w:t>
            </w:r>
            <w:r>
              <w:rPr>
                <w:rFonts w:hint="default" w:ascii="Times New Roman" w:hAnsi="Times New Roman" w:eastAsia="宋体" w:cs="Times New Roman"/>
                <w:color w:val="000000" w:themeColor="text1"/>
                <w:spacing w:val="1"/>
                <w:sz w:val="21"/>
                <w:szCs w:val="21"/>
                <w:highlight w:val="none"/>
                <w:lang w:val="en-US" w:eastAsia="zh-CN"/>
                <w14:textFill>
                  <w14:solidFill>
                    <w14:schemeClr w14:val="tx1"/>
                  </w14:solidFill>
                </w14:textFill>
              </w:rPr>
              <w:t>黄料筒仓</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等</w:t>
            </w:r>
            <w:r>
              <w:rPr>
                <w:rFonts w:hint="eastAsia" w:ascii="Times New Roman"/>
                <w:color w:val="000000" w:themeColor="text1"/>
                <w:highlight w:val="none"/>
                <w:lang w:eastAsia="zh-CN"/>
                <w14:textFill>
                  <w14:solidFill>
                    <w14:schemeClr w14:val="tx1"/>
                  </w14:solidFill>
                </w14:textFill>
              </w:rPr>
              <w:t>作为一般防渗区，防渗技术要求等效黏土防渗层Mb1.5m，K</w:t>
            </w:r>
            <w:r>
              <w:rPr>
                <w:rFonts w:hint="eastAsia" w:ascii="Times New Roman"/>
                <w:color w:val="000000" w:themeColor="text1"/>
                <w:highlight w:val="none"/>
                <w:vertAlign w:val="subscript"/>
                <w:lang w:eastAsia="zh-CN"/>
                <w14:textFill>
                  <w14:solidFill>
                    <w14:schemeClr w14:val="tx1"/>
                  </w14:solidFill>
                </w14:textFill>
              </w:rPr>
              <w:t>1</w:t>
            </w:r>
            <w:r>
              <w:rPr>
                <w:rFonts w:hint="eastAsia" w:ascii="Times New Roman"/>
                <w:color w:val="000000" w:themeColor="text1"/>
                <w:highlight w:val="none"/>
                <w:lang w:eastAsia="zh-CN"/>
                <w14:textFill>
                  <w14:solidFill>
                    <w14:schemeClr w14:val="tx1"/>
                  </w14:solidFill>
                </w14:textFill>
              </w:rPr>
              <w:t>x10</w:t>
            </w:r>
            <w:r>
              <w:rPr>
                <w:rFonts w:hint="eastAsia" w:ascii="Times New Roman"/>
                <w:color w:val="000000" w:themeColor="text1"/>
                <w:highlight w:val="none"/>
                <w:vertAlign w:val="superscript"/>
                <w:lang w:eastAsia="zh-CN"/>
                <w14:textFill>
                  <w14:solidFill>
                    <w14:schemeClr w14:val="tx1"/>
                  </w14:solidFill>
                </w14:textFill>
              </w:rPr>
              <w:t>-</w:t>
            </w:r>
            <w:r>
              <w:rPr>
                <w:rFonts w:hint="eastAsia" w:ascii="Times New Roman"/>
                <w:color w:val="000000" w:themeColor="text1"/>
                <w:highlight w:val="none"/>
                <w:vertAlign w:val="superscript"/>
                <w:lang w:val="en-US" w:eastAsia="zh-CN"/>
                <w14:textFill>
                  <w14:solidFill>
                    <w14:schemeClr w14:val="tx1"/>
                  </w14:solidFill>
                </w14:textFill>
              </w:rPr>
              <w:t>10</w:t>
            </w:r>
            <w:r>
              <w:rPr>
                <w:rFonts w:hint="eastAsia" w:ascii="Times New Roman"/>
                <w:color w:val="000000" w:themeColor="text1"/>
                <w:highlight w:val="none"/>
                <w:lang w:eastAsia="zh-CN"/>
                <w14:textFill>
                  <w14:solidFill>
                    <w14:schemeClr w14:val="tx1"/>
                  </w14:solidFill>
                </w14:textFill>
              </w:rPr>
              <w:t>cm/s；</w:t>
            </w:r>
          </w:p>
          <w:p w14:paraId="5FC2F800">
            <w:pPr>
              <w:keepNext w:val="0"/>
              <w:keepLines w:val="0"/>
              <w:pageBreakBefore w:val="0"/>
              <w:widowControl w:val="0"/>
              <w:kinsoku/>
              <w:wordWrap/>
              <w:overflowPunct/>
              <w:topLinePunct w:val="0"/>
              <w:autoSpaceDE/>
              <w:autoSpaceDN/>
              <w:bidi w:val="0"/>
              <w:adjustRightInd w:val="0"/>
              <w:snapToGrid w:val="0"/>
              <w:spacing w:line="240" w:lineRule="exact"/>
              <w:jc w:val="both"/>
              <w:textAlignment w:val="auto"/>
              <w:rPr>
                <w:rFonts w:hint="eastAsia" w:eastAsia="宋体"/>
                <w:color w:val="000000" w:themeColor="text1"/>
                <w:szCs w:val="21"/>
                <w:highlight w:val="none"/>
                <w:lang w:eastAsia="zh-CN"/>
                <w14:textFill>
                  <w14:solidFill>
                    <w14:schemeClr w14:val="tx1"/>
                  </w14:solidFill>
                </w14:textFill>
              </w:rPr>
            </w:pPr>
            <w:r>
              <w:rPr>
                <w:rFonts w:hint="eastAsia" w:ascii="Times New Roman"/>
                <w:color w:val="000000" w:themeColor="text1"/>
                <w:highlight w:val="none"/>
                <w:lang w:eastAsia="zh-CN"/>
                <w14:textFill>
                  <w14:solidFill>
                    <w14:schemeClr w14:val="tx1"/>
                  </w14:solidFill>
                </w14:textFill>
              </w:rPr>
              <w:t>3）</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石灰石-石膏脱硫装置区、</w:t>
            </w:r>
            <w:r>
              <w:rPr>
                <w:rFonts w:hint="default"/>
                <w:color w:val="000000" w:themeColor="text1"/>
                <w:highlight w:val="none"/>
                <w14:textFill>
                  <w14:solidFill>
                    <w14:schemeClr w14:val="tx1"/>
                  </w14:solidFill>
                </w14:textFill>
              </w:rPr>
              <w:t>三联箱装置</w:t>
            </w:r>
            <w:r>
              <w:rPr>
                <w:rFonts w:hint="eastAsia"/>
                <w:color w:val="000000" w:themeColor="text1"/>
                <w:highlight w:val="none"/>
                <w:lang w:eastAsia="zh-CN"/>
                <w14:textFill>
                  <w14:solidFill>
                    <w14:schemeClr w14:val="tx1"/>
                  </w14:solidFill>
                </w14:textFill>
              </w:rPr>
              <w:t>、</w:t>
            </w:r>
            <w:r>
              <w:rPr>
                <w:rFonts w:hint="default" w:ascii="Times New Roman" w:hAnsi="Times New Roman" w:cs="Times New Roman"/>
                <w:bCs/>
                <w:color w:val="000000" w:themeColor="text1"/>
                <w:szCs w:val="21"/>
                <w:highlight w:val="none"/>
                <w14:textFill>
                  <w14:solidFill>
                    <w14:schemeClr w14:val="tx1"/>
                  </w14:solidFill>
                </w14:textFill>
              </w:rPr>
              <w:t>氨水罐区</w:t>
            </w:r>
            <w:r>
              <w:rPr>
                <w:rFonts w:hint="eastAsia" w:ascii="Times New Roman" w:hAnsi="Times New Roman" w:cs="Times New Roman"/>
                <w:bCs/>
                <w:color w:val="000000" w:themeColor="text1"/>
                <w:szCs w:val="21"/>
                <w:highlight w:val="none"/>
                <w:lang w:eastAsia="zh-CN"/>
                <w14:textFill>
                  <w14:solidFill>
                    <w14:schemeClr w14:val="tx1"/>
                  </w14:solidFill>
                </w14:textFill>
              </w:rPr>
              <w:t>、</w:t>
            </w:r>
            <w:r>
              <w:rPr>
                <w:rFonts w:hint="default" w:ascii="Times New Roman" w:hAnsi="Times New Roman" w:eastAsia="宋体" w:cs="Times New Roman"/>
                <w:b w:val="0"/>
                <w:bCs w:val="0"/>
                <w:color w:val="000000" w:themeColor="text1"/>
                <w:sz w:val="21"/>
                <w:szCs w:val="21"/>
                <w:highlight w:val="none"/>
                <w:lang w:eastAsia="zh-CN"/>
                <w14:textFill>
                  <w14:solidFill>
                    <w14:schemeClr w14:val="tx1"/>
                  </w14:solidFill>
                </w14:textFill>
              </w:rPr>
              <w:t>危废暂存间</w:t>
            </w:r>
            <w:r>
              <w:rPr>
                <w:rFonts w:hint="eastAsia" w:ascii="Times New Roman"/>
                <w:color w:val="000000" w:themeColor="text1"/>
                <w:highlight w:val="none"/>
                <w:lang w:eastAsia="zh-CN"/>
                <w14:textFill>
                  <w14:solidFill>
                    <w14:schemeClr w14:val="tx1"/>
                  </w14:solidFill>
                </w14:textFill>
              </w:rPr>
              <w:t>为本项目重点防渗区，按照《危险废物贮存污染控制标准》（GB18597-2023）要求进行建设</w:t>
            </w:r>
            <w:r>
              <w:rPr>
                <w:rFonts w:hint="eastAsia"/>
                <w:color w:val="000000" w:themeColor="text1"/>
                <w:highlight w:val="none"/>
                <w:lang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内部设置</w:t>
            </w:r>
            <w:r>
              <w:rPr>
                <w:rFonts w:hint="eastAsia"/>
                <w:color w:val="000000" w:themeColor="text1"/>
                <w:highlight w:val="none"/>
                <w14:textFill>
                  <w14:solidFill>
                    <w14:schemeClr w14:val="tx1"/>
                  </w14:solidFill>
                </w14:textFill>
              </w:rPr>
              <w:t>导流渠和集液池</w:t>
            </w:r>
            <w:r>
              <w:rPr>
                <w:rFonts w:hint="eastAsia"/>
                <w:color w:val="000000" w:themeColor="text1"/>
                <w:highlight w:val="none"/>
                <w:lang w:eastAsia="zh-CN"/>
                <w14:textFill>
                  <w14:solidFill>
                    <w14:schemeClr w14:val="tx1"/>
                  </w14:solidFill>
                </w14:textFill>
              </w:rPr>
              <w:t>，</w:t>
            </w:r>
            <w:r>
              <w:rPr>
                <w:rFonts w:hint="eastAsia" w:ascii="Times New Roman"/>
                <w:color w:val="000000" w:themeColor="text1"/>
                <w:highlight w:val="none"/>
                <w:lang w:eastAsia="zh-CN"/>
                <w14:textFill>
                  <w14:solidFill>
                    <w14:schemeClr w14:val="tx1"/>
                  </w14:solidFill>
                </w14:textFill>
              </w:rPr>
              <w:t>危废暂存库贮存区各建筑物进行坚固的防渗防腐材料修建，地面及裙脚20cm混凝土+2mmHDPE膜+10cm混凝土，墙壁防渗防腐衬层高度约为50cm，保证构筑物</w:t>
            </w:r>
            <w:r>
              <w:rPr>
                <w:rFonts w:hint="eastAsia" w:ascii="Times New Roman" w:cs="Times New Roman"/>
                <w:b w:val="0"/>
                <w:bCs w:val="0"/>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等效于M=2mm厚高密度聚乙烯防渗层，渗透系数不大于10</w:t>
            </w:r>
            <w:r>
              <w:rPr>
                <w:rFonts w:hint="default" w:ascii="Times New Roman" w:hAnsi="Times New Roman" w:eastAsia="宋体" w:cs="Times New Roman"/>
                <w:color w:val="000000" w:themeColor="text1"/>
                <w:spacing w:val="1"/>
                <w:sz w:val="21"/>
                <w:szCs w:val="21"/>
                <w:highlight w:val="none"/>
                <w:vertAlign w:val="superscript"/>
                <w14:textFill>
                  <w14:solidFill>
                    <w14:schemeClr w14:val="tx1"/>
                  </w14:solidFill>
                </w14:textFill>
              </w:rPr>
              <w:t>-1</w:t>
            </w:r>
            <w:r>
              <w:rPr>
                <w:rFonts w:hint="default" w:ascii="Times New Roman" w:hAnsi="Times New Roman" w:eastAsia="宋体" w:cs="Times New Roman"/>
                <w:color w:val="000000" w:themeColor="text1"/>
                <w:spacing w:val="1"/>
                <w:sz w:val="21"/>
                <w:szCs w:val="21"/>
                <w:highlight w:val="none"/>
                <w:vertAlign w:val="superscript"/>
                <w:lang w:val="en-US" w:eastAsia="zh-CN"/>
                <w14:textFill>
                  <w14:solidFill>
                    <w14:schemeClr w14:val="tx1"/>
                  </w14:solidFill>
                </w14:textFill>
              </w:rPr>
              <w:t>0</w:t>
            </w:r>
            <w:r>
              <w:rPr>
                <w:rFonts w:hint="default" w:ascii="Times New Roman" w:hAnsi="Times New Roman" w:eastAsia="宋体" w:cs="Times New Roman"/>
                <w:color w:val="000000" w:themeColor="text1"/>
                <w:spacing w:val="1"/>
                <w:sz w:val="21"/>
                <w:szCs w:val="21"/>
                <w:highlight w:val="none"/>
                <w14:textFill>
                  <w14:solidFill>
                    <w14:schemeClr w14:val="tx1"/>
                  </w14:solidFill>
                </w14:textFill>
              </w:rPr>
              <w:t>cm/s</w:t>
            </w:r>
            <w:r>
              <w:rPr>
                <w:rFonts w:hint="eastAsia" w:ascii="Times New Roman"/>
                <w:color w:val="000000" w:themeColor="text1"/>
                <w:highlight w:val="none"/>
                <w:lang w:eastAsia="zh-CN"/>
                <w14:textFill>
                  <w14:solidFill>
                    <w14:schemeClr w14:val="tx1"/>
                  </w14:solidFill>
                </w14:textFill>
              </w:rPr>
              <w:t>。</w:t>
            </w:r>
          </w:p>
        </w:tc>
      </w:tr>
      <w:tr w14:paraId="6716A1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163" w:type="dxa"/>
            <w:gridSpan w:val="2"/>
            <w:noWrap w:val="0"/>
            <w:vAlign w:val="center"/>
          </w:tcPr>
          <w:p w14:paraId="58CE98DD">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生态保护措施</w:t>
            </w:r>
          </w:p>
        </w:tc>
        <w:tc>
          <w:tcPr>
            <w:tcW w:w="7644" w:type="dxa"/>
            <w:gridSpan w:val="4"/>
            <w:noWrap w:val="0"/>
            <w:vAlign w:val="center"/>
          </w:tcPr>
          <w:p w14:paraId="56FCD47F">
            <w:pPr>
              <w:keepNext w:val="0"/>
              <w:keepLines w:val="0"/>
              <w:pageBreakBefore w:val="0"/>
              <w:widowControl w:val="0"/>
              <w:kinsoku/>
              <w:wordWrap/>
              <w:overflowPunct/>
              <w:topLinePunct w:val="0"/>
              <w:autoSpaceDE/>
              <w:autoSpaceDN/>
              <w:bidi w:val="0"/>
              <w:adjustRightInd w:val="0"/>
              <w:snapToGrid w:val="0"/>
              <w:spacing w:line="240" w:lineRule="exact"/>
              <w:jc w:val="both"/>
              <w:textAlignment w:val="auto"/>
              <w:rPr>
                <w:rFonts w:hint="eastAsia"/>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厂区适当绿化</w:t>
            </w:r>
          </w:p>
        </w:tc>
      </w:tr>
      <w:tr w14:paraId="1267F9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1163" w:type="dxa"/>
            <w:gridSpan w:val="2"/>
            <w:noWrap w:val="0"/>
            <w:vAlign w:val="center"/>
          </w:tcPr>
          <w:p w14:paraId="14E42386">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b/>
                <w:bCs/>
                <w:color w:val="000000" w:themeColor="text1"/>
                <w:spacing w:val="-8"/>
                <w:szCs w:val="21"/>
                <w:highlight w:val="none"/>
                <w14:textFill>
                  <w14:solidFill>
                    <w14:schemeClr w14:val="tx1"/>
                  </w14:solidFill>
                </w14:textFill>
              </w:rPr>
            </w:pPr>
            <w:r>
              <w:rPr>
                <w:b/>
                <w:bCs/>
                <w:color w:val="000000" w:themeColor="text1"/>
                <w:spacing w:val="-8"/>
                <w:szCs w:val="21"/>
                <w:highlight w:val="none"/>
                <w14:textFill>
                  <w14:solidFill>
                    <w14:schemeClr w14:val="tx1"/>
                  </w14:solidFill>
                </w14:textFill>
              </w:rPr>
              <w:t>环境风险</w:t>
            </w:r>
          </w:p>
          <w:p w14:paraId="12033468">
            <w:pPr>
              <w:keepNext w:val="0"/>
              <w:keepLines w:val="0"/>
              <w:pageBreakBefore w:val="0"/>
              <w:widowControl w:val="0"/>
              <w:kinsoku/>
              <w:wordWrap/>
              <w:overflowPunct/>
              <w:topLinePunct w:val="0"/>
              <w:autoSpaceDE/>
              <w:autoSpaceDN/>
              <w:bidi w:val="0"/>
              <w:adjustRightInd w:val="0"/>
              <w:snapToGrid w:val="0"/>
              <w:spacing w:line="240" w:lineRule="exact"/>
              <w:jc w:val="center"/>
              <w:textAlignment w:val="auto"/>
              <w:rPr>
                <w:b/>
                <w:bCs/>
                <w:color w:val="000000" w:themeColor="text1"/>
                <w:spacing w:val="-8"/>
                <w:szCs w:val="21"/>
                <w:highlight w:val="none"/>
                <w14:textFill>
                  <w14:solidFill>
                    <w14:schemeClr w14:val="tx1"/>
                  </w14:solidFill>
                </w14:textFill>
              </w:rPr>
            </w:pPr>
            <w:r>
              <w:rPr>
                <w:b/>
                <w:bCs/>
                <w:color w:val="000000" w:themeColor="text1"/>
                <w:spacing w:val="-8"/>
                <w:szCs w:val="21"/>
                <w:highlight w:val="none"/>
                <w14:textFill>
                  <w14:solidFill>
                    <w14:schemeClr w14:val="tx1"/>
                  </w14:solidFill>
                </w14:textFill>
              </w:rPr>
              <w:t>防范措施</w:t>
            </w:r>
          </w:p>
        </w:tc>
        <w:tc>
          <w:tcPr>
            <w:tcW w:w="7644" w:type="dxa"/>
            <w:gridSpan w:val="4"/>
            <w:noWrap w:val="0"/>
            <w:vAlign w:val="center"/>
          </w:tcPr>
          <w:p w14:paraId="3638D459">
            <w:pPr>
              <w:keepNext w:val="0"/>
              <w:keepLines w:val="0"/>
              <w:pageBreakBefore w:val="0"/>
              <w:widowControl w:val="0"/>
              <w:numPr>
                <w:ilvl w:val="0"/>
                <w:numId w:val="7"/>
              </w:numPr>
              <w:kinsoku/>
              <w:wordWrap/>
              <w:overflowPunct/>
              <w:topLinePunct w:val="0"/>
              <w:autoSpaceDE/>
              <w:autoSpaceDN/>
              <w:bidi w:val="0"/>
              <w:adjustRightInd w:val="0"/>
              <w:snapToGrid w:val="0"/>
              <w:spacing w:line="360" w:lineRule="auto"/>
              <w:jc w:val="both"/>
              <w:textAlignment w:val="auto"/>
              <w:rPr>
                <w:rFonts w:hint="eastAsia"/>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建立健全安全生产制度，生产人员作业应严格遵守安全操作规程，</w:t>
            </w:r>
            <w:r>
              <w:rPr>
                <w:rFonts w:hint="eastAsia"/>
                <w:bCs/>
                <w:color w:val="000000" w:themeColor="text1"/>
                <w:szCs w:val="21"/>
                <w:highlight w:val="none"/>
                <w:lang w:eastAsia="zh-CN"/>
                <w14:textFill>
                  <w14:solidFill>
                    <w14:schemeClr w14:val="tx1"/>
                  </w14:solidFill>
                </w14:textFill>
              </w:rPr>
              <w:t>不得</w:t>
            </w:r>
            <w:r>
              <w:rPr>
                <w:rFonts w:hint="eastAsia"/>
                <w:bCs/>
                <w:color w:val="000000" w:themeColor="text1"/>
                <w:szCs w:val="21"/>
                <w:highlight w:val="none"/>
                <w14:textFill>
                  <w14:solidFill>
                    <w14:schemeClr w14:val="tx1"/>
                  </w14:solidFill>
                </w14:textFill>
              </w:rPr>
              <w:t>违章作业。</w:t>
            </w:r>
          </w:p>
          <w:p w14:paraId="434A1165">
            <w:pPr>
              <w:keepNext w:val="0"/>
              <w:keepLines w:val="0"/>
              <w:pageBreakBefore w:val="0"/>
              <w:widowControl w:val="0"/>
              <w:numPr>
                <w:ilvl w:val="0"/>
                <w:numId w:val="7"/>
              </w:numPr>
              <w:kinsoku/>
              <w:wordWrap/>
              <w:overflowPunct/>
              <w:topLinePunct w:val="0"/>
              <w:autoSpaceDE/>
              <w:autoSpaceDN/>
              <w:bidi w:val="0"/>
              <w:adjustRightInd w:val="0"/>
              <w:snapToGrid w:val="0"/>
              <w:spacing w:line="360" w:lineRule="auto"/>
              <w:jc w:val="both"/>
              <w:textAlignment w:val="auto"/>
              <w:rPr>
                <w:rFonts w:hint="eastAsia"/>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严格按照</w:t>
            </w:r>
            <w:r>
              <w:rPr>
                <w:rFonts w:hint="eastAsia"/>
                <w:bCs/>
                <w:color w:val="000000" w:themeColor="text1"/>
                <w:szCs w:val="21"/>
                <w:highlight w:val="none"/>
                <w:lang w:eastAsia="zh-CN"/>
                <w14:textFill>
                  <w14:solidFill>
                    <w14:schemeClr w14:val="tx1"/>
                  </w14:solidFill>
                </w14:textFill>
              </w:rPr>
              <w:t>《危险废物贮存污染控制标准》</w:t>
            </w:r>
            <w:r>
              <w:rPr>
                <w:rFonts w:hint="eastAsia"/>
                <w:bCs/>
                <w:color w:val="000000" w:themeColor="text1"/>
                <w:szCs w:val="21"/>
                <w:highlight w:val="none"/>
                <w14:textFill>
                  <w14:solidFill>
                    <w14:schemeClr w14:val="tx1"/>
                  </w14:solidFill>
                </w14:textFill>
              </w:rPr>
              <w:t>建造危险废物贮存设施</w:t>
            </w:r>
            <w:r>
              <w:rPr>
                <w:rFonts w:hint="eastAsia"/>
                <w:bCs/>
                <w:color w:val="000000" w:themeColor="text1"/>
                <w:szCs w:val="21"/>
                <w:highlight w:val="none"/>
                <w:lang w:eastAsia="zh-CN"/>
                <w14:textFill>
                  <w14:solidFill>
                    <w14:schemeClr w14:val="tx1"/>
                  </w14:solidFill>
                </w14:textFill>
              </w:rPr>
              <w:t>（</w:t>
            </w:r>
            <w:r>
              <w:rPr>
                <w:rFonts w:hint="eastAsia"/>
                <w:bCs/>
                <w:color w:val="000000" w:themeColor="text1"/>
                <w:szCs w:val="21"/>
                <w:highlight w:val="none"/>
                <w14:textFill>
                  <w14:solidFill>
                    <w14:schemeClr w14:val="tx1"/>
                  </w14:solidFill>
                </w14:textFill>
              </w:rPr>
              <w:t>仓库式</w:t>
            </w:r>
            <w:r>
              <w:rPr>
                <w:rFonts w:hint="eastAsia"/>
                <w:bCs/>
                <w:color w:val="000000" w:themeColor="text1"/>
                <w:szCs w:val="21"/>
                <w:highlight w:val="none"/>
                <w:lang w:eastAsia="zh-CN"/>
                <w14:textFill>
                  <w14:solidFill>
                    <w14:schemeClr w14:val="tx1"/>
                  </w14:solidFill>
                </w14:textFill>
              </w:rPr>
              <w:t>）</w:t>
            </w:r>
            <w:r>
              <w:rPr>
                <w:rFonts w:hint="eastAsia"/>
                <w:bCs/>
                <w:color w:val="000000" w:themeColor="text1"/>
                <w:szCs w:val="21"/>
                <w:highlight w:val="none"/>
                <w14:textFill>
                  <w14:solidFill>
                    <w14:schemeClr w14:val="tx1"/>
                  </w14:solidFill>
                </w14:textFill>
              </w:rPr>
              <w:t>，建成具有防水、防渗、防流失的专用危险废物贮存设施贮存危险废物。</w:t>
            </w:r>
            <w:r>
              <w:rPr>
                <w:rFonts w:hint="eastAsia"/>
                <w:color w:val="000000" w:themeColor="text1"/>
                <w:sz w:val="21"/>
                <w:szCs w:val="16"/>
                <w:highlight w:val="none"/>
                <w:lang w:val="en-US" w:eastAsia="zh-CN"/>
                <w14:textFill>
                  <w14:solidFill>
                    <w14:schemeClr w14:val="tx1"/>
                  </w14:solidFill>
                </w14:textFill>
              </w:rPr>
              <w:t>内部地面设置</w:t>
            </w:r>
            <w:r>
              <w:rPr>
                <w:rFonts w:hint="eastAsia"/>
                <w:color w:val="000000" w:themeColor="text1"/>
                <w:sz w:val="21"/>
                <w:szCs w:val="16"/>
                <w:highlight w:val="none"/>
                <w14:textFill>
                  <w14:solidFill>
                    <w14:schemeClr w14:val="tx1"/>
                  </w14:solidFill>
                </w14:textFill>
              </w:rPr>
              <w:t>导流渠和集液池</w:t>
            </w:r>
            <w:r>
              <w:rPr>
                <w:rFonts w:hint="eastAsia"/>
                <w:color w:val="000000" w:themeColor="text1"/>
                <w:sz w:val="21"/>
                <w:szCs w:val="16"/>
                <w:highlight w:val="none"/>
                <w:lang w:eastAsia="zh-CN"/>
                <w14:textFill>
                  <w14:solidFill>
                    <w14:schemeClr w14:val="tx1"/>
                  </w14:solidFill>
                </w14:textFill>
              </w:rPr>
              <w:t>。</w:t>
            </w:r>
            <w:r>
              <w:rPr>
                <w:rFonts w:hint="eastAsia"/>
                <w:bCs/>
                <w:color w:val="000000" w:themeColor="text1"/>
                <w:szCs w:val="21"/>
                <w:highlight w:val="none"/>
                <w14:textFill>
                  <w14:solidFill>
                    <w14:schemeClr w14:val="tx1"/>
                  </w14:solidFill>
                </w14:textFill>
              </w:rPr>
              <w:t>贮存设施必须防渗，基础必须防渗，防渗层为至少1</w:t>
            </w:r>
            <w:r>
              <w:rPr>
                <w:rFonts w:hint="eastAsia"/>
                <w:bCs/>
                <w:color w:val="000000" w:themeColor="text1"/>
                <w:szCs w:val="21"/>
                <w:highlight w:val="none"/>
                <w:lang w:eastAsia="zh-CN"/>
                <w14:textFill>
                  <w14:solidFill>
                    <w14:schemeClr w14:val="tx1"/>
                  </w14:solidFill>
                </w14:textFill>
              </w:rPr>
              <w:t>m</w:t>
            </w:r>
            <w:r>
              <w:rPr>
                <w:rFonts w:hint="eastAsia"/>
                <w:bCs/>
                <w:color w:val="000000" w:themeColor="text1"/>
                <w:szCs w:val="21"/>
                <w:highlight w:val="none"/>
                <w14:textFill>
                  <w14:solidFill>
                    <w14:schemeClr w14:val="tx1"/>
                  </w14:solidFill>
                </w14:textFill>
              </w:rPr>
              <w:t>厚粘土层</w:t>
            </w:r>
            <w:r>
              <w:rPr>
                <w:rFonts w:hint="eastAsia"/>
                <w:bCs/>
                <w:color w:val="000000" w:themeColor="text1"/>
                <w:szCs w:val="21"/>
                <w:highlight w:val="none"/>
                <w:lang w:eastAsia="zh-CN"/>
                <w14:textFill>
                  <w14:solidFill>
                    <w14:schemeClr w14:val="tx1"/>
                  </w14:solidFill>
                </w14:textFill>
              </w:rPr>
              <w:t>（</w:t>
            </w:r>
            <w:r>
              <w:rPr>
                <w:rFonts w:hint="eastAsia"/>
                <w:bCs/>
                <w:color w:val="000000" w:themeColor="text1"/>
                <w:szCs w:val="21"/>
                <w:highlight w:val="none"/>
                <w14:textFill>
                  <w14:solidFill>
                    <w14:schemeClr w14:val="tx1"/>
                  </w14:solidFill>
                </w14:textFill>
              </w:rPr>
              <w:t>渗透系数&lt;10</w:t>
            </w:r>
            <w:r>
              <w:rPr>
                <w:rFonts w:hint="eastAsia"/>
                <w:bCs/>
                <w:color w:val="000000" w:themeColor="text1"/>
                <w:szCs w:val="21"/>
                <w:highlight w:val="none"/>
                <w:vertAlign w:val="superscript"/>
                <w:lang w:eastAsia="zh-CN"/>
                <w14:textFill>
                  <w14:solidFill>
                    <w14:schemeClr w14:val="tx1"/>
                  </w14:solidFill>
                </w14:textFill>
              </w:rPr>
              <w:t>—</w:t>
            </w:r>
            <w:r>
              <w:rPr>
                <w:rFonts w:hint="eastAsia"/>
                <w:bCs/>
                <w:color w:val="000000" w:themeColor="text1"/>
                <w:szCs w:val="21"/>
                <w:highlight w:val="none"/>
                <w:vertAlign w:val="superscript"/>
                <w14:textFill>
                  <w14:solidFill>
                    <w14:schemeClr w14:val="tx1"/>
                  </w14:solidFill>
                </w14:textFill>
              </w:rPr>
              <w:t>7</w:t>
            </w:r>
            <w:r>
              <w:rPr>
                <w:rFonts w:hint="eastAsia"/>
                <w:bCs/>
                <w:color w:val="000000" w:themeColor="text1"/>
                <w:szCs w:val="21"/>
                <w:highlight w:val="none"/>
                <w:lang w:val="en-US" w:eastAsia="zh-CN"/>
                <w14:textFill>
                  <w14:solidFill>
                    <w14:schemeClr w14:val="tx1"/>
                  </w14:solidFill>
                </w14:textFill>
              </w:rPr>
              <w:t>c</w:t>
            </w:r>
            <w:r>
              <w:rPr>
                <w:rFonts w:hint="eastAsia"/>
                <w:bCs/>
                <w:color w:val="000000" w:themeColor="text1"/>
                <w:szCs w:val="21"/>
                <w:highlight w:val="none"/>
                <w:lang w:eastAsia="zh-CN"/>
                <w14:textFill>
                  <w14:solidFill>
                    <w14:schemeClr w14:val="tx1"/>
                  </w14:solidFill>
                </w14:textFill>
              </w:rPr>
              <w:t>m</w:t>
            </w:r>
            <w:r>
              <w:rPr>
                <w:rFonts w:hint="eastAsia"/>
                <w:bCs/>
                <w:color w:val="000000" w:themeColor="text1"/>
                <w:szCs w:val="21"/>
                <w:highlight w:val="none"/>
                <w14:textFill>
                  <w14:solidFill>
                    <w14:schemeClr w14:val="tx1"/>
                  </w14:solidFill>
                </w14:textFill>
              </w:rPr>
              <w:t>/秒</w:t>
            </w:r>
            <w:r>
              <w:rPr>
                <w:rFonts w:hint="eastAsia"/>
                <w:bCs/>
                <w:color w:val="000000" w:themeColor="text1"/>
                <w:szCs w:val="21"/>
                <w:highlight w:val="none"/>
                <w:lang w:eastAsia="zh-CN"/>
                <w14:textFill>
                  <w14:solidFill>
                    <w14:schemeClr w14:val="tx1"/>
                  </w14:solidFill>
                </w14:textFill>
              </w:rPr>
              <w:t>）</w:t>
            </w:r>
            <w:r>
              <w:rPr>
                <w:rFonts w:hint="eastAsia"/>
                <w:bCs/>
                <w:color w:val="000000" w:themeColor="text1"/>
                <w:szCs w:val="21"/>
                <w:highlight w:val="none"/>
                <w14:textFill>
                  <w14:solidFill>
                    <w14:schemeClr w14:val="tx1"/>
                  </w14:solidFill>
                </w14:textFill>
              </w:rPr>
              <w:t>，或2</w:t>
            </w:r>
            <w:r>
              <w:rPr>
                <w:rFonts w:hint="eastAsia"/>
                <w:bCs/>
                <w:color w:val="000000" w:themeColor="text1"/>
                <w:szCs w:val="21"/>
                <w:highlight w:val="none"/>
                <w:lang w:val="en-US" w:eastAsia="zh-CN"/>
                <w14:textFill>
                  <w14:solidFill>
                    <w14:schemeClr w14:val="tx1"/>
                  </w14:solidFill>
                </w14:textFill>
              </w:rPr>
              <w:t>m</w:t>
            </w:r>
            <w:r>
              <w:rPr>
                <w:rFonts w:hint="eastAsia"/>
                <w:bCs/>
                <w:color w:val="000000" w:themeColor="text1"/>
                <w:szCs w:val="21"/>
                <w:highlight w:val="none"/>
                <w:lang w:eastAsia="zh-CN"/>
                <w14:textFill>
                  <w14:solidFill>
                    <w14:schemeClr w14:val="tx1"/>
                  </w14:solidFill>
                </w14:textFill>
              </w:rPr>
              <w:t>m</w:t>
            </w:r>
            <w:r>
              <w:rPr>
                <w:rFonts w:hint="eastAsia"/>
                <w:bCs/>
                <w:color w:val="000000" w:themeColor="text1"/>
                <w:szCs w:val="21"/>
                <w:highlight w:val="none"/>
                <w14:textFill>
                  <w14:solidFill>
                    <w14:schemeClr w14:val="tx1"/>
                  </w14:solidFill>
                </w14:textFill>
              </w:rPr>
              <w:t>厚高密度聚乙烯，或至少2</w:t>
            </w:r>
            <w:r>
              <w:rPr>
                <w:rFonts w:hint="eastAsia"/>
                <w:bCs/>
                <w:color w:val="000000" w:themeColor="text1"/>
                <w:szCs w:val="21"/>
                <w:highlight w:val="none"/>
                <w:lang w:eastAsia="zh-CN"/>
                <w14:textFill>
                  <w14:solidFill>
                    <w14:schemeClr w14:val="tx1"/>
                  </w14:solidFill>
                </w14:textFill>
              </w:rPr>
              <w:t>m</w:t>
            </w:r>
            <w:r>
              <w:rPr>
                <w:rFonts w:hint="eastAsia"/>
                <w:bCs/>
                <w:color w:val="000000" w:themeColor="text1"/>
                <w:szCs w:val="21"/>
                <w:highlight w:val="none"/>
                <w:lang w:val="en-US" w:eastAsia="zh-CN"/>
                <w14:textFill>
                  <w14:solidFill>
                    <w14:schemeClr w14:val="tx1"/>
                  </w14:solidFill>
                </w14:textFill>
              </w:rPr>
              <w:t>m</w:t>
            </w:r>
            <w:r>
              <w:rPr>
                <w:rFonts w:hint="eastAsia"/>
                <w:bCs/>
                <w:color w:val="000000" w:themeColor="text1"/>
                <w:szCs w:val="21"/>
                <w:highlight w:val="none"/>
                <w14:textFill>
                  <w14:solidFill>
                    <w14:schemeClr w14:val="tx1"/>
                  </w14:solidFill>
                </w14:textFill>
              </w:rPr>
              <w:t>的</w:t>
            </w:r>
            <w:r>
              <w:rPr>
                <w:rFonts w:hint="eastAsia"/>
                <w:bCs/>
                <w:color w:val="000000" w:themeColor="text1"/>
                <w:szCs w:val="21"/>
                <w:highlight w:val="none"/>
                <w:lang w:eastAsia="zh-CN"/>
                <w14:textFill>
                  <w14:solidFill>
                    <w14:schemeClr w14:val="tx1"/>
                  </w14:solidFill>
                </w14:textFill>
              </w:rPr>
              <w:t>其他人工</w:t>
            </w:r>
            <w:r>
              <w:rPr>
                <w:rFonts w:hint="eastAsia"/>
                <w:bCs/>
                <w:color w:val="000000" w:themeColor="text1"/>
                <w:szCs w:val="21"/>
                <w:highlight w:val="none"/>
                <w14:textFill>
                  <w14:solidFill>
                    <w14:schemeClr w14:val="tx1"/>
                  </w14:solidFill>
                </w14:textFill>
              </w:rPr>
              <w:t>材料，渗透系数10</w:t>
            </w:r>
            <w:r>
              <w:rPr>
                <w:rFonts w:hint="eastAsia"/>
                <w:bCs/>
                <w:color w:val="000000" w:themeColor="text1"/>
                <w:szCs w:val="21"/>
                <w:highlight w:val="none"/>
                <w:vertAlign w:val="superscript"/>
                <w:lang w:eastAsia="zh-CN"/>
                <w14:textFill>
                  <w14:solidFill>
                    <w14:schemeClr w14:val="tx1"/>
                  </w14:solidFill>
                </w14:textFill>
              </w:rPr>
              <w:t>—</w:t>
            </w:r>
            <w:r>
              <w:rPr>
                <w:rFonts w:hint="eastAsia"/>
                <w:bCs/>
                <w:color w:val="000000" w:themeColor="text1"/>
                <w:szCs w:val="21"/>
                <w:highlight w:val="none"/>
                <w:vertAlign w:val="superscript"/>
                <w14:textFill>
                  <w14:solidFill>
                    <w14:schemeClr w14:val="tx1"/>
                  </w14:solidFill>
                </w14:textFill>
              </w:rPr>
              <w:t>10</w:t>
            </w:r>
            <w:r>
              <w:rPr>
                <w:rFonts w:hint="eastAsia"/>
                <w:bCs/>
                <w:color w:val="000000" w:themeColor="text1"/>
                <w:szCs w:val="21"/>
                <w:highlight w:val="none"/>
                <w:lang w:val="en-US" w:eastAsia="zh-CN"/>
                <w14:textFill>
                  <w14:solidFill>
                    <w14:schemeClr w14:val="tx1"/>
                  </w14:solidFill>
                </w14:textFill>
              </w:rPr>
              <w:t>c</w:t>
            </w:r>
            <w:r>
              <w:rPr>
                <w:rFonts w:hint="eastAsia"/>
                <w:bCs/>
                <w:color w:val="000000" w:themeColor="text1"/>
                <w:szCs w:val="21"/>
                <w:highlight w:val="none"/>
                <w:lang w:eastAsia="zh-CN"/>
                <w14:textFill>
                  <w14:solidFill>
                    <w14:schemeClr w14:val="tx1"/>
                  </w14:solidFill>
                </w14:textFill>
              </w:rPr>
              <w:t>m</w:t>
            </w:r>
            <w:r>
              <w:rPr>
                <w:rFonts w:hint="eastAsia"/>
                <w:bCs/>
                <w:color w:val="000000" w:themeColor="text1"/>
                <w:szCs w:val="21"/>
                <w:highlight w:val="none"/>
                <w14:textFill>
                  <w14:solidFill>
                    <w14:schemeClr w14:val="tx1"/>
                  </w14:solidFill>
                </w14:textFill>
              </w:rPr>
              <w:t>/秒。有足够地面承载能力，并能确保雨水不会流至贮存设施内，贮存设施应封闭，以防风、防雨、防日晒</w:t>
            </w:r>
            <w:r>
              <w:rPr>
                <w:rFonts w:hint="eastAsia"/>
                <w:bCs/>
                <w:color w:val="000000" w:themeColor="text1"/>
                <w:szCs w:val="21"/>
                <w:highlight w:val="none"/>
                <w:lang w:eastAsia="zh-CN"/>
                <w14:textFill>
                  <w14:solidFill>
                    <w14:schemeClr w14:val="tx1"/>
                  </w14:solidFill>
                </w14:textFill>
              </w:rPr>
              <w:t>；</w:t>
            </w:r>
            <w:r>
              <w:rPr>
                <w:rFonts w:hint="eastAsia"/>
                <w:bCs/>
                <w:color w:val="000000" w:themeColor="text1"/>
                <w:szCs w:val="21"/>
                <w:highlight w:val="none"/>
                <w14:textFill>
                  <w14:solidFill>
                    <w14:schemeClr w14:val="tx1"/>
                  </w14:solidFill>
                </w14:textFill>
              </w:rPr>
              <w:t>贮存设施内应有安全照明设施及安全防护设施，厂内设置专人对贮存设施及危险废物进行定期检查。在危废暂存间门口应设置围堰，防止废机油等</w:t>
            </w:r>
            <w:r>
              <w:rPr>
                <w:rFonts w:hint="eastAsia"/>
                <w:bCs/>
                <w:color w:val="000000" w:themeColor="text1"/>
                <w:szCs w:val="21"/>
                <w:highlight w:val="none"/>
                <w:lang w:eastAsia="zh-CN"/>
                <w14:textFill>
                  <w14:solidFill>
                    <w14:schemeClr w14:val="tx1"/>
                  </w14:solidFill>
                </w14:textFill>
              </w:rPr>
              <w:t>泄漏</w:t>
            </w:r>
            <w:r>
              <w:rPr>
                <w:rFonts w:hint="eastAsia"/>
                <w:bCs/>
                <w:color w:val="000000" w:themeColor="text1"/>
                <w:szCs w:val="21"/>
                <w:highlight w:val="none"/>
                <w14:textFill>
                  <w14:solidFill>
                    <w14:schemeClr w14:val="tx1"/>
                  </w14:solidFill>
                </w14:textFill>
              </w:rPr>
              <w:t>后从危废间内流出。</w:t>
            </w:r>
          </w:p>
          <w:p w14:paraId="7072E28A">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eastAsia"/>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3</w:t>
            </w:r>
            <w:r>
              <w:rPr>
                <w:rFonts w:hint="eastAsia"/>
                <w:bCs/>
                <w:color w:val="000000" w:themeColor="text1"/>
                <w:szCs w:val="21"/>
                <w:highlight w:val="none"/>
                <w:lang w:eastAsia="zh-CN"/>
                <w14:textFill>
                  <w14:solidFill>
                    <w14:schemeClr w14:val="tx1"/>
                  </w14:solidFill>
                </w14:textFill>
              </w:rPr>
              <w:t>）</w:t>
            </w:r>
            <w:r>
              <w:rPr>
                <w:rFonts w:hint="eastAsia"/>
                <w:bCs/>
                <w:color w:val="000000" w:themeColor="text1"/>
                <w:szCs w:val="21"/>
                <w:highlight w:val="none"/>
                <w14:textFill>
                  <w14:solidFill>
                    <w14:schemeClr w14:val="tx1"/>
                  </w14:solidFill>
                </w14:textFill>
              </w:rPr>
              <w:t>在氨水罐区设置围堰，并采取严格的防渗措施。</w:t>
            </w:r>
          </w:p>
          <w:p w14:paraId="49F5B62C">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bCs/>
                <w:color w:val="000000" w:themeColor="text1"/>
                <w:szCs w:val="21"/>
                <w:highlight w:val="none"/>
                <w14:textFill>
                  <w14:solidFill>
                    <w14:schemeClr w14:val="tx1"/>
                  </w14:solidFill>
                </w14:textFill>
              </w:rPr>
            </w:pPr>
            <w:r>
              <w:rPr>
                <w:rFonts w:hint="eastAsia"/>
                <w:bCs/>
                <w:color w:val="000000" w:themeColor="text1"/>
                <w:szCs w:val="21"/>
                <w:highlight w:val="none"/>
                <w14:textFill>
                  <w14:solidFill>
                    <w14:schemeClr w14:val="tx1"/>
                  </w14:solidFill>
                </w14:textFill>
              </w:rPr>
              <w:t>4</w:t>
            </w:r>
            <w:r>
              <w:rPr>
                <w:rFonts w:hint="eastAsia"/>
                <w:bCs/>
                <w:color w:val="000000" w:themeColor="text1"/>
                <w:szCs w:val="21"/>
                <w:highlight w:val="none"/>
                <w:lang w:eastAsia="zh-CN"/>
                <w14:textFill>
                  <w14:solidFill>
                    <w14:schemeClr w14:val="tx1"/>
                  </w14:solidFill>
                </w14:textFill>
              </w:rPr>
              <w:t>）</w:t>
            </w:r>
            <w:r>
              <w:rPr>
                <w:rFonts w:hint="eastAsia"/>
                <w:bCs/>
                <w:color w:val="000000" w:themeColor="text1"/>
                <w:szCs w:val="21"/>
                <w:highlight w:val="none"/>
                <w14:textFill>
                  <w14:solidFill>
                    <w14:schemeClr w14:val="tx1"/>
                  </w14:solidFill>
                </w14:textFill>
              </w:rPr>
              <w:t>企业应制定突发环境事件应急预案，配备相应的应急物资，加强职工环保安全意识教育，以应对突发环境事件。</w:t>
            </w:r>
          </w:p>
        </w:tc>
      </w:tr>
      <w:tr w14:paraId="16E6E6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163" w:type="dxa"/>
            <w:gridSpan w:val="2"/>
            <w:noWrap w:val="0"/>
            <w:vAlign w:val="center"/>
          </w:tcPr>
          <w:p w14:paraId="5B0B33F4">
            <w:pPr>
              <w:adjustRightInd w:val="0"/>
              <w:snapToGrid w:val="0"/>
              <w:jc w:val="center"/>
              <w:rPr>
                <w:b/>
                <w:bCs/>
                <w:color w:val="000000" w:themeColor="text1"/>
                <w:spacing w:val="-8"/>
                <w:szCs w:val="21"/>
                <w:highlight w:val="none"/>
                <w14:textFill>
                  <w14:solidFill>
                    <w14:schemeClr w14:val="tx1"/>
                  </w14:solidFill>
                </w14:textFill>
              </w:rPr>
            </w:pPr>
            <w:r>
              <w:rPr>
                <w:b/>
                <w:bCs/>
                <w:color w:val="000000" w:themeColor="text1"/>
                <w:spacing w:val="-8"/>
                <w:szCs w:val="21"/>
                <w:highlight w:val="none"/>
                <w14:textFill>
                  <w14:solidFill>
                    <w14:schemeClr w14:val="tx1"/>
                  </w14:solidFill>
                </w14:textFill>
              </w:rPr>
              <w:t>其他环境</w:t>
            </w:r>
          </w:p>
          <w:p w14:paraId="48FDE05F">
            <w:pPr>
              <w:adjustRightInd w:val="0"/>
              <w:snapToGrid w:val="0"/>
              <w:jc w:val="center"/>
              <w:rPr>
                <w:b/>
                <w:bCs/>
                <w:color w:val="000000" w:themeColor="text1"/>
                <w:spacing w:val="-8"/>
                <w:szCs w:val="21"/>
                <w:highlight w:val="none"/>
                <w14:textFill>
                  <w14:solidFill>
                    <w14:schemeClr w14:val="tx1"/>
                  </w14:solidFill>
                </w14:textFill>
              </w:rPr>
            </w:pPr>
            <w:r>
              <w:rPr>
                <w:b/>
                <w:bCs/>
                <w:color w:val="000000" w:themeColor="text1"/>
                <w:spacing w:val="-8"/>
                <w:szCs w:val="21"/>
                <w:highlight w:val="none"/>
                <w14:textFill>
                  <w14:solidFill>
                    <w14:schemeClr w14:val="tx1"/>
                  </w14:solidFill>
                </w14:textFill>
              </w:rPr>
              <w:t>管理要求</w:t>
            </w:r>
          </w:p>
        </w:tc>
        <w:tc>
          <w:tcPr>
            <w:tcW w:w="7644" w:type="dxa"/>
            <w:gridSpan w:val="4"/>
            <w:noWrap w:val="0"/>
            <w:vAlign w:val="center"/>
          </w:tcPr>
          <w:p w14:paraId="09976A6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jc w:val="both"/>
              <w:textAlignment w:val="auto"/>
              <w:rPr>
                <w:rFonts w:hint="eastAsia"/>
                <w:bCs/>
                <w:color w:val="000000" w:themeColor="text1"/>
                <w:szCs w:val="21"/>
                <w:highlight w:val="none"/>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1.排污许可申请</w:t>
            </w:r>
          </w:p>
          <w:p w14:paraId="26D063E2">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jc w:val="both"/>
              <w:textAlignment w:val="auto"/>
              <w:rPr>
                <w:rFonts w:hint="eastAsia"/>
                <w:bCs/>
                <w:color w:val="000000" w:themeColor="text1"/>
                <w:szCs w:val="21"/>
                <w:highlight w:val="none"/>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根据《排污许可证申请与核发技术规范工业炉窑》（</w:t>
            </w:r>
            <w:r>
              <w:rPr>
                <w:rFonts w:hint="default"/>
                <w:bCs/>
                <w:color w:val="000000" w:themeColor="text1"/>
                <w:szCs w:val="21"/>
                <w:highlight w:val="none"/>
                <w:lang w:val="en-US" w:eastAsia="zh-CN"/>
                <w14:textFill>
                  <w14:solidFill>
                    <w14:schemeClr w14:val="tx1"/>
                  </w14:solidFill>
                </w14:textFill>
              </w:rPr>
              <w:t>HJ1121-2020</w:t>
            </w:r>
            <w:r>
              <w:rPr>
                <w:rFonts w:hint="eastAsia"/>
                <w:bCs/>
                <w:color w:val="000000" w:themeColor="text1"/>
                <w:szCs w:val="21"/>
                <w:highlight w:val="none"/>
                <w:lang w:val="en-US" w:eastAsia="zh-CN"/>
                <w14:textFill>
                  <w14:solidFill>
                    <w14:schemeClr w14:val="tx1"/>
                  </w14:solidFill>
                </w14:textFill>
              </w:rPr>
              <w:t>）进行排污许可证的申请，并根据当地环保局重点排污单位名录确定。</w:t>
            </w:r>
          </w:p>
          <w:p w14:paraId="1ABAE5E9">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jc w:val="both"/>
              <w:textAlignment w:val="auto"/>
              <w:rPr>
                <w:rFonts w:hint="eastAsia"/>
                <w:bCs/>
                <w:color w:val="000000" w:themeColor="text1"/>
                <w:szCs w:val="21"/>
                <w:highlight w:val="none"/>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2.排污口规范化整治</w:t>
            </w:r>
          </w:p>
          <w:p w14:paraId="2C5BE81C">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jc w:val="both"/>
              <w:textAlignment w:val="auto"/>
              <w:rPr>
                <w:rFonts w:hint="eastAsia"/>
                <w:bCs/>
                <w:color w:val="000000" w:themeColor="text1"/>
                <w:szCs w:val="21"/>
                <w:highlight w:val="none"/>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废气排气筒、噪声污染源和固体废物贮存（处置）场所须规范化设置，企业需做到：完善排污口档案。采样孔、点数目和位置按《固定污染源排气中颗粒物测定与气态污染物采样方法》（</w:t>
            </w:r>
            <w:r>
              <w:rPr>
                <w:rFonts w:hint="default"/>
                <w:bCs/>
                <w:color w:val="000000" w:themeColor="text1"/>
                <w:szCs w:val="21"/>
                <w:highlight w:val="none"/>
                <w:lang w:val="en-US" w:eastAsia="zh-CN"/>
                <w14:textFill>
                  <w14:solidFill>
                    <w14:schemeClr w14:val="tx1"/>
                  </w14:solidFill>
                </w14:textFill>
              </w:rPr>
              <w:t>GB/T161571996</w:t>
            </w:r>
            <w:r>
              <w:rPr>
                <w:rFonts w:hint="eastAsia"/>
                <w:bCs/>
                <w:color w:val="000000" w:themeColor="text1"/>
                <w:szCs w:val="21"/>
                <w:highlight w:val="none"/>
                <w:lang w:val="en-US" w:eastAsia="zh-CN"/>
                <w14:textFill>
                  <w14:solidFill>
                    <w14:schemeClr w14:val="tx1"/>
                  </w14:solidFill>
                </w14:textFill>
              </w:rPr>
              <w:t>）的规定设置。环境保护图形标志牌设在排气筒附近地面醒目处。</w:t>
            </w:r>
          </w:p>
          <w:p w14:paraId="4F76AD2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jc w:val="both"/>
              <w:textAlignment w:val="auto"/>
              <w:rPr>
                <w:rFonts w:hint="eastAsia"/>
                <w:bCs/>
                <w:color w:val="000000" w:themeColor="text1"/>
                <w:szCs w:val="21"/>
                <w:highlight w:val="none"/>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3.竣工验收</w:t>
            </w:r>
          </w:p>
          <w:p w14:paraId="31B2928A">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jc w:val="both"/>
              <w:textAlignment w:val="auto"/>
              <w:rPr>
                <w:color w:val="000000" w:themeColor="text1"/>
                <w:highlight w:val="none"/>
                <w14:textFill>
                  <w14:solidFill>
                    <w14:schemeClr w14:val="tx1"/>
                  </w14:solidFill>
                </w14:textFill>
              </w:rPr>
            </w:pPr>
            <w:r>
              <w:rPr>
                <w:rFonts w:hint="eastAsia"/>
                <w:bCs/>
                <w:color w:val="000000" w:themeColor="text1"/>
                <w:szCs w:val="21"/>
                <w:highlight w:val="none"/>
                <w:lang w:val="en-US" w:eastAsia="zh-CN"/>
                <w14:textFill>
                  <w14:solidFill>
                    <w14:schemeClr w14:val="tx1"/>
                  </w14:solidFill>
                </w14:textFill>
              </w:rPr>
              <w:t>根据《建设项目环境保护管理条例》（</w:t>
            </w:r>
            <w:r>
              <w:rPr>
                <w:rFonts w:hint="default" w:ascii="Times New Roman" w:hAnsi="Times New Roman" w:cs="Times New Roman"/>
                <w:bCs/>
                <w:color w:val="000000" w:themeColor="text1"/>
                <w:szCs w:val="21"/>
                <w:highlight w:val="none"/>
                <w:lang w:val="en-US" w:eastAsia="zh-CN"/>
                <w14:textFill>
                  <w14:solidFill>
                    <w14:schemeClr w14:val="tx1"/>
                  </w14:solidFill>
                </w14:textFill>
              </w:rPr>
              <w:t>2017修订）和《关于发布建设项目竣工环境保护验收暂行办法的公告》（国环规环评〔2017〕4号），本项目建设单位应依据建设项目竣工环境保护验收技术规范、环评文件及其批复的要求，自主开展环境保护竣工验收相关工作。建设项目配套建设的环境保护设施经验收合格，方可投入生产或者使用，未经验收或者验收不合格的，不得投入生产或</w:t>
            </w:r>
            <w:r>
              <w:rPr>
                <w:rFonts w:hint="eastAsia"/>
                <w:bCs/>
                <w:color w:val="000000" w:themeColor="text1"/>
                <w:szCs w:val="21"/>
                <w:highlight w:val="none"/>
                <w:lang w:val="en-US" w:eastAsia="zh-CN"/>
                <w14:textFill>
                  <w14:solidFill>
                    <w14:schemeClr w14:val="tx1"/>
                  </w14:solidFill>
                </w14:textFill>
              </w:rPr>
              <w:t>者使用。</w:t>
            </w:r>
          </w:p>
        </w:tc>
      </w:tr>
    </w:tbl>
    <w:p w14:paraId="6FB0EFC3">
      <w:pPr>
        <w:pStyle w:val="20"/>
        <w:keepNext w:val="0"/>
        <w:keepLines w:val="0"/>
        <w:pageBreakBefore w:val="0"/>
        <w:widowControl w:val="0"/>
        <w:kinsoku/>
        <w:wordWrap/>
        <w:overflowPunct/>
        <w:topLinePunct w:val="0"/>
        <w:autoSpaceDE/>
        <w:autoSpaceDN/>
        <w:bidi w:val="0"/>
        <w:adjustRightInd/>
        <w:snapToGrid/>
        <w:spacing w:before="0" w:beforeAutospacing="0" w:after="0" w:afterAutospacing="0" w:line="320" w:lineRule="exact"/>
        <w:ind w:firstLine="0" w:firstLineChars="0"/>
        <w:jc w:val="center"/>
        <w:textAlignment w:val="auto"/>
        <w:outlineLvl w:val="0"/>
        <w:rPr>
          <w:rFonts w:ascii="Times New Roman" w:hAnsi="Times New Roman" w:eastAsia="黑体"/>
          <w:snapToGrid w:val="0"/>
          <w:color w:val="000000" w:themeColor="text1"/>
          <w:sz w:val="30"/>
          <w:szCs w:val="30"/>
          <w:highlight w:val="none"/>
          <w14:textFill>
            <w14:solidFill>
              <w14:schemeClr w14:val="tx1"/>
            </w14:solidFill>
          </w14:textFill>
        </w:rPr>
      </w:pPr>
      <w:r>
        <w:rPr>
          <w:rFonts w:ascii="Times New Roman" w:hAnsi="Times New Roman"/>
          <w:snapToGrid w:val="0"/>
          <w:color w:val="000000" w:themeColor="text1"/>
          <w:highlight w:val="none"/>
          <w14:textFill>
            <w14:solidFill>
              <w14:schemeClr w14:val="tx1"/>
            </w14:solidFill>
          </w14:textFill>
        </w:rPr>
        <w:br w:type="page"/>
      </w:r>
      <w:r>
        <w:rPr>
          <w:rFonts w:ascii="Times New Roman" w:hAnsi="Times New Roman" w:eastAsia="黑体" w:cs="Times New Roman"/>
          <w:snapToGrid w:val="0"/>
          <w:color w:val="000000" w:themeColor="text1"/>
          <w:sz w:val="30"/>
          <w:szCs w:val="30"/>
          <w:highlight w:val="none"/>
          <w14:textFill>
            <w14:solidFill>
              <w14:schemeClr w14:val="tx1"/>
            </w14:solidFill>
          </w14:textFill>
        </w:rPr>
        <w:t>六、结论</w:t>
      </w:r>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61BE7F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65" w:hRule="atLeast"/>
          <w:jc w:val="center"/>
        </w:trPr>
        <w:tc>
          <w:tcPr>
            <w:tcW w:w="8865" w:type="dxa"/>
            <w:noWrap w:val="0"/>
            <w:vAlign w:val="center"/>
          </w:tcPr>
          <w:p w14:paraId="5561017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ascii="Times New Roman" w:hAnsi="Times New Roman"/>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sz w:val="24"/>
                <w:szCs w:val="24"/>
                <w:highlight w:val="none"/>
                <w14:textFill>
                  <w14:solidFill>
                    <w14:schemeClr w14:val="tx1"/>
                  </w14:solidFill>
                </w14:textFill>
              </w:rPr>
              <w:t>本项目采用的污染防治措施技术可行，可确保废水、废气、噪声达标排放，固废妥善处置。项目投产后具有良好的经济效益和一定的社会效益。只要在工程建设中，严格执行建设项目“三同时”制度，使各项</w:t>
            </w:r>
            <w:r>
              <w:rPr>
                <w:rFonts w:hint="eastAsia" w:cs="Times New Roman"/>
                <w:color w:val="000000" w:themeColor="text1"/>
                <w:sz w:val="24"/>
                <w:szCs w:val="24"/>
                <w:highlight w:val="none"/>
                <w:lang w:eastAsia="zh-CN"/>
                <w14:textFill>
                  <w14:solidFill>
                    <w14:schemeClr w14:val="tx1"/>
                  </w14:solidFill>
                </w14:textFill>
              </w:rPr>
              <w:t>环境治理</w:t>
            </w:r>
            <w:r>
              <w:rPr>
                <w:rFonts w:hint="eastAsia" w:ascii="Times New Roman" w:hAnsi="Times New Roman" w:eastAsia="宋体" w:cs="Times New Roman"/>
                <w:color w:val="000000" w:themeColor="text1"/>
                <w:sz w:val="24"/>
                <w:szCs w:val="24"/>
                <w:highlight w:val="none"/>
                <w14:textFill>
                  <w14:solidFill>
                    <w14:schemeClr w14:val="tx1"/>
                  </w14:solidFill>
                </w14:textFill>
              </w:rPr>
              <w:t>措施得以</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落实</w:t>
            </w:r>
            <w:r>
              <w:rPr>
                <w:rFonts w:hint="eastAsia" w:ascii="Times New Roman" w:hAnsi="Times New Roman" w:eastAsia="宋体" w:cs="Times New Roman"/>
                <w:color w:val="000000" w:themeColor="text1"/>
                <w:sz w:val="24"/>
                <w:szCs w:val="24"/>
                <w:highlight w:val="none"/>
                <w14:textFill>
                  <w14:solidFill>
                    <w14:schemeClr w14:val="tx1"/>
                  </w14:solidFill>
                </w14:textFill>
              </w:rPr>
              <w:t>，在工程运行过程中加强生产安全管理，从环境保护角度论证，本项目的建设是可行</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p>
        </w:tc>
      </w:tr>
    </w:tbl>
    <w:p w14:paraId="05892953">
      <w:pPr>
        <w:pStyle w:val="20"/>
        <w:adjustRightInd w:val="0"/>
        <w:snapToGrid w:val="0"/>
        <w:spacing w:before="648" w:beforeLines="270" w:beforeAutospacing="0" w:after="648" w:afterLines="270" w:afterAutospacing="0"/>
        <w:outlineLvl w:val="0"/>
        <w:rPr>
          <w:rFonts w:ascii="Times New Roman" w:hAnsi="Times New Roman" w:eastAsia="黑体"/>
          <w:color w:val="000000" w:themeColor="text1"/>
          <w:highlight w:val="none"/>
          <w14:textFill>
            <w14:solidFill>
              <w14:schemeClr w14:val="tx1"/>
            </w14:solidFill>
          </w14:textFill>
        </w:rPr>
        <w:sectPr>
          <w:footerReference r:id="rId5" w:type="default"/>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139D8F93">
      <w:pPr>
        <w:pStyle w:val="20"/>
        <w:adjustRightInd w:val="0"/>
        <w:snapToGrid w:val="0"/>
        <w:spacing w:before="0" w:beforeAutospacing="0" w:after="0" w:afterAutospacing="0" w:line="500" w:lineRule="exact"/>
        <w:outlineLvl w:val="0"/>
        <w:rPr>
          <w:rFonts w:ascii="Times New Roman" w:hAnsi="Times New Roman" w:eastAsia="黑体"/>
          <w:snapToGrid w:val="0"/>
          <w:color w:val="000000" w:themeColor="text1"/>
          <w:sz w:val="30"/>
          <w:szCs w:val="30"/>
          <w:highlight w:val="none"/>
          <w14:textFill>
            <w14:solidFill>
              <w14:schemeClr w14:val="tx1"/>
            </w14:solidFill>
          </w14:textFill>
        </w:rPr>
      </w:pPr>
      <w:r>
        <w:rPr>
          <w:rFonts w:ascii="Times New Roman" w:hAnsi="Times New Roman" w:eastAsia="黑体"/>
          <w:snapToGrid w:val="0"/>
          <w:color w:val="000000" w:themeColor="text1"/>
          <w:sz w:val="30"/>
          <w:szCs w:val="30"/>
          <w:highlight w:val="none"/>
          <w14:textFill>
            <w14:solidFill>
              <w14:schemeClr w14:val="tx1"/>
            </w14:solidFill>
          </w14:textFill>
        </w:rPr>
        <w:t>附表</w:t>
      </w:r>
    </w:p>
    <w:p w14:paraId="6AF4DF3C">
      <w:pPr>
        <w:pStyle w:val="20"/>
        <w:adjustRightInd w:val="0"/>
        <w:snapToGrid w:val="0"/>
        <w:spacing w:before="0" w:beforeAutospacing="0" w:after="0" w:afterAutospacing="0" w:line="500" w:lineRule="exact"/>
        <w:ind w:firstLine="4800" w:firstLineChars="1600"/>
        <w:outlineLvl w:val="0"/>
        <w:rPr>
          <w:rFonts w:ascii="Times New Roman" w:hAnsi="Times New Roman" w:eastAsia="黑体"/>
          <w:snapToGrid w:val="0"/>
          <w:color w:val="000000" w:themeColor="text1"/>
          <w:sz w:val="30"/>
          <w:szCs w:val="30"/>
          <w:highlight w:val="none"/>
          <w14:textFill>
            <w14:solidFill>
              <w14:schemeClr w14:val="tx1"/>
            </w14:solidFill>
          </w14:textFill>
        </w:rPr>
      </w:pPr>
      <w:r>
        <w:rPr>
          <w:rFonts w:ascii="Times New Roman" w:hAnsi="Times New Roman" w:eastAsia="方正小标宋_GBK"/>
          <w:snapToGrid w:val="0"/>
          <w:color w:val="000000" w:themeColor="text1"/>
          <w:sz w:val="30"/>
          <w:szCs w:val="30"/>
          <w:highlight w:val="none"/>
          <w14:textFill>
            <w14:solidFill>
              <w14:schemeClr w14:val="tx1"/>
            </w14:solidFill>
          </w14:textFill>
        </w:rPr>
        <w:t>建设项目污染物排放量汇总表</w:t>
      </w:r>
      <w:r>
        <w:rPr>
          <w:rFonts w:hint="eastAsia" w:ascii="Times New Roman" w:hAnsi="Times New Roman" w:eastAsia="方正小标宋_GBK"/>
          <w:snapToGrid w:val="0"/>
          <w:color w:val="000000" w:themeColor="text1"/>
          <w:sz w:val="30"/>
          <w:szCs w:val="30"/>
          <w:highlight w:val="none"/>
          <w:lang w:val="en-US" w:eastAsia="zh-CN"/>
          <w14:textFill>
            <w14:solidFill>
              <w14:schemeClr w14:val="tx1"/>
            </w14:solidFill>
          </w14:textFill>
        </w:rPr>
        <w:t xml:space="preserve">                       </w:t>
      </w:r>
    </w:p>
    <w:tbl>
      <w:tblPr>
        <w:tblStyle w:val="24"/>
        <w:tblW w:w="137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41"/>
        <w:gridCol w:w="2170"/>
        <w:gridCol w:w="1584"/>
        <w:gridCol w:w="1307"/>
        <w:gridCol w:w="1681"/>
        <w:gridCol w:w="1416"/>
        <w:gridCol w:w="1318"/>
        <w:gridCol w:w="1851"/>
        <w:gridCol w:w="1120"/>
      </w:tblGrid>
      <w:tr w14:paraId="54B00A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41" w:type="dxa"/>
            <w:tcBorders>
              <w:tl2br w:val="single" w:color="auto" w:sz="4" w:space="0"/>
            </w:tcBorders>
            <w:noWrap w:val="0"/>
            <w:tcMar>
              <w:left w:w="28" w:type="dxa"/>
              <w:right w:w="28" w:type="dxa"/>
            </w:tcMar>
            <w:vAlign w:val="center"/>
          </w:tcPr>
          <w:p w14:paraId="7E0CC46B">
            <w:pPr>
              <w:pStyle w:val="31"/>
              <w:spacing w:beforeLines="0" w:afterLines="0" w:line="240" w:lineRule="auto"/>
              <w:rPr>
                <w:rFonts w:ascii="Times New Roman" w:eastAsia="黑体"/>
                <w:snapToGrid w:val="0"/>
                <w:color w:val="000000" w:themeColor="text1"/>
                <w:spacing w:val="-6"/>
                <w:kern w:val="21"/>
                <w:szCs w:val="21"/>
                <w:highlight w:val="none"/>
                <w14:textFill>
                  <w14:solidFill>
                    <w14:schemeClr w14:val="tx1"/>
                  </w14:solidFill>
                </w14:textFill>
              </w:rPr>
            </w:pPr>
            <w:r>
              <w:rPr>
                <w:rFonts w:ascii="Times New Roman" w:eastAsia="黑体"/>
                <w:snapToGrid w:val="0"/>
                <w:color w:val="000000" w:themeColor="text1"/>
                <w:spacing w:val="-6"/>
                <w:kern w:val="21"/>
                <w:szCs w:val="21"/>
                <w:highlight w:val="none"/>
                <w14:textFill>
                  <w14:solidFill>
                    <w14:schemeClr w14:val="tx1"/>
                  </w14:solidFill>
                </w14:textFill>
              </w:rPr>
              <w:t>项目</w:t>
            </w:r>
          </w:p>
          <w:p w14:paraId="2945B32B">
            <w:pPr>
              <w:pStyle w:val="31"/>
              <w:spacing w:beforeLines="0" w:afterLines="0" w:line="240" w:lineRule="auto"/>
              <w:ind w:firstLine="0"/>
              <w:jc w:val="left"/>
              <w:rPr>
                <w:rFonts w:ascii="Times New Roman" w:eastAsia="黑体"/>
                <w:snapToGrid w:val="0"/>
                <w:color w:val="000000" w:themeColor="text1"/>
                <w:spacing w:val="-6"/>
                <w:kern w:val="21"/>
                <w:szCs w:val="21"/>
                <w:highlight w:val="none"/>
                <w14:textFill>
                  <w14:solidFill>
                    <w14:schemeClr w14:val="tx1"/>
                  </w14:solidFill>
                </w14:textFill>
              </w:rPr>
            </w:pPr>
            <w:r>
              <w:rPr>
                <w:rFonts w:ascii="Times New Roman" w:eastAsia="黑体"/>
                <w:snapToGrid w:val="0"/>
                <w:color w:val="000000" w:themeColor="text1"/>
                <w:spacing w:val="-6"/>
                <w:kern w:val="21"/>
                <w:szCs w:val="21"/>
                <w:highlight w:val="none"/>
                <w14:textFill>
                  <w14:solidFill>
                    <w14:schemeClr w14:val="tx1"/>
                  </w14:solidFill>
                </w14:textFill>
              </w:rPr>
              <w:t>分类</w:t>
            </w:r>
          </w:p>
        </w:tc>
        <w:tc>
          <w:tcPr>
            <w:tcW w:w="2170" w:type="dxa"/>
            <w:noWrap w:val="0"/>
            <w:tcMar>
              <w:left w:w="28" w:type="dxa"/>
              <w:right w:w="28" w:type="dxa"/>
            </w:tcMar>
            <w:vAlign w:val="center"/>
          </w:tcPr>
          <w:p w14:paraId="6029E652">
            <w:pPr>
              <w:pStyle w:val="31"/>
              <w:spacing w:beforeLines="0" w:afterLines="0" w:line="240" w:lineRule="auto"/>
              <w:ind w:firstLine="0"/>
              <w:rPr>
                <w:rFonts w:ascii="Times New Roman" w:eastAsia="黑体"/>
                <w:snapToGrid w:val="0"/>
                <w:color w:val="000000" w:themeColor="text1"/>
                <w:spacing w:val="-6"/>
                <w:kern w:val="21"/>
                <w:szCs w:val="21"/>
                <w:highlight w:val="none"/>
                <w14:textFill>
                  <w14:solidFill>
                    <w14:schemeClr w14:val="tx1"/>
                  </w14:solidFill>
                </w14:textFill>
              </w:rPr>
            </w:pPr>
            <w:r>
              <w:rPr>
                <w:rFonts w:ascii="Times New Roman" w:eastAsia="黑体"/>
                <w:snapToGrid w:val="0"/>
                <w:color w:val="000000" w:themeColor="text1"/>
                <w:spacing w:val="-6"/>
                <w:kern w:val="21"/>
                <w:szCs w:val="21"/>
                <w:highlight w:val="none"/>
                <w14:textFill>
                  <w14:solidFill>
                    <w14:schemeClr w14:val="tx1"/>
                  </w14:solidFill>
                </w14:textFill>
              </w:rPr>
              <w:t>污染物名称</w:t>
            </w:r>
          </w:p>
        </w:tc>
        <w:tc>
          <w:tcPr>
            <w:tcW w:w="1584" w:type="dxa"/>
            <w:noWrap w:val="0"/>
            <w:tcMar>
              <w:left w:w="28" w:type="dxa"/>
              <w:right w:w="28" w:type="dxa"/>
            </w:tcMar>
            <w:vAlign w:val="center"/>
          </w:tcPr>
          <w:p w14:paraId="678B2B6A">
            <w:pPr>
              <w:pStyle w:val="31"/>
              <w:spacing w:beforeLines="0" w:afterLines="0" w:line="240" w:lineRule="auto"/>
              <w:ind w:firstLine="0"/>
              <w:rPr>
                <w:rFonts w:ascii="Times New Roman" w:eastAsia="黑体"/>
                <w:snapToGrid w:val="0"/>
                <w:color w:val="000000" w:themeColor="text1"/>
                <w:spacing w:val="-6"/>
                <w:kern w:val="21"/>
                <w:szCs w:val="21"/>
                <w:highlight w:val="none"/>
                <w14:textFill>
                  <w14:solidFill>
                    <w14:schemeClr w14:val="tx1"/>
                  </w14:solidFill>
                </w14:textFill>
              </w:rPr>
            </w:pPr>
            <w:r>
              <w:rPr>
                <w:rFonts w:ascii="Times New Roman" w:eastAsia="黑体"/>
                <w:snapToGrid w:val="0"/>
                <w:color w:val="000000" w:themeColor="text1"/>
                <w:spacing w:val="-6"/>
                <w:kern w:val="21"/>
                <w:szCs w:val="21"/>
                <w:highlight w:val="none"/>
                <w14:textFill>
                  <w14:solidFill>
                    <w14:schemeClr w14:val="tx1"/>
                  </w14:solidFill>
                </w14:textFill>
              </w:rPr>
              <w:t>现有工程排放量（固体废物产生量）</w:t>
            </w:r>
            <w:r>
              <w:rPr>
                <w:rFonts w:ascii="Times New Roman" w:eastAsia="黑体"/>
                <w:snapToGrid w:val="0"/>
                <w:color w:val="000000" w:themeColor="text1"/>
                <w:spacing w:val="-6"/>
                <w:kern w:val="21"/>
                <w:szCs w:val="21"/>
                <w:highlight w:val="none"/>
                <w14:textFill>
                  <w14:solidFill>
                    <w14:schemeClr w14:val="tx1"/>
                  </w14:solidFill>
                </w14:textFill>
              </w:rPr>
              <w:fldChar w:fldCharType="begin"/>
            </w:r>
            <w:r>
              <w:rPr>
                <w:rFonts w:ascii="Times New Roman" w:eastAsia="黑体"/>
                <w:snapToGrid w:val="0"/>
                <w:color w:val="000000" w:themeColor="text1"/>
                <w:spacing w:val="-6"/>
                <w:kern w:val="21"/>
                <w:szCs w:val="21"/>
                <w:highlight w:val="none"/>
                <w14:textFill>
                  <w14:solidFill>
                    <w14:schemeClr w14:val="tx1"/>
                  </w14:solidFill>
                </w14:textFill>
              </w:rPr>
              <w:instrText xml:space="preserve"> = 1 \* GB3 \* MERGEFORMAT </w:instrText>
            </w:r>
            <w:r>
              <w:rPr>
                <w:rFonts w:ascii="Times New Roman" w:eastAsia="黑体"/>
                <w:snapToGrid w:val="0"/>
                <w:color w:val="000000" w:themeColor="text1"/>
                <w:spacing w:val="-6"/>
                <w:kern w:val="21"/>
                <w:szCs w:val="21"/>
                <w:highlight w:val="none"/>
                <w14:textFill>
                  <w14:solidFill>
                    <w14:schemeClr w14:val="tx1"/>
                  </w14:solidFill>
                </w14:textFill>
              </w:rPr>
              <w:fldChar w:fldCharType="separate"/>
            </w:r>
            <w:r>
              <w:rPr>
                <w:rFonts w:ascii="Times New Roman" w:eastAsia="黑体"/>
                <w:color w:val="000000" w:themeColor="text1"/>
                <w:kern w:val="2"/>
                <w:szCs w:val="21"/>
                <w:highlight w:val="none"/>
                <w14:textFill>
                  <w14:solidFill>
                    <w14:schemeClr w14:val="tx1"/>
                  </w14:solidFill>
                </w14:textFill>
              </w:rPr>
              <w:t>①</w:t>
            </w:r>
            <w:r>
              <w:rPr>
                <w:rFonts w:ascii="Times New Roman" w:eastAsia="黑体"/>
                <w:snapToGrid w:val="0"/>
                <w:color w:val="000000" w:themeColor="text1"/>
                <w:spacing w:val="-6"/>
                <w:kern w:val="21"/>
                <w:szCs w:val="21"/>
                <w:highlight w:val="none"/>
                <w14:textFill>
                  <w14:solidFill>
                    <w14:schemeClr w14:val="tx1"/>
                  </w14:solidFill>
                </w14:textFill>
              </w:rPr>
              <w:fldChar w:fldCharType="end"/>
            </w:r>
          </w:p>
        </w:tc>
        <w:tc>
          <w:tcPr>
            <w:tcW w:w="1307" w:type="dxa"/>
            <w:noWrap w:val="0"/>
            <w:tcMar>
              <w:left w:w="28" w:type="dxa"/>
              <w:right w:w="28" w:type="dxa"/>
            </w:tcMar>
            <w:vAlign w:val="center"/>
          </w:tcPr>
          <w:p w14:paraId="7D605B5B">
            <w:pPr>
              <w:pStyle w:val="31"/>
              <w:spacing w:beforeLines="0" w:afterLines="0" w:line="240" w:lineRule="auto"/>
              <w:ind w:firstLine="0"/>
              <w:rPr>
                <w:rFonts w:ascii="Times New Roman" w:eastAsia="黑体"/>
                <w:snapToGrid w:val="0"/>
                <w:color w:val="000000" w:themeColor="text1"/>
                <w:spacing w:val="-6"/>
                <w:kern w:val="21"/>
                <w:szCs w:val="21"/>
                <w:highlight w:val="none"/>
                <w14:textFill>
                  <w14:solidFill>
                    <w14:schemeClr w14:val="tx1"/>
                  </w14:solidFill>
                </w14:textFill>
              </w:rPr>
            </w:pPr>
            <w:r>
              <w:rPr>
                <w:rFonts w:ascii="Times New Roman" w:eastAsia="黑体"/>
                <w:snapToGrid w:val="0"/>
                <w:color w:val="000000" w:themeColor="text1"/>
                <w:spacing w:val="-6"/>
                <w:kern w:val="21"/>
                <w:szCs w:val="21"/>
                <w:highlight w:val="none"/>
                <w14:textFill>
                  <w14:solidFill>
                    <w14:schemeClr w14:val="tx1"/>
                  </w14:solidFill>
                </w14:textFill>
              </w:rPr>
              <w:t>现有工程许可排放量</w:t>
            </w:r>
          </w:p>
          <w:p w14:paraId="69A681AD">
            <w:pPr>
              <w:pStyle w:val="31"/>
              <w:spacing w:beforeLines="0" w:afterLines="0" w:line="240" w:lineRule="auto"/>
              <w:ind w:firstLine="0"/>
              <w:rPr>
                <w:rFonts w:ascii="Times New Roman" w:eastAsia="黑体"/>
                <w:snapToGrid w:val="0"/>
                <w:color w:val="000000" w:themeColor="text1"/>
                <w:spacing w:val="-6"/>
                <w:kern w:val="21"/>
                <w:szCs w:val="21"/>
                <w:highlight w:val="none"/>
                <w14:textFill>
                  <w14:solidFill>
                    <w14:schemeClr w14:val="tx1"/>
                  </w14:solidFill>
                </w14:textFill>
              </w:rPr>
            </w:pPr>
            <w:r>
              <w:rPr>
                <w:rFonts w:ascii="Times New Roman" w:eastAsia="黑体"/>
                <w:snapToGrid w:val="0"/>
                <w:color w:val="000000" w:themeColor="text1"/>
                <w:spacing w:val="-6"/>
                <w:kern w:val="21"/>
                <w:szCs w:val="21"/>
                <w:highlight w:val="none"/>
                <w14:textFill>
                  <w14:solidFill>
                    <w14:schemeClr w14:val="tx1"/>
                  </w14:solidFill>
                </w14:textFill>
              </w:rPr>
              <w:fldChar w:fldCharType="begin"/>
            </w:r>
            <w:r>
              <w:rPr>
                <w:rFonts w:ascii="Times New Roman" w:eastAsia="黑体"/>
                <w:snapToGrid w:val="0"/>
                <w:color w:val="000000" w:themeColor="text1"/>
                <w:spacing w:val="-6"/>
                <w:kern w:val="21"/>
                <w:szCs w:val="21"/>
                <w:highlight w:val="none"/>
                <w14:textFill>
                  <w14:solidFill>
                    <w14:schemeClr w14:val="tx1"/>
                  </w14:solidFill>
                </w14:textFill>
              </w:rPr>
              <w:instrText xml:space="preserve"> = 2 \* GB3 \* MERGEFORMAT </w:instrText>
            </w:r>
            <w:r>
              <w:rPr>
                <w:rFonts w:ascii="Times New Roman" w:eastAsia="黑体"/>
                <w:snapToGrid w:val="0"/>
                <w:color w:val="000000" w:themeColor="text1"/>
                <w:spacing w:val="-6"/>
                <w:kern w:val="21"/>
                <w:szCs w:val="21"/>
                <w:highlight w:val="none"/>
                <w14:textFill>
                  <w14:solidFill>
                    <w14:schemeClr w14:val="tx1"/>
                  </w14:solidFill>
                </w14:textFill>
              </w:rPr>
              <w:fldChar w:fldCharType="separate"/>
            </w:r>
            <w:r>
              <w:rPr>
                <w:rFonts w:ascii="Times New Roman" w:eastAsia="黑体"/>
                <w:snapToGrid w:val="0"/>
                <w:color w:val="000000" w:themeColor="text1"/>
                <w:spacing w:val="-6"/>
                <w:kern w:val="21"/>
                <w:szCs w:val="21"/>
                <w:highlight w:val="none"/>
                <w14:textFill>
                  <w14:solidFill>
                    <w14:schemeClr w14:val="tx1"/>
                  </w14:solidFill>
                </w14:textFill>
              </w:rPr>
              <w:t>②</w:t>
            </w:r>
            <w:r>
              <w:rPr>
                <w:rFonts w:ascii="Times New Roman" w:eastAsia="黑体"/>
                <w:snapToGrid w:val="0"/>
                <w:color w:val="000000" w:themeColor="text1"/>
                <w:spacing w:val="-6"/>
                <w:kern w:val="21"/>
                <w:szCs w:val="21"/>
                <w:highlight w:val="none"/>
                <w14:textFill>
                  <w14:solidFill>
                    <w14:schemeClr w14:val="tx1"/>
                  </w14:solidFill>
                </w14:textFill>
              </w:rPr>
              <w:fldChar w:fldCharType="end"/>
            </w:r>
          </w:p>
        </w:tc>
        <w:tc>
          <w:tcPr>
            <w:tcW w:w="1681" w:type="dxa"/>
            <w:noWrap w:val="0"/>
            <w:tcMar>
              <w:left w:w="28" w:type="dxa"/>
              <w:right w:w="28" w:type="dxa"/>
            </w:tcMar>
            <w:vAlign w:val="center"/>
          </w:tcPr>
          <w:p w14:paraId="727BA89C">
            <w:pPr>
              <w:pStyle w:val="31"/>
              <w:spacing w:beforeLines="0" w:afterLines="0" w:line="240" w:lineRule="auto"/>
              <w:ind w:firstLine="0"/>
              <w:rPr>
                <w:rFonts w:ascii="Times New Roman" w:eastAsia="黑体"/>
                <w:snapToGrid w:val="0"/>
                <w:color w:val="000000" w:themeColor="text1"/>
                <w:spacing w:val="-6"/>
                <w:kern w:val="21"/>
                <w:szCs w:val="21"/>
                <w:highlight w:val="none"/>
                <w14:textFill>
                  <w14:solidFill>
                    <w14:schemeClr w14:val="tx1"/>
                  </w14:solidFill>
                </w14:textFill>
              </w:rPr>
            </w:pPr>
            <w:r>
              <w:rPr>
                <w:rFonts w:ascii="Times New Roman" w:eastAsia="黑体"/>
                <w:snapToGrid w:val="0"/>
                <w:color w:val="000000" w:themeColor="text1"/>
                <w:spacing w:val="-6"/>
                <w:kern w:val="21"/>
                <w:szCs w:val="21"/>
                <w:highlight w:val="none"/>
                <w14:textFill>
                  <w14:solidFill>
                    <w14:schemeClr w14:val="tx1"/>
                  </w14:solidFill>
                </w14:textFill>
              </w:rPr>
              <w:t>在建工程排放量（固体废物产生量）</w:t>
            </w:r>
            <w:r>
              <w:rPr>
                <w:rFonts w:ascii="Times New Roman" w:eastAsia="黑体"/>
                <w:snapToGrid w:val="0"/>
                <w:color w:val="000000" w:themeColor="text1"/>
                <w:spacing w:val="-6"/>
                <w:kern w:val="21"/>
                <w:szCs w:val="21"/>
                <w:highlight w:val="none"/>
                <w14:textFill>
                  <w14:solidFill>
                    <w14:schemeClr w14:val="tx1"/>
                  </w14:solidFill>
                </w14:textFill>
              </w:rPr>
              <w:fldChar w:fldCharType="begin"/>
            </w:r>
            <w:r>
              <w:rPr>
                <w:rFonts w:ascii="Times New Roman" w:eastAsia="黑体"/>
                <w:snapToGrid w:val="0"/>
                <w:color w:val="000000" w:themeColor="text1"/>
                <w:spacing w:val="-6"/>
                <w:kern w:val="21"/>
                <w:szCs w:val="21"/>
                <w:highlight w:val="none"/>
                <w14:textFill>
                  <w14:solidFill>
                    <w14:schemeClr w14:val="tx1"/>
                  </w14:solidFill>
                </w14:textFill>
              </w:rPr>
              <w:instrText xml:space="preserve"> = 3 \* GB3 \* MERGEFORMAT </w:instrText>
            </w:r>
            <w:r>
              <w:rPr>
                <w:rFonts w:ascii="Times New Roman" w:eastAsia="黑体"/>
                <w:snapToGrid w:val="0"/>
                <w:color w:val="000000" w:themeColor="text1"/>
                <w:spacing w:val="-6"/>
                <w:kern w:val="21"/>
                <w:szCs w:val="21"/>
                <w:highlight w:val="none"/>
                <w14:textFill>
                  <w14:solidFill>
                    <w14:schemeClr w14:val="tx1"/>
                  </w14:solidFill>
                </w14:textFill>
              </w:rPr>
              <w:fldChar w:fldCharType="separate"/>
            </w:r>
            <w:r>
              <w:rPr>
                <w:rFonts w:ascii="Times New Roman" w:eastAsia="黑体"/>
                <w:color w:val="000000" w:themeColor="text1"/>
                <w:kern w:val="2"/>
                <w:szCs w:val="21"/>
                <w:highlight w:val="none"/>
                <w14:textFill>
                  <w14:solidFill>
                    <w14:schemeClr w14:val="tx1"/>
                  </w14:solidFill>
                </w14:textFill>
              </w:rPr>
              <w:t>③</w:t>
            </w:r>
            <w:r>
              <w:rPr>
                <w:rFonts w:ascii="Times New Roman" w:eastAsia="黑体"/>
                <w:snapToGrid w:val="0"/>
                <w:color w:val="000000" w:themeColor="text1"/>
                <w:spacing w:val="-6"/>
                <w:kern w:val="21"/>
                <w:szCs w:val="21"/>
                <w:highlight w:val="none"/>
                <w14:textFill>
                  <w14:solidFill>
                    <w14:schemeClr w14:val="tx1"/>
                  </w14:solidFill>
                </w14:textFill>
              </w:rPr>
              <w:fldChar w:fldCharType="end"/>
            </w:r>
          </w:p>
        </w:tc>
        <w:tc>
          <w:tcPr>
            <w:tcW w:w="1416" w:type="dxa"/>
            <w:noWrap w:val="0"/>
            <w:tcMar>
              <w:left w:w="28" w:type="dxa"/>
              <w:right w:w="28" w:type="dxa"/>
            </w:tcMar>
            <w:vAlign w:val="center"/>
          </w:tcPr>
          <w:p w14:paraId="4DDD25B6">
            <w:pPr>
              <w:pStyle w:val="31"/>
              <w:spacing w:beforeLines="0" w:afterLines="0" w:line="240" w:lineRule="auto"/>
              <w:ind w:firstLine="0"/>
              <w:rPr>
                <w:rFonts w:ascii="Times New Roman" w:eastAsia="黑体"/>
                <w:snapToGrid w:val="0"/>
                <w:color w:val="000000" w:themeColor="text1"/>
                <w:spacing w:val="-6"/>
                <w:kern w:val="21"/>
                <w:szCs w:val="21"/>
                <w:highlight w:val="none"/>
                <w14:textFill>
                  <w14:solidFill>
                    <w14:schemeClr w14:val="tx1"/>
                  </w14:solidFill>
                </w14:textFill>
              </w:rPr>
            </w:pPr>
            <w:r>
              <w:rPr>
                <w:rFonts w:ascii="Times New Roman" w:eastAsia="黑体"/>
                <w:snapToGrid w:val="0"/>
                <w:color w:val="000000" w:themeColor="text1"/>
                <w:spacing w:val="-6"/>
                <w:kern w:val="21"/>
                <w:szCs w:val="21"/>
                <w:highlight w:val="none"/>
                <w14:textFill>
                  <w14:solidFill>
                    <w14:schemeClr w14:val="tx1"/>
                  </w14:solidFill>
                </w14:textFill>
              </w:rPr>
              <w:t>本项目排放量（固体废物产生量）</w:t>
            </w:r>
            <w:r>
              <w:rPr>
                <w:rFonts w:ascii="Times New Roman" w:eastAsia="黑体"/>
                <w:snapToGrid w:val="0"/>
                <w:color w:val="000000" w:themeColor="text1"/>
                <w:spacing w:val="-6"/>
                <w:kern w:val="21"/>
                <w:szCs w:val="21"/>
                <w:highlight w:val="none"/>
                <w14:textFill>
                  <w14:solidFill>
                    <w14:schemeClr w14:val="tx1"/>
                  </w14:solidFill>
                </w14:textFill>
              </w:rPr>
              <w:fldChar w:fldCharType="begin"/>
            </w:r>
            <w:r>
              <w:rPr>
                <w:rFonts w:ascii="Times New Roman" w:eastAsia="黑体"/>
                <w:snapToGrid w:val="0"/>
                <w:color w:val="000000" w:themeColor="text1"/>
                <w:spacing w:val="-6"/>
                <w:kern w:val="21"/>
                <w:szCs w:val="21"/>
                <w:highlight w:val="none"/>
                <w14:textFill>
                  <w14:solidFill>
                    <w14:schemeClr w14:val="tx1"/>
                  </w14:solidFill>
                </w14:textFill>
              </w:rPr>
              <w:instrText xml:space="preserve"> = 4 \* GB3 \* MERGEFORMAT </w:instrText>
            </w:r>
            <w:r>
              <w:rPr>
                <w:rFonts w:ascii="Times New Roman" w:eastAsia="黑体"/>
                <w:snapToGrid w:val="0"/>
                <w:color w:val="000000" w:themeColor="text1"/>
                <w:spacing w:val="-6"/>
                <w:kern w:val="21"/>
                <w:szCs w:val="21"/>
                <w:highlight w:val="none"/>
                <w14:textFill>
                  <w14:solidFill>
                    <w14:schemeClr w14:val="tx1"/>
                  </w14:solidFill>
                </w14:textFill>
              </w:rPr>
              <w:fldChar w:fldCharType="separate"/>
            </w:r>
            <w:r>
              <w:rPr>
                <w:rFonts w:ascii="Times New Roman" w:eastAsia="黑体"/>
                <w:color w:val="000000" w:themeColor="text1"/>
                <w:kern w:val="2"/>
                <w:szCs w:val="21"/>
                <w:highlight w:val="none"/>
                <w14:textFill>
                  <w14:solidFill>
                    <w14:schemeClr w14:val="tx1"/>
                  </w14:solidFill>
                </w14:textFill>
              </w:rPr>
              <w:t>④</w:t>
            </w:r>
            <w:r>
              <w:rPr>
                <w:rFonts w:ascii="Times New Roman" w:eastAsia="黑体"/>
                <w:snapToGrid w:val="0"/>
                <w:color w:val="000000" w:themeColor="text1"/>
                <w:spacing w:val="-6"/>
                <w:kern w:val="21"/>
                <w:szCs w:val="21"/>
                <w:highlight w:val="none"/>
                <w14:textFill>
                  <w14:solidFill>
                    <w14:schemeClr w14:val="tx1"/>
                  </w14:solidFill>
                </w14:textFill>
              </w:rPr>
              <w:fldChar w:fldCharType="end"/>
            </w:r>
          </w:p>
        </w:tc>
        <w:tc>
          <w:tcPr>
            <w:tcW w:w="1318" w:type="dxa"/>
            <w:noWrap w:val="0"/>
            <w:tcMar>
              <w:left w:w="28" w:type="dxa"/>
              <w:right w:w="28" w:type="dxa"/>
            </w:tcMar>
            <w:vAlign w:val="center"/>
          </w:tcPr>
          <w:p w14:paraId="090C423E">
            <w:pPr>
              <w:pStyle w:val="31"/>
              <w:spacing w:beforeLines="0" w:afterLines="0" w:line="240" w:lineRule="auto"/>
              <w:ind w:firstLine="0"/>
              <w:rPr>
                <w:rFonts w:ascii="Times New Roman" w:eastAsia="黑体"/>
                <w:snapToGrid w:val="0"/>
                <w:color w:val="000000" w:themeColor="text1"/>
                <w:spacing w:val="-16"/>
                <w:kern w:val="21"/>
                <w:szCs w:val="21"/>
                <w:highlight w:val="none"/>
                <w14:textFill>
                  <w14:solidFill>
                    <w14:schemeClr w14:val="tx1"/>
                  </w14:solidFill>
                </w14:textFill>
              </w:rPr>
            </w:pPr>
            <w:r>
              <w:rPr>
                <w:rFonts w:ascii="Times New Roman" w:eastAsia="黑体"/>
                <w:snapToGrid w:val="0"/>
                <w:color w:val="000000" w:themeColor="text1"/>
                <w:spacing w:val="-16"/>
                <w:kern w:val="21"/>
                <w:szCs w:val="21"/>
                <w:highlight w:val="none"/>
                <w14:textFill>
                  <w14:solidFill>
                    <w14:schemeClr w14:val="tx1"/>
                  </w14:solidFill>
                </w14:textFill>
              </w:rPr>
              <w:t>以新带老削减量（新建项目不填）</w:t>
            </w:r>
            <w:r>
              <w:rPr>
                <w:rFonts w:ascii="Times New Roman" w:eastAsia="黑体"/>
                <w:snapToGrid w:val="0"/>
                <w:color w:val="000000" w:themeColor="text1"/>
                <w:spacing w:val="-16"/>
                <w:kern w:val="21"/>
                <w:szCs w:val="21"/>
                <w:highlight w:val="none"/>
                <w14:textFill>
                  <w14:solidFill>
                    <w14:schemeClr w14:val="tx1"/>
                  </w14:solidFill>
                </w14:textFill>
              </w:rPr>
              <w:fldChar w:fldCharType="begin"/>
            </w:r>
            <w:r>
              <w:rPr>
                <w:rFonts w:ascii="Times New Roman" w:eastAsia="黑体"/>
                <w:snapToGrid w:val="0"/>
                <w:color w:val="000000" w:themeColor="text1"/>
                <w:spacing w:val="-16"/>
                <w:kern w:val="21"/>
                <w:szCs w:val="21"/>
                <w:highlight w:val="none"/>
                <w14:textFill>
                  <w14:solidFill>
                    <w14:schemeClr w14:val="tx1"/>
                  </w14:solidFill>
                </w14:textFill>
              </w:rPr>
              <w:instrText xml:space="preserve"> = 5 \* GB3 \* MERGEFORMAT </w:instrText>
            </w:r>
            <w:r>
              <w:rPr>
                <w:rFonts w:ascii="Times New Roman" w:eastAsia="黑体"/>
                <w:snapToGrid w:val="0"/>
                <w:color w:val="000000" w:themeColor="text1"/>
                <w:spacing w:val="-16"/>
                <w:kern w:val="21"/>
                <w:szCs w:val="21"/>
                <w:highlight w:val="none"/>
                <w14:textFill>
                  <w14:solidFill>
                    <w14:schemeClr w14:val="tx1"/>
                  </w14:solidFill>
                </w14:textFill>
              </w:rPr>
              <w:fldChar w:fldCharType="separate"/>
            </w:r>
            <w:r>
              <w:rPr>
                <w:rFonts w:ascii="Times New Roman" w:eastAsia="黑体"/>
                <w:color w:val="000000" w:themeColor="text1"/>
                <w:kern w:val="2"/>
                <w:szCs w:val="21"/>
                <w:highlight w:val="none"/>
                <w14:textFill>
                  <w14:solidFill>
                    <w14:schemeClr w14:val="tx1"/>
                  </w14:solidFill>
                </w14:textFill>
              </w:rPr>
              <w:t>⑤</w:t>
            </w:r>
            <w:r>
              <w:rPr>
                <w:rFonts w:ascii="Times New Roman" w:eastAsia="黑体"/>
                <w:snapToGrid w:val="0"/>
                <w:color w:val="000000" w:themeColor="text1"/>
                <w:spacing w:val="-16"/>
                <w:kern w:val="21"/>
                <w:szCs w:val="21"/>
                <w:highlight w:val="none"/>
                <w14:textFill>
                  <w14:solidFill>
                    <w14:schemeClr w14:val="tx1"/>
                  </w14:solidFill>
                </w14:textFill>
              </w:rPr>
              <w:fldChar w:fldCharType="end"/>
            </w:r>
          </w:p>
        </w:tc>
        <w:tc>
          <w:tcPr>
            <w:tcW w:w="1851" w:type="dxa"/>
            <w:noWrap w:val="0"/>
            <w:tcMar>
              <w:left w:w="28" w:type="dxa"/>
              <w:right w:w="28" w:type="dxa"/>
            </w:tcMar>
            <w:vAlign w:val="center"/>
          </w:tcPr>
          <w:p w14:paraId="133F6A36">
            <w:pPr>
              <w:pStyle w:val="31"/>
              <w:spacing w:beforeLines="0" w:afterLines="0" w:line="240" w:lineRule="auto"/>
              <w:ind w:firstLine="0"/>
              <w:rPr>
                <w:rFonts w:ascii="Times New Roman" w:eastAsia="黑体"/>
                <w:snapToGrid w:val="0"/>
                <w:color w:val="000000" w:themeColor="text1"/>
                <w:spacing w:val="-16"/>
                <w:kern w:val="21"/>
                <w:szCs w:val="21"/>
                <w:highlight w:val="none"/>
                <w14:textFill>
                  <w14:solidFill>
                    <w14:schemeClr w14:val="tx1"/>
                  </w14:solidFill>
                </w14:textFill>
              </w:rPr>
            </w:pPr>
            <w:r>
              <w:rPr>
                <w:rFonts w:ascii="Times New Roman" w:eastAsia="黑体"/>
                <w:snapToGrid w:val="0"/>
                <w:color w:val="000000" w:themeColor="text1"/>
                <w:spacing w:val="-16"/>
                <w:kern w:val="21"/>
                <w:szCs w:val="21"/>
                <w:highlight w:val="none"/>
                <w14:textFill>
                  <w14:solidFill>
                    <w14:schemeClr w14:val="tx1"/>
                  </w14:solidFill>
                </w14:textFill>
              </w:rPr>
              <w:t>本项目建成后</w:t>
            </w:r>
          </w:p>
          <w:p w14:paraId="3304B22B">
            <w:pPr>
              <w:pStyle w:val="31"/>
              <w:spacing w:beforeLines="0" w:afterLines="0" w:line="240" w:lineRule="auto"/>
              <w:ind w:firstLine="0"/>
              <w:rPr>
                <w:rFonts w:ascii="Times New Roman" w:eastAsia="黑体"/>
                <w:snapToGrid w:val="0"/>
                <w:color w:val="000000" w:themeColor="text1"/>
                <w:spacing w:val="-16"/>
                <w:kern w:val="21"/>
                <w:szCs w:val="21"/>
                <w:highlight w:val="none"/>
                <w14:textFill>
                  <w14:solidFill>
                    <w14:schemeClr w14:val="tx1"/>
                  </w14:solidFill>
                </w14:textFill>
              </w:rPr>
            </w:pPr>
            <w:r>
              <w:rPr>
                <w:rFonts w:ascii="Times New Roman" w:eastAsia="黑体"/>
                <w:snapToGrid w:val="0"/>
                <w:color w:val="000000" w:themeColor="text1"/>
                <w:spacing w:val="-16"/>
                <w:kern w:val="21"/>
                <w:szCs w:val="21"/>
                <w:highlight w:val="none"/>
                <w14:textFill>
                  <w14:solidFill>
                    <w14:schemeClr w14:val="tx1"/>
                  </w14:solidFill>
                </w14:textFill>
              </w:rPr>
              <w:t>全厂排放量（固体废物产生量）</w:t>
            </w:r>
            <w:r>
              <w:rPr>
                <w:rFonts w:ascii="Times New Roman" w:eastAsia="黑体"/>
                <w:snapToGrid w:val="0"/>
                <w:color w:val="000000" w:themeColor="text1"/>
                <w:spacing w:val="-16"/>
                <w:kern w:val="21"/>
                <w:szCs w:val="21"/>
                <w:highlight w:val="none"/>
                <w14:textFill>
                  <w14:solidFill>
                    <w14:schemeClr w14:val="tx1"/>
                  </w14:solidFill>
                </w14:textFill>
              </w:rPr>
              <w:fldChar w:fldCharType="begin"/>
            </w:r>
            <w:r>
              <w:rPr>
                <w:rFonts w:ascii="Times New Roman" w:eastAsia="黑体"/>
                <w:snapToGrid w:val="0"/>
                <w:color w:val="000000" w:themeColor="text1"/>
                <w:spacing w:val="-16"/>
                <w:kern w:val="21"/>
                <w:szCs w:val="21"/>
                <w:highlight w:val="none"/>
                <w14:textFill>
                  <w14:solidFill>
                    <w14:schemeClr w14:val="tx1"/>
                  </w14:solidFill>
                </w14:textFill>
              </w:rPr>
              <w:instrText xml:space="preserve"> = 6 \* GB3 \* MERGEFORMAT </w:instrText>
            </w:r>
            <w:r>
              <w:rPr>
                <w:rFonts w:ascii="Times New Roman" w:eastAsia="黑体"/>
                <w:snapToGrid w:val="0"/>
                <w:color w:val="000000" w:themeColor="text1"/>
                <w:spacing w:val="-16"/>
                <w:kern w:val="21"/>
                <w:szCs w:val="21"/>
                <w:highlight w:val="none"/>
                <w14:textFill>
                  <w14:solidFill>
                    <w14:schemeClr w14:val="tx1"/>
                  </w14:solidFill>
                </w14:textFill>
              </w:rPr>
              <w:fldChar w:fldCharType="separate"/>
            </w:r>
            <w:r>
              <w:rPr>
                <w:rFonts w:ascii="Times New Roman" w:eastAsia="黑体"/>
                <w:color w:val="000000" w:themeColor="text1"/>
                <w:kern w:val="2"/>
                <w:szCs w:val="21"/>
                <w:highlight w:val="none"/>
                <w14:textFill>
                  <w14:solidFill>
                    <w14:schemeClr w14:val="tx1"/>
                  </w14:solidFill>
                </w14:textFill>
              </w:rPr>
              <w:t>⑥</w:t>
            </w:r>
            <w:r>
              <w:rPr>
                <w:rFonts w:ascii="Times New Roman" w:eastAsia="黑体"/>
                <w:snapToGrid w:val="0"/>
                <w:color w:val="000000" w:themeColor="text1"/>
                <w:spacing w:val="-16"/>
                <w:kern w:val="21"/>
                <w:szCs w:val="21"/>
                <w:highlight w:val="none"/>
                <w14:textFill>
                  <w14:solidFill>
                    <w14:schemeClr w14:val="tx1"/>
                  </w14:solidFill>
                </w14:textFill>
              </w:rPr>
              <w:fldChar w:fldCharType="end"/>
            </w:r>
          </w:p>
        </w:tc>
        <w:tc>
          <w:tcPr>
            <w:tcW w:w="1120" w:type="dxa"/>
            <w:noWrap w:val="0"/>
            <w:tcMar>
              <w:left w:w="28" w:type="dxa"/>
              <w:right w:w="28" w:type="dxa"/>
            </w:tcMar>
            <w:vAlign w:val="center"/>
          </w:tcPr>
          <w:p w14:paraId="658194D7">
            <w:pPr>
              <w:pStyle w:val="31"/>
              <w:spacing w:beforeLines="0" w:afterLines="0" w:line="240" w:lineRule="auto"/>
              <w:ind w:firstLine="0"/>
              <w:rPr>
                <w:rFonts w:ascii="Times New Roman" w:eastAsia="黑体"/>
                <w:snapToGrid w:val="0"/>
                <w:color w:val="000000" w:themeColor="text1"/>
                <w:spacing w:val="-6"/>
                <w:kern w:val="21"/>
                <w:szCs w:val="21"/>
                <w:highlight w:val="none"/>
                <w14:textFill>
                  <w14:solidFill>
                    <w14:schemeClr w14:val="tx1"/>
                  </w14:solidFill>
                </w14:textFill>
              </w:rPr>
            </w:pPr>
            <w:r>
              <w:rPr>
                <w:rFonts w:ascii="Times New Roman" w:eastAsia="黑体"/>
                <w:snapToGrid w:val="0"/>
                <w:color w:val="000000" w:themeColor="text1"/>
                <w:spacing w:val="-6"/>
                <w:kern w:val="21"/>
                <w:szCs w:val="21"/>
                <w:highlight w:val="none"/>
                <w14:textFill>
                  <w14:solidFill>
                    <w14:schemeClr w14:val="tx1"/>
                  </w14:solidFill>
                </w14:textFill>
              </w:rPr>
              <w:t>变化量</w:t>
            </w:r>
          </w:p>
          <w:p w14:paraId="70033BF1">
            <w:pPr>
              <w:pStyle w:val="31"/>
              <w:spacing w:beforeLines="0" w:afterLines="0" w:line="240" w:lineRule="auto"/>
              <w:ind w:firstLine="0"/>
              <w:rPr>
                <w:rFonts w:ascii="Times New Roman" w:eastAsia="黑体"/>
                <w:snapToGrid w:val="0"/>
                <w:color w:val="000000" w:themeColor="text1"/>
                <w:spacing w:val="-6"/>
                <w:kern w:val="21"/>
                <w:szCs w:val="21"/>
                <w:highlight w:val="none"/>
                <w14:textFill>
                  <w14:solidFill>
                    <w14:schemeClr w14:val="tx1"/>
                  </w14:solidFill>
                </w14:textFill>
              </w:rPr>
            </w:pPr>
            <w:r>
              <w:rPr>
                <w:rFonts w:ascii="Times New Roman" w:eastAsia="黑体"/>
                <w:snapToGrid w:val="0"/>
                <w:color w:val="000000" w:themeColor="text1"/>
                <w:spacing w:val="-6"/>
                <w:kern w:val="21"/>
                <w:szCs w:val="21"/>
                <w:highlight w:val="none"/>
                <w14:textFill>
                  <w14:solidFill>
                    <w14:schemeClr w14:val="tx1"/>
                  </w14:solidFill>
                </w14:textFill>
              </w:rPr>
              <w:fldChar w:fldCharType="begin"/>
            </w:r>
            <w:r>
              <w:rPr>
                <w:rFonts w:ascii="Times New Roman" w:eastAsia="黑体"/>
                <w:snapToGrid w:val="0"/>
                <w:color w:val="000000" w:themeColor="text1"/>
                <w:spacing w:val="-6"/>
                <w:kern w:val="21"/>
                <w:szCs w:val="21"/>
                <w:highlight w:val="none"/>
                <w14:textFill>
                  <w14:solidFill>
                    <w14:schemeClr w14:val="tx1"/>
                  </w14:solidFill>
                </w14:textFill>
              </w:rPr>
              <w:instrText xml:space="preserve"> = 7 \* GB3 \* MERGEFORMAT </w:instrText>
            </w:r>
            <w:r>
              <w:rPr>
                <w:rFonts w:ascii="Times New Roman" w:eastAsia="黑体"/>
                <w:snapToGrid w:val="0"/>
                <w:color w:val="000000" w:themeColor="text1"/>
                <w:spacing w:val="-6"/>
                <w:kern w:val="21"/>
                <w:szCs w:val="21"/>
                <w:highlight w:val="none"/>
                <w14:textFill>
                  <w14:solidFill>
                    <w14:schemeClr w14:val="tx1"/>
                  </w14:solidFill>
                </w14:textFill>
              </w:rPr>
              <w:fldChar w:fldCharType="separate"/>
            </w:r>
            <w:r>
              <w:rPr>
                <w:rFonts w:ascii="Times New Roman" w:eastAsia="黑体"/>
                <w:color w:val="000000" w:themeColor="text1"/>
                <w:kern w:val="2"/>
                <w:szCs w:val="21"/>
                <w:highlight w:val="none"/>
                <w14:textFill>
                  <w14:solidFill>
                    <w14:schemeClr w14:val="tx1"/>
                  </w14:solidFill>
                </w14:textFill>
              </w:rPr>
              <w:t>⑦</w:t>
            </w:r>
            <w:r>
              <w:rPr>
                <w:rFonts w:ascii="Times New Roman" w:eastAsia="黑体"/>
                <w:snapToGrid w:val="0"/>
                <w:color w:val="000000" w:themeColor="text1"/>
                <w:spacing w:val="-6"/>
                <w:kern w:val="21"/>
                <w:szCs w:val="21"/>
                <w:highlight w:val="none"/>
                <w14:textFill>
                  <w14:solidFill>
                    <w14:schemeClr w14:val="tx1"/>
                  </w14:solidFill>
                </w14:textFill>
              </w:rPr>
              <w:fldChar w:fldCharType="end"/>
            </w:r>
          </w:p>
        </w:tc>
      </w:tr>
      <w:tr w14:paraId="35DF38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41" w:type="dxa"/>
            <w:vMerge w:val="restart"/>
            <w:noWrap w:val="0"/>
            <w:vAlign w:val="center"/>
          </w:tcPr>
          <w:p w14:paraId="55358B9A">
            <w:pPr>
              <w:pStyle w:val="31"/>
              <w:spacing w:beforeLines="0" w:afterLines="0" w:line="240" w:lineRule="auto"/>
              <w:jc w:val="both"/>
              <w:rPr>
                <w:rFonts w:ascii="Times New Roman"/>
                <w:snapToGrid w:val="0"/>
                <w:color w:val="000000" w:themeColor="text1"/>
                <w:kern w:val="21"/>
                <w:sz w:val="21"/>
                <w:szCs w:val="21"/>
                <w:highlight w:val="none"/>
                <w14:textFill>
                  <w14:solidFill>
                    <w14:schemeClr w14:val="tx1"/>
                  </w14:solidFill>
                </w14:textFill>
              </w:rPr>
            </w:pPr>
            <w:r>
              <w:rPr>
                <w:rFonts w:ascii="Times New Roman"/>
                <w:snapToGrid w:val="0"/>
                <w:color w:val="000000" w:themeColor="text1"/>
                <w:kern w:val="21"/>
                <w:sz w:val="21"/>
                <w:szCs w:val="21"/>
                <w:highlight w:val="none"/>
                <w14:textFill>
                  <w14:solidFill>
                    <w14:schemeClr w14:val="tx1"/>
                  </w14:solidFill>
                </w14:textFill>
              </w:rPr>
              <w:t>废气</w:t>
            </w:r>
          </w:p>
        </w:tc>
        <w:tc>
          <w:tcPr>
            <w:tcW w:w="2170" w:type="dxa"/>
            <w:noWrap w:val="0"/>
            <w:vAlign w:val="center"/>
          </w:tcPr>
          <w:p w14:paraId="1B246B0F">
            <w:pPr>
              <w:widowControl/>
              <w:jc w:val="center"/>
              <w:rPr>
                <w:snapToGrid w:val="0"/>
                <w:color w:val="000000" w:themeColor="text1"/>
                <w:kern w:val="21"/>
                <w:szCs w:val="21"/>
                <w:highlight w:val="none"/>
                <w14:textFill>
                  <w14:solidFill>
                    <w14:schemeClr w14:val="tx1"/>
                  </w14:solidFill>
                </w14:textFill>
              </w:rPr>
            </w:pPr>
            <w:r>
              <w:rPr>
                <w:rFonts w:hint="eastAsia"/>
                <w:snapToGrid w:val="0"/>
                <w:color w:val="000000" w:themeColor="text1"/>
                <w:kern w:val="21"/>
                <w:szCs w:val="21"/>
                <w:highlight w:val="none"/>
                <w14:textFill>
                  <w14:solidFill>
                    <w14:schemeClr w14:val="tx1"/>
                  </w14:solidFill>
                </w14:textFill>
              </w:rPr>
              <w:t>颗粒物</w:t>
            </w:r>
          </w:p>
        </w:tc>
        <w:tc>
          <w:tcPr>
            <w:tcW w:w="1584" w:type="dxa"/>
            <w:noWrap w:val="0"/>
            <w:vAlign w:val="center"/>
          </w:tcPr>
          <w:p w14:paraId="4EC1751D">
            <w:pPr>
              <w:widowControl/>
              <w:jc w:val="center"/>
              <w:rPr>
                <w:rFonts w:hint="eastAsia"/>
                <w:color w:val="000000" w:themeColor="text1"/>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307" w:type="dxa"/>
            <w:noWrap w:val="0"/>
            <w:vAlign w:val="center"/>
          </w:tcPr>
          <w:p w14:paraId="13956B7F">
            <w:pPr>
              <w:widowControl/>
              <w:jc w:val="center"/>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681" w:type="dxa"/>
            <w:noWrap w:val="0"/>
            <w:vAlign w:val="center"/>
          </w:tcPr>
          <w:p w14:paraId="6EFEB964">
            <w:pPr>
              <w:widowControl/>
              <w:jc w:val="center"/>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416" w:type="dxa"/>
            <w:noWrap w:val="0"/>
            <w:vAlign w:val="center"/>
          </w:tcPr>
          <w:p w14:paraId="4AB65366">
            <w:pPr>
              <w:pStyle w:val="31"/>
              <w:spacing w:beforeLines="0" w:afterLines="0" w:line="240" w:lineRule="auto"/>
              <w:ind w:firstLine="0"/>
              <w:rPr>
                <w:rFonts w:hint="default" w:ascii="Times New Roman" w:eastAsia="宋体"/>
                <w:color w:val="000000" w:themeColor="text1"/>
                <w:sz w:val="21"/>
                <w:szCs w:val="21"/>
                <w:highlight w:val="none"/>
                <w:lang w:val="en-US" w:eastAsia="zh-CN"/>
                <w14:textFill>
                  <w14:solidFill>
                    <w14:schemeClr w14:val="tx1"/>
                  </w14:solidFill>
                </w14:textFill>
              </w:rPr>
            </w:pPr>
            <w:r>
              <w:rPr>
                <w:rFonts w:hint="eastAsia" w:ascii="Times New Roman"/>
                <w:color w:val="000000" w:themeColor="text1"/>
                <w:sz w:val="21"/>
                <w:szCs w:val="21"/>
                <w:highlight w:val="none"/>
                <w:lang w:val="en-US" w:eastAsia="zh-CN"/>
                <w14:textFill>
                  <w14:solidFill>
                    <w14:schemeClr w14:val="tx1"/>
                  </w14:solidFill>
                </w14:textFill>
              </w:rPr>
              <w:t>11.052</w:t>
            </w:r>
          </w:p>
        </w:tc>
        <w:tc>
          <w:tcPr>
            <w:tcW w:w="1318" w:type="dxa"/>
            <w:noWrap w:val="0"/>
            <w:vAlign w:val="center"/>
          </w:tcPr>
          <w:p w14:paraId="3EC8555C">
            <w:pPr>
              <w:widowControl/>
              <w:jc w:val="center"/>
              <w:rPr>
                <w:rFonts w:hint="eastAsia"/>
                <w:color w:val="000000" w:themeColor="text1"/>
                <w:kern w:val="0"/>
                <w:szCs w:val="21"/>
                <w:highlight w:val="none"/>
                <w14:textFill>
                  <w14:solidFill>
                    <w14:schemeClr w14:val="tx1"/>
                  </w14:solidFill>
                </w14:textFill>
              </w:rPr>
            </w:pPr>
            <w:r>
              <w:rPr>
                <w:rFonts w:hint="eastAsia"/>
                <w:color w:val="000000" w:themeColor="text1"/>
                <w:kern w:val="0"/>
                <w:szCs w:val="21"/>
                <w:highlight w:val="none"/>
                <w14:textFill>
                  <w14:solidFill>
                    <w14:schemeClr w14:val="tx1"/>
                  </w14:solidFill>
                </w14:textFill>
              </w:rPr>
              <w:t>0</w:t>
            </w:r>
          </w:p>
        </w:tc>
        <w:tc>
          <w:tcPr>
            <w:tcW w:w="1851" w:type="dxa"/>
            <w:noWrap w:val="0"/>
            <w:vAlign w:val="center"/>
          </w:tcPr>
          <w:p w14:paraId="4477004C">
            <w:pPr>
              <w:pStyle w:val="31"/>
              <w:spacing w:beforeLines="0" w:afterLines="0" w:line="240" w:lineRule="auto"/>
              <w:ind w:firstLine="0"/>
              <w:rPr>
                <w:rFonts w:hint="default" w:ascii="Times New Roman" w:eastAsia="宋体"/>
                <w:color w:val="000000" w:themeColor="text1"/>
                <w:sz w:val="21"/>
                <w:szCs w:val="21"/>
                <w:highlight w:val="none"/>
                <w:lang w:val="en-US" w:eastAsia="zh-CN"/>
                <w14:textFill>
                  <w14:solidFill>
                    <w14:schemeClr w14:val="tx1"/>
                  </w14:solidFill>
                </w14:textFill>
              </w:rPr>
            </w:pPr>
            <w:r>
              <w:rPr>
                <w:rFonts w:hint="eastAsia" w:ascii="Times New Roman"/>
                <w:color w:val="000000" w:themeColor="text1"/>
                <w:sz w:val="21"/>
                <w:szCs w:val="21"/>
                <w:highlight w:val="none"/>
                <w:lang w:val="en-US" w:eastAsia="zh-CN"/>
                <w14:textFill>
                  <w14:solidFill>
                    <w14:schemeClr w14:val="tx1"/>
                  </w14:solidFill>
                </w14:textFill>
              </w:rPr>
              <w:t>11.052</w:t>
            </w:r>
          </w:p>
        </w:tc>
        <w:tc>
          <w:tcPr>
            <w:tcW w:w="1120" w:type="dxa"/>
            <w:noWrap w:val="0"/>
            <w:vAlign w:val="center"/>
          </w:tcPr>
          <w:p w14:paraId="3EF946FA">
            <w:pPr>
              <w:pStyle w:val="31"/>
              <w:spacing w:beforeLines="0" w:afterLines="0" w:line="240" w:lineRule="auto"/>
              <w:ind w:firstLine="0"/>
              <w:rPr>
                <w:rFonts w:hint="default" w:ascii="Times New Roman" w:eastAsia="宋体"/>
                <w:color w:val="000000" w:themeColor="text1"/>
                <w:sz w:val="21"/>
                <w:szCs w:val="21"/>
                <w:highlight w:val="none"/>
                <w:lang w:val="en-US" w:eastAsia="zh-CN"/>
                <w14:textFill>
                  <w14:solidFill>
                    <w14:schemeClr w14:val="tx1"/>
                  </w14:solidFill>
                </w14:textFill>
              </w:rPr>
            </w:pPr>
            <w:r>
              <w:rPr>
                <w:rFonts w:ascii="Times New Roman"/>
                <w:color w:val="000000" w:themeColor="text1"/>
                <w:sz w:val="21"/>
                <w:szCs w:val="21"/>
                <w:highlight w:val="none"/>
                <w14:textFill>
                  <w14:solidFill>
                    <w14:schemeClr w14:val="tx1"/>
                  </w14:solidFill>
                </w14:textFill>
              </w:rPr>
              <w:t>+</w:t>
            </w:r>
            <w:r>
              <w:rPr>
                <w:rFonts w:hint="eastAsia" w:ascii="Times New Roman"/>
                <w:color w:val="000000" w:themeColor="text1"/>
                <w:sz w:val="21"/>
                <w:szCs w:val="21"/>
                <w:highlight w:val="none"/>
                <w:lang w:val="en-US" w:eastAsia="zh-CN"/>
                <w14:textFill>
                  <w14:solidFill>
                    <w14:schemeClr w14:val="tx1"/>
                  </w14:solidFill>
                </w14:textFill>
              </w:rPr>
              <w:t>11.052</w:t>
            </w:r>
          </w:p>
        </w:tc>
      </w:tr>
      <w:tr w14:paraId="053FC2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41" w:type="dxa"/>
            <w:vMerge w:val="continue"/>
            <w:noWrap w:val="0"/>
            <w:vAlign w:val="center"/>
          </w:tcPr>
          <w:p w14:paraId="58BBD7F6">
            <w:pPr>
              <w:pStyle w:val="31"/>
              <w:spacing w:beforeLines="0" w:afterLines="0" w:line="240" w:lineRule="auto"/>
              <w:jc w:val="both"/>
              <w:rPr>
                <w:rFonts w:ascii="Times New Roman"/>
                <w:snapToGrid w:val="0"/>
                <w:color w:val="000000" w:themeColor="text1"/>
                <w:kern w:val="21"/>
                <w:sz w:val="21"/>
                <w:szCs w:val="21"/>
                <w:highlight w:val="none"/>
                <w14:textFill>
                  <w14:solidFill>
                    <w14:schemeClr w14:val="tx1"/>
                  </w14:solidFill>
                </w14:textFill>
              </w:rPr>
            </w:pPr>
          </w:p>
        </w:tc>
        <w:tc>
          <w:tcPr>
            <w:tcW w:w="2170" w:type="dxa"/>
            <w:noWrap w:val="0"/>
            <w:vAlign w:val="center"/>
          </w:tcPr>
          <w:p w14:paraId="498996A7">
            <w:pPr>
              <w:widowControl/>
              <w:jc w:val="center"/>
              <w:rPr>
                <w:rFonts w:hint="default" w:eastAsia="宋体"/>
                <w:snapToGrid w:val="0"/>
                <w:color w:val="000000" w:themeColor="text1"/>
                <w:kern w:val="21"/>
                <w:szCs w:val="21"/>
                <w:highlight w:val="none"/>
                <w:lang w:val="en-US" w:eastAsia="zh-CN"/>
                <w14:textFill>
                  <w14:solidFill>
                    <w14:schemeClr w14:val="tx1"/>
                  </w14:solidFill>
                </w14:textFill>
              </w:rPr>
            </w:pPr>
            <w:r>
              <w:rPr>
                <w:rFonts w:hint="eastAsia"/>
                <w:snapToGrid w:val="0"/>
                <w:color w:val="000000" w:themeColor="text1"/>
                <w:kern w:val="21"/>
                <w:szCs w:val="21"/>
                <w:highlight w:val="none"/>
                <w:lang w:val="en-US" w:eastAsia="zh-CN"/>
                <w14:textFill>
                  <w14:solidFill>
                    <w14:schemeClr w14:val="tx1"/>
                  </w14:solidFill>
                </w14:textFill>
              </w:rPr>
              <w:t>二氧化硫</w:t>
            </w:r>
          </w:p>
        </w:tc>
        <w:tc>
          <w:tcPr>
            <w:tcW w:w="1584" w:type="dxa"/>
            <w:noWrap w:val="0"/>
            <w:vAlign w:val="center"/>
          </w:tcPr>
          <w:p w14:paraId="01C73CD2">
            <w:pPr>
              <w:widowControl/>
              <w:jc w:val="center"/>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307" w:type="dxa"/>
            <w:noWrap w:val="0"/>
            <w:vAlign w:val="center"/>
          </w:tcPr>
          <w:p w14:paraId="68732F3B">
            <w:pPr>
              <w:widowControl/>
              <w:jc w:val="center"/>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681" w:type="dxa"/>
            <w:noWrap w:val="0"/>
            <w:vAlign w:val="center"/>
          </w:tcPr>
          <w:p w14:paraId="476435DA">
            <w:pPr>
              <w:widowControl/>
              <w:jc w:val="center"/>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416" w:type="dxa"/>
            <w:noWrap w:val="0"/>
            <w:vAlign w:val="center"/>
          </w:tcPr>
          <w:p w14:paraId="5A8C4609">
            <w:pPr>
              <w:pStyle w:val="31"/>
              <w:spacing w:beforeLines="0" w:afterLines="0" w:line="240" w:lineRule="auto"/>
              <w:ind w:firstLine="0" w:firstLineChars="0"/>
              <w:rPr>
                <w:rFonts w:hint="default" w:ascii="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color w:val="000000" w:themeColor="text1"/>
                <w:kern w:val="0"/>
                <w:sz w:val="21"/>
                <w:szCs w:val="21"/>
                <w:highlight w:val="none"/>
                <w:lang w:val="en-US" w:eastAsia="zh-CN" w:bidi="ar-SA"/>
                <w14:textFill>
                  <w14:solidFill>
                    <w14:schemeClr w14:val="tx1"/>
                  </w14:solidFill>
                </w14:textFill>
              </w:rPr>
              <w:t>39.44</w:t>
            </w:r>
          </w:p>
        </w:tc>
        <w:tc>
          <w:tcPr>
            <w:tcW w:w="1318" w:type="dxa"/>
            <w:noWrap w:val="0"/>
            <w:vAlign w:val="center"/>
          </w:tcPr>
          <w:p w14:paraId="123421BC">
            <w:pPr>
              <w:widowControl/>
              <w:jc w:val="center"/>
              <w:rPr>
                <w:rFonts w:hint="eastAsia" w:eastAsia="宋体"/>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0</w:t>
            </w:r>
          </w:p>
        </w:tc>
        <w:tc>
          <w:tcPr>
            <w:tcW w:w="1851" w:type="dxa"/>
            <w:noWrap w:val="0"/>
            <w:vAlign w:val="center"/>
          </w:tcPr>
          <w:p w14:paraId="3CF93F9D">
            <w:pPr>
              <w:pStyle w:val="31"/>
              <w:spacing w:beforeLines="0" w:afterLines="0" w:line="240" w:lineRule="auto"/>
              <w:ind w:firstLine="0" w:firstLineChars="0"/>
              <w:rPr>
                <w:rFonts w:hint="default" w:ascii="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color w:val="000000" w:themeColor="text1"/>
                <w:kern w:val="0"/>
                <w:sz w:val="21"/>
                <w:szCs w:val="21"/>
                <w:highlight w:val="none"/>
                <w:lang w:val="en-US" w:eastAsia="zh-CN" w:bidi="ar-SA"/>
                <w14:textFill>
                  <w14:solidFill>
                    <w14:schemeClr w14:val="tx1"/>
                  </w14:solidFill>
                </w14:textFill>
              </w:rPr>
              <w:t>39.44</w:t>
            </w:r>
          </w:p>
        </w:tc>
        <w:tc>
          <w:tcPr>
            <w:tcW w:w="1120" w:type="dxa"/>
            <w:noWrap w:val="0"/>
            <w:vAlign w:val="center"/>
          </w:tcPr>
          <w:p w14:paraId="3EB0985A">
            <w:pPr>
              <w:pStyle w:val="31"/>
              <w:spacing w:beforeLines="0" w:afterLines="0" w:line="240" w:lineRule="auto"/>
              <w:ind w:firstLine="0" w:firstLineChars="0"/>
              <w:rPr>
                <w:rFonts w:hint="default" w:ascii="Times New Roman"/>
                <w:color w:val="000000" w:themeColor="text1"/>
                <w:kern w:val="0"/>
                <w:sz w:val="21"/>
                <w:szCs w:val="21"/>
                <w:highlight w:val="none"/>
                <w:lang w:val="en-US" w:eastAsia="zh-CN" w:bidi="ar-SA"/>
                <w14:textFill>
                  <w14:solidFill>
                    <w14:schemeClr w14:val="tx1"/>
                  </w14:solidFill>
                </w14:textFill>
              </w:rPr>
            </w:pPr>
            <w:r>
              <w:rPr>
                <w:rFonts w:hint="eastAsia" w:ascii="Times New Roman"/>
                <w:color w:val="000000" w:themeColor="text1"/>
                <w:kern w:val="0"/>
                <w:sz w:val="21"/>
                <w:szCs w:val="21"/>
                <w:highlight w:val="none"/>
                <w:lang w:val="en-US" w:eastAsia="zh-CN" w:bidi="ar-SA"/>
                <w14:textFill>
                  <w14:solidFill>
                    <w14:schemeClr w14:val="tx1"/>
                  </w14:solidFill>
                </w14:textFill>
              </w:rPr>
              <w:t>+39.44</w:t>
            </w:r>
          </w:p>
        </w:tc>
      </w:tr>
      <w:tr w14:paraId="159E30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1" w:hRule="atLeast"/>
          <w:jc w:val="center"/>
        </w:trPr>
        <w:tc>
          <w:tcPr>
            <w:tcW w:w="1341" w:type="dxa"/>
            <w:vMerge w:val="continue"/>
            <w:noWrap w:val="0"/>
            <w:vAlign w:val="center"/>
          </w:tcPr>
          <w:p w14:paraId="3A3EBD6D">
            <w:pPr>
              <w:pStyle w:val="31"/>
              <w:spacing w:beforeLines="0" w:afterLines="0" w:line="240" w:lineRule="auto"/>
              <w:jc w:val="both"/>
              <w:rPr>
                <w:rFonts w:ascii="Times New Roman"/>
                <w:snapToGrid w:val="0"/>
                <w:color w:val="000000" w:themeColor="text1"/>
                <w:kern w:val="21"/>
                <w:sz w:val="21"/>
                <w:szCs w:val="21"/>
                <w:highlight w:val="none"/>
                <w14:textFill>
                  <w14:solidFill>
                    <w14:schemeClr w14:val="tx1"/>
                  </w14:solidFill>
                </w14:textFill>
              </w:rPr>
            </w:pPr>
          </w:p>
        </w:tc>
        <w:tc>
          <w:tcPr>
            <w:tcW w:w="2170" w:type="dxa"/>
            <w:noWrap w:val="0"/>
            <w:vAlign w:val="center"/>
          </w:tcPr>
          <w:p w14:paraId="723112D8">
            <w:pPr>
              <w:widowControl/>
              <w:jc w:val="center"/>
              <w:rPr>
                <w:rFonts w:hint="eastAsia" w:eastAsia="宋体"/>
                <w:snapToGrid w:val="0"/>
                <w:color w:val="000000" w:themeColor="text1"/>
                <w:kern w:val="21"/>
                <w:szCs w:val="21"/>
                <w:highlight w:val="none"/>
                <w:lang w:val="en-US" w:eastAsia="zh-CN"/>
                <w14:textFill>
                  <w14:solidFill>
                    <w14:schemeClr w14:val="tx1"/>
                  </w14:solidFill>
                </w14:textFill>
              </w:rPr>
            </w:pPr>
            <w:r>
              <w:rPr>
                <w:rFonts w:hint="eastAsia"/>
                <w:snapToGrid w:val="0"/>
                <w:color w:val="000000" w:themeColor="text1"/>
                <w:kern w:val="21"/>
                <w:szCs w:val="21"/>
                <w:highlight w:val="none"/>
                <w:lang w:val="en-US" w:eastAsia="zh-CN"/>
                <w14:textFill>
                  <w14:solidFill>
                    <w14:schemeClr w14:val="tx1"/>
                  </w14:solidFill>
                </w14:textFill>
              </w:rPr>
              <w:t>氮氧化物</w:t>
            </w:r>
          </w:p>
        </w:tc>
        <w:tc>
          <w:tcPr>
            <w:tcW w:w="1584" w:type="dxa"/>
            <w:noWrap w:val="0"/>
            <w:vAlign w:val="center"/>
          </w:tcPr>
          <w:p w14:paraId="30104B8B">
            <w:pPr>
              <w:widowControl/>
              <w:jc w:val="center"/>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307" w:type="dxa"/>
            <w:noWrap w:val="0"/>
            <w:vAlign w:val="center"/>
          </w:tcPr>
          <w:p w14:paraId="177CD022">
            <w:pPr>
              <w:widowControl/>
              <w:jc w:val="center"/>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681" w:type="dxa"/>
            <w:noWrap w:val="0"/>
            <w:vAlign w:val="center"/>
          </w:tcPr>
          <w:p w14:paraId="614702FE">
            <w:pPr>
              <w:widowControl/>
              <w:jc w:val="center"/>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416" w:type="dxa"/>
            <w:noWrap w:val="0"/>
            <w:vAlign w:val="center"/>
          </w:tcPr>
          <w:p w14:paraId="6908D9D4">
            <w:pPr>
              <w:pStyle w:val="31"/>
              <w:spacing w:beforeLines="0" w:afterLines="0" w:line="240" w:lineRule="auto"/>
              <w:ind w:firstLine="0" w:firstLineChars="0"/>
              <w:rPr>
                <w:rFonts w:hint="default" w:ascii="Times New Roman"/>
                <w:color w:val="000000" w:themeColor="text1"/>
                <w:sz w:val="21"/>
                <w:szCs w:val="21"/>
                <w:highlight w:val="none"/>
                <w:lang w:val="en-US" w:eastAsia="zh-CN"/>
                <w14:textFill>
                  <w14:solidFill>
                    <w14:schemeClr w14:val="tx1"/>
                  </w14:solidFill>
                </w14:textFill>
              </w:rPr>
            </w:pPr>
            <w:r>
              <w:rPr>
                <w:rFonts w:hint="eastAsia" w:ascii="Times New Roman"/>
                <w:color w:val="000000" w:themeColor="text1"/>
                <w:sz w:val="21"/>
                <w:szCs w:val="21"/>
                <w:highlight w:val="none"/>
                <w:lang w:val="en-US" w:eastAsia="zh-CN"/>
                <w14:textFill>
                  <w14:solidFill>
                    <w14:schemeClr w14:val="tx1"/>
                  </w14:solidFill>
                </w14:textFill>
              </w:rPr>
              <w:t>94</w:t>
            </w:r>
          </w:p>
        </w:tc>
        <w:tc>
          <w:tcPr>
            <w:tcW w:w="1318" w:type="dxa"/>
            <w:noWrap w:val="0"/>
            <w:vAlign w:val="center"/>
          </w:tcPr>
          <w:p w14:paraId="6D0FF84A">
            <w:pPr>
              <w:widowControl/>
              <w:jc w:val="center"/>
              <w:rPr>
                <w:rFonts w:hint="eastAsia" w:eastAsia="宋体"/>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0</w:t>
            </w:r>
          </w:p>
        </w:tc>
        <w:tc>
          <w:tcPr>
            <w:tcW w:w="1851" w:type="dxa"/>
            <w:noWrap w:val="0"/>
            <w:vAlign w:val="center"/>
          </w:tcPr>
          <w:p w14:paraId="4F8BEC33">
            <w:pPr>
              <w:pStyle w:val="31"/>
              <w:spacing w:beforeLines="0" w:afterLines="0" w:line="240" w:lineRule="auto"/>
              <w:ind w:firstLine="0" w:firstLineChars="0"/>
              <w:rPr>
                <w:rFonts w:hint="default" w:ascii="Times New Roman"/>
                <w:color w:val="000000" w:themeColor="text1"/>
                <w:sz w:val="21"/>
                <w:szCs w:val="21"/>
                <w:highlight w:val="none"/>
                <w:lang w:val="en-US" w:eastAsia="zh-CN"/>
                <w14:textFill>
                  <w14:solidFill>
                    <w14:schemeClr w14:val="tx1"/>
                  </w14:solidFill>
                </w14:textFill>
              </w:rPr>
            </w:pPr>
            <w:r>
              <w:rPr>
                <w:rFonts w:hint="eastAsia" w:ascii="Times New Roman"/>
                <w:color w:val="000000" w:themeColor="text1"/>
                <w:sz w:val="21"/>
                <w:szCs w:val="21"/>
                <w:highlight w:val="none"/>
                <w:lang w:val="en-US" w:eastAsia="zh-CN"/>
                <w14:textFill>
                  <w14:solidFill>
                    <w14:schemeClr w14:val="tx1"/>
                  </w14:solidFill>
                </w14:textFill>
              </w:rPr>
              <w:t>94</w:t>
            </w:r>
          </w:p>
        </w:tc>
        <w:tc>
          <w:tcPr>
            <w:tcW w:w="1120" w:type="dxa"/>
            <w:noWrap w:val="0"/>
            <w:vAlign w:val="center"/>
          </w:tcPr>
          <w:p w14:paraId="7A56084A">
            <w:pPr>
              <w:pStyle w:val="31"/>
              <w:spacing w:beforeLines="0" w:afterLines="0" w:line="240" w:lineRule="auto"/>
              <w:ind w:firstLine="0" w:firstLineChars="0"/>
              <w:rPr>
                <w:rFonts w:hint="default" w:ascii="Times New Roman"/>
                <w:color w:val="000000" w:themeColor="text1"/>
                <w:sz w:val="21"/>
                <w:szCs w:val="21"/>
                <w:highlight w:val="none"/>
                <w:lang w:val="en-US"/>
                <w14:textFill>
                  <w14:solidFill>
                    <w14:schemeClr w14:val="tx1"/>
                  </w14:solidFill>
                </w14:textFill>
              </w:rPr>
            </w:pPr>
            <w:r>
              <w:rPr>
                <w:rFonts w:hint="eastAsia" w:ascii="Times New Roman"/>
                <w:color w:val="000000" w:themeColor="text1"/>
                <w:sz w:val="21"/>
                <w:szCs w:val="21"/>
                <w:highlight w:val="none"/>
                <w:lang w:val="en-US" w:eastAsia="zh-CN"/>
                <w14:textFill>
                  <w14:solidFill>
                    <w14:schemeClr w14:val="tx1"/>
                  </w14:solidFill>
                </w14:textFill>
              </w:rPr>
              <w:t>+94</w:t>
            </w:r>
          </w:p>
        </w:tc>
      </w:tr>
      <w:tr w14:paraId="20BBED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1" w:hRule="atLeast"/>
          <w:jc w:val="center"/>
        </w:trPr>
        <w:tc>
          <w:tcPr>
            <w:tcW w:w="1341" w:type="dxa"/>
            <w:vMerge w:val="continue"/>
            <w:noWrap w:val="0"/>
            <w:vAlign w:val="center"/>
          </w:tcPr>
          <w:p w14:paraId="2353F0EF">
            <w:pPr>
              <w:pStyle w:val="31"/>
              <w:spacing w:beforeLines="0" w:afterLines="0" w:line="240" w:lineRule="auto"/>
              <w:jc w:val="both"/>
              <w:rPr>
                <w:rFonts w:ascii="Times New Roman"/>
                <w:snapToGrid w:val="0"/>
                <w:color w:val="000000" w:themeColor="text1"/>
                <w:kern w:val="21"/>
                <w:sz w:val="21"/>
                <w:szCs w:val="21"/>
                <w:highlight w:val="none"/>
                <w14:textFill>
                  <w14:solidFill>
                    <w14:schemeClr w14:val="tx1"/>
                  </w14:solidFill>
                </w14:textFill>
              </w:rPr>
            </w:pPr>
          </w:p>
        </w:tc>
        <w:tc>
          <w:tcPr>
            <w:tcW w:w="2170" w:type="dxa"/>
            <w:noWrap w:val="0"/>
            <w:vAlign w:val="center"/>
          </w:tcPr>
          <w:p w14:paraId="506A7B68">
            <w:pPr>
              <w:widowControl/>
              <w:jc w:val="center"/>
              <w:rPr>
                <w:rFonts w:hint="default"/>
                <w:snapToGrid w:val="0"/>
                <w:color w:val="000000" w:themeColor="text1"/>
                <w:kern w:val="21"/>
                <w:szCs w:val="21"/>
                <w:highlight w:val="none"/>
                <w:lang w:val="en-US" w:eastAsia="zh-CN"/>
                <w14:textFill>
                  <w14:solidFill>
                    <w14:schemeClr w14:val="tx1"/>
                  </w14:solidFill>
                </w14:textFill>
              </w:rPr>
            </w:pPr>
            <w:r>
              <w:rPr>
                <w:rFonts w:hint="eastAsia"/>
                <w:snapToGrid w:val="0"/>
                <w:color w:val="000000" w:themeColor="text1"/>
                <w:kern w:val="21"/>
                <w:szCs w:val="21"/>
                <w:highlight w:val="none"/>
                <w:lang w:val="en-US" w:eastAsia="zh-CN"/>
                <w14:textFill>
                  <w14:solidFill>
                    <w14:schemeClr w14:val="tx1"/>
                  </w14:solidFill>
                </w14:textFill>
              </w:rPr>
              <w:t>氨气</w:t>
            </w:r>
          </w:p>
        </w:tc>
        <w:tc>
          <w:tcPr>
            <w:tcW w:w="1584" w:type="dxa"/>
            <w:shd w:val="clear" w:color="auto" w:fill="auto"/>
            <w:noWrap w:val="0"/>
            <w:vAlign w:val="center"/>
          </w:tcPr>
          <w:p w14:paraId="071D6396">
            <w:pPr>
              <w:widowControl/>
              <w:jc w:val="center"/>
              <w:rPr>
                <w:rFonts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307" w:type="dxa"/>
            <w:shd w:val="clear" w:color="auto" w:fill="auto"/>
            <w:noWrap w:val="0"/>
            <w:vAlign w:val="center"/>
          </w:tcPr>
          <w:p w14:paraId="0BD0C4FA">
            <w:pPr>
              <w:widowControl/>
              <w:jc w:val="center"/>
              <w:rPr>
                <w:rFonts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681" w:type="dxa"/>
            <w:shd w:val="clear" w:color="auto" w:fill="auto"/>
            <w:noWrap w:val="0"/>
            <w:vAlign w:val="center"/>
          </w:tcPr>
          <w:p w14:paraId="7B6D771E">
            <w:pPr>
              <w:widowControl/>
              <w:jc w:val="center"/>
              <w:rPr>
                <w:rFonts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416" w:type="dxa"/>
            <w:noWrap w:val="0"/>
            <w:vAlign w:val="center"/>
          </w:tcPr>
          <w:p w14:paraId="5C4CBD1E">
            <w:pPr>
              <w:pStyle w:val="31"/>
              <w:spacing w:beforeLines="0" w:afterLines="0" w:line="240" w:lineRule="auto"/>
              <w:ind w:firstLine="0" w:firstLineChars="0"/>
              <w:rPr>
                <w:rFonts w:hint="default" w:ascii="Times New Roman"/>
                <w:color w:val="000000" w:themeColor="text1"/>
                <w:sz w:val="21"/>
                <w:szCs w:val="21"/>
                <w:highlight w:val="none"/>
                <w:lang w:val="en-US" w:eastAsia="zh-CN"/>
                <w14:textFill>
                  <w14:solidFill>
                    <w14:schemeClr w14:val="tx1"/>
                  </w14:solidFill>
                </w14:textFill>
              </w:rPr>
            </w:pPr>
            <w:r>
              <w:rPr>
                <w:rFonts w:hint="eastAsia" w:ascii="Times New Roman"/>
                <w:color w:val="000000" w:themeColor="text1"/>
                <w:sz w:val="21"/>
                <w:szCs w:val="21"/>
                <w:highlight w:val="none"/>
                <w:lang w:val="en-US" w:eastAsia="zh-CN"/>
                <w14:textFill>
                  <w14:solidFill>
                    <w14:schemeClr w14:val="tx1"/>
                  </w14:solidFill>
                </w14:textFill>
              </w:rPr>
              <w:t>3.6</w:t>
            </w:r>
          </w:p>
        </w:tc>
        <w:tc>
          <w:tcPr>
            <w:tcW w:w="1318" w:type="dxa"/>
            <w:noWrap w:val="0"/>
            <w:vAlign w:val="center"/>
          </w:tcPr>
          <w:p w14:paraId="72E8302E">
            <w:pPr>
              <w:widowControl/>
              <w:jc w:val="center"/>
              <w:rPr>
                <w:rFonts w:hint="default"/>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0</w:t>
            </w:r>
          </w:p>
        </w:tc>
        <w:tc>
          <w:tcPr>
            <w:tcW w:w="1851" w:type="dxa"/>
            <w:noWrap w:val="0"/>
            <w:vAlign w:val="center"/>
          </w:tcPr>
          <w:p w14:paraId="6CADAF4E">
            <w:pPr>
              <w:pStyle w:val="31"/>
              <w:spacing w:beforeLines="0" w:afterLines="0" w:line="240" w:lineRule="auto"/>
              <w:ind w:firstLine="0" w:firstLineChars="0"/>
              <w:rPr>
                <w:rFonts w:hint="default" w:ascii="Times New Roman"/>
                <w:color w:val="000000" w:themeColor="text1"/>
                <w:sz w:val="21"/>
                <w:szCs w:val="21"/>
                <w:highlight w:val="none"/>
                <w:lang w:val="en-US" w:eastAsia="zh-CN"/>
                <w14:textFill>
                  <w14:solidFill>
                    <w14:schemeClr w14:val="tx1"/>
                  </w14:solidFill>
                </w14:textFill>
              </w:rPr>
            </w:pPr>
            <w:r>
              <w:rPr>
                <w:rFonts w:hint="eastAsia" w:ascii="Times New Roman"/>
                <w:color w:val="000000" w:themeColor="text1"/>
                <w:sz w:val="21"/>
                <w:szCs w:val="21"/>
                <w:highlight w:val="none"/>
                <w:lang w:val="en-US" w:eastAsia="zh-CN"/>
                <w14:textFill>
                  <w14:solidFill>
                    <w14:schemeClr w14:val="tx1"/>
                  </w14:solidFill>
                </w14:textFill>
              </w:rPr>
              <w:t>3.6</w:t>
            </w:r>
          </w:p>
        </w:tc>
        <w:tc>
          <w:tcPr>
            <w:tcW w:w="1120" w:type="dxa"/>
            <w:noWrap w:val="0"/>
            <w:vAlign w:val="center"/>
          </w:tcPr>
          <w:p w14:paraId="7FAE8003">
            <w:pPr>
              <w:pStyle w:val="31"/>
              <w:spacing w:beforeLines="0" w:afterLines="0" w:line="240" w:lineRule="auto"/>
              <w:ind w:firstLine="0" w:firstLineChars="0"/>
              <w:rPr>
                <w:rFonts w:hint="default" w:ascii="Times New Roman"/>
                <w:color w:val="000000" w:themeColor="text1"/>
                <w:sz w:val="21"/>
                <w:szCs w:val="21"/>
                <w:highlight w:val="none"/>
                <w:lang w:val="en-US" w:eastAsia="zh-CN"/>
                <w14:textFill>
                  <w14:solidFill>
                    <w14:schemeClr w14:val="tx1"/>
                  </w14:solidFill>
                </w14:textFill>
              </w:rPr>
            </w:pPr>
            <w:r>
              <w:rPr>
                <w:rFonts w:hint="eastAsia" w:ascii="Times New Roman"/>
                <w:color w:val="000000" w:themeColor="text1"/>
                <w:sz w:val="21"/>
                <w:szCs w:val="21"/>
                <w:highlight w:val="none"/>
                <w:lang w:val="en-US" w:eastAsia="zh-CN"/>
                <w14:textFill>
                  <w14:solidFill>
                    <w14:schemeClr w14:val="tx1"/>
                  </w14:solidFill>
                </w14:textFill>
              </w:rPr>
              <w:t>+3.6</w:t>
            </w:r>
          </w:p>
        </w:tc>
      </w:tr>
      <w:tr w14:paraId="4E61E0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41" w:type="dxa"/>
            <w:vMerge w:val="restart"/>
            <w:noWrap w:val="0"/>
            <w:vAlign w:val="center"/>
          </w:tcPr>
          <w:p w14:paraId="7426A22C">
            <w:pPr>
              <w:pStyle w:val="31"/>
              <w:spacing w:beforeLines="0" w:afterLines="0" w:line="240" w:lineRule="auto"/>
              <w:jc w:val="both"/>
              <w:rPr>
                <w:rFonts w:ascii="Times New Roman"/>
                <w:snapToGrid w:val="0"/>
                <w:color w:val="000000" w:themeColor="text1"/>
                <w:kern w:val="21"/>
                <w:sz w:val="21"/>
                <w:szCs w:val="21"/>
                <w:highlight w:val="none"/>
                <w14:textFill>
                  <w14:solidFill>
                    <w14:schemeClr w14:val="tx1"/>
                  </w14:solidFill>
                </w14:textFill>
              </w:rPr>
            </w:pPr>
            <w:r>
              <w:rPr>
                <w:rFonts w:ascii="Times New Roman"/>
                <w:snapToGrid w:val="0"/>
                <w:color w:val="000000" w:themeColor="text1"/>
                <w:kern w:val="21"/>
                <w:sz w:val="21"/>
                <w:szCs w:val="21"/>
                <w:highlight w:val="none"/>
                <w14:textFill>
                  <w14:solidFill>
                    <w14:schemeClr w14:val="tx1"/>
                  </w14:solidFill>
                </w14:textFill>
              </w:rPr>
              <w:t>废水</w:t>
            </w:r>
          </w:p>
        </w:tc>
        <w:tc>
          <w:tcPr>
            <w:tcW w:w="2170" w:type="dxa"/>
            <w:noWrap w:val="0"/>
            <w:vAlign w:val="center"/>
          </w:tcPr>
          <w:p w14:paraId="152088D1">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生活污水</w:t>
            </w:r>
          </w:p>
        </w:tc>
        <w:tc>
          <w:tcPr>
            <w:tcW w:w="1584" w:type="dxa"/>
            <w:noWrap w:val="0"/>
            <w:vAlign w:val="center"/>
          </w:tcPr>
          <w:p w14:paraId="3BB3AD85">
            <w:pPr>
              <w:widowControl/>
              <w:jc w:val="center"/>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307" w:type="dxa"/>
            <w:noWrap w:val="0"/>
            <w:vAlign w:val="center"/>
          </w:tcPr>
          <w:p w14:paraId="211C2593">
            <w:pPr>
              <w:widowControl/>
              <w:jc w:val="center"/>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681" w:type="dxa"/>
            <w:noWrap w:val="0"/>
            <w:vAlign w:val="center"/>
          </w:tcPr>
          <w:p w14:paraId="18691217">
            <w:pPr>
              <w:widowControl/>
              <w:jc w:val="center"/>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416" w:type="dxa"/>
            <w:noWrap w:val="0"/>
            <w:vAlign w:val="center"/>
          </w:tcPr>
          <w:p w14:paraId="4CDB08BA">
            <w:pPr>
              <w:widowControl/>
              <w:jc w:val="center"/>
              <w:rPr>
                <w:rFonts w:hint="default" w:eastAsia="宋体"/>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504</w:t>
            </w:r>
          </w:p>
        </w:tc>
        <w:tc>
          <w:tcPr>
            <w:tcW w:w="1318" w:type="dxa"/>
            <w:noWrap w:val="0"/>
            <w:vAlign w:val="center"/>
          </w:tcPr>
          <w:p w14:paraId="19134508">
            <w:pPr>
              <w:widowControl/>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0</w:t>
            </w:r>
          </w:p>
        </w:tc>
        <w:tc>
          <w:tcPr>
            <w:tcW w:w="1851" w:type="dxa"/>
            <w:noWrap w:val="0"/>
            <w:vAlign w:val="center"/>
          </w:tcPr>
          <w:p w14:paraId="2EF5F30B">
            <w:pPr>
              <w:widowControl/>
              <w:jc w:val="center"/>
              <w:rPr>
                <w:rFonts w:hint="default" w:eastAsia="宋体"/>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504</w:t>
            </w:r>
          </w:p>
        </w:tc>
        <w:tc>
          <w:tcPr>
            <w:tcW w:w="1120" w:type="dxa"/>
            <w:noWrap w:val="0"/>
            <w:vAlign w:val="center"/>
          </w:tcPr>
          <w:p w14:paraId="38893538">
            <w:pPr>
              <w:widowControl/>
              <w:jc w:val="center"/>
              <w:rPr>
                <w:rFonts w:hint="default" w:eastAsia="宋体"/>
                <w:color w:val="000000" w:themeColor="text1"/>
                <w:kern w:val="0"/>
                <w:szCs w:val="21"/>
                <w:highlight w:val="none"/>
                <w:lang w:val="en-US" w:eastAsia="zh-CN"/>
                <w14:textFill>
                  <w14:solidFill>
                    <w14:schemeClr w14:val="tx1"/>
                  </w14:solidFill>
                </w14:textFill>
              </w:rPr>
            </w:pPr>
            <w:r>
              <w:rPr>
                <w:color w:val="000000" w:themeColor="text1"/>
                <w:kern w:val="0"/>
                <w:szCs w:val="21"/>
                <w:highlight w:val="none"/>
                <w14:textFill>
                  <w14:solidFill>
                    <w14:schemeClr w14:val="tx1"/>
                  </w14:solidFill>
                </w14:textFill>
              </w:rPr>
              <w:t>+</w:t>
            </w:r>
            <w:r>
              <w:rPr>
                <w:rFonts w:hint="eastAsia"/>
                <w:color w:val="000000" w:themeColor="text1"/>
                <w:kern w:val="0"/>
                <w:szCs w:val="21"/>
                <w:highlight w:val="none"/>
                <w:lang w:val="en-US" w:eastAsia="zh-CN"/>
                <w14:textFill>
                  <w14:solidFill>
                    <w14:schemeClr w14:val="tx1"/>
                  </w14:solidFill>
                </w14:textFill>
              </w:rPr>
              <w:t>504</w:t>
            </w:r>
          </w:p>
        </w:tc>
      </w:tr>
      <w:tr w14:paraId="6A3185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41" w:type="dxa"/>
            <w:vMerge w:val="continue"/>
            <w:noWrap w:val="0"/>
            <w:vAlign w:val="center"/>
          </w:tcPr>
          <w:p w14:paraId="4A7D47A5">
            <w:pPr>
              <w:pStyle w:val="31"/>
              <w:spacing w:beforeLines="0" w:afterLines="0" w:line="240" w:lineRule="auto"/>
              <w:jc w:val="both"/>
              <w:rPr>
                <w:rFonts w:ascii="Times New Roman"/>
                <w:snapToGrid w:val="0"/>
                <w:color w:val="000000" w:themeColor="text1"/>
                <w:kern w:val="21"/>
                <w:sz w:val="21"/>
                <w:szCs w:val="21"/>
                <w:highlight w:val="none"/>
                <w14:textFill>
                  <w14:solidFill>
                    <w14:schemeClr w14:val="tx1"/>
                  </w14:solidFill>
                </w14:textFill>
              </w:rPr>
            </w:pPr>
          </w:p>
        </w:tc>
        <w:tc>
          <w:tcPr>
            <w:tcW w:w="2170" w:type="dxa"/>
            <w:noWrap w:val="0"/>
            <w:vAlign w:val="center"/>
          </w:tcPr>
          <w:p w14:paraId="251885B7">
            <w:pPr>
              <w:jc w:val="center"/>
              <w:rPr>
                <w:rFonts w:hint="eastAsia" w:eastAsia="宋体"/>
                <w:snapToGrid w:val="0"/>
                <w:color w:val="000000" w:themeColor="text1"/>
                <w:kern w:val="21"/>
                <w:szCs w:val="21"/>
                <w:highlight w:val="none"/>
                <w:lang w:val="en-US" w:eastAsia="zh-CN"/>
                <w14:textFill>
                  <w14:solidFill>
                    <w14:schemeClr w14:val="tx1"/>
                  </w14:solidFill>
                </w14:textFill>
              </w:rPr>
            </w:pPr>
            <w:r>
              <w:rPr>
                <w:rFonts w:hint="eastAsia"/>
                <w:color w:val="000000" w:themeColor="text1"/>
                <w:szCs w:val="21"/>
                <w:highlight w:val="none"/>
                <w:lang w:eastAsia="zh-CN"/>
                <w14:textFill>
                  <w14:solidFill>
                    <w14:schemeClr w14:val="tx1"/>
                  </w14:solidFill>
                </w14:textFill>
              </w:rPr>
              <w:t>COD</w:t>
            </w:r>
          </w:p>
        </w:tc>
        <w:tc>
          <w:tcPr>
            <w:tcW w:w="1584" w:type="dxa"/>
            <w:noWrap w:val="0"/>
            <w:vAlign w:val="center"/>
          </w:tcPr>
          <w:p w14:paraId="0F5F0551">
            <w:pPr>
              <w:widowControl/>
              <w:jc w:val="center"/>
              <w:rPr>
                <w:rFonts w:hint="eastAsia"/>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307" w:type="dxa"/>
            <w:noWrap w:val="0"/>
            <w:vAlign w:val="center"/>
          </w:tcPr>
          <w:p w14:paraId="19F73F18">
            <w:pPr>
              <w:widowControl/>
              <w:jc w:val="center"/>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681" w:type="dxa"/>
            <w:noWrap w:val="0"/>
            <w:vAlign w:val="center"/>
          </w:tcPr>
          <w:p w14:paraId="12D72942">
            <w:pPr>
              <w:widowControl/>
              <w:jc w:val="center"/>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416" w:type="dxa"/>
            <w:noWrap w:val="0"/>
            <w:vAlign w:val="center"/>
          </w:tcPr>
          <w:p w14:paraId="0A2B1748">
            <w:pPr>
              <w:widowControl/>
              <w:jc w:val="center"/>
              <w:rPr>
                <w:rFonts w:hint="default" w:eastAsia="宋体"/>
                <w:color w:val="000000" w:themeColor="text1"/>
                <w:kern w:val="0"/>
                <w:szCs w:val="21"/>
                <w:highlight w:val="none"/>
                <w:lang w:val="en-US" w:eastAsia="zh-CN"/>
                <w14:textFill>
                  <w14:solidFill>
                    <w14:schemeClr w14:val="tx1"/>
                  </w14:solidFill>
                </w14:textFill>
              </w:rPr>
            </w:pPr>
            <w:r>
              <w:rPr>
                <w:color w:val="000000" w:themeColor="text1"/>
                <w:kern w:val="0"/>
                <w:szCs w:val="21"/>
                <w:highlight w:val="none"/>
                <w14:textFill>
                  <w14:solidFill>
                    <w14:schemeClr w14:val="tx1"/>
                  </w14:solidFill>
                </w14:textFill>
              </w:rPr>
              <w:t>0.</w:t>
            </w:r>
            <w:r>
              <w:rPr>
                <w:rFonts w:hint="eastAsia"/>
                <w:color w:val="000000" w:themeColor="text1"/>
                <w:kern w:val="0"/>
                <w:szCs w:val="21"/>
                <w:highlight w:val="none"/>
                <w:lang w:val="en-US" w:eastAsia="zh-CN"/>
                <w14:textFill>
                  <w14:solidFill>
                    <w14:schemeClr w14:val="tx1"/>
                  </w14:solidFill>
                </w14:textFill>
              </w:rPr>
              <w:t>432</w:t>
            </w:r>
          </w:p>
        </w:tc>
        <w:tc>
          <w:tcPr>
            <w:tcW w:w="1318" w:type="dxa"/>
            <w:noWrap w:val="0"/>
            <w:vAlign w:val="center"/>
          </w:tcPr>
          <w:p w14:paraId="5B99352F">
            <w:pPr>
              <w:widowControl/>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0</w:t>
            </w:r>
          </w:p>
        </w:tc>
        <w:tc>
          <w:tcPr>
            <w:tcW w:w="1851" w:type="dxa"/>
            <w:noWrap w:val="0"/>
            <w:vAlign w:val="center"/>
          </w:tcPr>
          <w:p w14:paraId="6D9C6F2E">
            <w:pPr>
              <w:widowControl/>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0.</w:t>
            </w:r>
            <w:r>
              <w:rPr>
                <w:rFonts w:hint="eastAsia"/>
                <w:color w:val="000000" w:themeColor="text1"/>
                <w:kern w:val="0"/>
                <w:szCs w:val="21"/>
                <w:highlight w:val="none"/>
                <w:lang w:val="en-US" w:eastAsia="zh-CN"/>
                <w14:textFill>
                  <w14:solidFill>
                    <w14:schemeClr w14:val="tx1"/>
                  </w14:solidFill>
                </w14:textFill>
              </w:rPr>
              <w:t>432</w:t>
            </w:r>
          </w:p>
        </w:tc>
        <w:tc>
          <w:tcPr>
            <w:tcW w:w="1120" w:type="dxa"/>
            <w:noWrap w:val="0"/>
            <w:vAlign w:val="center"/>
          </w:tcPr>
          <w:p w14:paraId="071DA28B">
            <w:pPr>
              <w:widowControl/>
              <w:jc w:val="center"/>
              <w:rPr>
                <w:rFonts w:hint="eastAsia" w:eastAsia="宋体"/>
                <w:color w:val="000000" w:themeColor="text1"/>
                <w:kern w:val="0"/>
                <w:szCs w:val="21"/>
                <w:highlight w:val="none"/>
                <w:lang w:eastAsia="zh-CN"/>
                <w14:textFill>
                  <w14:solidFill>
                    <w14:schemeClr w14:val="tx1"/>
                  </w14:solidFill>
                </w14:textFill>
              </w:rPr>
            </w:pPr>
            <w:r>
              <w:rPr>
                <w:color w:val="000000" w:themeColor="text1"/>
                <w:kern w:val="0"/>
                <w:szCs w:val="21"/>
                <w:highlight w:val="none"/>
                <w14:textFill>
                  <w14:solidFill>
                    <w14:schemeClr w14:val="tx1"/>
                  </w14:solidFill>
                </w14:textFill>
              </w:rPr>
              <w:t>+0.</w:t>
            </w:r>
            <w:r>
              <w:rPr>
                <w:rFonts w:hint="eastAsia"/>
                <w:color w:val="000000" w:themeColor="text1"/>
                <w:kern w:val="0"/>
                <w:szCs w:val="21"/>
                <w:highlight w:val="none"/>
                <w:lang w:val="en-US" w:eastAsia="zh-CN"/>
                <w14:textFill>
                  <w14:solidFill>
                    <w14:schemeClr w14:val="tx1"/>
                  </w14:solidFill>
                </w14:textFill>
              </w:rPr>
              <w:t>432</w:t>
            </w:r>
          </w:p>
        </w:tc>
      </w:tr>
      <w:tr w14:paraId="178F28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41" w:type="dxa"/>
            <w:vMerge w:val="continue"/>
            <w:noWrap w:val="0"/>
            <w:vAlign w:val="center"/>
          </w:tcPr>
          <w:p w14:paraId="16DDCAF1">
            <w:pPr>
              <w:pStyle w:val="31"/>
              <w:spacing w:beforeLines="0" w:afterLines="0" w:line="240" w:lineRule="auto"/>
              <w:rPr>
                <w:rFonts w:ascii="Times New Roman"/>
                <w:snapToGrid w:val="0"/>
                <w:color w:val="000000" w:themeColor="text1"/>
                <w:kern w:val="21"/>
                <w:sz w:val="21"/>
                <w:szCs w:val="21"/>
                <w:highlight w:val="none"/>
                <w14:textFill>
                  <w14:solidFill>
                    <w14:schemeClr w14:val="tx1"/>
                  </w14:solidFill>
                </w14:textFill>
              </w:rPr>
            </w:pPr>
          </w:p>
        </w:tc>
        <w:tc>
          <w:tcPr>
            <w:tcW w:w="2170" w:type="dxa"/>
            <w:noWrap w:val="0"/>
            <w:vAlign w:val="center"/>
          </w:tcPr>
          <w:p w14:paraId="5C05A76E">
            <w:pPr>
              <w:jc w:val="center"/>
              <w:rPr>
                <w:snapToGrid w:val="0"/>
                <w:color w:val="000000" w:themeColor="text1"/>
                <w:kern w:val="21"/>
                <w:szCs w:val="21"/>
                <w:highlight w:val="none"/>
                <w14:textFill>
                  <w14:solidFill>
                    <w14:schemeClr w14:val="tx1"/>
                  </w14:solidFill>
                </w14:textFill>
              </w:rPr>
            </w:pPr>
            <w:r>
              <w:rPr>
                <w:color w:val="000000" w:themeColor="text1"/>
                <w:szCs w:val="21"/>
                <w:highlight w:val="none"/>
                <w14:textFill>
                  <w14:solidFill>
                    <w14:schemeClr w14:val="tx1"/>
                  </w14:solidFill>
                </w14:textFill>
              </w:rPr>
              <w:t>NH</w:t>
            </w:r>
            <w:r>
              <w:rPr>
                <w:color w:val="000000" w:themeColor="text1"/>
                <w:szCs w:val="21"/>
                <w:highlight w:val="none"/>
                <w:vertAlign w:val="subscript"/>
                <w14:textFill>
                  <w14:solidFill>
                    <w14:schemeClr w14:val="tx1"/>
                  </w14:solidFill>
                </w14:textFill>
              </w:rPr>
              <w:t>3</w:t>
            </w:r>
            <w:r>
              <w:rPr>
                <w:color w:val="000000" w:themeColor="text1"/>
                <w:szCs w:val="21"/>
                <w:highlight w:val="none"/>
                <w14:textFill>
                  <w14:solidFill>
                    <w14:schemeClr w14:val="tx1"/>
                  </w14:solidFill>
                </w14:textFill>
              </w:rPr>
              <w:t>-N</w:t>
            </w:r>
          </w:p>
        </w:tc>
        <w:tc>
          <w:tcPr>
            <w:tcW w:w="1584" w:type="dxa"/>
            <w:noWrap w:val="0"/>
            <w:vAlign w:val="center"/>
          </w:tcPr>
          <w:p w14:paraId="1A24FD1E">
            <w:pPr>
              <w:widowControl/>
              <w:jc w:val="center"/>
              <w:rPr>
                <w:rFonts w:hint="eastAsia"/>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307" w:type="dxa"/>
            <w:noWrap w:val="0"/>
            <w:vAlign w:val="center"/>
          </w:tcPr>
          <w:p w14:paraId="5FE5AB93">
            <w:pPr>
              <w:widowControl/>
              <w:jc w:val="center"/>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681" w:type="dxa"/>
            <w:noWrap w:val="0"/>
            <w:vAlign w:val="center"/>
          </w:tcPr>
          <w:p w14:paraId="3930E636">
            <w:pPr>
              <w:widowControl/>
              <w:jc w:val="center"/>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416" w:type="dxa"/>
            <w:noWrap w:val="0"/>
            <w:vAlign w:val="center"/>
          </w:tcPr>
          <w:p w14:paraId="6CED79E7">
            <w:pPr>
              <w:widowControl/>
              <w:jc w:val="center"/>
              <w:rPr>
                <w:rFonts w:hint="default" w:eastAsia="宋体"/>
                <w:color w:val="000000" w:themeColor="text1"/>
                <w:kern w:val="0"/>
                <w:szCs w:val="21"/>
                <w:highlight w:val="none"/>
                <w:lang w:val="en-US" w:eastAsia="zh-CN"/>
                <w14:textFill>
                  <w14:solidFill>
                    <w14:schemeClr w14:val="tx1"/>
                  </w14:solidFill>
                </w14:textFill>
              </w:rPr>
            </w:pPr>
            <w:r>
              <w:rPr>
                <w:rFonts w:hint="eastAsia" w:eastAsia="宋体"/>
                <w:color w:val="000000" w:themeColor="text1"/>
                <w:kern w:val="0"/>
                <w:szCs w:val="21"/>
                <w:highlight w:val="none"/>
                <w:lang w:val="en-US" w:eastAsia="zh-CN"/>
                <w14:textFill>
                  <w14:solidFill>
                    <w14:schemeClr w14:val="tx1"/>
                  </w14:solidFill>
                </w14:textFill>
              </w:rPr>
              <w:t>0.0</w:t>
            </w:r>
            <w:r>
              <w:rPr>
                <w:rFonts w:hint="eastAsia"/>
                <w:color w:val="000000" w:themeColor="text1"/>
                <w:kern w:val="0"/>
                <w:szCs w:val="21"/>
                <w:highlight w:val="none"/>
                <w:lang w:val="en-US" w:eastAsia="zh-CN"/>
                <w14:textFill>
                  <w14:solidFill>
                    <w14:schemeClr w14:val="tx1"/>
                  </w14:solidFill>
                </w14:textFill>
              </w:rPr>
              <w:t>38</w:t>
            </w:r>
          </w:p>
        </w:tc>
        <w:tc>
          <w:tcPr>
            <w:tcW w:w="1318" w:type="dxa"/>
            <w:noWrap w:val="0"/>
            <w:vAlign w:val="center"/>
          </w:tcPr>
          <w:p w14:paraId="003EB010">
            <w:pPr>
              <w:widowControl/>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0</w:t>
            </w:r>
          </w:p>
        </w:tc>
        <w:tc>
          <w:tcPr>
            <w:tcW w:w="1851" w:type="dxa"/>
            <w:noWrap w:val="0"/>
            <w:vAlign w:val="center"/>
          </w:tcPr>
          <w:p w14:paraId="1688EC73">
            <w:pPr>
              <w:widowControl/>
              <w:jc w:val="center"/>
              <w:rPr>
                <w:color w:val="000000" w:themeColor="text1"/>
                <w:kern w:val="0"/>
                <w:szCs w:val="21"/>
                <w:highlight w:val="none"/>
                <w14:textFill>
                  <w14:solidFill>
                    <w14:schemeClr w14:val="tx1"/>
                  </w14:solidFill>
                </w14:textFill>
              </w:rPr>
            </w:pPr>
            <w:r>
              <w:rPr>
                <w:rFonts w:hint="eastAsia" w:eastAsia="宋体"/>
                <w:color w:val="000000" w:themeColor="text1"/>
                <w:kern w:val="0"/>
                <w:szCs w:val="21"/>
                <w:highlight w:val="none"/>
                <w:lang w:val="en-US" w:eastAsia="zh-CN"/>
                <w14:textFill>
                  <w14:solidFill>
                    <w14:schemeClr w14:val="tx1"/>
                  </w14:solidFill>
                </w14:textFill>
              </w:rPr>
              <w:t>0.0</w:t>
            </w:r>
            <w:r>
              <w:rPr>
                <w:rFonts w:hint="eastAsia"/>
                <w:color w:val="000000" w:themeColor="text1"/>
                <w:kern w:val="0"/>
                <w:szCs w:val="21"/>
                <w:highlight w:val="none"/>
                <w:lang w:val="en-US" w:eastAsia="zh-CN"/>
                <w14:textFill>
                  <w14:solidFill>
                    <w14:schemeClr w14:val="tx1"/>
                  </w14:solidFill>
                </w14:textFill>
              </w:rPr>
              <w:t>38</w:t>
            </w:r>
          </w:p>
        </w:tc>
        <w:tc>
          <w:tcPr>
            <w:tcW w:w="1120" w:type="dxa"/>
            <w:noWrap w:val="0"/>
            <w:vAlign w:val="center"/>
          </w:tcPr>
          <w:p w14:paraId="3A0328D3">
            <w:pPr>
              <w:widowControl/>
              <w:jc w:val="center"/>
              <w:rPr>
                <w:rFonts w:hint="eastAsia" w:eastAsia="宋体"/>
                <w:color w:val="000000" w:themeColor="text1"/>
                <w:kern w:val="0"/>
                <w:szCs w:val="21"/>
                <w:highlight w:val="none"/>
                <w:lang w:eastAsia="zh-CN"/>
                <w14:textFill>
                  <w14:solidFill>
                    <w14:schemeClr w14:val="tx1"/>
                  </w14:solidFill>
                </w14:textFill>
              </w:rPr>
            </w:pPr>
            <w:r>
              <w:rPr>
                <w:color w:val="000000" w:themeColor="text1"/>
                <w:kern w:val="0"/>
                <w:szCs w:val="21"/>
                <w:highlight w:val="none"/>
                <w14:textFill>
                  <w14:solidFill>
                    <w14:schemeClr w14:val="tx1"/>
                  </w14:solidFill>
                </w14:textFill>
              </w:rPr>
              <w:t>+</w:t>
            </w:r>
            <w:r>
              <w:rPr>
                <w:rFonts w:hint="eastAsia" w:eastAsia="宋体"/>
                <w:color w:val="000000" w:themeColor="text1"/>
                <w:kern w:val="0"/>
                <w:szCs w:val="21"/>
                <w:highlight w:val="none"/>
                <w:lang w:val="en-US" w:eastAsia="zh-CN"/>
                <w14:textFill>
                  <w14:solidFill>
                    <w14:schemeClr w14:val="tx1"/>
                  </w14:solidFill>
                </w14:textFill>
              </w:rPr>
              <w:t>0.0</w:t>
            </w:r>
            <w:r>
              <w:rPr>
                <w:rFonts w:hint="eastAsia"/>
                <w:color w:val="000000" w:themeColor="text1"/>
                <w:kern w:val="0"/>
                <w:szCs w:val="21"/>
                <w:highlight w:val="none"/>
                <w:lang w:val="en-US" w:eastAsia="zh-CN"/>
                <w14:textFill>
                  <w14:solidFill>
                    <w14:schemeClr w14:val="tx1"/>
                  </w14:solidFill>
                </w14:textFill>
              </w:rPr>
              <w:t>38</w:t>
            </w:r>
          </w:p>
        </w:tc>
      </w:tr>
      <w:tr w14:paraId="1D6051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41" w:type="dxa"/>
            <w:vMerge w:val="continue"/>
            <w:noWrap w:val="0"/>
            <w:vAlign w:val="center"/>
          </w:tcPr>
          <w:p w14:paraId="63EE24CD">
            <w:pPr>
              <w:pStyle w:val="31"/>
              <w:spacing w:beforeLines="0" w:afterLines="0" w:line="240" w:lineRule="auto"/>
              <w:rPr>
                <w:rFonts w:ascii="Times New Roman"/>
                <w:snapToGrid w:val="0"/>
                <w:color w:val="000000" w:themeColor="text1"/>
                <w:kern w:val="21"/>
                <w:sz w:val="21"/>
                <w:szCs w:val="21"/>
                <w:highlight w:val="none"/>
                <w14:textFill>
                  <w14:solidFill>
                    <w14:schemeClr w14:val="tx1"/>
                  </w14:solidFill>
                </w14:textFill>
              </w:rPr>
            </w:pPr>
          </w:p>
        </w:tc>
        <w:tc>
          <w:tcPr>
            <w:tcW w:w="2170" w:type="dxa"/>
            <w:noWrap w:val="0"/>
            <w:vAlign w:val="center"/>
          </w:tcPr>
          <w:p w14:paraId="03200FD2">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SS</w:t>
            </w:r>
          </w:p>
        </w:tc>
        <w:tc>
          <w:tcPr>
            <w:tcW w:w="1584" w:type="dxa"/>
            <w:noWrap w:val="0"/>
            <w:vAlign w:val="center"/>
          </w:tcPr>
          <w:p w14:paraId="123398A4">
            <w:pPr>
              <w:widowControl/>
              <w:jc w:val="center"/>
              <w:rPr>
                <w:rFonts w:hint="eastAsia"/>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307" w:type="dxa"/>
            <w:noWrap w:val="0"/>
            <w:vAlign w:val="center"/>
          </w:tcPr>
          <w:p w14:paraId="6B454E4A">
            <w:pPr>
              <w:widowControl/>
              <w:jc w:val="center"/>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681" w:type="dxa"/>
            <w:noWrap w:val="0"/>
            <w:vAlign w:val="center"/>
          </w:tcPr>
          <w:p w14:paraId="4050F93E">
            <w:pPr>
              <w:widowControl/>
              <w:jc w:val="center"/>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416" w:type="dxa"/>
            <w:noWrap w:val="0"/>
            <w:vAlign w:val="center"/>
          </w:tcPr>
          <w:p w14:paraId="073B2D9B">
            <w:pPr>
              <w:widowControl/>
              <w:jc w:val="center"/>
              <w:rPr>
                <w:rFonts w:hint="eastAsia" w:eastAsia="宋体"/>
                <w:color w:val="000000" w:themeColor="text1"/>
                <w:kern w:val="0"/>
                <w:szCs w:val="21"/>
                <w:highlight w:val="none"/>
                <w:lang w:val="en-US" w:eastAsia="zh-CN"/>
                <w14:textFill>
                  <w14:solidFill>
                    <w14:schemeClr w14:val="tx1"/>
                  </w14:solidFill>
                </w14:textFill>
              </w:rPr>
            </w:pPr>
            <w:r>
              <w:rPr>
                <w:color w:val="000000" w:themeColor="text1"/>
                <w:kern w:val="0"/>
                <w:szCs w:val="21"/>
                <w:highlight w:val="none"/>
                <w14:textFill>
                  <w14:solidFill>
                    <w14:schemeClr w14:val="tx1"/>
                  </w14:solidFill>
                </w14:textFill>
              </w:rPr>
              <w:t>0.</w:t>
            </w:r>
            <w:r>
              <w:rPr>
                <w:rFonts w:hint="eastAsia"/>
                <w:color w:val="000000" w:themeColor="text1"/>
                <w:kern w:val="0"/>
                <w:szCs w:val="21"/>
                <w:highlight w:val="none"/>
                <w:lang w:val="en-US" w:eastAsia="zh-CN"/>
                <w14:textFill>
                  <w14:solidFill>
                    <w14:schemeClr w14:val="tx1"/>
                  </w14:solidFill>
                </w14:textFill>
              </w:rPr>
              <w:t>27</w:t>
            </w:r>
          </w:p>
        </w:tc>
        <w:tc>
          <w:tcPr>
            <w:tcW w:w="1318" w:type="dxa"/>
            <w:noWrap w:val="0"/>
            <w:vAlign w:val="center"/>
          </w:tcPr>
          <w:p w14:paraId="1558A199">
            <w:pPr>
              <w:widowControl/>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0</w:t>
            </w:r>
          </w:p>
        </w:tc>
        <w:tc>
          <w:tcPr>
            <w:tcW w:w="1851" w:type="dxa"/>
            <w:noWrap w:val="0"/>
            <w:vAlign w:val="center"/>
          </w:tcPr>
          <w:p w14:paraId="19B2283D">
            <w:pPr>
              <w:widowControl/>
              <w:jc w:val="center"/>
              <w:rPr>
                <w:rFonts w:hint="eastAsia" w:eastAsia="宋体"/>
                <w:color w:val="000000" w:themeColor="text1"/>
                <w:kern w:val="0"/>
                <w:szCs w:val="21"/>
                <w:highlight w:val="none"/>
                <w:lang w:eastAsia="zh-CN"/>
                <w14:textFill>
                  <w14:solidFill>
                    <w14:schemeClr w14:val="tx1"/>
                  </w14:solidFill>
                </w14:textFill>
              </w:rPr>
            </w:pPr>
            <w:r>
              <w:rPr>
                <w:color w:val="000000" w:themeColor="text1"/>
                <w:kern w:val="0"/>
                <w:szCs w:val="21"/>
                <w:highlight w:val="none"/>
                <w14:textFill>
                  <w14:solidFill>
                    <w14:schemeClr w14:val="tx1"/>
                  </w14:solidFill>
                </w14:textFill>
              </w:rPr>
              <w:t>0.</w:t>
            </w:r>
            <w:r>
              <w:rPr>
                <w:rFonts w:hint="eastAsia"/>
                <w:color w:val="000000" w:themeColor="text1"/>
                <w:kern w:val="0"/>
                <w:szCs w:val="21"/>
                <w:highlight w:val="none"/>
                <w:lang w:val="en-US" w:eastAsia="zh-CN"/>
                <w14:textFill>
                  <w14:solidFill>
                    <w14:schemeClr w14:val="tx1"/>
                  </w14:solidFill>
                </w14:textFill>
              </w:rPr>
              <w:t>27</w:t>
            </w:r>
          </w:p>
        </w:tc>
        <w:tc>
          <w:tcPr>
            <w:tcW w:w="1120" w:type="dxa"/>
            <w:noWrap w:val="0"/>
            <w:vAlign w:val="center"/>
          </w:tcPr>
          <w:p w14:paraId="2E2356CD">
            <w:pPr>
              <w:widowControl/>
              <w:jc w:val="center"/>
              <w:rPr>
                <w:rFonts w:hint="eastAsia" w:eastAsia="宋体"/>
                <w:color w:val="000000" w:themeColor="text1"/>
                <w:kern w:val="0"/>
                <w:szCs w:val="21"/>
                <w:highlight w:val="none"/>
                <w:lang w:eastAsia="zh-CN"/>
                <w14:textFill>
                  <w14:solidFill>
                    <w14:schemeClr w14:val="tx1"/>
                  </w14:solidFill>
                </w14:textFill>
              </w:rPr>
            </w:pPr>
            <w:r>
              <w:rPr>
                <w:color w:val="000000" w:themeColor="text1"/>
                <w:kern w:val="0"/>
                <w:szCs w:val="21"/>
                <w:highlight w:val="none"/>
                <w14:textFill>
                  <w14:solidFill>
                    <w14:schemeClr w14:val="tx1"/>
                  </w14:solidFill>
                </w14:textFill>
              </w:rPr>
              <w:t>+0.</w:t>
            </w:r>
            <w:r>
              <w:rPr>
                <w:rFonts w:hint="eastAsia"/>
                <w:color w:val="000000" w:themeColor="text1"/>
                <w:kern w:val="0"/>
                <w:szCs w:val="21"/>
                <w:highlight w:val="none"/>
                <w:lang w:val="en-US" w:eastAsia="zh-CN"/>
                <w14:textFill>
                  <w14:solidFill>
                    <w14:schemeClr w14:val="tx1"/>
                  </w14:solidFill>
                </w14:textFill>
              </w:rPr>
              <w:t>27</w:t>
            </w:r>
          </w:p>
        </w:tc>
      </w:tr>
      <w:tr w14:paraId="5DA655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41" w:type="dxa"/>
            <w:vMerge w:val="continue"/>
            <w:noWrap w:val="0"/>
            <w:vAlign w:val="center"/>
          </w:tcPr>
          <w:p w14:paraId="1276C7C0">
            <w:pPr>
              <w:pStyle w:val="31"/>
              <w:spacing w:beforeLines="0" w:afterLines="0" w:line="240" w:lineRule="auto"/>
              <w:rPr>
                <w:rFonts w:ascii="Times New Roman"/>
                <w:snapToGrid w:val="0"/>
                <w:color w:val="000000" w:themeColor="text1"/>
                <w:kern w:val="21"/>
                <w:sz w:val="21"/>
                <w:szCs w:val="21"/>
                <w:highlight w:val="none"/>
                <w14:textFill>
                  <w14:solidFill>
                    <w14:schemeClr w14:val="tx1"/>
                  </w14:solidFill>
                </w14:textFill>
              </w:rPr>
            </w:pPr>
          </w:p>
        </w:tc>
        <w:tc>
          <w:tcPr>
            <w:tcW w:w="2170" w:type="dxa"/>
            <w:noWrap w:val="0"/>
            <w:vAlign w:val="center"/>
          </w:tcPr>
          <w:p w14:paraId="090307E8">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BOD</w:t>
            </w:r>
            <w:r>
              <w:rPr>
                <w:color w:val="000000" w:themeColor="text1"/>
                <w:szCs w:val="21"/>
                <w:highlight w:val="none"/>
                <w:vertAlign w:val="subscript"/>
                <w14:textFill>
                  <w14:solidFill>
                    <w14:schemeClr w14:val="tx1"/>
                  </w14:solidFill>
                </w14:textFill>
              </w:rPr>
              <w:t>5</w:t>
            </w:r>
          </w:p>
        </w:tc>
        <w:tc>
          <w:tcPr>
            <w:tcW w:w="1584" w:type="dxa"/>
            <w:noWrap w:val="0"/>
            <w:vAlign w:val="center"/>
          </w:tcPr>
          <w:p w14:paraId="7E757760">
            <w:pPr>
              <w:widowControl/>
              <w:jc w:val="center"/>
              <w:rPr>
                <w:rFonts w:hint="eastAsia"/>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307" w:type="dxa"/>
            <w:noWrap w:val="0"/>
            <w:vAlign w:val="center"/>
          </w:tcPr>
          <w:p w14:paraId="283FFAC5">
            <w:pPr>
              <w:widowControl/>
              <w:jc w:val="center"/>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681" w:type="dxa"/>
            <w:noWrap w:val="0"/>
            <w:vAlign w:val="center"/>
          </w:tcPr>
          <w:p w14:paraId="56D0F07C">
            <w:pPr>
              <w:widowControl/>
              <w:jc w:val="center"/>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416" w:type="dxa"/>
            <w:noWrap w:val="0"/>
            <w:vAlign w:val="center"/>
          </w:tcPr>
          <w:p w14:paraId="2D7F2CE9">
            <w:pPr>
              <w:widowControl/>
              <w:jc w:val="center"/>
              <w:rPr>
                <w:rFonts w:hint="default" w:eastAsia="宋体"/>
                <w:color w:val="000000" w:themeColor="text1"/>
                <w:kern w:val="0"/>
                <w:szCs w:val="21"/>
                <w:highlight w:val="none"/>
                <w:lang w:val="en-US" w:eastAsia="zh-CN"/>
                <w14:textFill>
                  <w14:solidFill>
                    <w14:schemeClr w14:val="tx1"/>
                  </w14:solidFill>
                </w14:textFill>
              </w:rPr>
            </w:pPr>
            <w:r>
              <w:rPr>
                <w:color w:val="000000" w:themeColor="text1"/>
                <w:kern w:val="0"/>
                <w:szCs w:val="21"/>
                <w:highlight w:val="none"/>
                <w14:textFill>
                  <w14:solidFill>
                    <w14:schemeClr w14:val="tx1"/>
                  </w14:solidFill>
                </w14:textFill>
              </w:rPr>
              <w:t>0.</w:t>
            </w:r>
            <w:r>
              <w:rPr>
                <w:rFonts w:hint="eastAsia"/>
                <w:color w:val="000000" w:themeColor="text1"/>
                <w:kern w:val="0"/>
                <w:szCs w:val="21"/>
                <w:highlight w:val="none"/>
                <w:lang w:val="en-US" w:eastAsia="zh-CN"/>
                <w14:textFill>
                  <w14:solidFill>
                    <w14:schemeClr w14:val="tx1"/>
                  </w14:solidFill>
                </w14:textFill>
              </w:rPr>
              <w:t>324</w:t>
            </w:r>
          </w:p>
        </w:tc>
        <w:tc>
          <w:tcPr>
            <w:tcW w:w="1318" w:type="dxa"/>
            <w:noWrap w:val="0"/>
            <w:vAlign w:val="center"/>
          </w:tcPr>
          <w:p w14:paraId="335E335F">
            <w:pPr>
              <w:widowControl/>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0</w:t>
            </w:r>
          </w:p>
        </w:tc>
        <w:tc>
          <w:tcPr>
            <w:tcW w:w="1851" w:type="dxa"/>
            <w:noWrap w:val="0"/>
            <w:vAlign w:val="center"/>
          </w:tcPr>
          <w:p w14:paraId="1B6A7E2F">
            <w:pPr>
              <w:widowControl/>
              <w:jc w:val="center"/>
              <w:rPr>
                <w:rFonts w:hint="eastAsia" w:eastAsia="宋体"/>
                <w:color w:val="000000" w:themeColor="text1"/>
                <w:kern w:val="0"/>
                <w:szCs w:val="21"/>
                <w:highlight w:val="none"/>
                <w:lang w:eastAsia="zh-CN"/>
                <w14:textFill>
                  <w14:solidFill>
                    <w14:schemeClr w14:val="tx1"/>
                  </w14:solidFill>
                </w14:textFill>
              </w:rPr>
            </w:pPr>
            <w:r>
              <w:rPr>
                <w:color w:val="000000" w:themeColor="text1"/>
                <w:kern w:val="0"/>
                <w:szCs w:val="21"/>
                <w:highlight w:val="none"/>
                <w14:textFill>
                  <w14:solidFill>
                    <w14:schemeClr w14:val="tx1"/>
                  </w14:solidFill>
                </w14:textFill>
              </w:rPr>
              <w:t>0.</w:t>
            </w:r>
            <w:r>
              <w:rPr>
                <w:rFonts w:hint="eastAsia"/>
                <w:color w:val="000000" w:themeColor="text1"/>
                <w:kern w:val="0"/>
                <w:szCs w:val="21"/>
                <w:highlight w:val="none"/>
                <w:lang w:val="en-US" w:eastAsia="zh-CN"/>
                <w14:textFill>
                  <w14:solidFill>
                    <w14:schemeClr w14:val="tx1"/>
                  </w14:solidFill>
                </w14:textFill>
              </w:rPr>
              <w:t>324</w:t>
            </w:r>
          </w:p>
        </w:tc>
        <w:tc>
          <w:tcPr>
            <w:tcW w:w="1120" w:type="dxa"/>
            <w:noWrap w:val="0"/>
            <w:vAlign w:val="center"/>
          </w:tcPr>
          <w:p w14:paraId="4912E958">
            <w:pPr>
              <w:widowControl/>
              <w:jc w:val="center"/>
              <w:rPr>
                <w:rFonts w:hint="eastAsia" w:eastAsia="宋体"/>
                <w:color w:val="000000" w:themeColor="text1"/>
                <w:kern w:val="0"/>
                <w:szCs w:val="21"/>
                <w:highlight w:val="none"/>
                <w:lang w:val="en-US" w:eastAsia="zh-CN"/>
                <w14:textFill>
                  <w14:solidFill>
                    <w14:schemeClr w14:val="tx1"/>
                  </w14:solidFill>
                </w14:textFill>
              </w:rPr>
            </w:pPr>
            <w:r>
              <w:rPr>
                <w:color w:val="000000" w:themeColor="text1"/>
                <w:kern w:val="0"/>
                <w:szCs w:val="21"/>
                <w:highlight w:val="none"/>
                <w14:textFill>
                  <w14:solidFill>
                    <w14:schemeClr w14:val="tx1"/>
                  </w14:solidFill>
                </w14:textFill>
              </w:rPr>
              <w:t>+0.</w:t>
            </w:r>
            <w:r>
              <w:rPr>
                <w:rFonts w:hint="eastAsia"/>
                <w:color w:val="000000" w:themeColor="text1"/>
                <w:kern w:val="0"/>
                <w:szCs w:val="21"/>
                <w:highlight w:val="none"/>
                <w:lang w:val="en-US" w:eastAsia="zh-CN"/>
                <w14:textFill>
                  <w14:solidFill>
                    <w14:schemeClr w14:val="tx1"/>
                  </w14:solidFill>
                </w14:textFill>
              </w:rPr>
              <w:t>324</w:t>
            </w:r>
          </w:p>
        </w:tc>
      </w:tr>
      <w:tr w14:paraId="370BD99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41" w:type="dxa"/>
            <w:noWrap w:val="0"/>
            <w:vAlign w:val="center"/>
          </w:tcPr>
          <w:p w14:paraId="23DBD070">
            <w:pPr>
              <w:pStyle w:val="31"/>
              <w:spacing w:beforeLines="0" w:afterLines="0" w:line="240" w:lineRule="auto"/>
              <w:ind w:firstLine="0"/>
              <w:jc w:val="both"/>
              <w:rPr>
                <w:rFonts w:hint="eastAsia" w:ascii="Times New Roman" w:eastAsia="宋体"/>
                <w:snapToGrid w:val="0"/>
                <w:color w:val="000000" w:themeColor="text1"/>
                <w:kern w:val="21"/>
                <w:sz w:val="21"/>
                <w:szCs w:val="21"/>
                <w:highlight w:val="none"/>
                <w:lang w:val="en-US" w:eastAsia="zh-CN"/>
                <w14:textFill>
                  <w14:solidFill>
                    <w14:schemeClr w14:val="tx1"/>
                  </w14:solidFill>
                </w14:textFill>
              </w:rPr>
            </w:pPr>
            <w:r>
              <w:rPr>
                <w:rFonts w:hint="eastAsia" w:ascii="Times New Roman"/>
                <w:snapToGrid w:val="0"/>
                <w:color w:val="000000" w:themeColor="text1"/>
                <w:kern w:val="21"/>
                <w:sz w:val="21"/>
                <w:szCs w:val="21"/>
                <w:highlight w:val="none"/>
                <w:lang w:val="en-US" w:eastAsia="zh-CN"/>
                <w14:textFill>
                  <w14:solidFill>
                    <w14:schemeClr w14:val="tx1"/>
                  </w14:solidFill>
                </w14:textFill>
              </w:rPr>
              <w:t>/</w:t>
            </w:r>
          </w:p>
        </w:tc>
        <w:tc>
          <w:tcPr>
            <w:tcW w:w="2170" w:type="dxa"/>
            <w:noWrap w:val="0"/>
            <w:vAlign w:val="center"/>
          </w:tcPr>
          <w:p w14:paraId="5EDB67CA">
            <w:pPr>
              <w:pStyle w:val="31"/>
              <w:spacing w:beforeLines="0" w:afterLines="0" w:line="240" w:lineRule="auto"/>
              <w:ind w:firstLine="0"/>
              <w:rPr>
                <w:rFonts w:ascii="Times New Roman"/>
                <w:snapToGrid w:val="0"/>
                <w:color w:val="000000" w:themeColor="text1"/>
                <w:kern w:val="21"/>
                <w:sz w:val="21"/>
                <w:szCs w:val="21"/>
                <w:highlight w:val="none"/>
                <w14:textFill>
                  <w14:solidFill>
                    <w14:schemeClr w14:val="tx1"/>
                  </w14:solidFill>
                </w14:textFill>
              </w:rPr>
            </w:pPr>
            <w:r>
              <w:rPr>
                <w:rFonts w:ascii="Times New Roman"/>
                <w:snapToGrid w:val="0"/>
                <w:color w:val="000000" w:themeColor="text1"/>
                <w:kern w:val="21"/>
                <w:sz w:val="21"/>
                <w:szCs w:val="21"/>
                <w:highlight w:val="none"/>
                <w14:textFill>
                  <w14:solidFill>
                    <w14:schemeClr w14:val="tx1"/>
                  </w14:solidFill>
                </w14:textFill>
              </w:rPr>
              <w:t>生活垃圾</w:t>
            </w:r>
          </w:p>
        </w:tc>
        <w:tc>
          <w:tcPr>
            <w:tcW w:w="1584" w:type="dxa"/>
            <w:noWrap w:val="0"/>
            <w:vAlign w:val="center"/>
          </w:tcPr>
          <w:p w14:paraId="3647EC48">
            <w:pPr>
              <w:widowControl/>
              <w:jc w:val="center"/>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307" w:type="dxa"/>
            <w:noWrap w:val="0"/>
            <w:vAlign w:val="center"/>
          </w:tcPr>
          <w:p w14:paraId="1A2698A4">
            <w:pPr>
              <w:widowControl/>
              <w:jc w:val="center"/>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681" w:type="dxa"/>
            <w:noWrap w:val="0"/>
            <w:vAlign w:val="center"/>
          </w:tcPr>
          <w:p w14:paraId="0B51526B">
            <w:pPr>
              <w:widowControl/>
              <w:jc w:val="center"/>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416" w:type="dxa"/>
            <w:noWrap w:val="0"/>
            <w:vAlign w:val="center"/>
          </w:tcPr>
          <w:p w14:paraId="212BC07C">
            <w:pPr>
              <w:widowControl/>
              <w:jc w:val="center"/>
              <w:rPr>
                <w:rFonts w:hint="default" w:eastAsia="宋体"/>
                <w:color w:val="000000" w:themeColor="text1"/>
                <w:kern w:val="0"/>
                <w:szCs w:val="21"/>
                <w:highlight w:val="none"/>
                <w:lang w:val="en-US" w:eastAsia="zh-CN"/>
                <w14:textFill>
                  <w14:solidFill>
                    <w14:schemeClr w14:val="tx1"/>
                  </w14:solidFill>
                </w14:textFill>
              </w:rPr>
            </w:pPr>
            <w:r>
              <w:rPr>
                <w:rFonts w:hint="eastAsia" w:eastAsia="宋体"/>
                <w:color w:val="000000" w:themeColor="text1"/>
                <w:kern w:val="0"/>
                <w:szCs w:val="21"/>
                <w:highlight w:val="none"/>
                <w:lang w:val="en-US" w:eastAsia="zh-CN"/>
                <w14:textFill>
                  <w14:solidFill>
                    <w14:schemeClr w14:val="tx1"/>
                  </w14:solidFill>
                </w14:textFill>
              </w:rPr>
              <w:t>5.25</w:t>
            </w:r>
          </w:p>
        </w:tc>
        <w:tc>
          <w:tcPr>
            <w:tcW w:w="1318" w:type="dxa"/>
            <w:noWrap w:val="0"/>
            <w:vAlign w:val="center"/>
          </w:tcPr>
          <w:p w14:paraId="7FE48723">
            <w:pPr>
              <w:widowControl/>
              <w:jc w:val="center"/>
              <w:rPr>
                <w:color w:val="000000" w:themeColor="text1"/>
                <w:kern w:val="0"/>
                <w:szCs w:val="21"/>
                <w:highlight w:val="none"/>
                <w14:textFill>
                  <w14:solidFill>
                    <w14:schemeClr w14:val="tx1"/>
                  </w14:solidFill>
                </w14:textFill>
              </w:rPr>
            </w:pPr>
            <w:r>
              <w:rPr>
                <w:color w:val="000000" w:themeColor="text1"/>
                <w:kern w:val="0"/>
                <w:szCs w:val="21"/>
                <w:highlight w:val="none"/>
                <w14:textFill>
                  <w14:solidFill>
                    <w14:schemeClr w14:val="tx1"/>
                  </w14:solidFill>
                </w14:textFill>
              </w:rPr>
              <w:t>0</w:t>
            </w:r>
          </w:p>
        </w:tc>
        <w:tc>
          <w:tcPr>
            <w:tcW w:w="1851" w:type="dxa"/>
            <w:noWrap w:val="0"/>
            <w:vAlign w:val="center"/>
          </w:tcPr>
          <w:p w14:paraId="1C84D434">
            <w:pPr>
              <w:widowControl/>
              <w:jc w:val="center"/>
              <w:rPr>
                <w:rFonts w:hint="default" w:eastAsia="宋体"/>
                <w:color w:val="000000" w:themeColor="text1"/>
                <w:kern w:val="0"/>
                <w:szCs w:val="21"/>
                <w:highlight w:val="none"/>
                <w:lang w:val="en-US" w:eastAsia="zh-CN"/>
                <w14:textFill>
                  <w14:solidFill>
                    <w14:schemeClr w14:val="tx1"/>
                  </w14:solidFill>
                </w14:textFill>
              </w:rPr>
            </w:pPr>
            <w:r>
              <w:rPr>
                <w:rFonts w:hint="eastAsia" w:eastAsia="宋体"/>
                <w:color w:val="000000" w:themeColor="text1"/>
                <w:kern w:val="0"/>
                <w:szCs w:val="21"/>
                <w:highlight w:val="none"/>
                <w:lang w:val="en-US" w:eastAsia="zh-CN"/>
                <w14:textFill>
                  <w14:solidFill>
                    <w14:schemeClr w14:val="tx1"/>
                  </w14:solidFill>
                </w14:textFill>
              </w:rPr>
              <w:t>5.25</w:t>
            </w:r>
          </w:p>
        </w:tc>
        <w:tc>
          <w:tcPr>
            <w:tcW w:w="1120" w:type="dxa"/>
            <w:noWrap w:val="0"/>
            <w:vAlign w:val="center"/>
          </w:tcPr>
          <w:p w14:paraId="68E3CE2A">
            <w:pPr>
              <w:widowControl/>
              <w:jc w:val="center"/>
              <w:rPr>
                <w:rFonts w:hint="default" w:eastAsia="宋体"/>
                <w:color w:val="000000" w:themeColor="text1"/>
                <w:kern w:val="0"/>
                <w:szCs w:val="21"/>
                <w:highlight w:val="none"/>
                <w:lang w:val="en-US" w:eastAsia="zh-CN"/>
                <w14:textFill>
                  <w14:solidFill>
                    <w14:schemeClr w14:val="tx1"/>
                  </w14:solidFill>
                </w14:textFill>
              </w:rPr>
            </w:pPr>
            <w:r>
              <w:rPr>
                <w:color w:val="000000" w:themeColor="text1"/>
                <w:kern w:val="0"/>
                <w:szCs w:val="21"/>
                <w:highlight w:val="none"/>
                <w14:textFill>
                  <w14:solidFill>
                    <w14:schemeClr w14:val="tx1"/>
                  </w14:solidFill>
                </w14:textFill>
              </w:rPr>
              <w:t>+</w:t>
            </w:r>
            <w:r>
              <w:rPr>
                <w:rFonts w:hint="eastAsia" w:eastAsia="宋体"/>
                <w:color w:val="000000" w:themeColor="text1"/>
                <w:kern w:val="0"/>
                <w:szCs w:val="21"/>
                <w:highlight w:val="none"/>
                <w:lang w:val="en-US" w:eastAsia="zh-CN"/>
                <w14:textFill>
                  <w14:solidFill>
                    <w14:schemeClr w14:val="tx1"/>
                  </w14:solidFill>
                </w14:textFill>
              </w:rPr>
              <w:t>5.25</w:t>
            </w:r>
          </w:p>
        </w:tc>
      </w:tr>
      <w:tr w14:paraId="71E5D6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41" w:type="dxa"/>
            <w:vMerge w:val="restart"/>
            <w:noWrap w:val="0"/>
            <w:vAlign w:val="center"/>
          </w:tcPr>
          <w:p w14:paraId="30486E2D">
            <w:pPr>
              <w:pStyle w:val="31"/>
              <w:spacing w:beforeLines="0" w:afterLines="0" w:line="240" w:lineRule="auto"/>
              <w:ind w:firstLine="0"/>
              <w:rPr>
                <w:rFonts w:ascii="Times New Roman"/>
                <w:snapToGrid w:val="0"/>
                <w:color w:val="000000" w:themeColor="text1"/>
                <w:kern w:val="21"/>
                <w:sz w:val="21"/>
                <w:szCs w:val="21"/>
                <w:highlight w:val="none"/>
                <w14:textFill>
                  <w14:solidFill>
                    <w14:schemeClr w14:val="tx1"/>
                  </w14:solidFill>
                </w14:textFill>
              </w:rPr>
            </w:pPr>
            <w:r>
              <w:rPr>
                <w:rFonts w:ascii="Times New Roman"/>
                <w:snapToGrid w:val="0"/>
                <w:color w:val="000000" w:themeColor="text1"/>
                <w:kern w:val="21"/>
                <w:sz w:val="21"/>
                <w:szCs w:val="21"/>
                <w:highlight w:val="none"/>
                <w14:textFill>
                  <w14:solidFill>
                    <w14:schemeClr w14:val="tx1"/>
                  </w14:solidFill>
                </w14:textFill>
              </w:rPr>
              <w:t>一般固废</w:t>
            </w:r>
          </w:p>
        </w:tc>
        <w:tc>
          <w:tcPr>
            <w:tcW w:w="2170" w:type="dxa"/>
            <w:noWrap w:val="0"/>
            <w:vAlign w:val="center"/>
          </w:tcPr>
          <w:p w14:paraId="21F6E0E2">
            <w:pPr>
              <w:jc w:val="center"/>
              <w:rPr>
                <w:rFonts w:hint="eastAsia" w:eastAsia="宋体"/>
                <w:snapToGrid w:val="0"/>
                <w:color w:val="000000" w:themeColor="text1"/>
                <w:kern w:val="21"/>
                <w:szCs w:val="21"/>
                <w:highlight w:val="none"/>
                <w:lang w:eastAsia="zh-CN"/>
                <w14:textFill>
                  <w14:solidFill>
                    <w14:schemeClr w14:val="tx1"/>
                  </w14:solidFill>
                </w14:textFill>
              </w:rPr>
            </w:pPr>
            <w:r>
              <w:rPr>
                <w:rFonts w:hint="eastAsia"/>
                <w:snapToGrid w:val="0"/>
                <w:color w:val="000000" w:themeColor="text1"/>
                <w:kern w:val="21"/>
                <w:szCs w:val="21"/>
                <w:highlight w:val="none"/>
                <w:lang w:eastAsia="zh-CN"/>
                <w14:textFill>
                  <w14:solidFill>
                    <w14:schemeClr w14:val="tx1"/>
                  </w14:solidFill>
                </w14:textFill>
              </w:rPr>
              <w:t>除尘器回收尘</w:t>
            </w:r>
          </w:p>
        </w:tc>
        <w:tc>
          <w:tcPr>
            <w:tcW w:w="1584" w:type="dxa"/>
            <w:noWrap w:val="0"/>
            <w:vAlign w:val="center"/>
          </w:tcPr>
          <w:p w14:paraId="7C250725">
            <w:pPr>
              <w:widowControl/>
              <w:jc w:val="center"/>
              <w:rPr>
                <w:snapToGrid w:val="0"/>
                <w:color w:val="000000" w:themeColor="text1"/>
                <w:kern w:val="21"/>
                <w:szCs w:val="21"/>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307" w:type="dxa"/>
            <w:noWrap w:val="0"/>
            <w:vAlign w:val="center"/>
          </w:tcPr>
          <w:p w14:paraId="6B57514F">
            <w:pPr>
              <w:widowControl/>
              <w:jc w:val="center"/>
              <w:rPr>
                <w:snapToGrid w:val="0"/>
                <w:color w:val="000000" w:themeColor="text1"/>
                <w:kern w:val="21"/>
                <w:szCs w:val="21"/>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681" w:type="dxa"/>
            <w:noWrap w:val="0"/>
            <w:vAlign w:val="center"/>
          </w:tcPr>
          <w:p w14:paraId="5DF49992">
            <w:pPr>
              <w:widowControl/>
              <w:jc w:val="center"/>
              <w:rPr>
                <w:snapToGrid w:val="0"/>
                <w:color w:val="000000" w:themeColor="text1"/>
                <w:kern w:val="21"/>
                <w:szCs w:val="21"/>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416" w:type="dxa"/>
            <w:noWrap w:val="0"/>
            <w:vAlign w:val="center"/>
          </w:tcPr>
          <w:p w14:paraId="7C9C9DB4">
            <w:pPr>
              <w:widowControl/>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455.84</w:t>
            </w:r>
          </w:p>
        </w:tc>
        <w:tc>
          <w:tcPr>
            <w:tcW w:w="1318" w:type="dxa"/>
            <w:noWrap w:val="0"/>
            <w:vAlign w:val="center"/>
          </w:tcPr>
          <w:p w14:paraId="422025E3">
            <w:pPr>
              <w:widowControl/>
              <w:jc w:val="center"/>
              <w:rPr>
                <w:snapToGrid w:val="0"/>
                <w:color w:val="000000" w:themeColor="text1"/>
                <w:kern w:val="21"/>
                <w:szCs w:val="21"/>
                <w:highlight w:val="none"/>
                <w14:textFill>
                  <w14:solidFill>
                    <w14:schemeClr w14:val="tx1"/>
                  </w14:solidFill>
                </w14:textFill>
              </w:rPr>
            </w:pPr>
            <w:r>
              <w:rPr>
                <w:snapToGrid w:val="0"/>
                <w:color w:val="000000" w:themeColor="text1"/>
                <w:kern w:val="21"/>
                <w:szCs w:val="21"/>
                <w:highlight w:val="none"/>
                <w14:textFill>
                  <w14:solidFill>
                    <w14:schemeClr w14:val="tx1"/>
                  </w14:solidFill>
                </w14:textFill>
              </w:rPr>
              <w:t>0</w:t>
            </w:r>
          </w:p>
        </w:tc>
        <w:tc>
          <w:tcPr>
            <w:tcW w:w="1851" w:type="dxa"/>
            <w:noWrap w:val="0"/>
            <w:vAlign w:val="center"/>
          </w:tcPr>
          <w:p w14:paraId="1C1548C1">
            <w:pPr>
              <w:widowControl/>
              <w:jc w:val="center"/>
              <w:rPr>
                <w:rFonts w:hint="default" w:eastAsia="宋体"/>
                <w:snapToGrid w:val="0"/>
                <w:color w:val="000000" w:themeColor="text1"/>
                <w:kern w:val="2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455.84</w:t>
            </w:r>
          </w:p>
        </w:tc>
        <w:tc>
          <w:tcPr>
            <w:tcW w:w="1120" w:type="dxa"/>
            <w:noWrap w:val="0"/>
            <w:vAlign w:val="center"/>
          </w:tcPr>
          <w:p w14:paraId="5444C82F">
            <w:pPr>
              <w:widowControl/>
              <w:jc w:val="center"/>
              <w:rPr>
                <w:rFonts w:hint="default" w:eastAsia="宋体"/>
                <w:color w:val="000000" w:themeColor="text1"/>
                <w:szCs w:val="21"/>
                <w:highlight w:val="none"/>
                <w:lang w:val="en-US" w:eastAsia="zh-CN"/>
                <w14:textFill>
                  <w14:solidFill>
                    <w14:schemeClr w14:val="tx1"/>
                  </w14:solidFill>
                </w14:textFill>
              </w:rPr>
            </w:pPr>
            <w:r>
              <w:rPr>
                <w:color w:val="000000" w:themeColor="text1"/>
                <w:kern w:val="0"/>
                <w:szCs w:val="21"/>
                <w:highlight w:val="none"/>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455.84</w:t>
            </w:r>
          </w:p>
        </w:tc>
      </w:tr>
      <w:tr w14:paraId="4EBC5A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41" w:type="dxa"/>
            <w:vMerge w:val="continue"/>
            <w:noWrap w:val="0"/>
            <w:vAlign w:val="center"/>
          </w:tcPr>
          <w:p w14:paraId="3ACFA8C4">
            <w:pPr>
              <w:pStyle w:val="31"/>
              <w:spacing w:beforeLines="0" w:afterLines="0" w:line="240" w:lineRule="auto"/>
              <w:ind w:firstLine="0"/>
              <w:rPr>
                <w:rFonts w:ascii="Times New Roman"/>
                <w:snapToGrid w:val="0"/>
                <w:color w:val="000000" w:themeColor="text1"/>
                <w:kern w:val="21"/>
                <w:sz w:val="21"/>
                <w:szCs w:val="21"/>
                <w:highlight w:val="none"/>
                <w14:textFill>
                  <w14:solidFill>
                    <w14:schemeClr w14:val="tx1"/>
                  </w14:solidFill>
                </w14:textFill>
              </w:rPr>
            </w:pPr>
          </w:p>
        </w:tc>
        <w:tc>
          <w:tcPr>
            <w:tcW w:w="2170" w:type="dxa"/>
            <w:shd w:val="clear" w:color="auto" w:fill="auto"/>
            <w:noWrap w:val="0"/>
            <w:vAlign w:val="center"/>
          </w:tcPr>
          <w:p w14:paraId="2CBE9D41">
            <w:pPr>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空压站废滤芯</w:t>
            </w:r>
          </w:p>
        </w:tc>
        <w:tc>
          <w:tcPr>
            <w:tcW w:w="1584" w:type="dxa"/>
            <w:shd w:val="clear" w:color="auto" w:fill="auto"/>
            <w:noWrap w:val="0"/>
            <w:vAlign w:val="center"/>
          </w:tcPr>
          <w:p w14:paraId="72DD7BF4">
            <w:pPr>
              <w:widowControl/>
              <w:jc w:val="center"/>
              <w:rPr>
                <w:rFonts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307" w:type="dxa"/>
            <w:shd w:val="clear" w:color="auto" w:fill="auto"/>
            <w:noWrap w:val="0"/>
            <w:vAlign w:val="center"/>
          </w:tcPr>
          <w:p w14:paraId="20C53012">
            <w:pPr>
              <w:widowControl/>
              <w:jc w:val="center"/>
              <w:rPr>
                <w:rFonts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681" w:type="dxa"/>
            <w:shd w:val="clear" w:color="auto" w:fill="auto"/>
            <w:noWrap w:val="0"/>
            <w:vAlign w:val="center"/>
          </w:tcPr>
          <w:p w14:paraId="15D5BE45">
            <w:pPr>
              <w:widowControl/>
              <w:jc w:val="center"/>
              <w:rPr>
                <w:rFonts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416" w:type="dxa"/>
            <w:shd w:val="clear" w:color="auto" w:fill="auto"/>
            <w:noWrap w:val="0"/>
            <w:vAlign w:val="center"/>
          </w:tcPr>
          <w:p w14:paraId="302FEAFC">
            <w:pPr>
              <w:widowControl/>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2.5</w:t>
            </w:r>
          </w:p>
        </w:tc>
        <w:tc>
          <w:tcPr>
            <w:tcW w:w="1318" w:type="dxa"/>
            <w:shd w:val="clear" w:color="auto" w:fill="auto"/>
            <w:noWrap w:val="0"/>
            <w:vAlign w:val="center"/>
          </w:tcPr>
          <w:p w14:paraId="4BBD1BCE">
            <w:pPr>
              <w:widowControl/>
              <w:jc w:val="center"/>
              <w:rPr>
                <w:rFonts w:hint="eastAsia"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snapToGrid w:val="0"/>
                <w:color w:val="000000" w:themeColor="text1"/>
                <w:kern w:val="21"/>
                <w:szCs w:val="21"/>
                <w:highlight w:val="none"/>
                <w:lang w:val="en-US" w:eastAsia="zh-CN"/>
                <w14:textFill>
                  <w14:solidFill>
                    <w14:schemeClr w14:val="tx1"/>
                  </w14:solidFill>
                </w14:textFill>
              </w:rPr>
              <w:t>0</w:t>
            </w:r>
          </w:p>
        </w:tc>
        <w:tc>
          <w:tcPr>
            <w:tcW w:w="1851" w:type="dxa"/>
            <w:shd w:val="clear" w:color="auto" w:fill="auto"/>
            <w:noWrap w:val="0"/>
            <w:vAlign w:val="center"/>
          </w:tcPr>
          <w:p w14:paraId="5CE563DA">
            <w:pPr>
              <w:widowControl/>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2.5</w:t>
            </w:r>
          </w:p>
        </w:tc>
        <w:tc>
          <w:tcPr>
            <w:tcW w:w="1120" w:type="dxa"/>
            <w:shd w:val="clear" w:color="auto" w:fill="auto"/>
            <w:noWrap w:val="0"/>
            <w:vAlign w:val="center"/>
          </w:tcPr>
          <w:p w14:paraId="3B5BBBC8">
            <w:pPr>
              <w:widowControl/>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+2.5</w:t>
            </w:r>
          </w:p>
        </w:tc>
      </w:tr>
      <w:tr w14:paraId="5B732D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41" w:type="dxa"/>
            <w:vMerge w:val="continue"/>
            <w:noWrap w:val="0"/>
            <w:vAlign w:val="center"/>
          </w:tcPr>
          <w:p w14:paraId="64868812">
            <w:pPr>
              <w:pStyle w:val="31"/>
              <w:spacing w:beforeLines="0" w:afterLines="0" w:line="240" w:lineRule="auto"/>
              <w:ind w:firstLine="0"/>
              <w:rPr>
                <w:rFonts w:ascii="Times New Roman"/>
                <w:snapToGrid w:val="0"/>
                <w:color w:val="000000" w:themeColor="text1"/>
                <w:kern w:val="21"/>
                <w:sz w:val="21"/>
                <w:szCs w:val="21"/>
                <w:highlight w:val="none"/>
                <w14:textFill>
                  <w14:solidFill>
                    <w14:schemeClr w14:val="tx1"/>
                  </w14:solidFill>
                </w14:textFill>
              </w:rPr>
            </w:pPr>
          </w:p>
        </w:tc>
        <w:tc>
          <w:tcPr>
            <w:tcW w:w="2170" w:type="dxa"/>
            <w:shd w:val="clear" w:color="auto" w:fill="auto"/>
            <w:noWrap w:val="0"/>
            <w:vAlign w:val="center"/>
          </w:tcPr>
          <w:p w14:paraId="500EA7DD">
            <w:pPr>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14:textFill>
                  <w14:solidFill>
                    <w14:schemeClr w14:val="tx1"/>
                  </w14:solidFill>
                </w14:textFill>
              </w:rPr>
              <w:t>不合格品</w:t>
            </w:r>
            <w:r>
              <w:rPr>
                <w:rFonts w:hint="eastAsia"/>
                <w:color w:val="000000" w:themeColor="text1"/>
                <w:szCs w:val="21"/>
                <w:highlight w:val="none"/>
                <w:lang w:val="en-US" w:eastAsia="zh-CN"/>
                <w14:textFill>
                  <w14:solidFill>
                    <w14:schemeClr w14:val="tx1"/>
                  </w14:solidFill>
                </w14:textFill>
              </w:rPr>
              <w:t>（黄料）</w:t>
            </w:r>
          </w:p>
        </w:tc>
        <w:tc>
          <w:tcPr>
            <w:tcW w:w="1584" w:type="dxa"/>
            <w:shd w:val="clear" w:color="auto" w:fill="auto"/>
            <w:noWrap w:val="0"/>
            <w:vAlign w:val="center"/>
          </w:tcPr>
          <w:p w14:paraId="47E5500C">
            <w:pPr>
              <w:widowControl/>
              <w:jc w:val="center"/>
              <w:rPr>
                <w:rFonts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307" w:type="dxa"/>
            <w:shd w:val="clear" w:color="auto" w:fill="auto"/>
            <w:noWrap w:val="0"/>
            <w:vAlign w:val="center"/>
          </w:tcPr>
          <w:p w14:paraId="5977D4E6">
            <w:pPr>
              <w:widowControl/>
              <w:jc w:val="center"/>
              <w:rPr>
                <w:rFonts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681" w:type="dxa"/>
            <w:shd w:val="clear" w:color="auto" w:fill="auto"/>
            <w:noWrap w:val="0"/>
            <w:vAlign w:val="center"/>
          </w:tcPr>
          <w:p w14:paraId="0734909A">
            <w:pPr>
              <w:widowControl/>
              <w:jc w:val="center"/>
              <w:rPr>
                <w:rFonts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416" w:type="dxa"/>
            <w:shd w:val="clear" w:color="auto" w:fill="auto"/>
            <w:noWrap w:val="0"/>
            <w:vAlign w:val="center"/>
          </w:tcPr>
          <w:p w14:paraId="0140D26D">
            <w:pPr>
              <w:widowControl/>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eastAsia="宋体"/>
                <w:color w:val="000000" w:themeColor="text1"/>
                <w:szCs w:val="21"/>
                <w:highlight w:val="none"/>
                <w:lang w:val="en-US" w:eastAsia="zh-CN"/>
                <w14:textFill>
                  <w14:solidFill>
                    <w14:schemeClr w14:val="tx1"/>
                  </w14:solidFill>
                </w14:textFill>
              </w:rPr>
              <w:t>10526</w:t>
            </w:r>
          </w:p>
        </w:tc>
        <w:tc>
          <w:tcPr>
            <w:tcW w:w="1318" w:type="dxa"/>
            <w:shd w:val="clear" w:color="auto" w:fill="auto"/>
            <w:noWrap w:val="0"/>
            <w:vAlign w:val="center"/>
          </w:tcPr>
          <w:p w14:paraId="46B10C12">
            <w:pPr>
              <w:widowControl/>
              <w:jc w:val="center"/>
              <w:rPr>
                <w:rFonts w:hint="eastAsia"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snapToGrid w:val="0"/>
                <w:color w:val="000000" w:themeColor="text1"/>
                <w:kern w:val="21"/>
                <w:szCs w:val="21"/>
                <w:highlight w:val="none"/>
                <w14:textFill>
                  <w14:solidFill>
                    <w14:schemeClr w14:val="tx1"/>
                  </w14:solidFill>
                </w14:textFill>
              </w:rPr>
              <w:t>0</w:t>
            </w:r>
          </w:p>
        </w:tc>
        <w:tc>
          <w:tcPr>
            <w:tcW w:w="1851" w:type="dxa"/>
            <w:shd w:val="clear" w:color="auto" w:fill="auto"/>
            <w:noWrap w:val="0"/>
            <w:vAlign w:val="center"/>
          </w:tcPr>
          <w:p w14:paraId="7D16F267">
            <w:pPr>
              <w:widowControl/>
              <w:jc w:val="center"/>
              <w:rPr>
                <w:rFonts w:hint="eastAsia"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eastAsia="宋体"/>
                <w:color w:val="000000" w:themeColor="text1"/>
                <w:szCs w:val="21"/>
                <w:highlight w:val="none"/>
                <w:lang w:val="en-US" w:eastAsia="zh-CN"/>
                <w14:textFill>
                  <w14:solidFill>
                    <w14:schemeClr w14:val="tx1"/>
                  </w14:solidFill>
                </w14:textFill>
              </w:rPr>
              <w:t>10526</w:t>
            </w:r>
          </w:p>
        </w:tc>
        <w:tc>
          <w:tcPr>
            <w:tcW w:w="1120" w:type="dxa"/>
            <w:shd w:val="clear" w:color="auto" w:fill="auto"/>
            <w:noWrap w:val="0"/>
            <w:vAlign w:val="center"/>
          </w:tcPr>
          <w:p w14:paraId="3B613513">
            <w:pPr>
              <w:widowControl/>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kern w:val="0"/>
                <w:szCs w:val="21"/>
                <w:highlight w:val="none"/>
                <w14:textFill>
                  <w14:solidFill>
                    <w14:schemeClr w14:val="tx1"/>
                  </w14:solidFill>
                </w14:textFill>
              </w:rPr>
              <w:t>+</w:t>
            </w:r>
            <w:r>
              <w:rPr>
                <w:rFonts w:hint="eastAsia" w:eastAsia="宋体"/>
                <w:color w:val="000000" w:themeColor="text1"/>
                <w:szCs w:val="21"/>
                <w:highlight w:val="none"/>
                <w:lang w:val="en-US" w:eastAsia="zh-CN"/>
                <w14:textFill>
                  <w14:solidFill>
                    <w14:schemeClr w14:val="tx1"/>
                  </w14:solidFill>
                </w14:textFill>
              </w:rPr>
              <w:t>10526</w:t>
            </w:r>
          </w:p>
        </w:tc>
      </w:tr>
      <w:tr w14:paraId="45A5A7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41" w:type="dxa"/>
            <w:vMerge w:val="continue"/>
            <w:noWrap w:val="0"/>
            <w:vAlign w:val="center"/>
          </w:tcPr>
          <w:p w14:paraId="07CA9071">
            <w:pPr>
              <w:pStyle w:val="31"/>
              <w:spacing w:beforeLines="0" w:afterLines="0" w:line="240" w:lineRule="auto"/>
              <w:ind w:firstLine="0"/>
              <w:rPr>
                <w:rFonts w:ascii="Times New Roman"/>
                <w:snapToGrid w:val="0"/>
                <w:color w:val="000000" w:themeColor="text1"/>
                <w:kern w:val="21"/>
                <w:sz w:val="21"/>
                <w:szCs w:val="21"/>
                <w:highlight w:val="none"/>
                <w14:textFill>
                  <w14:solidFill>
                    <w14:schemeClr w14:val="tx1"/>
                  </w14:solidFill>
                </w14:textFill>
              </w:rPr>
            </w:pPr>
          </w:p>
        </w:tc>
        <w:tc>
          <w:tcPr>
            <w:tcW w:w="2170" w:type="dxa"/>
            <w:shd w:val="clear" w:color="auto" w:fill="auto"/>
            <w:noWrap w:val="0"/>
            <w:vAlign w:val="center"/>
          </w:tcPr>
          <w:p w14:paraId="61C41AF3">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软水制备废滤材</w:t>
            </w:r>
          </w:p>
        </w:tc>
        <w:tc>
          <w:tcPr>
            <w:tcW w:w="1584" w:type="dxa"/>
            <w:shd w:val="clear" w:color="auto" w:fill="auto"/>
            <w:noWrap w:val="0"/>
            <w:vAlign w:val="center"/>
          </w:tcPr>
          <w:p w14:paraId="5122963B">
            <w:pPr>
              <w:widowControl/>
              <w:jc w:val="center"/>
              <w:rPr>
                <w:rFonts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307" w:type="dxa"/>
            <w:shd w:val="clear" w:color="auto" w:fill="auto"/>
            <w:noWrap w:val="0"/>
            <w:vAlign w:val="center"/>
          </w:tcPr>
          <w:p w14:paraId="60D80626">
            <w:pPr>
              <w:widowControl/>
              <w:jc w:val="center"/>
              <w:rPr>
                <w:rFonts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681" w:type="dxa"/>
            <w:shd w:val="clear" w:color="auto" w:fill="auto"/>
            <w:noWrap w:val="0"/>
            <w:vAlign w:val="center"/>
          </w:tcPr>
          <w:p w14:paraId="4CA8A699">
            <w:pPr>
              <w:widowControl/>
              <w:jc w:val="center"/>
              <w:rPr>
                <w:rFonts w:ascii="Times New Roman" w:hAnsi="Times New Roman" w:eastAsia="宋体" w:cs="Times New Roman"/>
                <w:color w:val="000000" w:themeColor="text1"/>
                <w:kern w:val="0"/>
                <w:sz w:val="24"/>
                <w:szCs w:val="24"/>
                <w:highlight w:val="none"/>
                <w:lang w:val="en-US" w:eastAsia="zh-CN" w:bidi="ar-SA"/>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416" w:type="dxa"/>
            <w:shd w:val="clear" w:color="auto" w:fill="auto"/>
            <w:noWrap w:val="0"/>
            <w:vAlign w:val="center"/>
          </w:tcPr>
          <w:p w14:paraId="4CF2393B">
            <w:pPr>
              <w:widowControl/>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2.4</w:t>
            </w:r>
          </w:p>
        </w:tc>
        <w:tc>
          <w:tcPr>
            <w:tcW w:w="1318" w:type="dxa"/>
            <w:shd w:val="clear" w:color="auto" w:fill="auto"/>
            <w:noWrap w:val="0"/>
            <w:vAlign w:val="center"/>
          </w:tcPr>
          <w:p w14:paraId="25E6FE12">
            <w:pPr>
              <w:widowControl/>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snapToGrid w:val="0"/>
                <w:color w:val="000000" w:themeColor="text1"/>
                <w:kern w:val="21"/>
                <w:szCs w:val="21"/>
                <w:highlight w:val="none"/>
                <w:lang w:val="en-US" w:eastAsia="zh-CN"/>
                <w14:textFill>
                  <w14:solidFill>
                    <w14:schemeClr w14:val="tx1"/>
                  </w14:solidFill>
                </w14:textFill>
              </w:rPr>
              <w:t>0</w:t>
            </w:r>
          </w:p>
        </w:tc>
        <w:tc>
          <w:tcPr>
            <w:tcW w:w="1851" w:type="dxa"/>
            <w:shd w:val="clear" w:color="auto" w:fill="auto"/>
            <w:noWrap w:val="0"/>
            <w:vAlign w:val="center"/>
          </w:tcPr>
          <w:p w14:paraId="34A8462C">
            <w:pPr>
              <w:widowControl/>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2.4</w:t>
            </w:r>
          </w:p>
        </w:tc>
        <w:tc>
          <w:tcPr>
            <w:tcW w:w="1120" w:type="dxa"/>
            <w:shd w:val="clear" w:color="auto" w:fill="auto"/>
            <w:noWrap w:val="0"/>
            <w:vAlign w:val="center"/>
          </w:tcPr>
          <w:p w14:paraId="55A57584">
            <w:pPr>
              <w:widowControl/>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+2.4</w:t>
            </w:r>
          </w:p>
        </w:tc>
      </w:tr>
      <w:tr w14:paraId="13153C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41" w:type="dxa"/>
            <w:vMerge w:val="continue"/>
            <w:noWrap w:val="0"/>
            <w:vAlign w:val="center"/>
          </w:tcPr>
          <w:p w14:paraId="4749B197">
            <w:pPr>
              <w:pStyle w:val="31"/>
              <w:spacing w:beforeLines="0" w:afterLines="0" w:line="240" w:lineRule="auto"/>
              <w:ind w:firstLine="0"/>
              <w:rPr>
                <w:rFonts w:ascii="Times New Roman"/>
                <w:snapToGrid w:val="0"/>
                <w:color w:val="000000" w:themeColor="text1"/>
                <w:kern w:val="21"/>
                <w:sz w:val="21"/>
                <w:szCs w:val="21"/>
                <w:highlight w:val="none"/>
                <w14:textFill>
                  <w14:solidFill>
                    <w14:schemeClr w14:val="tx1"/>
                  </w14:solidFill>
                </w14:textFill>
              </w:rPr>
            </w:pPr>
          </w:p>
        </w:tc>
        <w:tc>
          <w:tcPr>
            <w:tcW w:w="2170" w:type="dxa"/>
            <w:shd w:val="clear" w:color="auto" w:fill="auto"/>
            <w:noWrap w:val="0"/>
            <w:vAlign w:val="center"/>
          </w:tcPr>
          <w:p w14:paraId="74A566E1">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脱硫石膏</w:t>
            </w:r>
          </w:p>
        </w:tc>
        <w:tc>
          <w:tcPr>
            <w:tcW w:w="1584" w:type="dxa"/>
            <w:shd w:val="clear" w:color="auto" w:fill="auto"/>
            <w:noWrap w:val="0"/>
            <w:vAlign w:val="center"/>
          </w:tcPr>
          <w:p w14:paraId="624FA763">
            <w:pPr>
              <w:widowControl/>
              <w:jc w:val="center"/>
              <w:rPr>
                <w:rFonts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307" w:type="dxa"/>
            <w:shd w:val="clear" w:color="auto" w:fill="auto"/>
            <w:noWrap w:val="0"/>
            <w:vAlign w:val="center"/>
          </w:tcPr>
          <w:p w14:paraId="1278F934">
            <w:pPr>
              <w:widowControl/>
              <w:jc w:val="center"/>
              <w:rPr>
                <w:rFonts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681" w:type="dxa"/>
            <w:shd w:val="clear" w:color="auto" w:fill="auto"/>
            <w:noWrap w:val="0"/>
            <w:vAlign w:val="center"/>
          </w:tcPr>
          <w:p w14:paraId="0EB269C8">
            <w:pPr>
              <w:widowControl/>
              <w:jc w:val="center"/>
              <w:rPr>
                <w:rFonts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416" w:type="dxa"/>
            <w:shd w:val="clear" w:color="auto" w:fill="auto"/>
            <w:noWrap w:val="0"/>
            <w:vAlign w:val="center"/>
          </w:tcPr>
          <w:p w14:paraId="451E2E2E">
            <w:pPr>
              <w:widowControl/>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1243</w:t>
            </w:r>
          </w:p>
        </w:tc>
        <w:tc>
          <w:tcPr>
            <w:tcW w:w="1318" w:type="dxa"/>
            <w:shd w:val="clear" w:color="auto" w:fill="auto"/>
            <w:noWrap w:val="0"/>
            <w:vAlign w:val="center"/>
          </w:tcPr>
          <w:p w14:paraId="0A20A477">
            <w:pPr>
              <w:widowControl/>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snapToGrid w:val="0"/>
                <w:color w:val="000000" w:themeColor="text1"/>
                <w:kern w:val="21"/>
                <w:szCs w:val="21"/>
                <w:highlight w:val="none"/>
                <w:lang w:val="en-US" w:eastAsia="zh-CN"/>
                <w14:textFill>
                  <w14:solidFill>
                    <w14:schemeClr w14:val="tx1"/>
                  </w14:solidFill>
                </w14:textFill>
              </w:rPr>
              <w:t>0</w:t>
            </w:r>
          </w:p>
        </w:tc>
        <w:tc>
          <w:tcPr>
            <w:tcW w:w="1851" w:type="dxa"/>
            <w:shd w:val="clear" w:color="auto" w:fill="auto"/>
            <w:noWrap w:val="0"/>
            <w:vAlign w:val="center"/>
          </w:tcPr>
          <w:p w14:paraId="20B0719A">
            <w:pPr>
              <w:widowControl/>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1243</w:t>
            </w:r>
          </w:p>
        </w:tc>
        <w:tc>
          <w:tcPr>
            <w:tcW w:w="1120" w:type="dxa"/>
            <w:shd w:val="clear" w:color="auto" w:fill="auto"/>
            <w:noWrap w:val="0"/>
            <w:vAlign w:val="center"/>
          </w:tcPr>
          <w:p w14:paraId="78274D1A">
            <w:pPr>
              <w:widowControl/>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+1243</w:t>
            </w:r>
          </w:p>
        </w:tc>
      </w:tr>
      <w:tr w14:paraId="41C68E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41" w:type="dxa"/>
            <w:vMerge w:val="restart"/>
            <w:noWrap w:val="0"/>
            <w:vAlign w:val="center"/>
          </w:tcPr>
          <w:p w14:paraId="12001AE3">
            <w:pPr>
              <w:pStyle w:val="31"/>
              <w:spacing w:beforeLines="0" w:afterLines="0" w:line="240" w:lineRule="auto"/>
              <w:ind w:firstLine="0"/>
              <w:rPr>
                <w:rFonts w:hint="default" w:ascii="Times New Roman" w:eastAsia="宋体"/>
                <w:snapToGrid w:val="0"/>
                <w:color w:val="000000" w:themeColor="text1"/>
                <w:kern w:val="21"/>
                <w:sz w:val="21"/>
                <w:szCs w:val="21"/>
                <w:highlight w:val="none"/>
                <w:lang w:val="en-US" w:eastAsia="zh-CN"/>
                <w14:textFill>
                  <w14:solidFill>
                    <w14:schemeClr w14:val="tx1"/>
                  </w14:solidFill>
                </w14:textFill>
              </w:rPr>
            </w:pPr>
            <w:r>
              <w:rPr>
                <w:rFonts w:hint="eastAsia" w:ascii="Times New Roman"/>
                <w:snapToGrid w:val="0"/>
                <w:color w:val="000000" w:themeColor="text1"/>
                <w:kern w:val="21"/>
                <w:sz w:val="21"/>
                <w:szCs w:val="21"/>
                <w:highlight w:val="none"/>
                <w:lang w:val="en-US" w:eastAsia="zh-CN"/>
                <w14:textFill>
                  <w14:solidFill>
                    <w14:schemeClr w14:val="tx1"/>
                  </w14:solidFill>
                </w14:textFill>
              </w:rPr>
              <w:t>危险固废</w:t>
            </w:r>
          </w:p>
        </w:tc>
        <w:tc>
          <w:tcPr>
            <w:tcW w:w="2170" w:type="dxa"/>
            <w:noWrap w:val="0"/>
            <w:vAlign w:val="center"/>
          </w:tcPr>
          <w:p w14:paraId="32602B28">
            <w:pPr>
              <w:jc w:val="center"/>
              <w:rPr>
                <w:rFonts w:hint="eastAsia" w:eastAsia="宋体"/>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脱硫废水处理</w:t>
            </w:r>
            <w:r>
              <w:rPr>
                <w:rFonts w:hint="eastAsia"/>
                <w:color w:val="000000" w:themeColor="text1"/>
                <w:szCs w:val="21"/>
                <w:highlight w:val="none"/>
                <w:lang w:eastAsia="zh-CN"/>
                <w14:textFill>
                  <w14:solidFill>
                    <w14:schemeClr w14:val="tx1"/>
                  </w14:solidFill>
                </w14:textFill>
              </w:rPr>
              <w:t>污泥</w:t>
            </w:r>
          </w:p>
        </w:tc>
        <w:tc>
          <w:tcPr>
            <w:tcW w:w="1584" w:type="dxa"/>
            <w:noWrap w:val="0"/>
            <w:vAlign w:val="center"/>
          </w:tcPr>
          <w:p w14:paraId="3099496C">
            <w:pPr>
              <w:widowControl/>
              <w:jc w:val="center"/>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307" w:type="dxa"/>
            <w:noWrap w:val="0"/>
            <w:vAlign w:val="center"/>
          </w:tcPr>
          <w:p w14:paraId="00155BFD">
            <w:pPr>
              <w:widowControl/>
              <w:jc w:val="center"/>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681" w:type="dxa"/>
            <w:noWrap w:val="0"/>
            <w:vAlign w:val="center"/>
          </w:tcPr>
          <w:p w14:paraId="5BFA329E">
            <w:pPr>
              <w:widowControl/>
              <w:jc w:val="center"/>
              <w:rPr>
                <w:color w:val="000000" w:themeColor="text1"/>
                <w:kern w:val="0"/>
                <w:sz w:val="24"/>
                <w:highlight w:val="none"/>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416" w:type="dxa"/>
            <w:noWrap w:val="0"/>
            <w:vAlign w:val="center"/>
          </w:tcPr>
          <w:p w14:paraId="7A36E0F4">
            <w:pPr>
              <w:widowControl/>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6</w:t>
            </w:r>
          </w:p>
        </w:tc>
        <w:tc>
          <w:tcPr>
            <w:tcW w:w="1318" w:type="dxa"/>
            <w:noWrap w:val="0"/>
            <w:vAlign w:val="center"/>
          </w:tcPr>
          <w:p w14:paraId="0B87E0AF">
            <w:pPr>
              <w:widowControl/>
              <w:jc w:val="center"/>
              <w:rPr>
                <w:rFonts w:hint="eastAsia" w:eastAsia="宋体"/>
                <w:snapToGrid w:val="0"/>
                <w:color w:val="000000" w:themeColor="text1"/>
                <w:kern w:val="21"/>
                <w:szCs w:val="21"/>
                <w:highlight w:val="none"/>
                <w:lang w:val="en-US" w:eastAsia="zh-CN"/>
                <w14:textFill>
                  <w14:solidFill>
                    <w14:schemeClr w14:val="tx1"/>
                  </w14:solidFill>
                </w14:textFill>
              </w:rPr>
            </w:pPr>
            <w:r>
              <w:rPr>
                <w:rFonts w:hint="eastAsia"/>
                <w:snapToGrid w:val="0"/>
                <w:color w:val="000000" w:themeColor="text1"/>
                <w:kern w:val="21"/>
                <w:szCs w:val="21"/>
                <w:highlight w:val="none"/>
                <w:lang w:val="en-US" w:eastAsia="zh-CN"/>
                <w14:textFill>
                  <w14:solidFill>
                    <w14:schemeClr w14:val="tx1"/>
                  </w14:solidFill>
                </w14:textFill>
              </w:rPr>
              <w:t>0</w:t>
            </w:r>
          </w:p>
        </w:tc>
        <w:tc>
          <w:tcPr>
            <w:tcW w:w="1851" w:type="dxa"/>
            <w:noWrap w:val="0"/>
            <w:vAlign w:val="center"/>
          </w:tcPr>
          <w:p w14:paraId="5D625D3B">
            <w:pPr>
              <w:widowControl/>
              <w:jc w:val="center"/>
              <w:rPr>
                <w:rFonts w:hint="default" w:eastAsia="宋体"/>
                <w:snapToGrid w:val="0"/>
                <w:color w:val="000000" w:themeColor="text1"/>
                <w:kern w:val="2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6</w:t>
            </w:r>
          </w:p>
        </w:tc>
        <w:tc>
          <w:tcPr>
            <w:tcW w:w="1120" w:type="dxa"/>
            <w:noWrap w:val="0"/>
            <w:vAlign w:val="center"/>
          </w:tcPr>
          <w:p w14:paraId="12FD3C75">
            <w:pPr>
              <w:widowControl/>
              <w:jc w:val="center"/>
              <w:rPr>
                <w:rFonts w:hint="default" w:eastAsia="宋体"/>
                <w:color w:val="000000" w:themeColor="text1"/>
                <w:kern w:val="0"/>
                <w:szCs w:val="21"/>
                <w:highlight w:val="none"/>
                <w:lang w:val="en-US" w:eastAsia="zh-CN"/>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w:t>
            </w:r>
            <w:r>
              <w:rPr>
                <w:rFonts w:hint="eastAsia"/>
                <w:color w:val="000000" w:themeColor="text1"/>
                <w:szCs w:val="21"/>
                <w:highlight w:val="none"/>
                <w:lang w:val="en-US" w:eastAsia="zh-CN"/>
                <w14:textFill>
                  <w14:solidFill>
                    <w14:schemeClr w14:val="tx1"/>
                  </w14:solidFill>
                </w14:textFill>
              </w:rPr>
              <w:t>6</w:t>
            </w:r>
          </w:p>
        </w:tc>
      </w:tr>
      <w:tr w14:paraId="70C5CF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41" w:type="dxa"/>
            <w:vMerge w:val="continue"/>
            <w:noWrap w:val="0"/>
            <w:vAlign w:val="center"/>
          </w:tcPr>
          <w:p w14:paraId="3980638F">
            <w:pPr>
              <w:pStyle w:val="31"/>
              <w:spacing w:beforeLines="0" w:afterLines="0" w:line="240" w:lineRule="auto"/>
              <w:ind w:firstLine="0"/>
              <w:rPr>
                <w:rFonts w:ascii="Times New Roman"/>
                <w:snapToGrid w:val="0"/>
                <w:color w:val="000000" w:themeColor="text1"/>
                <w:kern w:val="21"/>
                <w:sz w:val="21"/>
                <w:szCs w:val="21"/>
                <w:highlight w:val="none"/>
                <w14:textFill>
                  <w14:solidFill>
                    <w14:schemeClr w14:val="tx1"/>
                  </w14:solidFill>
                </w14:textFill>
              </w:rPr>
            </w:pPr>
          </w:p>
        </w:tc>
        <w:tc>
          <w:tcPr>
            <w:tcW w:w="2170" w:type="dxa"/>
            <w:shd w:val="clear" w:color="auto" w:fill="auto"/>
            <w:noWrap w:val="0"/>
            <w:vAlign w:val="center"/>
          </w:tcPr>
          <w:p w14:paraId="255D50E6">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废油</w:t>
            </w:r>
          </w:p>
        </w:tc>
        <w:tc>
          <w:tcPr>
            <w:tcW w:w="1584" w:type="dxa"/>
            <w:shd w:val="clear" w:color="auto" w:fill="auto"/>
            <w:noWrap w:val="0"/>
            <w:vAlign w:val="center"/>
          </w:tcPr>
          <w:p w14:paraId="3D66BEFB">
            <w:pPr>
              <w:widowControl/>
              <w:jc w:val="center"/>
              <w:rPr>
                <w:rFonts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307" w:type="dxa"/>
            <w:shd w:val="clear" w:color="auto" w:fill="auto"/>
            <w:noWrap w:val="0"/>
            <w:vAlign w:val="center"/>
          </w:tcPr>
          <w:p w14:paraId="0051919C">
            <w:pPr>
              <w:widowControl/>
              <w:jc w:val="center"/>
              <w:rPr>
                <w:rFonts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681" w:type="dxa"/>
            <w:shd w:val="clear" w:color="auto" w:fill="auto"/>
            <w:noWrap w:val="0"/>
            <w:vAlign w:val="center"/>
          </w:tcPr>
          <w:p w14:paraId="06B42856">
            <w:pPr>
              <w:widowControl/>
              <w:jc w:val="center"/>
              <w:rPr>
                <w:rFonts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416" w:type="dxa"/>
            <w:shd w:val="clear" w:color="auto" w:fill="auto"/>
            <w:noWrap w:val="0"/>
            <w:vAlign w:val="center"/>
          </w:tcPr>
          <w:p w14:paraId="7154BBBB">
            <w:pPr>
              <w:widowControl/>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w:t>
            </w:r>
          </w:p>
        </w:tc>
        <w:tc>
          <w:tcPr>
            <w:tcW w:w="1318" w:type="dxa"/>
            <w:shd w:val="clear" w:color="auto" w:fill="auto"/>
            <w:noWrap w:val="0"/>
            <w:vAlign w:val="center"/>
          </w:tcPr>
          <w:p w14:paraId="46FD3AD8">
            <w:pPr>
              <w:widowControl/>
              <w:jc w:val="center"/>
              <w:rPr>
                <w:rFonts w:hint="default"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snapToGrid w:val="0"/>
                <w:color w:val="000000" w:themeColor="text1"/>
                <w:kern w:val="21"/>
                <w:szCs w:val="21"/>
                <w:highlight w:val="none"/>
                <w:lang w:val="en-US" w:eastAsia="zh-CN"/>
                <w14:textFill>
                  <w14:solidFill>
                    <w14:schemeClr w14:val="tx1"/>
                  </w14:solidFill>
                </w14:textFill>
              </w:rPr>
              <w:t>0</w:t>
            </w:r>
          </w:p>
        </w:tc>
        <w:tc>
          <w:tcPr>
            <w:tcW w:w="1851" w:type="dxa"/>
            <w:shd w:val="clear" w:color="auto" w:fill="auto"/>
            <w:noWrap w:val="0"/>
            <w:vAlign w:val="center"/>
          </w:tcPr>
          <w:p w14:paraId="09B40C6E">
            <w:pPr>
              <w:widowControl/>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w:t>
            </w:r>
          </w:p>
        </w:tc>
        <w:tc>
          <w:tcPr>
            <w:tcW w:w="1120" w:type="dxa"/>
            <w:shd w:val="clear" w:color="auto" w:fill="auto"/>
            <w:noWrap w:val="0"/>
            <w:vAlign w:val="center"/>
          </w:tcPr>
          <w:p w14:paraId="6BB82DF7">
            <w:pPr>
              <w:widowControl/>
              <w:jc w:val="center"/>
              <w:rPr>
                <w:rFonts w:hint="eastAsia"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+1</w:t>
            </w:r>
          </w:p>
        </w:tc>
      </w:tr>
      <w:tr w14:paraId="0AB08C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341" w:type="dxa"/>
            <w:vMerge w:val="continue"/>
            <w:noWrap w:val="0"/>
            <w:vAlign w:val="center"/>
          </w:tcPr>
          <w:p w14:paraId="03BCF43C">
            <w:pPr>
              <w:pStyle w:val="31"/>
              <w:spacing w:beforeLines="0" w:afterLines="0" w:line="240" w:lineRule="auto"/>
              <w:ind w:firstLine="0"/>
              <w:rPr>
                <w:rFonts w:ascii="Times New Roman"/>
                <w:snapToGrid w:val="0"/>
                <w:color w:val="000000" w:themeColor="text1"/>
                <w:kern w:val="21"/>
                <w:sz w:val="21"/>
                <w:szCs w:val="21"/>
                <w:highlight w:val="none"/>
                <w14:textFill>
                  <w14:solidFill>
                    <w14:schemeClr w14:val="tx1"/>
                  </w14:solidFill>
                </w14:textFill>
              </w:rPr>
            </w:pPr>
          </w:p>
        </w:tc>
        <w:tc>
          <w:tcPr>
            <w:tcW w:w="2170" w:type="dxa"/>
            <w:shd w:val="clear" w:color="auto" w:fill="auto"/>
            <w:noWrap w:val="0"/>
            <w:vAlign w:val="center"/>
          </w:tcPr>
          <w:p w14:paraId="058E191F">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废油桶</w:t>
            </w:r>
          </w:p>
        </w:tc>
        <w:tc>
          <w:tcPr>
            <w:tcW w:w="1584" w:type="dxa"/>
            <w:shd w:val="clear" w:color="auto" w:fill="auto"/>
            <w:noWrap w:val="0"/>
            <w:vAlign w:val="center"/>
          </w:tcPr>
          <w:p w14:paraId="64E7B3F7">
            <w:pPr>
              <w:widowControl/>
              <w:jc w:val="center"/>
              <w:rPr>
                <w:rFonts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307" w:type="dxa"/>
            <w:shd w:val="clear" w:color="auto" w:fill="auto"/>
            <w:noWrap w:val="0"/>
            <w:vAlign w:val="center"/>
          </w:tcPr>
          <w:p w14:paraId="0DEE0386">
            <w:pPr>
              <w:widowControl/>
              <w:jc w:val="center"/>
              <w:rPr>
                <w:rFonts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681" w:type="dxa"/>
            <w:shd w:val="clear" w:color="auto" w:fill="auto"/>
            <w:noWrap w:val="0"/>
            <w:vAlign w:val="center"/>
          </w:tcPr>
          <w:p w14:paraId="0730C251">
            <w:pPr>
              <w:widowControl/>
              <w:jc w:val="center"/>
              <w:rPr>
                <w:rFonts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color w:val="000000" w:themeColor="text1"/>
                <w:kern w:val="0"/>
                <w:sz w:val="24"/>
                <w:highlight w:val="none"/>
                <w14:textFill>
                  <w14:solidFill>
                    <w14:schemeClr w14:val="tx1"/>
                  </w14:solidFill>
                </w14:textFill>
              </w:rPr>
              <w:t>/</w:t>
            </w:r>
          </w:p>
        </w:tc>
        <w:tc>
          <w:tcPr>
            <w:tcW w:w="1416" w:type="dxa"/>
            <w:shd w:val="clear" w:color="auto" w:fill="auto"/>
            <w:noWrap w:val="0"/>
            <w:vAlign w:val="center"/>
          </w:tcPr>
          <w:p w14:paraId="3317C40F">
            <w:pPr>
              <w:widowControl/>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w:t>
            </w:r>
          </w:p>
        </w:tc>
        <w:tc>
          <w:tcPr>
            <w:tcW w:w="1318" w:type="dxa"/>
            <w:shd w:val="clear" w:color="auto" w:fill="auto"/>
            <w:noWrap w:val="0"/>
            <w:vAlign w:val="center"/>
          </w:tcPr>
          <w:p w14:paraId="4E843FC1">
            <w:pPr>
              <w:widowControl/>
              <w:jc w:val="center"/>
              <w:rPr>
                <w:rFonts w:hint="eastAsia" w:ascii="Times New Roman" w:hAnsi="Times New Roman" w:eastAsia="宋体" w:cs="Times New Roman"/>
                <w:snapToGrid w:val="0"/>
                <w:color w:val="000000" w:themeColor="text1"/>
                <w:kern w:val="21"/>
                <w:sz w:val="21"/>
                <w:szCs w:val="21"/>
                <w:highlight w:val="none"/>
                <w:lang w:val="en-US" w:eastAsia="zh-CN" w:bidi="ar-SA"/>
                <w14:textFill>
                  <w14:solidFill>
                    <w14:schemeClr w14:val="tx1"/>
                  </w14:solidFill>
                </w14:textFill>
              </w:rPr>
            </w:pPr>
            <w:r>
              <w:rPr>
                <w:rFonts w:hint="eastAsia"/>
                <w:snapToGrid w:val="0"/>
                <w:color w:val="000000" w:themeColor="text1"/>
                <w:kern w:val="21"/>
                <w:szCs w:val="21"/>
                <w:highlight w:val="none"/>
                <w:lang w:val="en-US" w:eastAsia="zh-CN"/>
                <w14:textFill>
                  <w14:solidFill>
                    <w14:schemeClr w14:val="tx1"/>
                  </w14:solidFill>
                </w14:textFill>
              </w:rPr>
              <w:t>0</w:t>
            </w:r>
          </w:p>
        </w:tc>
        <w:tc>
          <w:tcPr>
            <w:tcW w:w="1851" w:type="dxa"/>
            <w:shd w:val="clear" w:color="auto" w:fill="auto"/>
            <w:noWrap w:val="0"/>
            <w:vAlign w:val="center"/>
          </w:tcPr>
          <w:p w14:paraId="647A7E5B">
            <w:pPr>
              <w:widowControl/>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w:t>
            </w:r>
          </w:p>
        </w:tc>
        <w:tc>
          <w:tcPr>
            <w:tcW w:w="1120" w:type="dxa"/>
            <w:shd w:val="clear" w:color="auto" w:fill="auto"/>
            <w:noWrap w:val="0"/>
            <w:vAlign w:val="center"/>
          </w:tcPr>
          <w:p w14:paraId="63DF0CBE">
            <w:pPr>
              <w:widowControl/>
              <w:jc w:val="center"/>
              <w:rPr>
                <w:rFonts w:hint="default"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kern w:val="0"/>
                <w:szCs w:val="21"/>
                <w:highlight w:val="none"/>
                <w:lang w:val="en-US" w:eastAsia="zh-CN"/>
                <w14:textFill>
                  <w14:solidFill>
                    <w14:schemeClr w14:val="tx1"/>
                  </w14:solidFill>
                </w14:textFill>
              </w:rPr>
              <w:t>+1</w:t>
            </w:r>
          </w:p>
        </w:tc>
      </w:tr>
    </w:tbl>
    <w:p w14:paraId="7737C875">
      <w:pPr>
        <w:pStyle w:val="20"/>
        <w:adjustRightInd w:val="0"/>
        <w:snapToGrid w:val="0"/>
        <w:spacing w:before="0" w:beforeAutospacing="0" w:after="0" w:afterAutospacing="0" w:line="500" w:lineRule="exact"/>
        <w:outlineLvl w:val="9"/>
        <w:rPr>
          <w:rFonts w:ascii="Times New Roman" w:hAnsi="Times New Roman" w:eastAsia="黑体"/>
          <w:snapToGrid w:val="0"/>
          <w:color w:val="000000" w:themeColor="text1"/>
          <w:sz w:val="30"/>
          <w:szCs w:val="30"/>
          <w:highlight w:val="none"/>
          <w14:textFill>
            <w14:solidFill>
              <w14:schemeClr w14:val="tx1"/>
            </w14:solidFill>
          </w14:textFill>
        </w:rPr>
      </w:pPr>
      <w:r>
        <w:rPr>
          <w:rFonts w:ascii="Times New Roman"/>
          <w:snapToGrid w:val="0"/>
          <w:color w:val="000000" w:themeColor="text1"/>
          <w:kern w:val="21"/>
          <w:szCs w:val="21"/>
          <w:highlight w:val="none"/>
          <w14:textFill>
            <w14:solidFill>
              <w14:schemeClr w14:val="tx1"/>
            </w14:solidFill>
          </w14:textFill>
        </w:rPr>
        <w:t>注：</w:t>
      </w:r>
      <w:r>
        <w:rPr>
          <w:rFonts w:ascii="Times New Roman"/>
          <w:snapToGrid w:val="0"/>
          <w:color w:val="000000" w:themeColor="text1"/>
          <w:spacing w:val="-16"/>
          <w:kern w:val="21"/>
          <w:szCs w:val="21"/>
          <w:highlight w:val="none"/>
          <w14:textFill>
            <w14:solidFill>
              <w14:schemeClr w14:val="tx1"/>
            </w14:solidFill>
          </w14:textFill>
        </w:rPr>
        <w:fldChar w:fldCharType="begin"/>
      </w:r>
      <w:r>
        <w:rPr>
          <w:rFonts w:ascii="Times New Roman"/>
          <w:snapToGrid w:val="0"/>
          <w:color w:val="000000" w:themeColor="text1"/>
          <w:spacing w:val="-16"/>
          <w:kern w:val="21"/>
          <w:szCs w:val="21"/>
          <w:highlight w:val="none"/>
          <w14:textFill>
            <w14:solidFill>
              <w14:schemeClr w14:val="tx1"/>
            </w14:solidFill>
          </w14:textFill>
        </w:rPr>
        <w:instrText xml:space="preserve"> = 6 \* GB3 \* MERGEFORMAT </w:instrText>
      </w:r>
      <w:r>
        <w:rPr>
          <w:rFonts w:ascii="Times New Roman"/>
          <w:snapToGrid w:val="0"/>
          <w:color w:val="000000" w:themeColor="text1"/>
          <w:spacing w:val="-16"/>
          <w:kern w:val="21"/>
          <w:szCs w:val="21"/>
          <w:highlight w:val="none"/>
          <w14:textFill>
            <w14:solidFill>
              <w14:schemeClr w14:val="tx1"/>
            </w14:solidFill>
          </w14:textFill>
        </w:rPr>
        <w:fldChar w:fldCharType="separate"/>
      </w:r>
      <w:r>
        <w:rPr>
          <w:rFonts w:ascii="Times New Roman"/>
          <w:color w:val="000000" w:themeColor="text1"/>
          <w:szCs w:val="21"/>
          <w:highlight w:val="none"/>
          <w14:textFill>
            <w14:solidFill>
              <w14:schemeClr w14:val="tx1"/>
            </w14:solidFill>
          </w14:textFill>
        </w:rPr>
        <w:t>⑥</w:t>
      </w:r>
      <w:r>
        <w:rPr>
          <w:rFonts w:ascii="Times New Roman"/>
          <w:snapToGrid w:val="0"/>
          <w:color w:val="000000" w:themeColor="text1"/>
          <w:spacing w:val="-16"/>
          <w:kern w:val="21"/>
          <w:szCs w:val="21"/>
          <w:highlight w:val="none"/>
          <w14:textFill>
            <w14:solidFill>
              <w14:schemeClr w14:val="tx1"/>
            </w14:solidFill>
          </w14:textFill>
        </w:rPr>
        <w:fldChar w:fldCharType="end"/>
      </w:r>
      <w:r>
        <w:rPr>
          <w:rFonts w:ascii="Times New Roman"/>
          <w:snapToGrid w:val="0"/>
          <w:color w:val="000000" w:themeColor="text1"/>
          <w:spacing w:val="-16"/>
          <w:kern w:val="21"/>
          <w:szCs w:val="21"/>
          <w:highlight w:val="none"/>
          <w14:textFill>
            <w14:solidFill>
              <w14:schemeClr w14:val="tx1"/>
            </w14:solidFill>
          </w14:textFill>
        </w:rPr>
        <w:t>=</w:t>
      </w:r>
      <w:r>
        <w:rPr>
          <w:rFonts w:ascii="Times New Roman"/>
          <w:snapToGrid w:val="0"/>
          <w:color w:val="000000" w:themeColor="text1"/>
          <w:spacing w:val="-6"/>
          <w:kern w:val="21"/>
          <w:szCs w:val="21"/>
          <w:highlight w:val="none"/>
          <w14:textFill>
            <w14:solidFill>
              <w14:schemeClr w14:val="tx1"/>
            </w14:solidFill>
          </w14:textFill>
        </w:rPr>
        <w:fldChar w:fldCharType="begin"/>
      </w:r>
      <w:r>
        <w:rPr>
          <w:rFonts w:ascii="Times New Roman"/>
          <w:snapToGrid w:val="0"/>
          <w:color w:val="000000" w:themeColor="text1"/>
          <w:spacing w:val="-6"/>
          <w:kern w:val="21"/>
          <w:szCs w:val="21"/>
          <w:highlight w:val="none"/>
          <w14:textFill>
            <w14:solidFill>
              <w14:schemeClr w14:val="tx1"/>
            </w14:solidFill>
          </w14:textFill>
        </w:rPr>
        <w:instrText xml:space="preserve"> = 1 \* GB3 \* MERGEFORMAT </w:instrText>
      </w:r>
      <w:r>
        <w:rPr>
          <w:rFonts w:ascii="Times New Roman"/>
          <w:snapToGrid w:val="0"/>
          <w:color w:val="000000" w:themeColor="text1"/>
          <w:spacing w:val="-6"/>
          <w:kern w:val="21"/>
          <w:szCs w:val="21"/>
          <w:highlight w:val="none"/>
          <w14:textFill>
            <w14:solidFill>
              <w14:schemeClr w14:val="tx1"/>
            </w14:solidFill>
          </w14:textFill>
        </w:rPr>
        <w:fldChar w:fldCharType="separate"/>
      </w:r>
      <w:r>
        <w:rPr>
          <w:rFonts w:ascii="Times New Roman"/>
          <w:color w:val="000000" w:themeColor="text1"/>
          <w:szCs w:val="21"/>
          <w:highlight w:val="none"/>
          <w14:textFill>
            <w14:solidFill>
              <w14:schemeClr w14:val="tx1"/>
            </w14:solidFill>
          </w14:textFill>
        </w:rPr>
        <w:t>①</w:t>
      </w:r>
      <w:r>
        <w:rPr>
          <w:rFonts w:ascii="Times New Roman"/>
          <w:snapToGrid w:val="0"/>
          <w:color w:val="000000" w:themeColor="text1"/>
          <w:spacing w:val="-6"/>
          <w:kern w:val="21"/>
          <w:szCs w:val="21"/>
          <w:highlight w:val="none"/>
          <w14:textFill>
            <w14:solidFill>
              <w14:schemeClr w14:val="tx1"/>
            </w14:solidFill>
          </w14:textFill>
        </w:rPr>
        <w:fldChar w:fldCharType="end"/>
      </w:r>
      <w:r>
        <w:rPr>
          <w:rFonts w:ascii="Times New Roman"/>
          <w:snapToGrid w:val="0"/>
          <w:color w:val="000000" w:themeColor="text1"/>
          <w:spacing w:val="-6"/>
          <w:kern w:val="21"/>
          <w:szCs w:val="21"/>
          <w:highlight w:val="none"/>
          <w14:textFill>
            <w14:solidFill>
              <w14:schemeClr w14:val="tx1"/>
            </w14:solidFill>
          </w14:textFill>
        </w:rPr>
        <w:t>+</w:t>
      </w:r>
      <w:r>
        <w:rPr>
          <w:rFonts w:ascii="Times New Roman"/>
          <w:snapToGrid w:val="0"/>
          <w:color w:val="000000" w:themeColor="text1"/>
          <w:spacing w:val="-6"/>
          <w:kern w:val="21"/>
          <w:szCs w:val="21"/>
          <w:highlight w:val="none"/>
          <w14:textFill>
            <w14:solidFill>
              <w14:schemeClr w14:val="tx1"/>
            </w14:solidFill>
          </w14:textFill>
        </w:rPr>
        <w:fldChar w:fldCharType="begin"/>
      </w:r>
      <w:r>
        <w:rPr>
          <w:rFonts w:ascii="Times New Roman"/>
          <w:snapToGrid w:val="0"/>
          <w:color w:val="000000" w:themeColor="text1"/>
          <w:spacing w:val="-6"/>
          <w:kern w:val="21"/>
          <w:szCs w:val="21"/>
          <w:highlight w:val="none"/>
          <w14:textFill>
            <w14:solidFill>
              <w14:schemeClr w14:val="tx1"/>
            </w14:solidFill>
          </w14:textFill>
        </w:rPr>
        <w:instrText xml:space="preserve"> = 3 \* GB3 \* MERGEFORMAT </w:instrText>
      </w:r>
      <w:r>
        <w:rPr>
          <w:rFonts w:ascii="Times New Roman"/>
          <w:snapToGrid w:val="0"/>
          <w:color w:val="000000" w:themeColor="text1"/>
          <w:spacing w:val="-6"/>
          <w:kern w:val="21"/>
          <w:szCs w:val="21"/>
          <w:highlight w:val="none"/>
          <w14:textFill>
            <w14:solidFill>
              <w14:schemeClr w14:val="tx1"/>
            </w14:solidFill>
          </w14:textFill>
        </w:rPr>
        <w:fldChar w:fldCharType="separate"/>
      </w:r>
      <w:r>
        <w:rPr>
          <w:rFonts w:ascii="Times New Roman"/>
          <w:color w:val="000000" w:themeColor="text1"/>
          <w:szCs w:val="21"/>
          <w:highlight w:val="none"/>
          <w14:textFill>
            <w14:solidFill>
              <w14:schemeClr w14:val="tx1"/>
            </w14:solidFill>
          </w14:textFill>
        </w:rPr>
        <w:t>③</w:t>
      </w:r>
      <w:r>
        <w:rPr>
          <w:rFonts w:ascii="Times New Roman"/>
          <w:snapToGrid w:val="0"/>
          <w:color w:val="000000" w:themeColor="text1"/>
          <w:spacing w:val="-6"/>
          <w:kern w:val="21"/>
          <w:szCs w:val="21"/>
          <w:highlight w:val="none"/>
          <w14:textFill>
            <w14:solidFill>
              <w14:schemeClr w14:val="tx1"/>
            </w14:solidFill>
          </w14:textFill>
        </w:rPr>
        <w:fldChar w:fldCharType="end"/>
      </w:r>
      <w:r>
        <w:rPr>
          <w:rFonts w:ascii="Times New Roman"/>
          <w:snapToGrid w:val="0"/>
          <w:color w:val="000000" w:themeColor="text1"/>
          <w:spacing w:val="-6"/>
          <w:kern w:val="21"/>
          <w:szCs w:val="21"/>
          <w:highlight w:val="none"/>
          <w14:textFill>
            <w14:solidFill>
              <w14:schemeClr w14:val="tx1"/>
            </w14:solidFill>
          </w14:textFill>
        </w:rPr>
        <w:t>+</w:t>
      </w:r>
      <w:r>
        <w:rPr>
          <w:rFonts w:ascii="Times New Roman"/>
          <w:snapToGrid w:val="0"/>
          <w:color w:val="000000" w:themeColor="text1"/>
          <w:spacing w:val="-6"/>
          <w:kern w:val="21"/>
          <w:szCs w:val="21"/>
          <w:highlight w:val="none"/>
          <w14:textFill>
            <w14:solidFill>
              <w14:schemeClr w14:val="tx1"/>
            </w14:solidFill>
          </w14:textFill>
        </w:rPr>
        <w:fldChar w:fldCharType="begin"/>
      </w:r>
      <w:r>
        <w:rPr>
          <w:rFonts w:ascii="Times New Roman"/>
          <w:snapToGrid w:val="0"/>
          <w:color w:val="000000" w:themeColor="text1"/>
          <w:spacing w:val="-6"/>
          <w:kern w:val="21"/>
          <w:szCs w:val="21"/>
          <w:highlight w:val="none"/>
          <w14:textFill>
            <w14:solidFill>
              <w14:schemeClr w14:val="tx1"/>
            </w14:solidFill>
          </w14:textFill>
        </w:rPr>
        <w:instrText xml:space="preserve"> = 4 \* GB3 \* MERGEFORMAT </w:instrText>
      </w:r>
      <w:r>
        <w:rPr>
          <w:rFonts w:ascii="Times New Roman"/>
          <w:snapToGrid w:val="0"/>
          <w:color w:val="000000" w:themeColor="text1"/>
          <w:spacing w:val="-6"/>
          <w:kern w:val="21"/>
          <w:szCs w:val="21"/>
          <w:highlight w:val="none"/>
          <w14:textFill>
            <w14:solidFill>
              <w14:schemeClr w14:val="tx1"/>
            </w14:solidFill>
          </w14:textFill>
        </w:rPr>
        <w:fldChar w:fldCharType="separate"/>
      </w:r>
      <w:r>
        <w:rPr>
          <w:rFonts w:ascii="Times New Roman"/>
          <w:color w:val="000000" w:themeColor="text1"/>
          <w:szCs w:val="21"/>
          <w:highlight w:val="none"/>
          <w14:textFill>
            <w14:solidFill>
              <w14:schemeClr w14:val="tx1"/>
            </w14:solidFill>
          </w14:textFill>
        </w:rPr>
        <w:t>④</w:t>
      </w:r>
      <w:r>
        <w:rPr>
          <w:rFonts w:ascii="Times New Roman"/>
          <w:snapToGrid w:val="0"/>
          <w:color w:val="000000" w:themeColor="text1"/>
          <w:spacing w:val="-6"/>
          <w:kern w:val="21"/>
          <w:szCs w:val="21"/>
          <w:highlight w:val="none"/>
          <w14:textFill>
            <w14:solidFill>
              <w14:schemeClr w14:val="tx1"/>
            </w14:solidFill>
          </w14:textFill>
        </w:rPr>
        <w:fldChar w:fldCharType="end"/>
      </w:r>
      <w:r>
        <w:rPr>
          <w:rFonts w:ascii="Times New Roman"/>
          <w:snapToGrid w:val="0"/>
          <w:color w:val="000000" w:themeColor="text1"/>
          <w:spacing w:val="-6"/>
          <w:kern w:val="21"/>
          <w:szCs w:val="21"/>
          <w:highlight w:val="none"/>
          <w14:textFill>
            <w14:solidFill>
              <w14:schemeClr w14:val="tx1"/>
            </w14:solidFill>
          </w14:textFill>
        </w:rPr>
        <w:t>-</w:t>
      </w:r>
      <w:r>
        <w:rPr>
          <w:rFonts w:ascii="Times New Roman"/>
          <w:snapToGrid w:val="0"/>
          <w:color w:val="000000" w:themeColor="text1"/>
          <w:spacing w:val="-16"/>
          <w:kern w:val="21"/>
          <w:szCs w:val="21"/>
          <w:highlight w:val="none"/>
          <w14:textFill>
            <w14:solidFill>
              <w14:schemeClr w14:val="tx1"/>
            </w14:solidFill>
          </w14:textFill>
        </w:rPr>
        <w:fldChar w:fldCharType="begin"/>
      </w:r>
      <w:r>
        <w:rPr>
          <w:rFonts w:ascii="Times New Roman"/>
          <w:snapToGrid w:val="0"/>
          <w:color w:val="000000" w:themeColor="text1"/>
          <w:spacing w:val="-16"/>
          <w:kern w:val="21"/>
          <w:szCs w:val="21"/>
          <w:highlight w:val="none"/>
          <w14:textFill>
            <w14:solidFill>
              <w14:schemeClr w14:val="tx1"/>
            </w14:solidFill>
          </w14:textFill>
        </w:rPr>
        <w:instrText xml:space="preserve"> = 5 \* GB3 \* MERGEFORMAT </w:instrText>
      </w:r>
      <w:r>
        <w:rPr>
          <w:rFonts w:ascii="Times New Roman"/>
          <w:snapToGrid w:val="0"/>
          <w:color w:val="000000" w:themeColor="text1"/>
          <w:spacing w:val="-16"/>
          <w:kern w:val="21"/>
          <w:szCs w:val="21"/>
          <w:highlight w:val="none"/>
          <w14:textFill>
            <w14:solidFill>
              <w14:schemeClr w14:val="tx1"/>
            </w14:solidFill>
          </w14:textFill>
        </w:rPr>
        <w:fldChar w:fldCharType="separate"/>
      </w:r>
      <w:r>
        <w:rPr>
          <w:rFonts w:ascii="Times New Roman"/>
          <w:color w:val="000000" w:themeColor="text1"/>
          <w:szCs w:val="21"/>
          <w:highlight w:val="none"/>
          <w14:textFill>
            <w14:solidFill>
              <w14:schemeClr w14:val="tx1"/>
            </w14:solidFill>
          </w14:textFill>
        </w:rPr>
        <w:t>⑤</w:t>
      </w:r>
      <w:r>
        <w:rPr>
          <w:rFonts w:ascii="Times New Roman"/>
          <w:snapToGrid w:val="0"/>
          <w:color w:val="000000" w:themeColor="text1"/>
          <w:spacing w:val="-16"/>
          <w:kern w:val="21"/>
          <w:szCs w:val="21"/>
          <w:highlight w:val="none"/>
          <w14:textFill>
            <w14:solidFill>
              <w14:schemeClr w14:val="tx1"/>
            </w14:solidFill>
          </w14:textFill>
        </w:rPr>
        <w:fldChar w:fldCharType="end"/>
      </w:r>
      <w:r>
        <w:rPr>
          <w:rFonts w:ascii="Times New Roman"/>
          <w:snapToGrid w:val="0"/>
          <w:color w:val="000000" w:themeColor="text1"/>
          <w:spacing w:val="-16"/>
          <w:kern w:val="21"/>
          <w:szCs w:val="21"/>
          <w:highlight w:val="none"/>
          <w14:textFill>
            <w14:solidFill>
              <w14:schemeClr w14:val="tx1"/>
            </w14:solidFill>
          </w14:textFill>
        </w:rPr>
        <w:t>；</w:t>
      </w:r>
      <w:r>
        <w:rPr>
          <w:rFonts w:ascii="Times New Roman"/>
          <w:snapToGrid w:val="0"/>
          <w:color w:val="000000" w:themeColor="text1"/>
          <w:spacing w:val="-6"/>
          <w:kern w:val="21"/>
          <w:szCs w:val="21"/>
          <w:highlight w:val="none"/>
          <w14:textFill>
            <w14:solidFill>
              <w14:schemeClr w14:val="tx1"/>
            </w14:solidFill>
          </w14:textFill>
        </w:rPr>
        <w:fldChar w:fldCharType="begin"/>
      </w:r>
      <w:r>
        <w:rPr>
          <w:rFonts w:ascii="Times New Roman"/>
          <w:snapToGrid w:val="0"/>
          <w:color w:val="000000" w:themeColor="text1"/>
          <w:spacing w:val="-6"/>
          <w:kern w:val="21"/>
          <w:szCs w:val="21"/>
          <w:highlight w:val="none"/>
          <w14:textFill>
            <w14:solidFill>
              <w14:schemeClr w14:val="tx1"/>
            </w14:solidFill>
          </w14:textFill>
        </w:rPr>
        <w:instrText xml:space="preserve"> = 7 \* GB3 \* MERGEFORMAT </w:instrText>
      </w:r>
      <w:r>
        <w:rPr>
          <w:rFonts w:ascii="Times New Roman"/>
          <w:snapToGrid w:val="0"/>
          <w:color w:val="000000" w:themeColor="text1"/>
          <w:spacing w:val="-6"/>
          <w:kern w:val="21"/>
          <w:szCs w:val="21"/>
          <w:highlight w:val="none"/>
          <w14:textFill>
            <w14:solidFill>
              <w14:schemeClr w14:val="tx1"/>
            </w14:solidFill>
          </w14:textFill>
        </w:rPr>
        <w:fldChar w:fldCharType="separate"/>
      </w:r>
      <w:r>
        <w:rPr>
          <w:rFonts w:ascii="Times New Roman"/>
          <w:color w:val="000000" w:themeColor="text1"/>
          <w:szCs w:val="21"/>
          <w:highlight w:val="none"/>
          <w14:textFill>
            <w14:solidFill>
              <w14:schemeClr w14:val="tx1"/>
            </w14:solidFill>
          </w14:textFill>
        </w:rPr>
        <w:t>⑦</w:t>
      </w:r>
      <w:r>
        <w:rPr>
          <w:rFonts w:ascii="Times New Roman"/>
          <w:snapToGrid w:val="0"/>
          <w:color w:val="000000" w:themeColor="text1"/>
          <w:spacing w:val="-6"/>
          <w:kern w:val="21"/>
          <w:szCs w:val="21"/>
          <w:highlight w:val="none"/>
          <w14:textFill>
            <w14:solidFill>
              <w14:schemeClr w14:val="tx1"/>
            </w14:solidFill>
          </w14:textFill>
        </w:rPr>
        <w:fldChar w:fldCharType="end"/>
      </w:r>
      <w:r>
        <w:rPr>
          <w:rFonts w:ascii="Times New Roman"/>
          <w:snapToGrid w:val="0"/>
          <w:color w:val="000000" w:themeColor="text1"/>
          <w:spacing w:val="-6"/>
          <w:kern w:val="21"/>
          <w:szCs w:val="21"/>
          <w:highlight w:val="none"/>
          <w14:textFill>
            <w14:solidFill>
              <w14:schemeClr w14:val="tx1"/>
            </w14:solidFill>
          </w14:textFill>
        </w:rPr>
        <w:t>=</w:t>
      </w:r>
      <w:r>
        <w:rPr>
          <w:rFonts w:ascii="Times New Roman"/>
          <w:snapToGrid w:val="0"/>
          <w:color w:val="000000" w:themeColor="text1"/>
          <w:spacing w:val="-16"/>
          <w:kern w:val="21"/>
          <w:szCs w:val="21"/>
          <w:highlight w:val="none"/>
          <w14:textFill>
            <w14:solidFill>
              <w14:schemeClr w14:val="tx1"/>
            </w14:solidFill>
          </w14:textFill>
        </w:rPr>
        <w:fldChar w:fldCharType="begin"/>
      </w:r>
      <w:r>
        <w:rPr>
          <w:rFonts w:ascii="Times New Roman"/>
          <w:snapToGrid w:val="0"/>
          <w:color w:val="000000" w:themeColor="text1"/>
          <w:spacing w:val="-16"/>
          <w:kern w:val="21"/>
          <w:szCs w:val="21"/>
          <w:highlight w:val="none"/>
          <w14:textFill>
            <w14:solidFill>
              <w14:schemeClr w14:val="tx1"/>
            </w14:solidFill>
          </w14:textFill>
        </w:rPr>
        <w:instrText xml:space="preserve"> = 6 \* GB3 \* MERGEFORMAT </w:instrText>
      </w:r>
      <w:r>
        <w:rPr>
          <w:rFonts w:ascii="Times New Roman"/>
          <w:snapToGrid w:val="0"/>
          <w:color w:val="000000" w:themeColor="text1"/>
          <w:spacing w:val="-16"/>
          <w:kern w:val="21"/>
          <w:szCs w:val="21"/>
          <w:highlight w:val="none"/>
          <w14:textFill>
            <w14:solidFill>
              <w14:schemeClr w14:val="tx1"/>
            </w14:solidFill>
          </w14:textFill>
        </w:rPr>
        <w:fldChar w:fldCharType="separate"/>
      </w:r>
      <w:r>
        <w:rPr>
          <w:rFonts w:ascii="Times New Roman"/>
          <w:color w:val="000000" w:themeColor="text1"/>
          <w:szCs w:val="21"/>
          <w:highlight w:val="none"/>
          <w14:textFill>
            <w14:solidFill>
              <w14:schemeClr w14:val="tx1"/>
            </w14:solidFill>
          </w14:textFill>
        </w:rPr>
        <w:t>⑥</w:t>
      </w:r>
      <w:r>
        <w:rPr>
          <w:rFonts w:ascii="Times New Roman"/>
          <w:snapToGrid w:val="0"/>
          <w:color w:val="000000" w:themeColor="text1"/>
          <w:spacing w:val="-16"/>
          <w:kern w:val="21"/>
          <w:szCs w:val="21"/>
          <w:highlight w:val="none"/>
          <w14:textFill>
            <w14:solidFill>
              <w14:schemeClr w14:val="tx1"/>
            </w14:solidFill>
          </w14:textFill>
        </w:rPr>
        <w:fldChar w:fldCharType="end"/>
      </w:r>
      <w:r>
        <w:rPr>
          <w:rFonts w:ascii="Times New Roman"/>
          <w:snapToGrid w:val="0"/>
          <w:color w:val="000000" w:themeColor="text1"/>
          <w:spacing w:val="-16"/>
          <w:kern w:val="21"/>
          <w:szCs w:val="21"/>
          <w:highlight w:val="none"/>
          <w14:textFill>
            <w14:solidFill>
              <w14:schemeClr w14:val="tx1"/>
            </w14:solidFill>
          </w14:textFill>
        </w:rPr>
        <w:t>-</w:t>
      </w:r>
      <w:r>
        <w:rPr>
          <w:rFonts w:ascii="Times New Roman"/>
          <w:snapToGrid w:val="0"/>
          <w:color w:val="000000" w:themeColor="text1"/>
          <w:spacing w:val="-6"/>
          <w:kern w:val="21"/>
          <w:szCs w:val="21"/>
          <w:highlight w:val="none"/>
          <w14:textFill>
            <w14:solidFill>
              <w14:schemeClr w14:val="tx1"/>
            </w14:solidFill>
          </w14:textFill>
        </w:rPr>
        <w:fldChar w:fldCharType="begin"/>
      </w:r>
      <w:r>
        <w:rPr>
          <w:rFonts w:ascii="Times New Roman"/>
          <w:snapToGrid w:val="0"/>
          <w:color w:val="000000" w:themeColor="text1"/>
          <w:spacing w:val="-6"/>
          <w:kern w:val="21"/>
          <w:szCs w:val="21"/>
          <w:highlight w:val="none"/>
          <w14:textFill>
            <w14:solidFill>
              <w14:schemeClr w14:val="tx1"/>
            </w14:solidFill>
          </w14:textFill>
        </w:rPr>
        <w:instrText xml:space="preserve"> = 1 \* GB3 \* MERGEFORMAT </w:instrText>
      </w:r>
      <w:r>
        <w:rPr>
          <w:rFonts w:ascii="Times New Roman"/>
          <w:snapToGrid w:val="0"/>
          <w:color w:val="000000" w:themeColor="text1"/>
          <w:spacing w:val="-6"/>
          <w:kern w:val="21"/>
          <w:szCs w:val="21"/>
          <w:highlight w:val="none"/>
          <w14:textFill>
            <w14:solidFill>
              <w14:schemeClr w14:val="tx1"/>
            </w14:solidFill>
          </w14:textFill>
        </w:rPr>
        <w:fldChar w:fldCharType="separate"/>
      </w:r>
      <w:r>
        <w:rPr>
          <w:rFonts w:ascii="Times New Roman"/>
          <w:color w:val="000000" w:themeColor="text1"/>
          <w:szCs w:val="21"/>
          <w:highlight w:val="none"/>
          <w14:textFill>
            <w14:solidFill>
              <w14:schemeClr w14:val="tx1"/>
            </w14:solidFill>
          </w14:textFill>
        </w:rPr>
        <w:t>①</w:t>
      </w:r>
      <w:r>
        <w:rPr>
          <w:rFonts w:ascii="Times New Roman"/>
          <w:snapToGrid w:val="0"/>
          <w:color w:val="000000" w:themeColor="text1"/>
          <w:spacing w:val="-6"/>
          <w:kern w:val="21"/>
          <w:szCs w:val="21"/>
          <w:highlight w:val="none"/>
          <w14:textFill>
            <w14:solidFill>
              <w14:schemeClr w14:val="tx1"/>
            </w14:solidFill>
          </w14:textFill>
        </w:rPr>
        <w:fldChar w:fldCharType="end"/>
      </w:r>
      <w:r>
        <w:rPr>
          <w:rFonts w:hint="eastAsia" w:ascii="Times New Roman"/>
          <w:snapToGrid w:val="0"/>
          <w:color w:val="000000" w:themeColor="text1"/>
          <w:spacing w:val="-6"/>
          <w:kern w:val="21"/>
          <w:szCs w:val="21"/>
          <w:highlight w:val="none"/>
          <w:lang w:val="en-US" w:eastAsia="zh-CN"/>
          <w14:textFill>
            <w14:solidFill>
              <w14:schemeClr w14:val="tx1"/>
            </w14:solidFill>
          </w14:textFill>
        </w:rPr>
        <w:t xml:space="preserve">  单位</w:t>
      </w:r>
      <w:r>
        <w:rPr>
          <w:rFonts w:hint="default" w:ascii="Times New Roman" w:hAnsi="Times New Roman" w:eastAsia="宋体" w:cs="Times New Roman"/>
          <w:snapToGrid w:val="0"/>
          <w:color w:val="000000" w:themeColor="text1"/>
          <w:kern w:val="21"/>
          <w:szCs w:val="21"/>
          <w:highlight w:val="none"/>
          <w14:textFill>
            <w14:solidFill>
              <w14:schemeClr w14:val="tx1"/>
            </w14:solidFill>
          </w14:textFill>
        </w:rPr>
        <w:t>t/a</w:t>
      </w:r>
    </w:p>
    <w:p w14:paraId="60C61C8B">
      <w:pPr>
        <w:pStyle w:val="31"/>
        <w:spacing w:before="192" w:beforeLines="80" w:after="24"/>
        <w:ind w:firstLine="0"/>
        <w:jc w:val="both"/>
        <w:rPr>
          <w:rFonts w:hint="default" w:ascii="Times New Roman" w:eastAsia="宋体"/>
          <w:snapToGrid w:val="0"/>
          <w:color w:val="000000" w:themeColor="text1"/>
          <w:spacing w:val="-6"/>
          <w:kern w:val="21"/>
          <w:szCs w:val="21"/>
          <w:highlight w:val="none"/>
          <w:lang w:val="en-US" w:eastAsia="zh-CN"/>
          <w14:textFill>
            <w14:solidFill>
              <w14:schemeClr w14:val="tx1"/>
            </w14:solidFill>
          </w14:textFill>
        </w:rPr>
        <w:sectPr>
          <w:footerReference r:id="rId6" w:type="default"/>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2B632B1A">
      <w:pPr>
        <w:pStyle w:val="20"/>
        <w:adjustRightInd w:val="0"/>
        <w:snapToGrid w:val="0"/>
        <w:spacing w:before="0" w:beforeAutospacing="0" w:after="0" w:afterAutospacing="0" w:line="500" w:lineRule="exact"/>
        <w:outlineLvl w:val="0"/>
        <w:rPr>
          <w:rFonts w:hint="default"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pPr>
      <w:r>
        <w:rPr>
          <w:rFonts w:ascii="Times New Roman" w:hAnsi="Times New Roman" w:eastAsia="黑体" w:cs="Times New Roman"/>
          <w:snapToGrid w:val="0"/>
          <w:color w:val="000000" w:themeColor="text1"/>
          <w:sz w:val="30"/>
          <w:szCs w:val="30"/>
          <w:highlight w:val="none"/>
          <w14:textFill>
            <w14:solidFill>
              <w14:schemeClr w14:val="tx1"/>
            </w14:solidFill>
          </w14:textFill>
        </w:rPr>
        <w:t>附图1：项目地理位置图</w:t>
      </w:r>
      <w:r>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t>及交通路线图</w:t>
      </w:r>
    </w:p>
    <w:p w14:paraId="3DA9B6B7">
      <w:pPr>
        <w:ind w:left="0" w:leftChars="0" w:firstLine="0" w:firstLineChars="0"/>
        <w:jc w:val="center"/>
        <w:rPr>
          <w:color w:val="000000" w:themeColor="text1"/>
          <w:highlight w:val="none"/>
          <w14:textFill>
            <w14:solidFill>
              <w14:schemeClr w14:val="tx1"/>
            </w14:solidFill>
          </w14:textFill>
        </w:rPr>
      </w:pPr>
      <w:r>
        <w:rPr>
          <w:color w:val="000000" w:themeColor="text1"/>
          <w:sz w:val="24"/>
          <w:highlight w:val="none"/>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4085590</wp:posOffset>
                </wp:positionH>
                <wp:positionV relativeFrom="paragraph">
                  <wp:posOffset>3290570</wp:posOffset>
                </wp:positionV>
                <wp:extent cx="95250" cy="88265"/>
                <wp:effectExtent l="15240" t="15240" r="22860" b="29845"/>
                <wp:wrapNone/>
                <wp:docPr id="2" name="自选图形 143"/>
                <wp:cNvGraphicFramePr/>
                <a:graphic xmlns:a="http://schemas.openxmlformats.org/drawingml/2006/main">
                  <a:graphicData uri="http://schemas.microsoft.com/office/word/2010/wordprocessingShape">
                    <wps:wsp>
                      <wps:cNvSpPr/>
                      <wps:spPr>
                        <a:xfrm>
                          <a:off x="0" y="0"/>
                          <a:ext cx="95250" cy="88265"/>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自选图形 143" o:spid="_x0000_s1026" style="position:absolute;left:0pt;margin-left:321.7pt;margin-top:259.1pt;height:6.95pt;width:7.5pt;z-index:251660288;mso-width-relative:page;mso-height-relative:page;" fillcolor="#FF0000" filled="t" stroked="t" coordsize="95250,88265" o:gfxdata="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CiDv72QAAAAsBAAAPAAAAAAAAAAEAIAAAACIAAABkcnMv&#10;ZG93bnJldi54bWxQSwECFAAUAAAACACHTuJAK59cnwICAAAkBAAADgAAAAAAAAABACAAAAAoAQAA&#10;ZHJzL2Uyb0RvYy54bWxQSwUGAAAAAAYABgBZAQAAnAUAAAAA&#10;" path="m0,33714l36382,33714,47625,0,58867,33714,95249,33714,65815,54550,77058,88264,47625,67427,18191,88264,29434,54550xe">
                <v:path o:connectlocs="47625,0;0,33714;18191,88264;77058,88264;95249,33714" o:connectangles="247,164,82,82,0"/>
                <v:fill on="t" focussize="0,0"/>
                <v:stroke color="#FF0000" joinstyle="miter"/>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4161155</wp:posOffset>
                </wp:positionH>
                <wp:positionV relativeFrom="paragraph">
                  <wp:posOffset>2435860</wp:posOffset>
                </wp:positionV>
                <wp:extent cx="996315" cy="285750"/>
                <wp:effectExtent l="8255" t="4445" r="5080" b="643255"/>
                <wp:wrapNone/>
                <wp:docPr id="3" name="自选图形 142"/>
                <wp:cNvGraphicFramePr/>
                <a:graphic xmlns:a="http://schemas.openxmlformats.org/drawingml/2006/main">
                  <a:graphicData uri="http://schemas.microsoft.com/office/word/2010/wordprocessingShape">
                    <wps:wsp>
                      <wps:cNvSpPr/>
                      <wps:spPr>
                        <a:xfrm>
                          <a:off x="0" y="0"/>
                          <a:ext cx="996315" cy="285750"/>
                        </a:xfrm>
                        <a:prstGeom prst="wedgeRectCallout">
                          <a:avLst>
                            <a:gd name="adj1" fmla="val -49616"/>
                            <a:gd name="adj2" fmla="val 264889"/>
                          </a:avLst>
                        </a:prstGeom>
                        <a:solidFill>
                          <a:srgbClr val="FFFFFF"/>
                        </a:solidFill>
                        <a:ln w="9525" cap="flat" cmpd="sng">
                          <a:solidFill>
                            <a:srgbClr val="000000"/>
                          </a:solidFill>
                          <a:prstDash val="solid"/>
                          <a:miter/>
                          <a:headEnd type="none" w="med" len="med"/>
                          <a:tailEnd type="none" w="med" len="med"/>
                        </a:ln>
                      </wps:spPr>
                      <wps:txbx>
                        <w:txbxContent>
                          <w:p w14:paraId="2DFE8C80">
                            <w:pPr>
                              <w:ind w:left="0" w:leftChars="0" w:firstLine="0" w:firstLineChars="0"/>
                              <w:rPr>
                                <w:rFonts w:hint="default" w:eastAsia="宋体"/>
                                <w:lang w:val="en-US" w:eastAsia="zh-CN"/>
                              </w:rPr>
                            </w:pPr>
                            <w:r>
                              <w:rPr>
                                <w:rFonts w:hint="eastAsia"/>
                                <w:lang w:val="en-US" w:eastAsia="zh-CN"/>
                              </w:rPr>
                              <w:t>本项目位置</w:t>
                            </w:r>
                          </w:p>
                        </w:txbxContent>
                      </wps:txbx>
                      <wps:bodyPr upright="1"/>
                    </wps:wsp>
                  </a:graphicData>
                </a:graphic>
              </wp:anchor>
            </w:drawing>
          </mc:Choice>
          <mc:Fallback>
            <w:pict>
              <v:shape id="自选图形 142" o:spid="_x0000_s1026" o:spt="61" type="#_x0000_t61" style="position:absolute;left:0pt;margin-left:327.65pt;margin-top:191.8pt;height:22.5pt;width:78.45pt;z-index:251661312;mso-width-relative:page;mso-height-relative:page;" fillcolor="#FFFFFF" filled="t" stroked="t" coordsize="21600,21600" o:gfxdata="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Z/7uK2wAAAAsBAAAPAAAAAAAAAAEAIAAAACIAAABk&#10;cnMvZG93bnJldi54bWxQSwECFAAUAAAACACHTuJAsLOW4DwCAACPBAAADgAAAAAAAAABACAAAAAq&#10;AQAAZHJzL2Uyb0RvYy54bWxQSwUGAAAAAAYABgBZAQAA2AUAAAAA&#10;" adj="83,68016">
                <v:fill on="t" focussize="0,0"/>
                <v:stroke color="#000000" joinstyle="miter"/>
                <v:imagedata o:title=""/>
                <o:lock v:ext="edit" aspectratio="f"/>
                <v:textbox>
                  <w:txbxContent>
                    <w:p w14:paraId="2DFE8C80">
                      <w:pPr>
                        <w:ind w:left="0" w:leftChars="0" w:firstLine="0" w:firstLineChars="0"/>
                        <w:rPr>
                          <w:rFonts w:hint="default" w:eastAsia="宋体"/>
                          <w:lang w:val="en-US" w:eastAsia="zh-CN"/>
                        </w:rPr>
                      </w:pPr>
                      <w:r>
                        <w:rPr>
                          <w:rFonts w:hint="eastAsia"/>
                          <w:lang w:val="en-US" w:eastAsia="zh-CN"/>
                        </w:rPr>
                        <w:t>本项目位置</w:t>
                      </w:r>
                    </w:p>
                  </w:txbxContent>
                </v:textbox>
              </v:shape>
            </w:pict>
          </mc:Fallback>
        </mc:AlternateContent>
      </w:r>
      <w:r>
        <w:rPr>
          <w:color w:val="000000" w:themeColor="text1"/>
          <w:highlight w:val="none"/>
          <w14:textFill>
            <w14:solidFill>
              <w14:schemeClr w14:val="tx1"/>
            </w14:solidFill>
          </w14:textFill>
        </w:rPr>
        <w:drawing>
          <wp:inline distT="0" distB="0" distL="114300" distR="114300">
            <wp:extent cx="8520430" cy="5385435"/>
            <wp:effectExtent l="0" t="0" r="13970" b="5715"/>
            <wp:docPr id="59" name="图片 21" descr="F:\报告\新地图\274-275准恪尔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1" descr="F:\报告\新地图\274-275准恪尔旗.jpg"/>
                    <pic:cNvPicPr>
                      <a:picLocks noChangeAspect="1"/>
                    </pic:cNvPicPr>
                  </pic:nvPicPr>
                  <pic:blipFill>
                    <a:blip r:embed="rId37"/>
                    <a:stretch>
                      <a:fillRect/>
                    </a:stretch>
                  </pic:blipFill>
                  <pic:spPr>
                    <a:xfrm>
                      <a:off x="0" y="0"/>
                      <a:ext cx="8520430" cy="5385435"/>
                    </a:xfrm>
                    <a:prstGeom prst="rect">
                      <a:avLst/>
                    </a:prstGeom>
                    <a:noFill/>
                    <a:ln>
                      <a:noFill/>
                    </a:ln>
                  </pic:spPr>
                </pic:pic>
              </a:graphicData>
            </a:graphic>
          </wp:inline>
        </w:drawing>
      </w:r>
    </w:p>
    <w:p w14:paraId="10292969">
      <w:pPr>
        <w:adjustRightInd w:val="0"/>
        <w:snapToGrid w:val="0"/>
        <w:spacing w:before="0" w:beforeAutospacing="0" w:after="0" w:afterAutospacing="0"/>
        <w:rPr>
          <w:rFonts w:hint="eastAsia" w:ascii="Times New Roman" w:hAnsi="Times New Roman" w:eastAsia="宋体"/>
          <w:color w:val="000000" w:themeColor="text1"/>
          <w:highlight w:val="none"/>
          <w:lang w:eastAsia="zh-CN"/>
          <w14:textFill>
            <w14:solidFill>
              <w14:schemeClr w14:val="tx1"/>
            </w14:solidFill>
          </w14:textFill>
        </w:rPr>
        <w:sectPr>
          <w:pgSz w:w="16838" w:h="11905" w:orient="landscape"/>
          <w:pgMar w:top="1417" w:right="1417" w:bottom="1417" w:left="1417" w:header="850" w:footer="850" w:gutter="0"/>
          <w:pgBorders>
            <w:top w:val="none" w:sz="0" w:space="0"/>
            <w:left w:val="none" w:sz="0" w:space="0"/>
            <w:bottom w:val="none" w:sz="0" w:space="0"/>
            <w:right w:val="none" w:sz="0" w:space="0"/>
          </w:pgBorders>
          <w:cols w:space="720" w:num="1"/>
          <w:docGrid w:linePitch="326" w:charSpace="0"/>
        </w:sectPr>
      </w:pPr>
      <w:r>
        <w:rPr>
          <w:rFonts w:hint="eastAsia" w:ascii="Times New Roman" w:hAnsi="Times New Roman" w:eastAsia="宋体"/>
          <w:color w:val="000000" w:themeColor="text1"/>
          <w:highlight w:val="none"/>
          <w:lang w:eastAsia="zh-CN"/>
          <w14:textFill>
            <w14:solidFill>
              <w14:schemeClr w14:val="tx1"/>
            </w14:solidFill>
          </w14:textFill>
        </w:rPr>
        <w:drawing>
          <wp:inline distT="0" distB="0" distL="114300" distR="114300">
            <wp:extent cx="8811895" cy="4632325"/>
            <wp:effectExtent l="0" t="0" r="8255" b="15875"/>
            <wp:docPr id="60" name="图片 22" descr="项目位置现状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2" descr="项目位置现状图_01"/>
                    <pic:cNvPicPr>
                      <a:picLocks noChangeAspect="1"/>
                    </pic:cNvPicPr>
                  </pic:nvPicPr>
                  <pic:blipFill>
                    <a:blip r:embed="rId38"/>
                    <a:stretch>
                      <a:fillRect/>
                    </a:stretch>
                  </pic:blipFill>
                  <pic:spPr>
                    <a:xfrm>
                      <a:off x="0" y="0"/>
                      <a:ext cx="8811895" cy="4632325"/>
                    </a:xfrm>
                    <a:prstGeom prst="rect">
                      <a:avLst/>
                    </a:prstGeom>
                    <a:noFill/>
                    <a:ln>
                      <a:noFill/>
                    </a:ln>
                  </pic:spPr>
                </pic:pic>
              </a:graphicData>
            </a:graphic>
          </wp:inline>
        </w:drawing>
      </w:r>
    </w:p>
    <w:p w14:paraId="79697586">
      <w:pPr>
        <w:pStyle w:val="20"/>
        <w:adjustRightInd w:val="0"/>
        <w:snapToGrid w:val="0"/>
        <w:spacing w:before="0" w:beforeAutospacing="0" w:after="0" w:afterAutospacing="0" w:line="500" w:lineRule="exact"/>
        <w:outlineLvl w:val="0"/>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t>附图2：平面布置图</w:t>
      </w:r>
    </w:p>
    <w:p w14:paraId="0E130C7B">
      <w:pPr>
        <w:rPr>
          <w:rFonts w:hint="eastAsia"/>
          <w:color w:val="000000" w:themeColor="text1"/>
          <w:highlight w:val="none"/>
          <w:lang w:val="en-US" w:eastAsia="zh-CN"/>
          <w14:textFill>
            <w14:solidFill>
              <w14:schemeClr w14:val="tx1"/>
            </w14:solidFill>
          </w14:textFill>
        </w:rPr>
      </w:pPr>
    </w:p>
    <w:p w14:paraId="66BE0864">
      <w:pPr>
        <w:rPr>
          <w:rFonts w:hint="default"/>
          <w:color w:val="000000" w:themeColor="text1"/>
          <w:highlight w:val="none"/>
          <w:lang w:val="en-US" w:eastAsia="zh-CN"/>
          <w14:textFill>
            <w14:solidFill>
              <w14:schemeClr w14:val="tx1"/>
            </w14:solidFill>
          </w14:textFill>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color w:val="000000" w:themeColor="text1"/>
          <w:highlight w:val="none"/>
          <w14:textFill>
            <w14:solidFill>
              <w14:schemeClr w14:val="tx1"/>
            </w14:solidFill>
          </w14:textFill>
        </w:rPr>
        <w:drawing>
          <wp:inline distT="0" distB="0" distL="114300" distR="114300">
            <wp:extent cx="8510270" cy="5046345"/>
            <wp:effectExtent l="0" t="0" r="11430" b="8255"/>
            <wp:docPr id="6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3"/>
                    <pic:cNvPicPr>
                      <a:picLocks noChangeAspect="1"/>
                    </pic:cNvPicPr>
                  </pic:nvPicPr>
                  <pic:blipFill>
                    <a:blip r:embed="rId39"/>
                    <a:stretch>
                      <a:fillRect/>
                    </a:stretch>
                  </pic:blipFill>
                  <pic:spPr>
                    <a:xfrm>
                      <a:off x="0" y="0"/>
                      <a:ext cx="8510270" cy="5046345"/>
                    </a:xfrm>
                    <a:prstGeom prst="rect">
                      <a:avLst/>
                    </a:prstGeom>
                    <a:noFill/>
                    <a:ln>
                      <a:noFill/>
                    </a:ln>
                  </pic:spPr>
                </pic:pic>
              </a:graphicData>
            </a:graphic>
          </wp:inline>
        </w:drawing>
      </w:r>
    </w:p>
    <w:p w14:paraId="1D7E2097">
      <w:pPr>
        <w:pStyle w:val="20"/>
        <w:adjustRightInd w:val="0"/>
        <w:snapToGrid w:val="0"/>
        <w:spacing w:before="0" w:beforeAutospacing="0" w:after="0" w:afterAutospacing="0" w:line="500" w:lineRule="exact"/>
        <w:outlineLvl w:val="0"/>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t>附图3：伊东东晟煤矸石项目用地红线图</w:t>
      </w:r>
    </w:p>
    <w:p w14:paraId="3E01B914">
      <w:pPr>
        <w:bidi w:val="0"/>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drawing>
          <wp:anchor distT="0" distB="0" distL="114300" distR="114300" simplePos="0" relativeHeight="251663360" behindDoc="0" locked="0" layoutInCell="1" allowOverlap="1">
            <wp:simplePos x="0" y="0"/>
            <wp:positionH relativeFrom="column">
              <wp:posOffset>2540</wp:posOffset>
            </wp:positionH>
            <wp:positionV relativeFrom="paragraph">
              <wp:posOffset>86995</wp:posOffset>
            </wp:positionV>
            <wp:extent cx="5614035" cy="7567295"/>
            <wp:effectExtent l="0" t="0" r="5715" b="14605"/>
            <wp:wrapTopAndBottom/>
            <wp:docPr id="5" name="图片 146" descr="10.30-伊东东晟煤矸石项目用地红线图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46" descr="10.30-伊东东晟煤矸石项目用地红线图_01"/>
                    <pic:cNvPicPr>
                      <a:picLocks noChangeAspect="1"/>
                    </pic:cNvPicPr>
                  </pic:nvPicPr>
                  <pic:blipFill>
                    <a:blip r:embed="rId40"/>
                    <a:stretch>
                      <a:fillRect/>
                    </a:stretch>
                  </pic:blipFill>
                  <pic:spPr>
                    <a:xfrm>
                      <a:off x="0" y="0"/>
                      <a:ext cx="5614035" cy="7567295"/>
                    </a:xfrm>
                    <a:prstGeom prst="rect">
                      <a:avLst/>
                    </a:prstGeom>
                    <a:noFill/>
                    <a:ln>
                      <a:noFill/>
                    </a:ln>
                  </pic:spPr>
                </pic:pic>
              </a:graphicData>
            </a:graphic>
          </wp:anchor>
        </w:drawing>
      </w:r>
    </w:p>
    <w:p w14:paraId="7F3AACB9">
      <w:pPr>
        <w:pStyle w:val="20"/>
        <w:adjustRightInd w:val="0"/>
        <w:snapToGrid w:val="0"/>
        <w:spacing w:before="0" w:beforeAutospacing="0" w:after="0" w:afterAutospacing="0" w:line="500" w:lineRule="exact"/>
        <w:outlineLvl w:val="0"/>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1442C77F">
      <w:pPr>
        <w:pStyle w:val="20"/>
        <w:adjustRightInd w:val="0"/>
        <w:snapToGrid w:val="0"/>
        <w:spacing w:before="0" w:beforeAutospacing="0" w:after="0" w:afterAutospacing="0" w:line="500" w:lineRule="exact"/>
        <w:outlineLvl w:val="0"/>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t>附图4：项目位于园区位置</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652"/>
      </w:tblGrid>
      <w:tr w14:paraId="7B31C5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52" w:type="dxa"/>
          </w:tcPr>
          <w:p w14:paraId="41D7C206">
            <w:pPr>
              <w:pStyle w:val="20"/>
              <w:adjustRightInd w:val="0"/>
              <w:snapToGrid w:val="0"/>
              <w:spacing w:before="0" w:beforeAutospacing="0" w:after="0" w:afterAutospacing="0" w:line="240" w:lineRule="auto"/>
              <w:outlineLvl w:val="0"/>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color w:val="000000" w:themeColor="text1"/>
                <w:sz w:val="30"/>
                <w14:textFill>
                  <w14:solidFill>
                    <w14:schemeClr w14:val="tx1"/>
                  </w14:solidFill>
                </w14:textFill>
              </w:rPr>
              <mc:AlternateContent>
                <mc:Choice Requires="wps">
                  <w:drawing>
                    <wp:anchor distT="0" distB="0" distL="114300" distR="114300" simplePos="0" relativeHeight="251708416" behindDoc="0" locked="0" layoutInCell="1" allowOverlap="1">
                      <wp:simplePos x="0" y="0"/>
                      <wp:positionH relativeFrom="column">
                        <wp:posOffset>4617085</wp:posOffset>
                      </wp:positionH>
                      <wp:positionV relativeFrom="paragraph">
                        <wp:posOffset>2886710</wp:posOffset>
                      </wp:positionV>
                      <wp:extent cx="786765" cy="471805"/>
                      <wp:effectExtent l="428625" t="12700" r="16510" b="23495"/>
                      <wp:wrapNone/>
                      <wp:docPr id="84" name="矩形标注 84"/>
                      <wp:cNvGraphicFramePr/>
                      <a:graphic xmlns:a="http://schemas.openxmlformats.org/drawingml/2006/main">
                        <a:graphicData uri="http://schemas.microsoft.com/office/word/2010/wordprocessingShape">
                          <wps:wsp>
                            <wps:cNvSpPr/>
                            <wps:spPr>
                              <a:xfrm>
                                <a:off x="5300980" y="3950335"/>
                                <a:ext cx="786765" cy="471805"/>
                              </a:xfrm>
                              <a:prstGeom prst="wedgeRectCallout">
                                <a:avLst>
                                  <a:gd name="adj1" fmla="val -102865"/>
                                  <a:gd name="adj2" fmla="val 740"/>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566B251B">
                                  <w:pPr>
                                    <w:jc w:val="center"/>
                                    <w:rPr>
                                      <w:rFonts w:hint="default" w:eastAsia="宋体"/>
                                      <w:lang w:val="en-US" w:eastAsia="zh-CN"/>
                                    </w:rPr>
                                  </w:pPr>
                                  <w:r>
                                    <w:rPr>
                                      <w:rFonts w:hint="eastAsia"/>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63.55pt;margin-top:227.3pt;height:37.15pt;width:61.95pt;z-index:251708416;v-text-anchor:middle;mso-width-relative:page;mso-height-relative:page;" fillcolor="#4F81BD [3204]" filled="t" stroked="t" coordsize="21600,21600" o:gfxdata="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Cw3NNs3AAA&#10;AAsBAAAPAAAAAAAAAAEAIAAAACIAAABkcnMvZG93bnJldi54bWxQSwECFAAUAAAACACHTuJAnVhF&#10;asUCAAB6BQAADgAAAAAAAAABACAAAAArAQAAZHJzL2Uyb0RvYy54bWxQSwUGAAAAAAYABgBZAQAA&#10;YgYAAAAA&#10;" adj="-11419,10960">
                      <v:fill on="t" focussize="0,0"/>
                      <v:stroke weight="2pt" color="#376092 [2404]" joinstyle="round"/>
                      <v:imagedata o:title=""/>
                      <o:lock v:ext="edit" aspectratio="f"/>
                      <v:textbox>
                        <w:txbxContent>
                          <w:p w14:paraId="566B251B">
                            <w:pPr>
                              <w:jc w:val="center"/>
                              <w:rPr>
                                <w:rFonts w:hint="default" w:eastAsia="宋体"/>
                                <w:lang w:val="en-US" w:eastAsia="zh-CN"/>
                              </w:rPr>
                            </w:pPr>
                            <w:r>
                              <w:rPr>
                                <w:rFonts w:hint="eastAsia"/>
                                <w:lang w:val="en-US" w:eastAsia="zh-CN"/>
                              </w:rPr>
                              <w:t>项目位置</w:t>
                            </w:r>
                          </w:p>
                        </w:txbxContent>
                      </v:textbox>
                    </v:shape>
                  </w:pict>
                </mc:Fallback>
              </mc:AlternateContent>
            </w:r>
            <w:r>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drawing>
                <wp:inline distT="0" distB="0" distL="114300" distR="114300">
                  <wp:extent cx="8468995" cy="5095875"/>
                  <wp:effectExtent l="0" t="0" r="1905" b="9525"/>
                  <wp:docPr id="83" name="图片 83" descr="3609890068e5d8367c00be989659c2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3609890068e5d8367c00be989659c29a"/>
                          <pic:cNvPicPr>
                            <a:picLocks noChangeAspect="1"/>
                          </pic:cNvPicPr>
                        </pic:nvPicPr>
                        <pic:blipFill>
                          <a:blip r:embed="rId41"/>
                          <a:srcRect l="3414" t="2839" r="3664" b="2285"/>
                          <a:stretch>
                            <a:fillRect/>
                          </a:stretch>
                        </pic:blipFill>
                        <pic:spPr>
                          <a:xfrm>
                            <a:off x="0" y="0"/>
                            <a:ext cx="8468995" cy="5095875"/>
                          </a:xfrm>
                          <a:prstGeom prst="rect">
                            <a:avLst/>
                          </a:prstGeom>
                        </pic:spPr>
                      </pic:pic>
                    </a:graphicData>
                  </a:graphic>
                </wp:inline>
              </w:drawing>
            </w:r>
          </w:p>
        </w:tc>
      </w:tr>
    </w:tbl>
    <w:p w14:paraId="0B57E738">
      <w:pPr>
        <w:pStyle w:val="20"/>
        <w:adjustRightInd w:val="0"/>
        <w:snapToGrid w:val="0"/>
        <w:spacing w:before="0" w:beforeAutospacing="0" w:after="0" w:afterAutospacing="0" w:line="500" w:lineRule="exact"/>
        <w:outlineLvl w:val="0"/>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721A7D7E">
      <w:pPr>
        <w:pStyle w:val="20"/>
        <w:adjustRightInd w:val="0"/>
        <w:snapToGrid w:val="0"/>
        <w:spacing w:before="0" w:beforeAutospacing="0" w:after="0" w:afterAutospacing="0" w:line="500" w:lineRule="exact"/>
        <w:outlineLvl w:val="0"/>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t>附图5：本项目与</w:t>
      </w:r>
      <w:r>
        <w:rPr>
          <w:rFonts w:hint="default"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t>内蒙古伊东东方能源公司</w:t>
      </w:r>
      <w:r>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t>位置关系图</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50"/>
      </w:tblGrid>
      <w:tr w14:paraId="64B09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550" w:type="dxa"/>
          </w:tcPr>
          <w:p w14:paraId="7E7581AD">
            <w:pPr>
              <w:pStyle w:val="20"/>
              <w:adjustRightInd w:val="0"/>
              <w:snapToGrid w:val="0"/>
              <w:spacing w:before="0" w:beforeAutospacing="0" w:after="0" w:afterAutospacing="0" w:line="240" w:lineRule="auto"/>
              <w:outlineLvl w:val="0"/>
              <w:rPr>
                <w:color w:val="000000" w:themeColor="text1"/>
                <w:highlight w:val="none"/>
                <w:vertAlign w:val="baseline"/>
                <w14:textFill>
                  <w14:solidFill>
                    <w14:schemeClr w14:val="tx1"/>
                  </w14:solidFill>
                </w14:textFill>
              </w:rPr>
            </w:pPr>
            <w:r>
              <w:rPr>
                <w:color w:val="000000" w:themeColor="text1"/>
                <w:sz w:val="24"/>
                <w:highlight w:val="none"/>
                <w14:textFill>
                  <w14:solidFill>
                    <w14:schemeClr w14:val="tx1"/>
                  </w14:solidFill>
                </w14:textFill>
              </w:rPr>
              <mc:AlternateContent>
                <mc:Choice Requires="wps">
                  <w:drawing>
                    <wp:anchor distT="0" distB="0" distL="114300" distR="114300" simplePos="0" relativeHeight="251694080" behindDoc="0" locked="0" layoutInCell="1" allowOverlap="1">
                      <wp:simplePos x="0" y="0"/>
                      <wp:positionH relativeFrom="column">
                        <wp:posOffset>4052570</wp:posOffset>
                      </wp:positionH>
                      <wp:positionV relativeFrom="paragraph">
                        <wp:posOffset>2096770</wp:posOffset>
                      </wp:positionV>
                      <wp:extent cx="1028065" cy="521970"/>
                      <wp:effectExtent l="0" t="0" r="0" b="0"/>
                      <wp:wrapNone/>
                      <wp:docPr id="38" name="文本框 200"/>
                      <wp:cNvGraphicFramePr/>
                      <a:graphic xmlns:a="http://schemas.openxmlformats.org/drawingml/2006/main">
                        <a:graphicData uri="http://schemas.microsoft.com/office/word/2010/wordprocessingShape">
                          <wps:wsp>
                            <wps:cNvSpPr txBox="1"/>
                            <wps:spPr>
                              <a:xfrm>
                                <a:off x="0" y="0"/>
                                <a:ext cx="1028065" cy="521970"/>
                              </a:xfrm>
                              <a:prstGeom prst="rect">
                                <a:avLst/>
                              </a:prstGeom>
                              <a:noFill/>
                              <a:ln>
                                <a:noFill/>
                              </a:ln>
                            </wps:spPr>
                            <wps:txbx>
                              <w:txbxContent>
                                <w:p w14:paraId="6137BFCF">
                                  <w:pPr>
                                    <w:jc w:val="center"/>
                                    <w:rPr>
                                      <w:rFonts w:hint="eastAsia" w:eastAsia="宋体"/>
                                      <w:b/>
                                      <w:bCs/>
                                      <w:lang w:val="en-US" w:eastAsia="zh-CN"/>
                                    </w:rPr>
                                  </w:pPr>
                                  <w:r>
                                    <w:rPr>
                                      <w:rFonts w:hint="eastAsia"/>
                                      <w:b/>
                                      <w:bCs/>
                                      <w:lang w:val="en-US" w:eastAsia="zh-CN"/>
                                    </w:rPr>
                                    <w:t>本项目</w:t>
                                  </w:r>
                                </w:p>
                              </w:txbxContent>
                            </wps:txbx>
                            <wps:bodyPr upright="1"/>
                          </wps:wsp>
                        </a:graphicData>
                      </a:graphic>
                    </wp:anchor>
                  </w:drawing>
                </mc:Choice>
                <mc:Fallback>
                  <w:pict>
                    <v:shape id="文本框 200" o:spid="_x0000_s1026" o:spt="202" type="#_x0000_t202" style="position:absolute;left:0pt;margin-left:319.1pt;margin-top:165.1pt;height:41.1pt;width:80.95pt;z-index:251694080;mso-width-relative:page;mso-height-relative:page;" filled="f" stroked="f" coordsize="21600,21600" o:gfxdata="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fMx9T&#10;2AAAAAsBAAAPAAAAAAAAAAEAIAAAACIAAABkcnMvZG93bnJldi54bWxQSwECFAAUAAAACACHTuJA&#10;AZo1Zq8BAABRAwAADgAAAAAAAAABACAAAAAnAQAAZHJzL2Uyb0RvYy54bWxQSwUGAAAAAAYABgBZ&#10;AQAASAUAAAAA&#10;">
                      <v:fill on="f" focussize="0,0"/>
                      <v:stroke on="f"/>
                      <v:imagedata o:title=""/>
                      <o:lock v:ext="edit" aspectratio="f"/>
                      <v:textbox>
                        <w:txbxContent>
                          <w:p w14:paraId="6137BFCF">
                            <w:pPr>
                              <w:jc w:val="center"/>
                              <w:rPr>
                                <w:rFonts w:hint="eastAsia" w:eastAsia="宋体"/>
                                <w:b/>
                                <w:bCs/>
                                <w:lang w:val="en-US" w:eastAsia="zh-CN"/>
                              </w:rPr>
                            </w:pPr>
                            <w:r>
                              <w:rPr>
                                <w:rFonts w:hint="eastAsia"/>
                                <w:b/>
                                <w:bCs/>
                                <w:lang w:val="en-US" w:eastAsia="zh-CN"/>
                              </w:rPr>
                              <w:t>本项目</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93056" behindDoc="0" locked="0" layoutInCell="1" allowOverlap="1">
                      <wp:simplePos x="0" y="0"/>
                      <wp:positionH relativeFrom="column">
                        <wp:posOffset>2820670</wp:posOffset>
                      </wp:positionH>
                      <wp:positionV relativeFrom="paragraph">
                        <wp:posOffset>2045335</wp:posOffset>
                      </wp:positionV>
                      <wp:extent cx="1028065" cy="521970"/>
                      <wp:effectExtent l="0" t="0" r="0" b="0"/>
                      <wp:wrapNone/>
                      <wp:docPr id="37" name="文本框 199"/>
                      <wp:cNvGraphicFramePr/>
                      <a:graphic xmlns:a="http://schemas.openxmlformats.org/drawingml/2006/main">
                        <a:graphicData uri="http://schemas.microsoft.com/office/word/2010/wordprocessingShape">
                          <wps:wsp>
                            <wps:cNvSpPr txBox="1"/>
                            <wps:spPr>
                              <a:xfrm>
                                <a:off x="0" y="0"/>
                                <a:ext cx="1028065" cy="521970"/>
                              </a:xfrm>
                              <a:prstGeom prst="rect">
                                <a:avLst/>
                              </a:prstGeom>
                              <a:noFill/>
                              <a:ln>
                                <a:noFill/>
                              </a:ln>
                            </wps:spPr>
                            <wps:txbx>
                              <w:txbxContent>
                                <w:p w14:paraId="10F149A0">
                                  <w:pPr>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内蒙古伊东东方能源公司</w:t>
                                  </w:r>
                                </w:p>
                              </w:txbxContent>
                            </wps:txbx>
                            <wps:bodyPr upright="1"/>
                          </wps:wsp>
                        </a:graphicData>
                      </a:graphic>
                    </wp:anchor>
                  </w:drawing>
                </mc:Choice>
                <mc:Fallback>
                  <w:pict>
                    <v:shape id="文本框 199" o:spid="_x0000_s1026" o:spt="202" type="#_x0000_t202" style="position:absolute;left:0pt;margin-left:222.1pt;margin-top:161.05pt;height:41.1pt;width:80.95pt;z-index:251693056;mso-width-relative:page;mso-height-relative:page;" filled="f" stroked="f" coordsize="21600,21600" o:gfxdata="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qCk1&#10;4NcAAAALAQAADwAAAAAAAAABACAAAAAiAAAAZHJzL2Rvd25yZXYueG1sUEsBAhQAFAAAAAgAh07i&#10;QKToAgSxAQAAUQMAAA4AAAAAAAAAAQAgAAAAJgEAAGRycy9lMm9Eb2MueG1sUEsFBgAAAAAGAAYA&#10;WQEAAEkFAAAAAA==&#10;">
                      <v:fill on="f" focussize="0,0"/>
                      <v:stroke on="f"/>
                      <v:imagedata o:title=""/>
                      <o:lock v:ext="edit" aspectratio="f"/>
                      <v:textbox>
                        <w:txbxContent>
                          <w:p w14:paraId="10F149A0">
                            <w:pPr>
                              <w:jc w:val="center"/>
                              <w:rPr>
                                <w:b/>
                                <w:bCs/>
                                <w:color w:val="000000" w:themeColor="text1"/>
                                <w14:textFill>
                                  <w14:solidFill>
                                    <w14:schemeClr w14:val="tx1"/>
                                  </w14:solidFill>
                                </w14:textFill>
                              </w:rPr>
                            </w:pPr>
                            <w:r>
                              <w:rPr>
                                <w:rFonts w:hint="eastAsia"/>
                                <w:b/>
                                <w:bCs/>
                                <w:color w:val="000000" w:themeColor="text1"/>
                                <w14:textFill>
                                  <w14:solidFill>
                                    <w14:schemeClr w14:val="tx1"/>
                                  </w14:solidFill>
                                </w14:textFill>
                              </w:rPr>
                              <w:t>内蒙古伊东东方能源公司</w:t>
                            </w:r>
                          </w:p>
                        </w:txbxContent>
                      </v:textbox>
                    </v:shape>
                  </w:pict>
                </mc:Fallback>
              </mc:AlternateContent>
            </w:r>
            <w:r>
              <w:rPr>
                <w:color w:val="000000" w:themeColor="text1"/>
                <w:highlight w:val="none"/>
                <w14:textFill>
                  <w14:solidFill>
                    <w14:schemeClr w14:val="tx1"/>
                  </w14:solidFill>
                </w14:textFill>
              </w:rPr>
              <w:drawing>
                <wp:anchor distT="0" distB="0" distL="114300" distR="114300" simplePos="0" relativeHeight="251692032" behindDoc="0" locked="0" layoutInCell="1" allowOverlap="1">
                  <wp:simplePos x="0" y="0"/>
                  <wp:positionH relativeFrom="column">
                    <wp:posOffset>0</wp:posOffset>
                  </wp:positionH>
                  <wp:positionV relativeFrom="paragraph">
                    <wp:posOffset>-2805430</wp:posOffset>
                  </wp:positionV>
                  <wp:extent cx="8384540" cy="5006975"/>
                  <wp:effectExtent l="0" t="0" r="16510" b="3175"/>
                  <wp:wrapTopAndBottom/>
                  <wp:docPr id="36"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98"/>
                          <pic:cNvPicPr>
                            <a:picLocks noChangeAspect="1"/>
                          </pic:cNvPicPr>
                        </pic:nvPicPr>
                        <pic:blipFill>
                          <a:blip r:embed="rId42"/>
                          <a:stretch>
                            <a:fillRect/>
                          </a:stretch>
                        </pic:blipFill>
                        <pic:spPr>
                          <a:xfrm>
                            <a:off x="0" y="0"/>
                            <a:ext cx="8384540" cy="5006975"/>
                          </a:xfrm>
                          <a:prstGeom prst="rect">
                            <a:avLst/>
                          </a:prstGeom>
                          <a:noFill/>
                          <a:ln>
                            <a:noFill/>
                          </a:ln>
                        </pic:spPr>
                      </pic:pic>
                    </a:graphicData>
                  </a:graphic>
                </wp:anchor>
              </w:drawing>
            </w:r>
          </w:p>
        </w:tc>
      </w:tr>
    </w:tbl>
    <w:p w14:paraId="4C78567E">
      <w:pPr>
        <w:pStyle w:val="20"/>
        <w:adjustRightInd w:val="0"/>
        <w:snapToGrid w:val="0"/>
        <w:spacing w:before="0" w:beforeAutospacing="0" w:after="0" w:afterAutospacing="0" w:line="500" w:lineRule="exact"/>
        <w:outlineLvl w:val="0"/>
        <w:rPr>
          <w:rFonts w:hint="default"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768A540B">
      <w:pPr>
        <w:pStyle w:val="20"/>
        <w:adjustRightInd w:val="0"/>
        <w:snapToGrid w:val="0"/>
        <w:spacing w:before="0" w:beforeAutospacing="0" w:after="0" w:afterAutospacing="0" w:line="500" w:lineRule="exact"/>
        <w:outlineLvl w:val="0"/>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t>附图6：本项目与</w:t>
      </w:r>
      <w:r>
        <w:rPr>
          <w:rFonts w:hint="default"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t>内蒙古伊东</w:t>
      </w:r>
      <w:r>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t>东发</w:t>
      </w:r>
      <w:r>
        <w:rPr>
          <w:rFonts w:hint="default"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t>公司</w:t>
      </w:r>
      <w:r>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t>位置关系图</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16327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52" w:type="dxa"/>
          </w:tcPr>
          <w:p w14:paraId="0545B0AB">
            <w:pPr>
              <w:pStyle w:val="20"/>
              <w:adjustRightInd w:val="0"/>
              <w:snapToGrid w:val="0"/>
              <w:spacing w:before="0" w:beforeAutospacing="0" w:after="0" w:afterAutospacing="0" w:line="500" w:lineRule="exact"/>
              <w:outlineLvl w:val="0"/>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707392" behindDoc="0" locked="0" layoutInCell="1" allowOverlap="1">
                  <wp:simplePos x="0" y="0"/>
                  <wp:positionH relativeFrom="column">
                    <wp:posOffset>-52705</wp:posOffset>
                  </wp:positionH>
                  <wp:positionV relativeFrom="paragraph">
                    <wp:posOffset>384810</wp:posOffset>
                  </wp:positionV>
                  <wp:extent cx="8513445" cy="4816475"/>
                  <wp:effectExtent l="0" t="0" r="8255" b="9525"/>
                  <wp:wrapTopAndBottom/>
                  <wp:docPr id="8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
                          <pic:cNvPicPr>
                            <a:picLocks noChangeAspect="1"/>
                          </pic:cNvPicPr>
                        </pic:nvPicPr>
                        <pic:blipFill>
                          <a:blip r:embed="rId43"/>
                          <a:stretch>
                            <a:fillRect/>
                          </a:stretch>
                        </pic:blipFill>
                        <pic:spPr>
                          <a:xfrm>
                            <a:off x="0" y="0"/>
                            <a:ext cx="8513445" cy="4816475"/>
                          </a:xfrm>
                          <a:prstGeom prst="rect">
                            <a:avLst/>
                          </a:prstGeom>
                          <a:noFill/>
                          <a:ln>
                            <a:noFill/>
                          </a:ln>
                        </pic:spPr>
                      </pic:pic>
                    </a:graphicData>
                  </a:graphic>
                </wp:anchor>
              </w:drawing>
            </w:r>
          </w:p>
        </w:tc>
      </w:tr>
    </w:tbl>
    <w:p w14:paraId="6B20FD44">
      <w:pPr>
        <w:bidi w:val="0"/>
        <w:rPr>
          <w:rFonts w:hint="eastAsia"/>
          <w:color w:val="000000" w:themeColor="text1"/>
          <w:lang w:val="en-US" w:eastAsia="zh-CN"/>
          <w14:textFill>
            <w14:solidFill>
              <w14:schemeClr w14:val="tx1"/>
            </w14:solidFill>
          </w14:textFill>
        </w:rPr>
      </w:pPr>
    </w:p>
    <w:p w14:paraId="45B21FB6">
      <w:pPr>
        <w:pStyle w:val="20"/>
        <w:adjustRightInd w:val="0"/>
        <w:snapToGrid w:val="0"/>
        <w:spacing w:before="0" w:beforeAutospacing="0" w:after="0" w:afterAutospacing="0" w:line="500" w:lineRule="exact"/>
        <w:outlineLvl w:val="0"/>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4CFCDD1E">
      <w:pPr>
        <w:pStyle w:val="20"/>
        <w:adjustRightInd w:val="0"/>
        <w:snapToGrid w:val="0"/>
        <w:spacing w:before="0" w:beforeAutospacing="0" w:after="0" w:afterAutospacing="0" w:line="500" w:lineRule="exact"/>
        <w:outlineLvl w:val="0"/>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t>附件1：备案立项</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3C527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009BAFE8">
            <w:pPr>
              <w:pStyle w:val="20"/>
              <w:adjustRightInd w:val="0"/>
              <w:snapToGrid w:val="0"/>
              <w:spacing w:before="0" w:beforeAutospacing="0" w:after="0" w:afterAutospacing="0" w:line="500" w:lineRule="exact"/>
              <w:outlineLvl w:val="0"/>
              <w:rPr>
                <w:rFonts w:hint="default"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color w:val="000000" w:themeColor="text1"/>
                <w:highlight w:val="none"/>
                <w14:textFill>
                  <w14:solidFill>
                    <w14:schemeClr w14:val="tx1"/>
                  </w14:solidFill>
                </w14:textFill>
              </w:rPr>
              <w:drawing>
                <wp:anchor distT="0" distB="0" distL="114300" distR="114300" simplePos="0" relativeHeight="251689984" behindDoc="0" locked="0" layoutInCell="1" allowOverlap="1">
                  <wp:simplePos x="0" y="0"/>
                  <wp:positionH relativeFrom="column">
                    <wp:posOffset>8890</wp:posOffset>
                  </wp:positionH>
                  <wp:positionV relativeFrom="paragraph">
                    <wp:posOffset>117475</wp:posOffset>
                  </wp:positionV>
                  <wp:extent cx="5608955" cy="7738110"/>
                  <wp:effectExtent l="0" t="0" r="10795" b="15240"/>
                  <wp:wrapTopAndBottom/>
                  <wp:docPr id="34"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96"/>
                          <pic:cNvPicPr>
                            <a:picLocks noChangeAspect="1"/>
                          </pic:cNvPicPr>
                        </pic:nvPicPr>
                        <pic:blipFill>
                          <a:blip r:embed="rId44"/>
                          <a:stretch>
                            <a:fillRect/>
                          </a:stretch>
                        </pic:blipFill>
                        <pic:spPr>
                          <a:xfrm>
                            <a:off x="0" y="0"/>
                            <a:ext cx="5608955" cy="7738110"/>
                          </a:xfrm>
                          <a:prstGeom prst="rect">
                            <a:avLst/>
                          </a:prstGeom>
                          <a:noFill/>
                          <a:ln>
                            <a:noFill/>
                          </a:ln>
                        </pic:spPr>
                      </pic:pic>
                    </a:graphicData>
                  </a:graphic>
                </wp:anchor>
              </w:drawing>
            </w:r>
          </w:p>
        </w:tc>
      </w:tr>
    </w:tbl>
    <w:p w14:paraId="745B7888">
      <w:pPr>
        <w:pStyle w:val="20"/>
        <w:adjustRightInd w:val="0"/>
        <w:snapToGrid w:val="0"/>
        <w:spacing w:before="0" w:beforeAutospacing="0" w:after="0" w:afterAutospacing="0" w:line="500" w:lineRule="exact"/>
        <w:outlineLvl w:val="0"/>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t>附件2：营业执照</w:t>
      </w:r>
    </w:p>
    <w:p w14:paraId="4BAC55B1">
      <w:pPr>
        <w:bidi w:val="0"/>
        <w:rPr>
          <w:rFonts w:hint="eastAsia"/>
          <w:color w:val="000000" w:themeColor="text1"/>
          <w:lang w:val="en-US" w:eastAsia="zh-CN"/>
          <w14:textFill>
            <w14:solidFill>
              <w14:schemeClr w14:val="tx1"/>
            </w14:solidFill>
          </w14:textFill>
        </w:rPr>
      </w:pPr>
    </w:p>
    <w:p w14:paraId="2DE1B6FE">
      <w:pPr>
        <w:bidi w:val="0"/>
        <w:rPr>
          <w:rFonts w:hint="default"/>
          <w:color w:val="000000" w:themeColor="text1"/>
          <w:lang w:val="en-US"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5609590" cy="7700645"/>
            <wp:effectExtent l="0" t="0" r="10160" b="14605"/>
            <wp:docPr id="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
                    <pic:cNvPicPr>
                      <a:picLocks noChangeAspect="1"/>
                    </pic:cNvPicPr>
                  </pic:nvPicPr>
                  <pic:blipFill>
                    <a:blip r:embed="rId45"/>
                    <a:stretch>
                      <a:fillRect/>
                    </a:stretch>
                  </pic:blipFill>
                  <pic:spPr>
                    <a:xfrm rot="10800000">
                      <a:off x="0" y="0"/>
                      <a:ext cx="5609590" cy="7700645"/>
                    </a:xfrm>
                    <a:prstGeom prst="rect">
                      <a:avLst/>
                    </a:prstGeom>
                    <a:noFill/>
                    <a:ln>
                      <a:noFill/>
                    </a:ln>
                  </pic:spPr>
                </pic:pic>
              </a:graphicData>
            </a:graphic>
          </wp:inline>
        </w:drawing>
      </w:r>
    </w:p>
    <w:p w14:paraId="600AE686">
      <w:pPr>
        <w:pStyle w:val="20"/>
        <w:adjustRightInd w:val="0"/>
        <w:snapToGrid w:val="0"/>
        <w:spacing w:before="0" w:beforeAutospacing="0" w:after="0" w:afterAutospacing="0" w:line="500" w:lineRule="exact"/>
        <w:outlineLvl w:val="0"/>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t>附件3：入园文件</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1CE09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12879FE9">
            <w:pPr>
              <w:pStyle w:val="20"/>
              <w:adjustRightInd w:val="0"/>
              <w:snapToGrid w:val="0"/>
              <w:spacing w:before="0" w:beforeAutospacing="0" w:after="0" w:afterAutospacing="0" w:line="500" w:lineRule="exact"/>
              <w:outlineLvl w:val="0"/>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rFonts w:hint="default"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drawing>
                <wp:anchor distT="0" distB="0" distL="114300" distR="114300" simplePos="0" relativeHeight="251695104" behindDoc="0" locked="0" layoutInCell="1" allowOverlap="1">
                  <wp:simplePos x="0" y="0"/>
                  <wp:positionH relativeFrom="column">
                    <wp:posOffset>27940</wp:posOffset>
                  </wp:positionH>
                  <wp:positionV relativeFrom="paragraph">
                    <wp:posOffset>574040</wp:posOffset>
                  </wp:positionV>
                  <wp:extent cx="5591175" cy="7847330"/>
                  <wp:effectExtent l="0" t="0" r="9525" b="1270"/>
                  <wp:wrapTopAndBottom/>
                  <wp:docPr id="47" name="图片 47" descr="19.主任办公会议纪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19.主任办公会议纪要_01"/>
                          <pic:cNvPicPr>
                            <a:picLocks noChangeAspect="1"/>
                          </pic:cNvPicPr>
                        </pic:nvPicPr>
                        <pic:blipFill>
                          <a:blip r:embed="rId46"/>
                          <a:stretch>
                            <a:fillRect/>
                          </a:stretch>
                        </pic:blipFill>
                        <pic:spPr>
                          <a:xfrm>
                            <a:off x="0" y="0"/>
                            <a:ext cx="5591175" cy="7847330"/>
                          </a:xfrm>
                          <a:prstGeom prst="rect">
                            <a:avLst/>
                          </a:prstGeom>
                        </pic:spPr>
                      </pic:pic>
                    </a:graphicData>
                  </a:graphic>
                </wp:anchor>
              </w:drawing>
            </w:r>
          </w:p>
        </w:tc>
      </w:tr>
      <w:tr w14:paraId="3AD91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023C6CA9">
            <w:pPr>
              <w:pStyle w:val="20"/>
              <w:adjustRightInd w:val="0"/>
              <w:snapToGrid w:val="0"/>
              <w:spacing w:before="0" w:beforeAutospacing="0" w:after="0" w:afterAutospacing="0" w:line="500" w:lineRule="exact"/>
              <w:outlineLvl w:val="0"/>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rFonts w:hint="default"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drawing>
                <wp:anchor distT="0" distB="0" distL="114300" distR="114300" simplePos="0" relativeHeight="251696128" behindDoc="0" locked="0" layoutInCell="1" allowOverlap="1">
                  <wp:simplePos x="0" y="0"/>
                  <wp:positionH relativeFrom="column">
                    <wp:posOffset>55880</wp:posOffset>
                  </wp:positionH>
                  <wp:positionV relativeFrom="paragraph">
                    <wp:posOffset>-314325</wp:posOffset>
                  </wp:positionV>
                  <wp:extent cx="5591175" cy="7914005"/>
                  <wp:effectExtent l="0" t="0" r="9525" b="10795"/>
                  <wp:wrapTopAndBottom/>
                  <wp:docPr id="65" name="图片 65" descr="19.主任办公会议纪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19.主任办公会议纪要_02"/>
                          <pic:cNvPicPr>
                            <a:picLocks noChangeAspect="1"/>
                          </pic:cNvPicPr>
                        </pic:nvPicPr>
                        <pic:blipFill>
                          <a:blip r:embed="rId47"/>
                          <a:stretch>
                            <a:fillRect/>
                          </a:stretch>
                        </pic:blipFill>
                        <pic:spPr>
                          <a:xfrm>
                            <a:off x="0" y="0"/>
                            <a:ext cx="5591175" cy="7914005"/>
                          </a:xfrm>
                          <a:prstGeom prst="rect">
                            <a:avLst/>
                          </a:prstGeom>
                        </pic:spPr>
                      </pic:pic>
                    </a:graphicData>
                  </a:graphic>
                </wp:anchor>
              </w:drawing>
            </w:r>
          </w:p>
        </w:tc>
      </w:tr>
      <w:tr w14:paraId="2BB2F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07EB1AD1">
            <w:pPr>
              <w:pStyle w:val="20"/>
              <w:adjustRightInd w:val="0"/>
              <w:snapToGrid w:val="0"/>
              <w:spacing w:before="0" w:beforeAutospacing="0" w:after="0" w:afterAutospacing="0" w:line="500" w:lineRule="exact"/>
              <w:outlineLvl w:val="0"/>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drawing>
                <wp:anchor distT="0" distB="0" distL="114300" distR="114300" simplePos="0" relativeHeight="251697152" behindDoc="0" locked="0" layoutInCell="1" allowOverlap="1">
                  <wp:simplePos x="0" y="0"/>
                  <wp:positionH relativeFrom="column">
                    <wp:posOffset>0</wp:posOffset>
                  </wp:positionH>
                  <wp:positionV relativeFrom="paragraph">
                    <wp:posOffset>-7670800</wp:posOffset>
                  </wp:positionV>
                  <wp:extent cx="5591175" cy="7914005"/>
                  <wp:effectExtent l="0" t="0" r="9525" b="10795"/>
                  <wp:wrapTopAndBottom/>
                  <wp:docPr id="67" name="图片 67" descr="19.主任办公会议纪要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19.主任办公会议纪要_03"/>
                          <pic:cNvPicPr>
                            <a:picLocks noChangeAspect="1"/>
                          </pic:cNvPicPr>
                        </pic:nvPicPr>
                        <pic:blipFill>
                          <a:blip r:embed="rId48"/>
                          <a:stretch>
                            <a:fillRect/>
                          </a:stretch>
                        </pic:blipFill>
                        <pic:spPr>
                          <a:xfrm>
                            <a:off x="0" y="0"/>
                            <a:ext cx="5591175" cy="7914005"/>
                          </a:xfrm>
                          <a:prstGeom prst="rect">
                            <a:avLst/>
                          </a:prstGeom>
                        </pic:spPr>
                      </pic:pic>
                    </a:graphicData>
                  </a:graphic>
                </wp:anchor>
              </w:drawing>
            </w:r>
          </w:p>
        </w:tc>
      </w:tr>
      <w:tr w14:paraId="21E78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24410D63">
            <w:pPr>
              <w:pStyle w:val="20"/>
              <w:adjustRightInd w:val="0"/>
              <w:snapToGrid w:val="0"/>
              <w:spacing w:before="0" w:beforeAutospacing="0" w:after="0" w:afterAutospacing="0" w:line="500" w:lineRule="exact"/>
              <w:outlineLvl w:val="0"/>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drawing>
                <wp:anchor distT="0" distB="0" distL="114300" distR="114300" simplePos="0" relativeHeight="251698176" behindDoc="0" locked="0" layoutInCell="1" allowOverlap="1">
                  <wp:simplePos x="0" y="0"/>
                  <wp:positionH relativeFrom="column">
                    <wp:posOffset>0</wp:posOffset>
                  </wp:positionH>
                  <wp:positionV relativeFrom="paragraph">
                    <wp:posOffset>-7670800</wp:posOffset>
                  </wp:positionV>
                  <wp:extent cx="5591175" cy="7914005"/>
                  <wp:effectExtent l="0" t="0" r="9525" b="10795"/>
                  <wp:wrapTopAndBottom/>
                  <wp:docPr id="68" name="图片 68" descr="19.主任办公会议纪要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19.主任办公会议纪要_04"/>
                          <pic:cNvPicPr>
                            <a:picLocks noChangeAspect="1"/>
                          </pic:cNvPicPr>
                        </pic:nvPicPr>
                        <pic:blipFill>
                          <a:blip r:embed="rId49"/>
                          <a:stretch>
                            <a:fillRect/>
                          </a:stretch>
                        </pic:blipFill>
                        <pic:spPr>
                          <a:xfrm>
                            <a:off x="0" y="0"/>
                            <a:ext cx="5591175" cy="7914005"/>
                          </a:xfrm>
                          <a:prstGeom prst="rect">
                            <a:avLst/>
                          </a:prstGeom>
                        </pic:spPr>
                      </pic:pic>
                    </a:graphicData>
                  </a:graphic>
                </wp:anchor>
              </w:drawing>
            </w:r>
          </w:p>
        </w:tc>
      </w:tr>
    </w:tbl>
    <w:p w14:paraId="1E868BF0">
      <w:pPr>
        <w:pStyle w:val="20"/>
        <w:adjustRightInd w:val="0"/>
        <w:snapToGrid w:val="0"/>
        <w:spacing w:before="0" w:beforeAutospacing="0" w:after="0" w:afterAutospacing="0" w:line="500" w:lineRule="exact"/>
        <w:outlineLvl w:val="0"/>
        <w:rPr>
          <w:rFonts w:hint="default"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6FDDF0EA">
      <w:pPr>
        <w:pStyle w:val="20"/>
        <w:adjustRightInd w:val="0"/>
        <w:snapToGrid w:val="0"/>
        <w:spacing w:before="0" w:beforeAutospacing="0" w:after="0" w:afterAutospacing="0" w:line="500" w:lineRule="exact"/>
        <w:outlineLvl w:val="0"/>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t>附件4：用地文件</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55C05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8" w:hRule="atLeast"/>
        </w:trPr>
        <w:tc>
          <w:tcPr>
            <w:tcW w:w="9060" w:type="dxa"/>
          </w:tcPr>
          <w:p w14:paraId="6EF9C1F5">
            <w:pPr>
              <w:pStyle w:val="20"/>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textAlignment w:val="auto"/>
              <w:outlineLvl w:val="0"/>
              <w:rPr>
                <w:rFonts w:hint="eastAsia" w:ascii="Times New Roman" w:hAnsi="Times New Roman" w:eastAsia="宋体" w:cs="Times New Roman"/>
                <w:snapToGrid w:val="0"/>
                <w:color w:val="000000" w:themeColor="text1"/>
                <w:sz w:val="30"/>
                <w:szCs w:val="30"/>
                <w:highlight w:val="none"/>
                <w:vertAlign w:val="baseline"/>
                <w:lang w:val="en-US" w:eastAsia="zh-CN"/>
                <w14:textFill>
                  <w14:solidFill>
                    <w14:schemeClr w14:val="tx1"/>
                  </w14:solidFill>
                </w14:textFill>
              </w:rPr>
            </w:pPr>
            <w:r>
              <w:rPr>
                <w:rFonts w:hint="eastAsia" w:ascii="Times New Roman" w:hAnsi="Times New Roman" w:eastAsia="宋体" w:cs="Times New Roman"/>
                <w:snapToGrid w:val="0"/>
                <w:color w:val="000000" w:themeColor="text1"/>
                <w:sz w:val="30"/>
                <w:szCs w:val="30"/>
                <w:highlight w:val="none"/>
                <w:vertAlign w:val="baseline"/>
                <w:lang w:val="en-US" w:eastAsia="zh-CN"/>
                <w14:textFill>
                  <w14:solidFill>
                    <w14:schemeClr w14:val="tx1"/>
                  </w14:solidFill>
                </w14:textFill>
              </w:rPr>
              <w:drawing>
                <wp:anchor distT="0" distB="0" distL="114300" distR="114300" simplePos="0" relativeHeight="251703296" behindDoc="0" locked="0" layoutInCell="1" allowOverlap="1">
                  <wp:simplePos x="0" y="0"/>
                  <wp:positionH relativeFrom="column">
                    <wp:posOffset>0</wp:posOffset>
                  </wp:positionH>
                  <wp:positionV relativeFrom="paragraph">
                    <wp:posOffset>-3727450</wp:posOffset>
                  </wp:positionV>
                  <wp:extent cx="5603875" cy="3754120"/>
                  <wp:effectExtent l="0" t="0" r="15875" b="17780"/>
                  <wp:wrapTopAndBottom/>
                  <wp:docPr id="64" name="图片 64" descr="东晟预告登记（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东晟预告登记（1）_01"/>
                          <pic:cNvPicPr>
                            <a:picLocks noChangeAspect="1"/>
                          </pic:cNvPicPr>
                        </pic:nvPicPr>
                        <pic:blipFill>
                          <a:blip r:embed="rId50"/>
                          <a:stretch>
                            <a:fillRect/>
                          </a:stretch>
                        </pic:blipFill>
                        <pic:spPr>
                          <a:xfrm>
                            <a:off x="0" y="0"/>
                            <a:ext cx="5603875" cy="3754120"/>
                          </a:xfrm>
                          <a:prstGeom prst="rect">
                            <a:avLst/>
                          </a:prstGeom>
                        </pic:spPr>
                      </pic:pic>
                    </a:graphicData>
                  </a:graphic>
                </wp:anchor>
              </w:drawing>
            </w:r>
          </w:p>
        </w:tc>
      </w:tr>
      <w:tr w14:paraId="4D425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0" w:hRule="atLeast"/>
        </w:trPr>
        <w:tc>
          <w:tcPr>
            <w:tcW w:w="9060" w:type="dxa"/>
          </w:tcPr>
          <w:p w14:paraId="54121FD0">
            <w:pPr>
              <w:pStyle w:val="20"/>
              <w:adjustRightInd w:val="0"/>
              <w:snapToGrid w:val="0"/>
              <w:spacing w:before="0" w:beforeAutospacing="0" w:after="0" w:afterAutospacing="0" w:line="240" w:lineRule="auto"/>
              <w:outlineLvl w:val="0"/>
              <w:rPr>
                <w:color w:val="000000" w:themeColor="text1"/>
                <w14:textFill>
                  <w14:solidFill>
                    <w14:schemeClr w14:val="tx1"/>
                  </w14:solidFill>
                </w14:textFill>
              </w:rPr>
            </w:pPr>
            <w:r>
              <w:rPr>
                <w:rFonts w:hint="eastAsia" w:ascii="Times New Roman" w:hAnsi="Times New Roman" w:eastAsia="宋体" w:cs="Times New Roman"/>
                <w:snapToGrid w:val="0"/>
                <w:color w:val="000000" w:themeColor="text1"/>
                <w:sz w:val="30"/>
                <w:szCs w:val="30"/>
                <w:highlight w:val="none"/>
                <w:vertAlign w:val="baseline"/>
                <w:lang w:val="en-US" w:eastAsia="zh-CN"/>
                <w14:textFill>
                  <w14:solidFill>
                    <w14:schemeClr w14:val="tx1"/>
                  </w14:solidFill>
                </w14:textFill>
              </w:rPr>
              <w:drawing>
                <wp:anchor distT="0" distB="0" distL="114300" distR="114300" simplePos="0" relativeHeight="251704320" behindDoc="0" locked="0" layoutInCell="1" allowOverlap="1">
                  <wp:simplePos x="0" y="0"/>
                  <wp:positionH relativeFrom="column">
                    <wp:posOffset>-16510</wp:posOffset>
                  </wp:positionH>
                  <wp:positionV relativeFrom="paragraph">
                    <wp:posOffset>64135</wp:posOffset>
                  </wp:positionV>
                  <wp:extent cx="5603875" cy="3629660"/>
                  <wp:effectExtent l="0" t="0" r="15875" b="8890"/>
                  <wp:wrapTopAndBottom/>
                  <wp:docPr id="77" name="图片 77" descr="东晟预告登记（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东晟预告登记（2）_01"/>
                          <pic:cNvPicPr>
                            <a:picLocks noChangeAspect="1"/>
                          </pic:cNvPicPr>
                        </pic:nvPicPr>
                        <pic:blipFill>
                          <a:blip r:embed="rId51"/>
                          <a:stretch>
                            <a:fillRect/>
                          </a:stretch>
                        </pic:blipFill>
                        <pic:spPr>
                          <a:xfrm>
                            <a:off x="0" y="0"/>
                            <a:ext cx="5603875" cy="3629660"/>
                          </a:xfrm>
                          <a:prstGeom prst="rect">
                            <a:avLst/>
                          </a:prstGeom>
                        </pic:spPr>
                      </pic:pic>
                    </a:graphicData>
                  </a:graphic>
                </wp:anchor>
              </w:drawing>
            </w:r>
          </w:p>
        </w:tc>
      </w:tr>
      <w:tr w14:paraId="0B22A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0" w:hRule="atLeast"/>
        </w:trPr>
        <w:tc>
          <w:tcPr>
            <w:tcW w:w="9060" w:type="dxa"/>
          </w:tcPr>
          <w:p w14:paraId="66AD0E9A">
            <w:pPr>
              <w:pStyle w:val="20"/>
              <w:adjustRightInd w:val="0"/>
              <w:snapToGrid w:val="0"/>
              <w:spacing w:before="0" w:beforeAutospacing="0" w:after="0" w:afterAutospacing="0" w:line="240" w:lineRule="auto"/>
              <w:outlineLvl w:val="0"/>
              <w:rPr>
                <w:rFonts w:hint="eastAsia" w:ascii="Times New Roman" w:hAnsi="Times New Roman" w:eastAsia="宋体" w:cs="Times New Roman"/>
                <w:snapToGrid w:val="0"/>
                <w:color w:val="000000" w:themeColor="text1"/>
                <w:sz w:val="30"/>
                <w:szCs w:val="30"/>
                <w:highlight w:val="none"/>
                <w:vertAlign w:val="baseline"/>
                <w:lang w:val="en-US" w:eastAsia="zh-CN"/>
                <w14:textFill>
                  <w14:solidFill>
                    <w14:schemeClr w14:val="tx1"/>
                  </w14:solidFill>
                </w14:textFill>
              </w:rPr>
            </w:pPr>
            <w:r>
              <w:rPr>
                <w:rFonts w:hint="eastAsia" w:ascii="Times New Roman" w:hAnsi="Times New Roman" w:eastAsia="宋体" w:cs="Times New Roman"/>
                <w:snapToGrid w:val="0"/>
                <w:color w:val="000000" w:themeColor="text1"/>
                <w:sz w:val="30"/>
                <w:szCs w:val="30"/>
                <w:highlight w:val="none"/>
                <w:vertAlign w:val="baseline"/>
                <w:lang w:val="en-US" w:eastAsia="zh-CN"/>
                <w14:textFill>
                  <w14:solidFill>
                    <w14:schemeClr w14:val="tx1"/>
                  </w14:solidFill>
                </w14:textFill>
              </w:rPr>
              <w:drawing>
                <wp:inline distT="0" distB="0" distL="114300" distR="114300">
                  <wp:extent cx="5607050" cy="3632835"/>
                  <wp:effectExtent l="0" t="0" r="12700" b="5715"/>
                  <wp:docPr id="78" name="图片 78" descr="高新分割东晟土地证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高新分割东晟土地证1_01"/>
                          <pic:cNvPicPr>
                            <a:picLocks noChangeAspect="1"/>
                          </pic:cNvPicPr>
                        </pic:nvPicPr>
                        <pic:blipFill>
                          <a:blip r:embed="rId52"/>
                          <a:srcRect l="9250" t="1443" r="159" b="6830"/>
                          <a:stretch>
                            <a:fillRect/>
                          </a:stretch>
                        </pic:blipFill>
                        <pic:spPr>
                          <a:xfrm>
                            <a:off x="0" y="0"/>
                            <a:ext cx="5607050" cy="3632835"/>
                          </a:xfrm>
                          <a:prstGeom prst="rect">
                            <a:avLst/>
                          </a:prstGeom>
                        </pic:spPr>
                      </pic:pic>
                    </a:graphicData>
                  </a:graphic>
                </wp:inline>
              </w:drawing>
            </w:r>
          </w:p>
        </w:tc>
      </w:tr>
      <w:tr w14:paraId="2714BB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0" w:hRule="atLeast"/>
        </w:trPr>
        <w:tc>
          <w:tcPr>
            <w:tcW w:w="9060" w:type="dxa"/>
          </w:tcPr>
          <w:p w14:paraId="400C50CF">
            <w:pPr>
              <w:pStyle w:val="20"/>
              <w:adjustRightInd w:val="0"/>
              <w:snapToGrid w:val="0"/>
              <w:spacing w:before="0" w:beforeAutospacing="0" w:after="0" w:afterAutospacing="0" w:line="240" w:lineRule="auto"/>
              <w:outlineLvl w:val="0"/>
              <w:rPr>
                <w:rFonts w:hint="eastAsia" w:ascii="Times New Roman" w:hAnsi="Times New Roman" w:eastAsia="宋体" w:cs="Times New Roman"/>
                <w:snapToGrid w:val="0"/>
                <w:color w:val="000000" w:themeColor="text1"/>
                <w:sz w:val="30"/>
                <w:szCs w:val="30"/>
                <w:highlight w:val="none"/>
                <w:vertAlign w:val="baseline"/>
                <w:lang w:val="en-US" w:eastAsia="zh-CN"/>
                <w14:textFill>
                  <w14:solidFill>
                    <w14:schemeClr w14:val="tx1"/>
                  </w14:solidFill>
                </w14:textFill>
              </w:rPr>
            </w:pPr>
            <w:r>
              <w:rPr>
                <w:rFonts w:hint="eastAsia" w:ascii="Times New Roman" w:hAnsi="Times New Roman" w:eastAsia="宋体" w:cs="Times New Roman"/>
                <w:snapToGrid w:val="0"/>
                <w:color w:val="000000" w:themeColor="text1"/>
                <w:sz w:val="30"/>
                <w:szCs w:val="30"/>
                <w:highlight w:val="none"/>
                <w:vertAlign w:val="baseline"/>
                <w:lang w:val="en-US" w:eastAsia="zh-CN"/>
                <w14:textFill>
                  <w14:solidFill>
                    <w14:schemeClr w14:val="tx1"/>
                  </w14:solidFill>
                </w14:textFill>
              </w:rPr>
              <w:drawing>
                <wp:anchor distT="0" distB="0" distL="114300" distR="114300" simplePos="0" relativeHeight="251705344" behindDoc="0" locked="0" layoutInCell="1" allowOverlap="1">
                  <wp:simplePos x="0" y="0"/>
                  <wp:positionH relativeFrom="column">
                    <wp:posOffset>43180</wp:posOffset>
                  </wp:positionH>
                  <wp:positionV relativeFrom="paragraph">
                    <wp:posOffset>0</wp:posOffset>
                  </wp:positionV>
                  <wp:extent cx="5565140" cy="3670935"/>
                  <wp:effectExtent l="0" t="0" r="16510" b="5715"/>
                  <wp:wrapTopAndBottom/>
                  <wp:docPr id="79" name="图片 79" descr="煤炭分割东晟土地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煤炭分割东晟土地证_01"/>
                          <pic:cNvPicPr>
                            <a:picLocks noChangeAspect="1"/>
                          </pic:cNvPicPr>
                        </pic:nvPicPr>
                        <pic:blipFill>
                          <a:blip r:embed="rId53"/>
                          <a:srcRect l="7914" b="7311"/>
                          <a:stretch>
                            <a:fillRect/>
                          </a:stretch>
                        </pic:blipFill>
                        <pic:spPr>
                          <a:xfrm>
                            <a:off x="0" y="0"/>
                            <a:ext cx="5565140" cy="3670935"/>
                          </a:xfrm>
                          <a:prstGeom prst="rect">
                            <a:avLst/>
                          </a:prstGeom>
                        </pic:spPr>
                      </pic:pic>
                    </a:graphicData>
                  </a:graphic>
                </wp:anchor>
              </w:drawing>
            </w:r>
          </w:p>
        </w:tc>
      </w:tr>
      <w:tr w14:paraId="08E7B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2D8E82D0">
            <w:pPr>
              <w:pStyle w:val="20"/>
              <w:adjustRightInd w:val="0"/>
              <w:snapToGrid w:val="0"/>
              <w:spacing w:before="0" w:beforeAutospacing="0" w:after="0" w:afterAutospacing="0" w:line="500" w:lineRule="exact"/>
              <w:outlineLvl w:val="0"/>
              <w:rPr>
                <w:rFonts w:hint="default"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pPr>
            <w:r>
              <w:rPr>
                <w:rFonts w:hint="default"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drawing>
                <wp:anchor distT="0" distB="0" distL="114300" distR="114300" simplePos="0" relativeHeight="251702272" behindDoc="0" locked="0" layoutInCell="1" allowOverlap="1">
                  <wp:simplePos x="0" y="0"/>
                  <wp:positionH relativeFrom="column">
                    <wp:posOffset>0</wp:posOffset>
                  </wp:positionH>
                  <wp:positionV relativeFrom="paragraph">
                    <wp:posOffset>-7645400</wp:posOffset>
                  </wp:positionV>
                  <wp:extent cx="5579110" cy="8030845"/>
                  <wp:effectExtent l="0" t="0" r="8890" b="8255"/>
                  <wp:wrapTopAndBottom/>
                  <wp:docPr id="44" name="图片 44" descr="东晟合并后宗地图 Model (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东晟合并后宗地图 Model (1)_01"/>
                          <pic:cNvPicPr>
                            <a:picLocks noChangeAspect="1"/>
                          </pic:cNvPicPr>
                        </pic:nvPicPr>
                        <pic:blipFill>
                          <a:blip r:embed="rId54"/>
                          <a:stretch>
                            <a:fillRect/>
                          </a:stretch>
                        </pic:blipFill>
                        <pic:spPr>
                          <a:xfrm>
                            <a:off x="0" y="0"/>
                            <a:ext cx="5579110" cy="8030845"/>
                          </a:xfrm>
                          <a:prstGeom prst="rect">
                            <a:avLst/>
                          </a:prstGeom>
                        </pic:spPr>
                      </pic:pic>
                    </a:graphicData>
                  </a:graphic>
                </wp:anchor>
              </w:drawing>
            </w:r>
          </w:p>
        </w:tc>
      </w:tr>
    </w:tbl>
    <w:p w14:paraId="520B7115">
      <w:pPr>
        <w:pStyle w:val="20"/>
        <w:adjustRightInd w:val="0"/>
        <w:snapToGrid w:val="0"/>
        <w:spacing w:before="0" w:beforeAutospacing="0" w:after="0" w:afterAutospacing="0" w:line="500" w:lineRule="exact"/>
        <w:outlineLvl w:val="0"/>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7F86AAEA">
      <w:pPr>
        <w:pStyle w:val="20"/>
        <w:adjustRightInd w:val="0"/>
        <w:snapToGrid w:val="0"/>
        <w:spacing w:before="0" w:beforeAutospacing="0" w:after="0" w:afterAutospacing="0" w:line="500" w:lineRule="exact"/>
        <w:outlineLvl w:val="0"/>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t>附件5：园区内项目文物核查意见</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73F82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38D1F1D7">
            <w:pPr>
              <w:pStyle w:val="20"/>
              <w:adjustRightInd w:val="0"/>
              <w:snapToGrid w:val="0"/>
              <w:spacing w:before="0" w:beforeAutospacing="0" w:after="0" w:afterAutospacing="0" w:line="500" w:lineRule="exact"/>
              <w:outlineLvl w:val="0"/>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drawing>
                <wp:anchor distT="0" distB="0" distL="114300" distR="114300" simplePos="0" relativeHeight="251686912" behindDoc="0" locked="0" layoutInCell="1" allowOverlap="1">
                  <wp:simplePos x="0" y="0"/>
                  <wp:positionH relativeFrom="column">
                    <wp:posOffset>-16510</wp:posOffset>
                  </wp:positionH>
                  <wp:positionV relativeFrom="paragraph">
                    <wp:posOffset>136525</wp:posOffset>
                  </wp:positionV>
                  <wp:extent cx="5607050" cy="7444105"/>
                  <wp:effectExtent l="0" t="0" r="12700" b="4445"/>
                  <wp:wrapTopAndBottom/>
                  <wp:docPr id="30" name="图片 191" descr="文物批复（东晟）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91" descr="文物批复（东晟）_01"/>
                          <pic:cNvPicPr>
                            <a:picLocks noChangeAspect="1"/>
                          </pic:cNvPicPr>
                        </pic:nvPicPr>
                        <pic:blipFill>
                          <a:blip r:embed="rId55"/>
                          <a:stretch>
                            <a:fillRect/>
                          </a:stretch>
                        </pic:blipFill>
                        <pic:spPr>
                          <a:xfrm>
                            <a:off x="0" y="0"/>
                            <a:ext cx="5607050" cy="7444105"/>
                          </a:xfrm>
                          <a:prstGeom prst="rect">
                            <a:avLst/>
                          </a:prstGeom>
                          <a:noFill/>
                          <a:ln>
                            <a:noFill/>
                          </a:ln>
                        </pic:spPr>
                      </pic:pic>
                    </a:graphicData>
                  </a:graphic>
                </wp:anchor>
              </w:drawing>
            </w:r>
          </w:p>
        </w:tc>
      </w:tr>
      <w:tr w14:paraId="710FC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5950194E">
            <w:pPr>
              <w:pStyle w:val="20"/>
              <w:adjustRightInd w:val="0"/>
              <w:snapToGrid w:val="0"/>
              <w:spacing w:before="0" w:beforeAutospacing="0" w:after="0" w:afterAutospacing="0" w:line="500" w:lineRule="exact"/>
              <w:outlineLvl w:val="0"/>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drawing>
                <wp:anchor distT="0" distB="0" distL="114300" distR="114300" simplePos="0" relativeHeight="251687936" behindDoc="0" locked="0" layoutInCell="1" allowOverlap="1">
                  <wp:simplePos x="0" y="0"/>
                  <wp:positionH relativeFrom="column">
                    <wp:posOffset>0</wp:posOffset>
                  </wp:positionH>
                  <wp:positionV relativeFrom="paragraph">
                    <wp:posOffset>-7771765</wp:posOffset>
                  </wp:positionV>
                  <wp:extent cx="5607050" cy="8025765"/>
                  <wp:effectExtent l="0" t="0" r="12700" b="13335"/>
                  <wp:wrapTopAndBottom/>
                  <wp:docPr id="31" name="图片 192" descr="文物批复（东晟）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92" descr="文物批复（东晟）_02"/>
                          <pic:cNvPicPr>
                            <a:picLocks noChangeAspect="1"/>
                          </pic:cNvPicPr>
                        </pic:nvPicPr>
                        <pic:blipFill>
                          <a:blip r:embed="rId56"/>
                          <a:stretch>
                            <a:fillRect/>
                          </a:stretch>
                        </pic:blipFill>
                        <pic:spPr>
                          <a:xfrm>
                            <a:off x="0" y="0"/>
                            <a:ext cx="5607050" cy="8025765"/>
                          </a:xfrm>
                          <a:prstGeom prst="rect">
                            <a:avLst/>
                          </a:prstGeom>
                          <a:noFill/>
                          <a:ln>
                            <a:noFill/>
                          </a:ln>
                        </pic:spPr>
                      </pic:pic>
                    </a:graphicData>
                  </a:graphic>
                </wp:anchor>
              </w:drawing>
            </w:r>
          </w:p>
        </w:tc>
      </w:tr>
      <w:tr w14:paraId="2CA05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48C06696">
            <w:pPr>
              <w:pStyle w:val="20"/>
              <w:adjustRightInd w:val="0"/>
              <w:snapToGrid w:val="0"/>
              <w:spacing w:before="0" w:beforeAutospacing="0" w:after="0" w:afterAutospacing="0" w:line="500" w:lineRule="exact"/>
              <w:outlineLvl w:val="0"/>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drawing>
                <wp:anchor distT="0" distB="0" distL="114300" distR="114300" simplePos="0" relativeHeight="251688960" behindDoc="0" locked="0" layoutInCell="1" allowOverlap="1">
                  <wp:simplePos x="0" y="0"/>
                  <wp:positionH relativeFrom="column">
                    <wp:posOffset>0</wp:posOffset>
                  </wp:positionH>
                  <wp:positionV relativeFrom="paragraph">
                    <wp:posOffset>-7736840</wp:posOffset>
                  </wp:positionV>
                  <wp:extent cx="5605145" cy="7990840"/>
                  <wp:effectExtent l="0" t="0" r="14605" b="10160"/>
                  <wp:wrapTopAndBottom/>
                  <wp:docPr id="32" name="图片 193" descr="文物批复（东晟）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93" descr="文物批复（东晟）_03"/>
                          <pic:cNvPicPr>
                            <a:picLocks noChangeAspect="1"/>
                          </pic:cNvPicPr>
                        </pic:nvPicPr>
                        <pic:blipFill>
                          <a:blip r:embed="rId57"/>
                          <a:stretch>
                            <a:fillRect/>
                          </a:stretch>
                        </pic:blipFill>
                        <pic:spPr>
                          <a:xfrm>
                            <a:off x="0" y="0"/>
                            <a:ext cx="5605145" cy="7990840"/>
                          </a:xfrm>
                          <a:prstGeom prst="rect">
                            <a:avLst/>
                          </a:prstGeom>
                          <a:noFill/>
                          <a:ln>
                            <a:noFill/>
                          </a:ln>
                        </pic:spPr>
                      </pic:pic>
                    </a:graphicData>
                  </a:graphic>
                </wp:anchor>
              </w:drawing>
            </w:r>
          </w:p>
        </w:tc>
      </w:tr>
    </w:tbl>
    <w:p w14:paraId="099F78F4">
      <w:pPr>
        <w:bidi w:val="0"/>
        <w:rPr>
          <w:rFonts w:hint="eastAsia"/>
          <w:color w:val="000000" w:themeColor="text1"/>
          <w:highlight w:val="none"/>
          <w:lang w:val="en-US" w:eastAsia="zh-CN"/>
          <w14:textFill>
            <w14:solidFill>
              <w14:schemeClr w14:val="tx1"/>
            </w14:solidFill>
          </w14:textFill>
        </w:rPr>
      </w:pPr>
      <w:bookmarkStart w:id="8" w:name="_GoBack"/>
      <w:bookmarkEnd w:id="8"/>
    </w:p>
    <w:p w14:paraId="7ED5EB5C">
      <w:pPr>
        <w:pStyle w:val="20"/>
        <w:adjustRightInd w:val="0"/>
        <w:snapToGrid w:val="0"/>
        <w:spacing w:before="0" w:beforeAutospacing="0" w:after="0" w:afterAutospacing="0" w:line="500" w:lineRule="exact"/>
        <w:outlineLvl w:val="0"/>
        <w:rPr>
          <w:rFonts w:hint="default"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47521988">
      <w:pPr>
        <w:pStyle w:val="20"/>
        <w:adjustRightInd w:val="0"/>
        <w:snapToGrid w:val="0"/>
        <w:spacing w:before="0" w:beforeAutospacing="0" w:after="0" w:afterAutospacing="0" w:line="500" w:lineRule="exact"/>
        <w:outlineLvl w:val="0"/>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pPr>
      <w:r>
        <w:rPr>
          <w:rFonts w:ascii="Times New Roman" w:hAnsi="Times New Roman" w:eastAsia="黑体" w:cs="Times New Roman"/>
          <w:snapToGrid w:val="0"/>
          <w:color w:val="000000" w:themeColor="text1"/>
          <w:sz w:val="30"/>
          <w:szCs w:val="30"/>
          <w:highlight w:val="none"/>
          <w14:textFill>
            <w14:solidFill>
              <w14:schemeClr w14:val="tx1"/>
            </w14:solidFill>
          </w14:textFill>
        </w:rPr>
        <w:t>附件</w:t>
      </w:r>
      <w:r>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t>6</w:t>
      </w:r>
      <w:r>
        <w:rPr>
          <w:rFonts w:ascii="Times New Roman" w:hAnsi="Times New Roman" w:eastAsia="黑体" w:cs="Times New Roman"/>
          <w:snapToGrid w:val="0"/>
          <w:color w:val="000000" w:themeColor="text1"/>
          <w:sz w:val="30"/>
          <w:szCs w:val="30"/>
          <w:highlight w:val="none"/>
          <w14:textFill>
            <w14:solidFill>
              <w14:schemeClr w14:val="tx1"/>
            </w14:solidFill>
          </w14:textFill>
        </w:rPr>
        <w:t>：</w:t>
      </w:r>
      <w:r>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t>引用现状检测报告</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220E35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noWrap w:val="0"/>
            <w:vAlign w:val="top"/>
          </w:tcPr>
          <w:p w14:paraId="3B9484F8">
            <w:pPr>
              <w:pStyle w:val="20"/>
              <w:adjustRightInd w:val="0"/>
              <w:snapToGrid w:val="0"/>
              <w:spacing w:before="0" w:beforeAutospacing="0" w:after="0" w:afterAutospacing="0" w:line="240" w:lineRule="auto"/>
              <w:outlineLvl w:val="0"/>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drawing>
                <wp:anchor distT="0" distB="0" distL="114300" distR="114300" simplePos="0" relativeHeight="251669504" behindDoc="0" locked="0" layoutInCell="1" allowOverlap="1">
                  <wp:simplePos x="0" y="0"/>
                  <wp:positionH relativeFrom="column">
                    <wp:posOffset>18415</wp:posOffset>
                  </wp:positionH>
                  <wp:positionV relativeFrom="page">
                    <wp:posOffset>122555</wp:posOffset>
                  </wp:positionV>
                  <wp:extent cx="5614035" cy="7753350"/>
                  <wp:effectExtent l="0" t="0" r="5715" b="0"/>
                  <wp:wrapTopAndBottom/>
                  <wp:docPr id="12" name="图片 168" descr="内蒙古励泰生物能源有限责任公司年产60万吨兰炭型焦配套储棚建设项目环境影响评价环境现状监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68" descr="内蒙古励泰生物能源有限责任公司年产60万吨兰炭型焦配套储棚建设项目环境影响评价环境现状监测_01"/>
                          <pic:cNvPicPr>
                            <a:picLocks noChangeAspect="1"/>
                          </pic:cNvPicPr>
                        </pic:nvPicPr>
                        <pic:blipFill>
                          <a:blip r:embed="rId58"/>
                          <a:stretch>
                            <a:fillRect/>
                          </a:stretch>
                        </pic:blipFill>
                        <pic:spPr>
                          <a:xfrm>
                            <a:off x="0" y="0"/>
                            <a:ext cx="5614035" cy="7753350"/>
                          </a:xfrm>
                          <a:prstGeom prst="rect">
                            <a:avLst/>
                          </a:prstGeom>
                          <a:noFill/>
                          <a:ln>
                            <a:noFill/>
                          </a:ln>
                        </pic:spPr>
                      </pic:pic>
                    </a:graphicData>
                  </a:graphic>
                </wp:anchor>
              </w:drawing>
            </w:r>
          </w:p>
        </w:tc>
      </w:tr>
      <w:tr w14:paraId="51F0F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98" w:hRule="atLeast"/>
        </w:trPr>
        <w:tc>
          <w:tcPr>
            <w:tcW w:w="9060" w:type="dxa"/>
            <w:noWrap w:val="0"/>
            <w:vAlign w:val="top"/>
          </w:tcPr>
          <w:p w14:paraId="60FE4FD0">
            <w:pPr>
              <w:pStyle w:val="20"/>
              <w:adjustRightInd w:val="0"/>
              <w:snapToGrid w:val="0"/>
              <w:spacing w:before="0" w:beforeAutospacing="0" w:after="0" w:afterAutospacing="0" w:line="500" w:lineRule="exact"/>
              <w:outlineLvl w:val="0"/>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drawing>
                <wp:anchor distT="0" distB="0" distL="114300" distR="114300" simplePos="0" relativeHeight="251670528" behindDoc="0" locked="0" layoutInCell="1" allowOverlap="1">
                  <wp:simplePos x="0" y="0"/>
                  <wp:positionH relativeFrom="column">
                    <wp:posOffset>-75565</wp:posOffset>
                  </wp:positionH>
                  <wp:positionV relativeFrom="paragraph">
                    <wp:posOffset>108585</wp:posOffset>
                  </wp:positionV>
                  <wp:extent cx="5614035" cy="8274050"/>
                  <wp:effectExtent l="0" t="0" r="5715" b="12700"/>
                  <wp:wrapTopAndBottom/>
                  <wp:docPr id="13" name="图片 169" descr="内蒙古励泰生物能源有限责任公司年产60万吨兰炭型焦配套储棚建设项目环境影响评价环境现状监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69" descr="内蒙古励泰生物能源有限责任公司年产60万吨兰炭型焦配套储棚建设项目环境影响评价环境现状监测_02"/>
                          <pic:cNvPicPr>
                            <a:picLocks noChangeAspect="1"/>
                          </pic:cNvPicPr>
                        </pic:nvPicPr>
                        <pic:blipFill>
                          <a:blip r:embed="rId59"/>
                          <a:stretch>
                            <a:fillRect/>
                          </a:stretch>
                        </pic:blipFill>
                        <pic:spPr>
                          <a:xfrm>
                            <a:off x="0" y="0"/>
                            <a:ext cx="5614035" cy="8274050"/>
                          </a:xfrm>
                          <a:prstGeom prst="rect">
                            <a:avLst/>
                          </a:prstGeom>
                          <a:noFill/>
                          <a:ln>
                            <a:noFill/>
                          </a:ln>
                        </pic:spPr>
                      </pic:pic>
                    </a:graphicData>
                  </a:graphic>
                </wp:anchor>
              </w:drawing>
            </w:r>
          </w:p>
        </w:tc>
      </w:tr>
      <w:tr w14:paraId="22EA2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noWrap w:val="0"/>
            <w:vAlign w:val="top"/>
          </w:tcPr>
          <w:p w14:paraId="6187B32B">
            <w:pPr>
              <w:pStyle w:val="20"/>
              <w:adjustRightInd w:val="0"/>
              <w:snapToGrid w:val="0"/>
              <w:spacing w:before="0" w:beforeAutospacing="0" w:after="0" w:afterAutospacing="0" w:line="240" w:lineRule="auto"/>
              <w:outlineLvl w:val="0"/>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drawing>
                <wp:anchor distT="0" distB="0" distL="114300" distR="114300" simplePos="0" relativeHeight="251671552" behindDoc="0" locked="0" layoutInCell="1" allowOverlap="1">
                  <wp:simplePos x="0" y="0"/>
                  <wp:positionH relativeFrom="column">
                    <wp:posOffset>-120650</wp:posOffset>
                  </wp:positionH>
                  <wp:positionV relativeFrom="paragraph">
                    <wp:posOffset>183515</wp:posOffset>
                  </wp:positionV>
                  <wp:extent cx="5610860" cy="8158480"/>
                  <wp:effectExtent l="0" t="0" r="8890" b="13970"/>
                  <wp:wrapTopAndBottom/>
                  <wp:docPr id="14" name="图片 170" descr="内蒙古励泰生物能源有限责任公司年产60万吨兰炭型焦配套储棚建设项目环境影响评价环境现状监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70" descr="内蒙古励泰生物能源有限责任公司年产60万吨兰炭型焦配套储棚建设项目环境影响评价环境现状监测_03"/>
                          <pic:cNvPicPr>
                            <a:picLocks noChangeAspect="1"/>
                          </pic:cNvPicPr>
                        </pic:nvPicPr>
                        <pic:blipFill>
                          <a:blip r:embed="rId60"/>
                          <a:stretch>
                            <a:fillRect/>
                          </a:stretch>
                        </pic:blipFill>
                        <pic:spPr>
                          <a:xfrm>
                            <a:off x="0" y="0"/>
                            <a:ext cx="5610860" cy="8158480"/>
                          </a:xfrm>
                          <a:prstGeom prst="rect">
                            <a:avLst/>
                          </a:prstGeom>
                          <a:noFill/>
                          <a:ln>
                            <a:noFill/>
                          </a:ln>
                        </pic:spPr>
                      </pic:pic>
                    </a:graphicData>
                  </a:graphic>
                </wp:anchor>
              </w:drawing>
            </w:r>
          </w:p>
        </w:tc>
      </w:tr>
      <w:tr w14:paraId="66039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noWrap w:val="0"/>
            <w:vAlign w:val="top"/>
          </w:tcPr>
          <w:p w14:paraId="5CC7F501">
            <w:pPr>
              <w:pStyle w:val="20"/>
              <w:adjustRightInd w:val="0"/>
              <w:snapToGrid w:val="0"/>
              <w:spacing w:before="0" w:beforeAutospacing="0" w:after="0" w:afterAutospacing="0" w:line="240" w:lineRule="auto"/>
              <w:outlineLvl w:val="0"/>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drawing>
                <wp:anchor distT="0" distB="0" distL="114300" distR="114300" simplePos="0" relativeHeight="251672576" behindDoc="0" locked="0" layoutInCell="1" allowOverlap="1">
                  <wp:simplePos x="0" y="0"/>
                  <wp:positionH relativeFrom="column">
                    <wp:posOffset>-10160</wp:posOffset>
                  </wp:positionH>
                  <wp:positionV relativeFrom="paragraph">
                    <wp:posOffset>20320</wp:posOffset>
                  </wp:positionV>
                  <wp:extent cx="5610860" cy="8260080"/>
                  <wp:effectExtent l="0" t="0" r="8890" b="7620"/>
                  <wp:wrapTopAndBottom/>
                  <wp:docPr id="15" name="图片 171" descr="内蒙古励泰生物能源有限责任公司年产60万吨兰炭型焦配套储棚建设项目环境影响评价环境现状监测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71" descr="内蒙古励泰生物能源有限责任公司年产60万吨兰炭型焦配套储棚建设项目环境影响评价环境现状监测_04"/>
                          <pic:cNvPicPr>
                            <a:picLocks noChangeAspect="1"/>
                          </pic:cNvPicPr>
                        </pic:nvPicPr>
                        <pic:blipFill>
                          <a:blip r:embed="rId61"/>
                          <a:stretch>
                            <a:fillRect/>
                          </a:stretch>
                        </pic:blipFill>
                        <pic:spPr>
                          <a:xfrm>
                            <a:off x="0" y="0"/>
                            <a:ext cx="5610860" cy="8260080"/>
                          </a:xfrm>
                          <a:prstGeom prst="rect">
                            <a:avLst/>
                          </a:prstGeom>
                          <a:noFill/>
                          <a:ln>
                            <a:noFill/>
                          </a:ln>
                        </pic:spPr>
                      </pic:pic>
                    </a:graphicData>
                  </a:graphic>
                </wp:anchor>
              </w:drawing>
            </w:r>
          </w:p>
        </w:tc>
      </w:tr>
      <w:tr w14:paraId="4EC4B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noWrap w:val="0"/>
            <w:vAlign w:val="top"/>
          </w:tcPr>
          <w:p w14:paraId="10666C80">
            <w:pPr>
              <w:pStyle w:val="20"/>
              <w:adjustRightInd w:val="0"/>
              <w:snapToGrid w:val="0"/>
              <w:spacing w:before="0" w:beforeAutospacing="0" w:after="0" w:afterAutospacing="0" w:line="240" w:lineRule="auto"/>
              <w:outlineLvl w:val="0"/>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drawing>
                <wp:anchor distT="0" distB="0" distL="114300" distR="114300" simplePos="0" relativeHeight="251673600" behindDoc="0" locked="0" layoutInCell="1" allowOverlap="1">
                  <wp:simplePos x="0" y="0"/>
                  <wp:positionH relativeFrom="column">
                    <wp:posOffset>69215</wp:posOffset>
                  </wp:positionH>
                  <wp:positionV relativeFrom="paragraph">
                    <wp:posOffset>137160</wp:posOffset>
                  </wp:positionV>
                  <wp:extent cx="5610860" cy="8158480"/>
                  <wp:effectExtent l="0" t="0" r="8890" b="13970"/>
                  <wp:wrapTopAndBottom/>
                  <wp:docPr id="16" name="图片 172" descr="内蒙古励泰生物能源有限责任公司年产60万吨兰炭型焦配套储棚建设项目环境影响评价环境现状监测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72" descr="内蒙古励泰生物能源有限责任公司年产60万吨兰炭型焦配套储棚建设项目环境影响评价环境现状监测_05"/>
                          <pic:cNvPicPr>
                            <a:picLocks noChangeAspect="1"/>
                          </pic:cNvPicPr>
                        </pic:nvPicPr>
                        <pic:blipFill>
                          <a:blip r:embed="rId62"/>
                          <a:stretch>
                            <a:fillRect/>
                          </a:stretch>
                        </pic:blipFill>
                        <pic:spPr>
                          <a:xfrm>
                            <a:off x="0" y="0"/>
                            <a:ext cx="5610860" cy="8158480"/>
                          </a:xfrm>
                          <a:prstGeom prst="rect">
                            <a:avLst/>
                          </a:prstGeom>
                          <a:noFill/>
                          <a:ln>
                            <a:noFill/>
                          </a:ln>
                        </pic:spPr>
                      </pic:pic>
                    </a:graphicData>
                  </a:graphic>
                </wp:anchor>
              </w:drawing>
            </w:r>
          </w:p>
        </w:tc>
      </w:tr>
      <w:tr w14:paraId="2D307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noWrap w:val="0"/>
            <w:vAlign w:val="top"/>
          </w:tcPr>
          <w:p w14:paraId="74B06B44">
            <w:pPr>
              <w:pStyle w:val="20"/>
              <w:adjustRightInd w:val="0"/>
              <w:snapToGrid w:val="0"/>
              <w:spacing w:before="0" w:beforeAutospacing="0" w:after="0" w:afterAutospacing="0" w:line="240" w:lineRule="auto"/>
              <w:outlineLvl w:val="0"/>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drawing>
                <wp:anchor distT="0" distB="0" distL="114300" distR="114300" simplePos="0" relativeHeight="251674624" behindDoc="0" locked="0" layoutInCell="1" allowOverlap="1">
                  <wp:simplePos x="0" y="0"/>
                  <wp:positionH relativeFrom="column">
                    <wp:posOffset>45085</wp:posOffset>
                  </wp:positionH>
                  <wp:positionV relativeFrom="paragraph">
                    <wp:posOffset>-41910</wp:posOffset>
                  </wp:positionV>
                  <wp:extent cx="5610860" cy="8317865"/>
                  <wp:effectExtent l="0" t="0" r="8890" b="6985"/>
                  <wp:wrapTopAndBottom/>
                  <wp:docPr id="17" name="图片 173" descr="内蒙古励泰生物能源有限责任公司年产60万吨兰炭型焦配套储棚建设项目环境影响评价环境现状监测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3" descr="内蒙古励泰生物能源有限责任公司年产60万吨兰炭型焦配套储棚建设项目环境影响评价环境现状监测_06"/>
                          <pic:cNvPicPr>
                            <a:picLocks noChangeAspect="1"/>
                          </pic:cNvPicPr>
                        </pic:nvPicPr>
                        <pic:blipFill>
                          <a:blip r:embed="rId63"/>
                          <a:stretch>
                            <a:fillRect/>
                          </a:stretch>
                        </pic:blipFill>
                        <pic:spPr>
                          <a:xfrm>
                            <a:off x="0" y="0"/>
                            <a:ext cx="5610860" cy="8317865"/>
                          </a:xfrm>
                          <a:prstGeom prst="rect">
                            <a:avLst/>
                          </a:prstGeom>
                          <a:noFill/>
                          <a:ln>
                            <a:noFill/>
                          </a:ln>
                        </pic:spPr>
                      </pic:pic>
                    </a:graphicData>
                  </a:graphic>
                </wp:anchor>
              </w:drawing>
            </w:r>
          </w:p>
        </w:tc>
      </w:tr>
      <w:tr w14:paraId="4384E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noWrap w:val="0"/>
            <w:vAlign w:val="top"/>
          </w:tcPr>
          <w:p w14:paraId="21944952">
            <w:pPr>
              <w:pStyle w:val="20"/>
              <w:adjustRightInd w:val="0"/>
              <w:snapToGrid w:val="0"/>
              <w:spacing w:before="0" w:beforeAutospacing="0" w:after="0" w:afterAutospacing="0" w:line="240" w:lineRule="auto"/>
              <w:outlineLvl w:val="0"/>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drawing>
                <wp:anchor distT="0" distB="0" distL="114300" distR="114300" simplePos="0" relativeHeight="251675648" behindDoc="0" locked="0" layoutInCell="1" allowOverlap="1">
                  <wp:simplePos x="0" y="0"/>
                  <wp:positionH relativeFrom="column">
                    <wp:posOffset>-46355</wp:posOffset>
                  </wp:positionH>
                  <wp:positionV relativeFrom="paragraph">
                    <wp:posOffset>97790</wp:posOffset>
                  </wp:positionV>
                  <wp:extent cx="5610860" cy="8099425"/>
                  <wp:effectExtent l="0" t="0" r="8890" b="15875"/>
                  <wp:wrapTopAndBottom/>
                  <wp:docPr id="18" name="图片 174" descr="内蒙古励泰生物能源有限责任公司年产60万吨兰炭型焦配套储棚建设项目环境影响评价环境现状监测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4" descr="内蒙古励泰生物能源有限责任公司年产60万吨兰炭型焦配套储棚建设项目环境影响评价环境现状监测_07"/>
                          <pic:cNvPicPr>
                            <a:picLocks noChangeAspect="1"/>
                          </pic:cNvPicPr>
                        </pic:nvPicPr>
                        <pic:blipFill>
                          <a:blip r:embed="rId64"/>
                          <a:stretch>
                            <a:fillRect/>
                          </a:stretch>
                        </pic:blipFill>
                        <pic:spPr>
                          <a:xfrm>
                            <a:off x="0" y="0"/>
                            <a:ext cx="5610860" cy="8099425"/>
                          </a:xfrm>
                          <a:prstGeom prst="rect">
                            <a:avLst/>
                          </a:prstGeom>
                          <a:noFill/>
                          <a:ln>
                            <a:noFill/>
                          </a:ln>
                        </pic:spPr>
                      </pic:pic>
                    </a:graphicData>
                  </a:graphic>
                </wp:anchor>
              </w:drawing>
            </w:r>
          </w:p>
        </w:tc>
      </w:tr>
      <w:tr w14:paraId="105D7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noWrap w:val="0"/>
            <w:vAlign w:val="top"/>
          </w:tcPr>
          <w:p w14:paraId="298882AA">
            <w:pPr>
              <w:pStyle w:val="20"/>
              <w:adjustRightInd w:val="0"/>
              <w:snapToGrid w:val="0"/>
              <w:spacing w:before="0" w:beforeAutospacing="0" w:after="0" w:afterAutospacing="0" w:line="240" w:lineRule="auto"/>
              <w:outlineLvl w:val="0"/>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drawing>
                <wp:anchor distT="0" distB="0" distL="114300" distR="114300" simplePos="0" relativeHeight="251676672" behindDoc="0" locked="0" layoutInCell="1" allowOverlap="1">
                  <wp:simplePos x="0" y="0"/>
                  <wp:positionH relativeFrom="column">
                    <wp:posOffset>0</wp:posOffset>
                  </wp:positionH>
                  <wp:positionV relativeFrom="paragraph">
                    <wp:posOffset>-7686040</wp:posOffset>
                  </wp:positionV>
                  <wp:extent cx="5610860" cy="8319135"/>
                  <wp:effectExtent l="0" t="0" r="8890" b="5715"/>
                  <wp:wrapTopAndBottom/>
                  <wp:docPr id="19" name="图片 175" descr="内蒙古励泰生物能源有限责任公司年产60万吨兰炭型焦配套储棚建设项目环境影响评价环境现状监测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75" descr="内蒙古励泰生物能源有限责任公司年产60万吨兰炭型焦配套储棚建设项目环境影响评价环境现状监测_08"/>
                          <pic:cNvPicPr>
                            <a:picLocks noChangeAspect="1"/>
                          </pic:cNvPicPr>
                        </pic:nvPicPr>
                        <pic:blipFill>
                          <a:blip r:embed="rId65"/>
                          <a:stretch>
                            <a:fillRect/>
                          </a:stretch>
                        </pic:blipFill>
                        <pic:spPr>
                          <a:xfrm>
                            <a:off x="0" y="0"/>
                            <a:ext cx="5610860" cy="8319135"/>
                          </a:xfrm>
                          <a:prstGeom prst="rect">
                            <a:avLst/>
                          </a:prstGeom>
                          <a:noFill/>
                          <a:ln>
                            <a:noFill/>
                          </a:ln>
                        </pic:spPr>
                      </pic:pic>
                    </a:graphicData>
                  </a:graphic>
                </wp:anchor>
              </w:drawing>
            </w:r>
          </w:p>
        </w:tc>
      </w:tr>
      <w:tr w14:paraId="62C10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noWrap w:val="0"/>
            <w:vAlign w:val="top"/>
          </w:tcPr>
          <w:p w14:paraId="60AED7C1">
            <w:pPr>
              <w:pStyle w:val="20"/>
              <w:adjustRightInd w:val="0"/>
              <w:snapToGrid w:val="0"/>
              <w:spacing w:before="0" w:beforeAutospacing="0" w:after="0" w:afterAutospacing="0" w:line="240" w:lineRule="auto"/>
              <w:outlineLvl w:val="0"/>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drawing>
                <wp:anchor distT="0" distB="0" distL="114300" distR="114300" simplePos="0" relativeHeight="251677696" behindDoc="0" locked="0" layoutInCell="1" allowOverlap="1">
                  <wp:simplePos x="0" y="0"/>
                  <wp:positionH relativeFrom="column">
                    <wp:posOffset>0</wp:posOffset>
                  </wp:positionH>
                  <wp:positionV relativeFrom="paragraph">
                    <wp:posOffset>-7686040</wp:posOffset>
                  </wp:positionV>
                  <wp:extent cx="5610860" cy="8251825"/>
                  <wp:effectExtent l="0" t="0" r="8890" b="15875"/>
                  <wp:wrapTopAndBottom/>
                  <wp:docPr id="20" name="图片 176" descr="内蒙古励泰生物能源有限责任公司年产60万吨兰炭型焦配套储棚建设项目环境影响评价环境现状监测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76" descr="内蒙古励泰生物能源有限责任公司年产60万吨兰炭型焦配套储棚建设项目环境影响评价环境现状监测_09"/>
                          <pic:cNvPicPr>
                            <a:picLocks noChangeAspect="1"/>
                          </pic:cNvPicPr>
                        </pic:nvPicPr>
                        <pic:blipFill>
                          <a:blip r:embed="rId66"/>
                          <a:stretch>
                            <a:fillRect/>
                          </a:stretch>
                        </pic:blipFill>
                        <pic:spPr>
                          <a:xfrm>
                            <a:off x="0" y="0"/>
                            <a:ext cx="5610860" cy="8251825"/>
                          </a:xfrm>
                          <a:prstGeom prst="rect">
                            <a:avLst/>
                          </a:prstGeom>
                          <a:noFill/>
                          <a:ln>
                            <a:noFill/>
                          </a:ln>
                        </pic:spPr>
                      </pic:pic>
                    </a:graphicData>
                  </a:graphic>
                </wp:anchor>
              </w:drawing>
            </w:r>
          </w:p>
        </w:tc>
      </w:tr>
      <w:tr w14:paraId="727F1C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noWrap w:val="0"/>
            <w:vAlign w:val="top"/>
          </w:tcPr>
          <w:p w14:paraId="0CB80A8B">
            <w:pPr>
              <w:pStyle w:val="20"/>
              <w:adjustRightInd w:val="0"/>
              <w:snapToGrid w:val="0"/>
              <w:spacing w:before="0" w:beforeAutospacing="0" w:after="0" w:afterAutospacing="0" w:line="240" w:lineRule="auto"/>
              <w:outlineLvl w:val="0"/>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drawing>
                <wp:anchor distT="0" distB="0" distL="114300" distR="114300" simplePos="0" relativeHeight="251678720" behindDoc="0" locked="0" layoutInCell="1" allowOverlap="1">
                  <wp:simplePos x="0" y="0"/>
                  <wp:positionH relativeFrom="column">
                    <wp:posOffset>0</wp:posOffset>
                  </wp:positionH>
                  <wp:positionV relativeFrom="paragraph">
                    <wp:posOffset>-7686040</wp:posOffset>
                  </wp:positionV>
                  <wp:extent cx="5610860" cy="8324215"/>
                  <wp:effectExtent l="0" t="0" r="2540" b="6985"/>
                  <wp:wrapTopAndBottom/>
                  <wp:docPr id="21" name="图片 177" descr="内蒙古励泰生物能源有限责任公司年产60万吨兰炭型焦配套储棚建设项目环境影响评价环境现状监测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77" descr="内蒙古励泰生物能源有限责任公司年产60万吨兰炭型焦配套储棚建设项目环境影响评价环境现状监测_10"/>
                          <pic:cNvPicPr>
                            <a:picLocks noChangeAspect="1"/>
                          </pic:cNvPicPr>
                        </pic:nvPicPr>
                        <pic:blipFill>
                          <a:blip r:embed="rId67"/>
                          <a:stretch>
                            <a:fillRect/>
                          </a:stretch>
                        </pic:blipFill>
                        <pic:spPr>
                          <a:xfrm>
                            <a:off x="0" y="0"/>
                            <a:ext cx="5610860" cy="8324215"/>
                          </a:xfrm>
                          <a:prstGeom prst="rect">
                            <a:avLst/>
                          </a:prstGeom>
                          <a:noFill/>
                          <a:ln>
                            <a:noFill/>
                          </a:ln>
                        </pic:spPr>
                      </pic:pic>
                    </a:graphicData>
                  </a:graphic>
                </wp:anchor>
              </w:drawing>
            </w:r>
          </w:p>
        </w:tc>
      </w:tr>
      <w:tr w14:paraId="6F5EEC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31" w:hRule="atLeast"/>
        </w:trPr>
        <w:tc>
          <w:tcPr>
            <w:tcW w:w="9060" w:type="dxa"/>
            <w:noWrap w:val="0"/>
            <w:vAlign w:val="top"/>
          </w:tcPr>
          <w:p w14:paraId="3E5E4E66">
            <w:pPr>
              <w:pStyle w:val="20"/>
              <w:adjustRightInd w:val="0"/>
              <w:snapToGrid w:val="0"/>
              <w:spacing w:before="0" w:beforeAutospacing="0" w:after="0" w:afterAutospacing="0" w:line="240" w:lineRule="auto"/>
              <w:outlineLvl w:val="0"/>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drawing>
                <wp:anchor distT="0" distB="0" distL="114300" distR="114300" simplePos="0" relativeHeight="251679744" behindDoc="0" locked="0" layoutInCell="1" allowOverlap="1">
                  <wp:simplePos x="0" y="0"/>
                  <wp:positionH relativeFrom="column">
                    <wp:posOffset>0</wp:posOffset>
                  </wp:positionH>
                  <wp:positionV relativeFrom="paragraph">
                    <wp:posOffset>-7686040</wp:posOffset>
                  </wp:positionV>
                  <wp:extent cx="5610860" cy="8344535"/>
                  <wp:effectExtent l="0" t="0" r="2540" b="12065"/>
                  <wp:wrapTopAndBottom/>
                  <wp:docPr id="22" name="图片 178" descr="内蒙古励泰生物能源有限责任公司年产60万吨兰炭型焦配套储棚建设项目环境影响评价环境现状监测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78" descr="内蒙古励泰生物能源有限责任公司年产60万吨兰炭型焦配套储棚建设项目环境影响评价环境现状监测_11"/>
                          <pic:cNvPicPr>
                            <a:picLocks noChangeAspect="1"/>
                          </pic:cNvPicPr>
                        </pic:nvPicPr>
                        <pic:blipFill>
                          <a:blip r:embed="rId68"/>
                          <a:stretch>
                            <a:fillRect/>
                          </a:stretch>
                        </pic:blipFill>
                        <pic:spPr>
                          <a:xfrm>
                            <a:off x="0" y="0"/>
                            <a:ext cx="5610860" cy="8344535"/>
                          </a:xfrm>
                          <a:prstGeom prst="rect">
                            <a:avLst/>
                          </a:prstGeom>
                          <a:noFill/>
                          <a:ln>
                            <a:noFill/>
                          </a:ln>
                        </pic:spPr>
                      </pic:pic>
                    </a:graphicData>
                  </a:graphic>
                </wp:anchor>
              </w:drawing>
            </w:r>
          </w:p>
        </w:tc>
      </w:tr>
      <w:tr w14:paraId="704C2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31" w:hRule="atLeast"/>
        </w:trPr>
        <w:tc>
          <w:tcPr>
            <w:tcW w:w="9060" w:type="dxa"/>
            <w:noWrap w:val="0"/>
            <w:vAlign w:val="top"/>
          </w:tcPr>
          <w:p w14:paraId="61C9C9EF">
            <w:pPr>
              <w:pStyle w:val="20"/>
              <w:adjustRightInd w:val="0"/>
              <w:snapToGrid w:val="0"/>
              <w:spacing w:before="0" w:beforeAutospacing="0" w:after="0" w:afterAutospacing="0" w:line="240" w:lineRule="auto"/>
              <w:outlineLvl w:val="0"/>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5614670" cy="7886700"/>
                  <wp:effectExtent l="0" t="0" r="5080" b="0"/>
                  <wp:docPr id="9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
                          <pic:cNvPicPr>
                            <a:picLocks noChangeAspect="1"/>
                          </pic:cNvPicPr>
                        </pic:nvPicPr>
                        <pic:blipFill>
                          <a:blip r:embed="rId69"/>
                          <a:stretch>
                            <a:fillRect/>
                          </a:stretch>
                        </pic:blipFill>
                        <pic:spPr>
                          <a:xfrm>
                            <a:off x="0" y="0"/>
                            <a:ext cx="5614670" cy="7886700"/>
                          </a:xfrm>
                          <a:prstGeom prst="rect">
                            <a:avLst/>
                          </a:prstGeom>
                          <a:noFill/>
                          <a:ln>
                            <a:noFill/>
                          </a:ln>
                        </pic:spPr>
                      </pic:pic>
                    </a:graphicData>
                  </a:graphic>
                </wp:inline>
              </w:drawing>
            </w:r>
          </w:p>
        </w:tc>
      </w:tr>
      <w:tr w14:paraId="210DC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31" w:hRule="atLeast"/>
        </w:trPr>
        <w:tc>
          <w:tcPr>
            <w:tcW w:w="9060" w:type="dxa"/>
            <w:noWrap w:val="0"/>
            <w:vAlign w:val="top"/>
          </w:tcPr>
          <w:p w14:paraId="4EF70400">
            <w:pPr>
              <w:pStyle w:val="20"/>
              <w:adjustRightInd w:val="0"/>
              <w:snapToGrid w:val="0"/>
              <w:spacing w:before="0" w:beforeAutospacing="0" w:after="0" w:afterAutospacing="0" w:line="240" w:lineRule="auto"/>
              <w:outlineLvl w:val="0"/>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5610225" cy="7853045"/>
                  <wp:effectExtent l="0" t="0" r="9525" b="14605"/>
                  <wp:docPr id="9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
                          <pic:cNvPicPr>
                            <a:picLocks noChangeAspect="1"/>
                          </pic:cNvPicPr>
                        </pic:nvPicPr>
                        <pic:blipFill>
                          <a:blip r:embed="rId70"/>
                          <a:stretch>
                            <a:fillRect/>
                          </a:stretch>
                        </pic:blipFill>
                        <pic:spPr>
                          <a:xfrm>
                            <a:off x="0" y="0"/>
                            <a:ext cx="5610225" cy="7853045"/>
                          </a:xfrm>
                          <a:prstGeom prst="rect">
                            <a:avLst/>
                          </a:prstGeom>
                          <a:noFill/>
                          <a:ln>
                            <a:noFill/>
                          </a:ln>
                        </pic:spPr>
                      </pic:pic>
                    </a:graphicData>
                  </a:graphic>
                </wp:inline>
              </w:drawing>
            </w:r>
          </w:p>
        </w:tc>
      </w:tr>
      <w:tr w14:paraId="5B995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31" w:hRule="atLeast"/>
        </w:trPr>
        <w:tc>
          <w:tcPr>
            <w:tcW w:w="9060" w:type="dxa"/>
            <w:noWrap w:val="0"/>
            <w:vAlign w:val="top"/>
          </w:tcPr>
          <w:p w14:paraId="0AF161F8">
            <w:pPr>
              <w:pStyle w:val="20"/>
              <w:adjustRightInd w:val="0"/>
              <w:snapToGrid w:val="0"/>
              <w:spacing w:before="0" w:beforeAutospacing="0" w:after="0" w:afterAutospacing="0" w:line="240" w:lineRule="auto"/>
              <w:outlineLvl w:val="0"/>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5612765" cy="7946390"/>
                  <wp:effectExtent l="0" t="0" r="6985" b="16510"/>
                  <wp:docPr id="9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5"/>
                          <pic:cNvPicPr>
                            <a:picLocks noChangeAspect="1"/>
                          </pic:cNvPicPr>
                        </pic:nvPicPr>
                        <pic:blipFill>
                          <a:blip r:embed="rId71"/>
                          <a:stretch>
                            <a:fillRect/>
                          </a:stretch>
                        </pic:blipFill>
                        <pic:spPr>
                          <a:xfrm>
                            <a:off x="0" y="0"/>
                            <a:ext cx="5612765" cy="7946390"/>
                          </a:xfrm>
                          <a:prstGeom prst="rect">
                            <a:avLst/>
                          </a:prstGeom>
                          <a:noFill/>
                          <a:ln>
                            <a:noFill/>
                          </a:ln>
                        </pic:spPr>
                      </pic:pic>
                    </a:graphicData>
                  </a:graphic>
                </wp:inline>
              </w:drawing>
            </w:r>
          </w:p>
        </w:tc>
      </w:tr>
      <w:tr w14:paraId="73873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31" w:hRule="atLeast"/>
        </w:trPr>
        <w:tc>
          <w:tcPr>
            <w:tcW w:w="9060" w:type="dxa"/>
            <w:noWrap w:val="0"/>
            <w:vAlign w:val="top"/>
          </w:tcPr>
          <w:p w14:paraId="5856E01C">
            <w:pPr>
              <w:pStyle w:val="20"/>
              <w:adjustRightInd w:val="0"/>
              <w:snapToGrid w:val="0"/>
              <w:spacing w:before="0" w:beforeAutospacing="0" w:after="0" w:afterAutospacing="0" w:line="240" w:lineRule="auto"/>
              <w:outlineLvl w:val="0"/>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5610860" cy="7930515"/>
                  <wp:effectExtent l="0" t="0" r="8890" b="13335"/>
                  <wp:docPr id="9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
                          <pic:cNvPicPr>
                            <a:picLocks noChangeAspect="1"/>
                          </pic:cNvPicPr>
                        </pic:nvPicPr>
                        <pic:blipFill>
                          <a:blip r:embed="rId72"/>
                          <a:stretch>
                            <a:fillRect/>
                          </a:stretch>
                        </pic:blipFill>
                        <pic:spPr>
                          <a:xfrm>
                            <a:off x="0" y="0"/>
                            <a:ext cx="5610860" cy="7930515"/>
                          </a:xfrm>
                          <a:prstGeom prst="rect">
                            <a:avLst/>
                          </a:prstGeom>
                          <a:noFill/>
                          <a:ln>
                            <a:noFill/>
                          </a:ln>
                        </pic:spPr>
                      </pic:pic>
                    </a:graphicData>
                  </a:graphic>
                </wp:inline>
              </w:drawing>
            </w:r>
          </w:p>
        </w:tc>
      </w:tr>
      <w:tr w14:paraId="666D7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31" w:hRule="atLeast"/>
        </w:trPr>
        <w:tc>
          <w:tcPr>
            <w:tcW w:w="9060" w:type="dxa"/>
            <w:noWrap w:val="0"/>
            <w:vAlign w:val="top"/>
          </w:tcPr>
          <w:p w14:paraId="3F0425F9">
            <w:pPr>
              <w:pStyle w:val="20"/>
              <w:adjustRightInd w:val="0"/>
              <w:snapToGrid w:val="0"/>
              <w:spacing w:before="0" w:beforeAutospacing="0" w:after="0" w:afterAutospacing="0" w:line="240" w:lineRule="auto"/>
              <w:outlineLvl w:val="0"/>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5612765" cy="7906385"/>
                  <wp:effectExtent l="0" t="0" r="6985" b="18415"/>
                  <wp:docPr id="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7"/>
                          <pic:cNvPicPr>
                            <a:picLocks noChangeAspect="1"/>
                          </pic:cNvPicPr>
                        </pic:nvPicPr>
                        <pic:blipFill>
                          <a:blip r:embed="rId73"/>
                          <a:stretch>
                            <a:fillRect/>
                          </a:stretch>
                        </pic:blipFill>
                        <pic:spPr>
                          <a:xfrm>
                            <a:off x="0" y="0"/>
                            <a:ext cx="5612765" cy="7906385"/>
                          </a:xfrm>
                          <a:prstGeom prst="rect">
                            <a:avLst/>
                          </a:prstGeom>
                          <a:noFill/>
                          <a:ln>
                            <a:noFill/>
                          </a:ln>
                        </pic:spPr>
                      </pic:pic>
                    </a:graphicData>
                  </a:graphic>
                </wp:inline>
              </w:drawing>
            </w:r>
          </w:p>
        </w:tc>
      </w:tr>
      <w:tr w14:paraId="7C105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31" w:hRule="atLeast"/>
        </w:trPr>
        <w:tc>
          <w:tcPr>
            <w:tcW w:w="9060" w:type="dxa"/>
            <w:noWrap w:val="0"/>
            <w:vAlign w:val="top"/>
          </w:tcPr>
          <w:p w14:paraId="37A54FD8">
            <w:pPr>
              <w:pStyle w:val="20"/>
              <w:adjustRightInd w:val="0"/>
              <w:snapToGrid w:val="0"/>
              <w:spacing w:before="0" w:beforeAutospacing="0" w:after="0" w:afterAutospacing="0" w:line="240" w:lineRule="auto"/>
              <w:outlineLvl w:val="0"/>
              <w:rPr>
                <w:rFonts w:hint="eastAsia"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5614035" cy="7863840"/>
                  <wp:effectExtent l="0" t="0" r="5715" b="3810"/>
                  <wp:docPr id="9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8"/>
                          <pic:cNvPicPr>
                            <a:picLocks noChangeAspect="1"/>
                          </pic:cNvPicPr>
                        </pic:nvPicPr>
                        <pic:blipFill>
                          <a:blip r:embed="rId74"/>
                          <a:stretch>
                            <a:fillRect/>
                          </a:stretch>
                        </pic:blipFill>
                        <pic:spPr>
                          <a:xfrm>
                            <a:off x="0" y="0"/>
                            <a:ext cx="5614035" cy="7863840"/>
                          </a:xfrm>
                          <a:prstGeom prst="rect">
                            <a:avLst/>
                          </a:prstGeom>
                          <a:noFill/>
                          <a:ln>
                            <a:noFill/>
                          </a:ln>
                        </pic:spPr>
                      </pic:pic>
                    </a:graphicData>
                  </a:graphic>
                </wp:inline>
              </w:drawing>
            </w:r>
          </w:p>
        </w:tc>
      </w:tr>
      <w:tr w14:paraId="743A3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31" w:hRule="atLeast"/>
        </w:trPr>
        <w:tc>
          <w:tcPr>
            <w:tcW w:w="9060" w:type="dxa"/>
            <w:noWrap w:val="0"/>
            <w:vAlign w:val="top"/>
          </w:tcPr>
          <w:p w14:paraId="2BE25AF2">
            <w:pPr>
              <w:pStyle w:val="20"/>
              <w:adjustRightInd w:val="0"/>
              <w:snapToGrid w:val="0"/>
              <w:spacing w:before="0" w:beforeAutospacing="0" w:after="0" w:afterAutospacing="0" w:line="240" w:lineRule="auto"/>
              <w:outlineLvl w:val="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614035" cy="7854315"/>
                  <wp:effectExtent l="0" t="0" r="5715" b="13335"/>
                  <wp:docPr id="9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
                          <pic:cNvPicPr>
                            <a:picLocks noChangeAspect="1"/>
                          </pic:cNvPicPr>
                        </pic:nvPicPr>
                        <pic:blipFill>
                          <a:blip r:embed="rId75"/>
                          <a:stretch>
                            <a:fillRect/>
                          </a:stretch>
                        </pic:blipFill>
                        <pic:spPr>
                          <a:xfrm>
                            <a:off x="0" y="0"/>
                            <a:ext cx="5614035" cy="7854315"/>
                          </a:xfrm>
                          <a:prstGeom prst="rect">
                            <a:avLst/>
                          </a:prstGeom>
                          <a:noFill/>
                          <a:ln>
                            <a:noFill/>
                          </a:ln>
                        </pic:spPr>
                      </pic:pic>
                    </a:graphicData>
                  </a:graphic>
                </wp:inline>
              </w:drawing>
            </w:r>
          </w:p>
        </w:tc>
      </w:tr>
      <w:tr w14:paraId="6BA31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31" w:hRule="atLeast"/>
        </w:trPr>
        <w:tc>
          <w:tcPr>
            <w:tcW w:w="9060" w:type="dxa"/>
            <w:noWrap w:val="0"/>
            <w:vAlign w:val="top"/>
          </w:tcPr>
          <w:p w14:paraId="17F3EBEA">
            <w:pPr>
              <w:pStyle w:val="20"/>
              <w:adjustRightInd w:val="0"/>
              <w:snapToGrid w:val="0"/>
              <w:spacing w:before="0" w:beforeAutospacing="0" w:after="0" w:afterAutospacing="0" w:line="240" w:lineRule="auto"/>
              <w:outlineLvl w:val="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610225" cy="7861935"/>
                  <wp:effectExtent l="0" t="0" r="9525" b="5715"/>
                  <wp:docPr id="9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0"/>
                          <pic:cNvPicPr>
                            <a:picLocks noChangeAspect="1"/>
                          </pic:cNvPicPr>
                        </pic:nvPicPr>
                        <pic:blipFill>
                          <a:blip r:embed="rId76"/>
                          <a:stretch>
                            <a:fillRect/>
                          </a:stretch>
                        </pic:blipFill>
                        <pic:spPr>
                          <a:xfrm>
                            <a:off x="0" y="0"/>
                            <a:ext cx="5610225" cy="7861935"/>
                          </a:xfrm>
                          <a:prstGeom prst="rect">
                            <a:avLst/>
                          </a:prstGeom>
                          <a:noFill/>
                          <a:ln>
                            <a:noFill/>
                          </a:ln>
                        </pic:spPr>
                      </pic:pic>
                    </a:graphicData>
                  </a:graphic>
                </wp:inline>
              </w:drawing>
            </w:r>
          </w:p>
        </w:tc>
      </w:tr>
      <w:tr w14:paraId="182D4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31" w:hRule="atLeast"/>
        </w:trPr>
        <w:tc>
          <w:tcPr>
            <w:tcW w:w="9060" w:type="dxa"/>
            <w:noWrap w:val="0"/>
            <w:vAlign w:val="top"/>
          </w:tcPr>
          <w:p w14:paraId="2ABA2561">
            <w:pPr>
              <w:pStyle w:val="20"/>
              <w:adjustRightInd w:val="0"/>
              <w:snapToGrid w:val="0"/>
              <w:spacing w:before="0" w:beforeAutospacing="0" w:after="0" w:afterAutospacing="0" w:line="240" w:lineRule="auto"/>
              <w:outlineLvl w:val="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612130" cy="7838440"/>
                  <wp:effectExtent l="0" t="0" r="7620" b="10160"/>
                  <wp:docPr id="9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1"/>
                          <pic:cNvPicPr>
                            <a:picLocks noChangeAspect="1"/>
                          </pic:cNvPicPr>
                        </pic:nvPicPr>
                        <pic:blipFill>
                          <a:blip r:embed="rId77"/>
                          <a:stretch>
                            <a:fillRect/>
                          </a:stretch>
                        </pic:blipFill>
                        <pic:spPr>
                          <a:xfrm>
                            <a:off x="0" y="0"/>
                            <a:ext cx="5612130" cy="7838440"/>
                          </a:xfrm>
                          <a:prstGeom prst="rect">
                            <a:avLst/>
                          </a:prstGeom>
                          <a:noFill/>
                          <a:ln>
                            <a:noFill/>
                          </a:ln>
                        </pic:spPr>
                      </pic:pic>
                    </a:graphicData>
                  </a:graphic>
                </wp:inline>
              </w:drawing>
            </w:r>
          </w:p>
        </w:tc>
      </w:tr>
      <w:tr w14:paraId="2149E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31" w:hRule="atLeast"/>
        </w:trPr>
        <w:tc>
          <w:tcPr>
            <w:tcW w:w="9060" w:type="dxa"/>
            <w:noWrap w:val="0"/>
            <w:vAlign w:val="top"/>
          </w:tcPr>
          <w:p w14:paraId="62D90264">
            <w:pPr>
              <w:pStyle w:val="20"/>
              <w:adjustRightInd w:val="0"/>
              <w:snapToGrid w:val="0"/>
              <w:spacing w:before="0" w:beforeAutospacing="0" w:after="0" w:afterAutospacing="0" w:line="240" w:lineRule="auto"/>
              <w:outlineLvl w:val="0"/>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610225" cy="7833995"/>
                  <wp:effectExtent l="0" t="0" r="9525" b="14605"/>
                  <wp:docPr id="9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2"/>
                          <pic:cNvPicPr>
                            <a:picLocks noChangeAspect="1"/>
                          </pic:cNvPicPr>
                        </pic:nvPicPr>
                        <pic:blipFill>
                          <a:blip r:embed="rId78"/>
                          <a:stretch>
                            <a:fillRect/>
                          </a:stretch>
                        </pic:blipFill>
                        <pic:spPr>
                          <a:xfrm>
                            <a:off x="0" y="0"/>
                            <a:ext cx="5610225" cy="7833995"/>
                          </a:xfrm>
                          <a:prstGeom prst="rect">
                            <a:avLst/>
                          </a:prstGeom>
                          <a:noFill/>
                          <a:ln>
                            <a:noFill/>
                          </a:ln>
                        </pic:spPr>
                      </pic:pic>
                    </a:graphicData>
                  </a:graphic>
                </wp:inline>
              </w:drawing>
            </w:r>
          </w:p>
        </w:tc>
      </w:tr>
    </w:tbl>
    <w:p w14:paraId="4174A630">
      <w:pPr>
        <w:pStyle w:val="20"/>
        <w:adjustRightInd w:val="0"/>
        <w:snapToGrid w:val="0"/>
        <w:spacing w:before="0" w:beforeAutospacing="0" w:after="0" w:afterAutospacing="0" w:line="500" w:lineRule="exact"/>
        <w:outlineLvl w:val="0"/>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t>附件7：</w:t>
      </w:r>
      <w:r>
        <w:rPr>
          <w:rFonts w:hint="eastAsia" w:ascii="Times New Roman" w:hAnsi="Times New Roman" w:eastAsia="黑体" w:cs="Times New Roman"/>
          <w:snapToGrid w:val="0"/>
          <w:color w:val="000000" w:themeColor="text1"/>
          <w:sz w:val="30"/>
          <w:szCs w:val="30"/>
          <w:lang w:val="en-US" w:eastAsia="zh-CN"/>
          <w14:textFill>
            <w14:solidFill>
              <w14:schemeClr w14:val="tx1"/>
            </w14:solidFill>
          </w14:textFill>
        </w:rPr>
        <w:t>供水供应和废水处理</w:t>
      </w:r>
      <w:r>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t>协议</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4597A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311F17F8">
            <w:pPr>
              <w:pStyle w:val="20"/>
              <w:adjustRightInd w:val="0"/>
              <w:snapToGrid w:val="0"/>
              <w:spacing w:before="0" w:beforeAutospacing="0" w:after="0" w:afterAutospacing="0" w:line="500" w:lineRule="exact"/>
              <w:outlineLvl w:val="0"/>
              <w:rPr>
                <w:rFonts w:hint="default"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rFonts w:hint="default"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drawing>
                <wp:anchor distT="0" distB="0" distL="114300" distR="114300" simplePos="0" relativeHeight="251699200" behindDoc="0" locked="0" layoutInCell="1" allowOverlap="1">
                  <wp:simplePos x="0" y="0"/>
                  <wp:positionH relativeFrom="column">
                    <wp:posOffset>0</wp:posOffset>
                  </wp:positionH>
                  <wp:positionV relativeFrom="paragraph">
                    <wp:posOffset>-7670800</wp:posOffset>
                  </wp:positionV>
                  <wp:extent cx="5596255" cy="7429500"/>
                  <wp:effectExtent l="0" t="0" r="4445" b="0"/>
                  <wp:wrapTopAndBottom/>
                  <wp:docPr id="72" name="图片 72" descr="退水、供水协议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退水、供水协议_01"/>
                          <pic:cNvPicPr>
                            <a:picLocks noChangeAspect="1"/>
                          </pic:cNvPicPr>
                        </pic:nvPicPr>
                        <pic:blipFill>
                          <a:blip r:embed="rId79"/>
                          <a:stretch>
                            <a:fillRect/>
                          </a:stretch>
                        </pic:blipFill>
                        <pic:spPr>
                          <a:xfrm>
                            <a:off x="0" y="0"/>
                            <a:ext cx="5596255" cy="7429500"/>
                          </a:xfrm>
                          <a:prstGeom prst="rect">
                            <a:avLst/>
                          </a:prstGeom>
                        </pic:spPr>
                      </pic:pic>
                    </a:graphicData>
                  </a:graphic>
                </wp:anchor>
              </w:drawing>
            </w:r>
          </w:p>
        </w:tc>
      </w:tr>
      <w:tr w14:paraId="053F1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58B6FAE2">
            <w:pPr>
              <w:pStyle w:val="20"/>
              <w:adjustRightInd w:val="0"/>
              <w:snapToGrid w:val="0"/>
              <w:spacing w:before="0" w:beforeAutospacing="0" w:after="0" w:afterAutospacing="0" w:line="500" w:lineRule="exact"/>
              <w:outlineLvl w:val="0"/>
              <w:rPr>
                <w:rFonts w:hint="default"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rFonts w:hint="default"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drawing>
                <wp:anchor distT="0" distB="0" distL="114300" distR="114300" simplePos="0" relativeHeight="251700224" behindDoc="0" locked="0" layoutInCell="1" allowOverlap="1">
                  <wp:simplePos x="0" y="0"/>
                  <wp:positionH relativeFrom="column">
                    <wp:posOffset>50800</wp:posOffset>
                  </wp:positionH>
                  <wp:positionV relativeFrom="paragraph">
                    <wp:posOffset>301625</wp:posOffset>
                  </wp:positionV>
                  <wp:extent cx="5596255" cy="7914005"/>
                  <wp:effectExtent l="0" t="0" r="4445" b="10795"/>
                  <wp:wrapTopAndBottom/>
                  <wp:docPr id="73" name="图片 73" descr="退水、供水协议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退水、供水协议_02"/>
                          <pic:cNvPicPr>
                            <a:picLocks noChangeAspect="1"/>
                          </pic:cNvPicPr>
                        </pic:nvPicPr>
                        <pic:blipFill>
                          <a:blip r:embed="rId80"/>
                          <a:stretch>
                            <a:fillRect/>
                          </a:stretch>
                        </pic:blipFill>
                        <pic:spPr>
                          <a:xfrm>
                            <a:off x="0" y="0"/>
                            <a:ext cx="5596255" cy="7914005"/>
                          </a:xfrm>
                          <a:prstGeom prst="rect">
                            <a:avLst/>
                          </a:prstGeom>
                        </pic:spPr>
                      </pic:pic>
                    </a:graphicData>
                  </a:graphic>
                </wp:anchor>
              </w:drawing>
            </w:r>
          </w:p>
        </w:tc>
      </w:tr>
      <w:tr w14:paraId="531E0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7D54D4FA">
            <w:pPr>
              <w:pStyle w:val="20"/>
              <w:adjustRightInd w:val="0"/>
              <w:snapToGrid w:val="0"/>
              <w:spacing w:before="0" w:beforeAutospacing="0" w:after="0" w:afterAutospacing="0" w:line="240" w:lineRule="auto"/>
              <w:outlineLvl w:val="0"/>
              <w:rPr>
                <w:rFonts w:hint="default"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rFonts w:hint="default"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drawing>
                <wp:anchor distT="0" distB="0" distL="114300" distR="114300" simplePos="0" relativeHeight="251701248" behindDoc="0" locked="0" layoutInCell="1" allowOverlap="1">
                  <wp:simplePos x="0" y="0"/>
                  <wp:positionH relativeFrom="column">
                    <wp:posOffset>0</wp:posOffset>
                  </wp:positionH>
                  <wp:positionV relativeFrom="paragraph">
                    <wp:posOffset>-7670800</wp:posOffset>
                  </wp:positionV>
                  <wp:extent cx="5596255" cy="7914005"/>
                  <wp:effectExtent l="0" t="0" r="4445" b="10795"/>
                  <wp:wrapTopAndBottom/>
                  <wp:docPr id="74" name="图片 74" descr="退水、供水协议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退水、供水协议_03"/>
                          <pic:cNvPicPr>
                            <a:picLocks noChangeAspect="1"/>
                          </pic:cNvPicPr>
                        </pic:nvPicPr>
                        <pic:blipFill>
                          <a:blip r:embed="rId81"/>
                          <a:stretch>
                            <a:fillRect/>
                          </a:stretch>
                        </pic:blipFill>
                        <pic:spPr>
                          <a:xfrm>
                            <a:off x="0" y="0"/>
                            <a:ext cx="5596255" cy="7914005"/>
                          </a:xfrm>
                          <a:prstGeom prst="rect">
                            <a:avLst/>
                          </a:prstGeom>
                        </pic:spPr>
                      </pic:pic>
                    </a:graphicData>
                  </a:graphic>
                </wp:anchor>
              </w:drawing>
            </w:r>
          </w:p>
        </w:tc>
      </w:tr>
      <w:tr w14:paraId="53EED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608433F1">
            <w:pPr>
              <w:pStyle w:val="20"/>
              <w:adjustRightInd w:val="0"/>
              <w:snapToGrid w:val="0"/>
              <w:spacing w:before="0" w:beforeAutospacing="0" w:after="0" w:afterAutospacing="0" w:line="240" w:lineRule="auto"/>
              <w:outlineLvl w:val="0"/>
              <w:rPr>
                <w:rFonts w:hint="default"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p>
        </w:tc>
      </w:tr>
    </w:tbl>
    <w:p w14:paraId="7E6E0B95">
      <w:pPr>
        <w:pStyle w:val="20"/>
        <w:adjustRightInd w:val="0"/>
        <w:snapToGrid w:val="0"/>
        <w:spacing w:before="0" w:beforeAutospacing="0" w:after="0" w:afterAutospacing="0" w:line="500" w:lineRule="exact"/>
        <w:outlineLvl w:val="0"/>
        <w:rPr>
          <w:rFonts w:hint="default"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t>附件8：园区规划批复</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04968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060" w:type="dxa"/>
          </w:tcPr>
          <w:p w14:paraId="5059A1BA">
            <w:pPr>
              <w:pStyle w:val="20"/>
              <w:adjustRightInd w:val="0"/>
              <w:snapToGrid w:val="0"/>
              <w:spacing w:before="0" w:beforeAutospacing="0" w:after="0" w:afterAutospacing="0" w:line="500" w:lineRule="exact"/>
              <w:outlineLvl w:val="0"/>
              <w:rPr>
                <w:rFonts w:hint="default"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pPr>
            <w:r>
              <w:rPr>
                <w:rFonts w:hint="default" w:ascii="Times New Roman" w:hAnsi="Times New Roman" w:eastAsia="黑体" w:cs="Times New Roman"/>
                <w:snapToGrid w:val="0"/>
                <w:color w:val="000000" w:themeColor="text1"/>
                <w:sz w:val="30"/>
                <w:szCs w:val="30"/>
                <w:highlight w:val="none"/>
                <w:vertAlign w:val="baseline"/>
                <w:lang w:val="en-US" w:eastAsia="zh-CN"/>
                <w14:textFill>
                  <w14:solidFill>
                    <w14:schemeClr w14:val="tx1"/>
                  </w14:solidFill>
                </w14:textFill>
              </w:rPr>
              <w:drawing>
                <wp:anchor distT="0" distB="0" distL="114300" distR="114300" simplePos="0" relativeHeight="251706368" behindDoc="0" locked="0" layoutInCell="1" allowOverlap="1">
                  <wp:simplePos x="0" y="0"/>
                  <wp:positionH relativeFrom="column">
                    <wp:posOffset>0</wp:posOffset>
                  </wp:positionH>
                  <wp:positionV relativeFrom="paragraph">
                    <wp:posOffset>-7239000</wp:posOffset>
                  </wp:positionV>
                  <wp:extent cx="5610225" cy="7315835"/>
                  <wp:effectExtent l="0" t="0" r="3175" b="12065"/>
                  <wp:wrapTopAndBottom/>
                  <wp:docPr id="66" name="图片 66" descr="3cf52582f1f718589687f37f3861ba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3cf52582f1f718589687f37f3861ba8c"/>
                          <pic:cNvPicPr>
                            <a:picLocks noChangeAspect="1"/>
                          </pic:cNvPicPr>
                        </pic:nvPicPr>
                        <pic:blipFill>
                          <a:blip r:embed="rId82"/>
                          <a:srcRect r="3146" b="6005"/>
                          <a:stretch>
                            <a:fillRect/>
                          </a:stretch>
                        </pic:blipFill>
                        <pic:spPr>
                          <a:xfrm>
                            <a:off x="0" y="0"/>
                            <a:ext cx="5610225" cy="7315835"/>
                          </a:xfrm>
                          <a:prstGeom prst="rect">
                            <a:avLst/>
                          </a:prstGeom>
                        </pic:spPr>
                      </pic:pic>
                    </a:graphicData>
                  </a:graphic>
                </wp:anchor>
              </w:drawing>
            </w:r>
          </w:p>
        </w:tc>
      </w:tr>
    </w:tbl>
    <w:p w14:paraId="02D9472A">
      <w:pPr>
        <w:pStyle w:val="20"/>
        <w:adjustRightInd w:val="0"/>
        <w:snapToGrid w:val="0"/>
        <w:spacing w:before="0" w:beforeAutospacing="0" w:after="0" w:afterAutospacing="0" w:line="500" w:lineRule="exact"/>
        <w:outlineLvl w:val="9"/>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pPr>
    </w:p>
    <w:p w14:paraId="17E38D3E">
      <w:pPr>
        <w:pStyle w:val="20"/>
        <w:adjustRightInd w:val="0"/>
        <w:snapToGrid w:val="0"/>
        <w:spacing w:before="0" w:beforeAutospacing="0" w:after="0" w:afterAutospacing="0" w:line="240" w:lineRule="auto"/>
        <w:outlineLvl w:val="0"/>
        <w:rPr>
          <w:color w:val="000000" w:themeColor="text1"/>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t>附件9 委托书</w:t>
      </w:r>
      <w:r>
        <w:rPr>
          <w:color w:val="000000" w:themeColor="text1"/>
          <w14:textFill>
            <w14:solidFill>
              <w14:schemeClr w14:val="tx1"/>
            </w14:solidFill>
          </w14:textFill>
        </w:rPr>
        <w:drawing>
          <wp:inline distT="0" distB="0" distL="114300" distR="114300">
            <wp:extent cx="5612130" cy="7882255"/>
            <wp:effectExtent l="0" t="0" r="7620" b="4445"/>
            <wp:docPr id="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
                    <pic:cNvPicPr>
                      <a:picLocks noChangeAspect="1"/>
                    </pic:cNvPicPr>
                  </pic:nvPicPr>
                  <pic:blipFill>
                    <a:blip r:embed="rId83"/>
                    <a:stretch>
                      <a:fillRect/>
                    </a:stretch>
                  </pic:blipFill>
                  <pic:spPr>
                    <a:xfrm>
                      <a:off x="0" y="0"/>
                      <a:ext cx="5612130" cy="7882255"/>
                    </a:xfrm>
                    <a:prstGeom prst="rect">
                      <a:avLst/>
                    </a:prstGeom>
                    <a:noFill/>
                    <a:ln>
                      <a:noFill/>
                    </a:ln>
                  </pic:spPr>
                </pic:pic>
              </a:graphicData>
            </a:graphic>
          </wp:inline>
        </w:drawing>
      </w:r>
    </w:p>
    <w:p w14:paraId="6137F25A">
      <w:pPr>
        <w:pStyle w:val="20"/>
        <w:adjustRightInd w:val="0"/>
        <w:snapToGrid w:val="0"/>
        <w:spacing w:before="0" w:beforeAutospacing="0" w:after="0" w:afterAutospacing="0" w:line="240" w:lineRule="auto"/>
        <w:outlineLvl w:val="9"/>
        <w:rPr>
          <w:color w:val="000000" w:themeColor="text1"/>
          <w14:textFill>
            <w14:solidFill>
              <w14:schemeClr w14:val="tx1"/>
            </w14:solidFill>
          </w14:textFill>
        </w:rPr>
      </w:pPr>
    </w:p>
    <w:p w14:paraId="211BC84F">
      <w:pPr>
        <w:pStyle w:val="20"/>
        <w:adjustRightInd w:val="0"/>
        <w:snapToGrid w:val="0"/>
        <w:spacing w:before="0" w:beforeAutospacing="0" w:after="0" w:afterAutospacing="0" w:line="240" w:lineRule="auto"/>
        <w:outlineLvl w:val="9"/>
        <w:rPr>
          <w:color w:val="000000" w:themeColor="text1"/>
          <w14:textFill>
            <w14:solidFill>
              <w14:schemeClr w14:val="tx1"/>
            </w14:solidFill>
          </w14:textFill>
        </w:rPr>
      </w:pPr>
    </w:p>
    <w:p w14:paraId="1BFF2230">
      <w:pPr>
        <w:pStyle w:val="20"/>
        <w:adjustRightInd w:val="0"/>
        <w:snapToGrid w:val="0"/>
        <w:spacing w:before="0" w:beforeAutospacing="0" w:after="0" w:afterAutospacing="0" w:line="240" w:lineRule="auto"/>
        <w:outlineLvl w:val="0"/>
        <w:rPr>
          <w:rFonts w:hint="default"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pPr>
      <w:r>
        <w:rPr>
          <w:rFonts w:hint="eastAsia"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t>附件10：总量文件</w:t>
      </w:r>
      <w:r>
        <w:rPr>
          <w:rFonts w:hint="default"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drawing>
          <wp:inline distT="0" distB="0" distL="114300" distR="114300">
            <wp:extent cx="5591175" cy="7914005"/>
            <wp:effectExtent l="0" t="0" r="9525" b="10795"/>
            <wp:docPr id="86" name="图片 86" descr="东晟总量文件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东晟总量文件_01"/>
                    <pic:cNvPicPr>
                      <a:picLocks noChangeAspect="1"/>
                    </pic:cNvPicPr>
                  </pic:nvPicPr>
                  <pic:blipFill>
                    <a:blip r:embed="rId84"/>
                    <a:stretch>
                      <a:fillRect/>
                    </a:stretch>
                  </pic:blipFill>
                  <pic:spPr>
                    <a:xfrm>
                      <a:off x="0" y="0"/>
                      <a:ext cx="5591175" cy="7914005"/>
                    </a:xfrm>
                    <a:prstGeom prst="rect">
                      <a:avLst/>
                    </a:prstGeom>
                  </pic:spPr>
                </pic:pic>
              </a:graphicData>
            </a:graphic>
          </wp:inline>
        </w:drawing>
      </w:r>
    </w:p>
    <w:p w14:paraId="5AB1CFF8">
      <w:pPr>
        <w:pStyle w:val="20"/>
        <w:adjustRightInd w:val="0"/>
        <w:snapToGrid w:val="0"/>
        <w:spacing w:before="0" w:beforeAutospacing="0" w:after="0" w:afterAutospacing="0" w:line="240" w:lineRule="auto"/>
        <w:outlineLvl w:val="9"/>
        <w:rPr>
          <w:rFonts w:hint="default"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pPr>
      <w:r>
        <w:rPr>
          <w:rFonts w:hint="default" w:ascii="Times New Roman" w:hAnsi="Times New Roman" w:eastAsia="黑体" w:cs="Times New Roman"/>
          <w:snapToGrid w:val="0"/>
          <w:color w:val="000000" w:themeColor="text1"/>
          <w:sz w:val="30"/>
          <w:szCs w:val="30"/>
          <w:highlight w:val="none"/>
          <w:lang w:val="en-US" w:eastAsia="zh-CN"/>
          <w14:textFill>
            <w14:solidFill>
              <w14:schemeClr w14:val="tx1"/>
            </w14:solidFill>
          </w14:textFill>
        </w:rPr>
        <w:drawing>
          <wp:inline distT="0" distB="0" distL="114300" distR="114300">
            <wp:extent cx="5591175" cy="7914005"/>
            <wp:effectExtent l="0" t="0" r="9525" b="10795"/>
            <wp:docPr id="85" name="图片 85" descr="东晟总量文件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东晟总量文件_02"/>
                    <pic:cNvPicPr>
                      <a:picLocks noChangeAspect="1"/>
                    </pic:cNvPicPr>
                  </pic:nvPicPr>
                  <pic:blipFill>
                    <a:blip r:embed="rId85"/>
                    <a:stretch>
                      <a:fillRect/>
                    </a:stretch>
                  </pic:blipFill>
                  <pic:spPr>
                    <a:xfrm>
                      <a:off x="0" y="0"/>
                      <a:ext cx="5591175" cy="7914005"/>
                    </a:xfrm>
                    <a:prstGeom prst="rect">
                      <a:avLst/>
                    </a:prstGeom>
                  </pic:spPr>
                </pic:pic>
              </a:graphicData>
            </a:graphic>
          </wp:inline>
        </w:drawing>
      </w:r>
    </w:p>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F"/>
    <w:family w:val="auto"/>
    <w:pitch w:val="default"/>
    <w:sig w:usb0="E0002EFF" w:usb1="C000785B" w:usb2="00000009" w:usb3="00000000" w:csb0="400001FF" w:csb1="FFFF0000"/>
  </w:font>
  <w:font w:name="宋体">
    <w:panose1 w:val="02010600030101010101"/>
    <w:charset w:val="8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B1823802-66C5-4A00-B917-30506959DF77}"/>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embedRegular r:id="rId2" w:fontKey="{4376FA0F-C348-4D11-9CA2-0E626C7BB95B}"/>
  </w:font>
  <w:font w:name="Cambria">
    <w:panose1 w:val="02040503050406030204"/>
    <w:charset w:val="00"/>
    <w:family w:val="roman"/>
    <w:pitch w:val="default"/>
    <w:sig w:usb0="E00006FF" w:usb1="420024FF" w:usb2="02000000" w:usb3="00000000" w:csb0="2000019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embedRegular r:id="rId3" w:fontKey="{007A6CFE-CD7B-4E0B-927A-89B54237019F}"/>
  </w:font>
  <w:font w:name="新宋体">
    <w:panose1 w:val="02010609030101010101"/>
    <w:charset w:val="86"/>
    <w:family w:val="modern"/>
    <w:pitch w:val="default"/>
    <w:sig w:usb0="00000203" w:usb1="288F0000" w:usb2="00000006" w:usb3="00000000" w:csb0="00040001" w:csb1="00000000"/>
    <w:embedRegular r:id="rId4" w:fontKey="{751BA6F0-9A30-439F-B76E-321ACA4D50CE}"/>
  </w:font>
  <w:font w:name="方正小标宋_GBK">
    <w:panose1 w:val="02000000000000000000"/>
    <w:charset w:val="86"/>
    <w:family w:val="script"/>
    <w:pitch w:val="default"/>
    <w:sig w:usb0="A00002BF" w:usb1="38CF7CFA" w:usb2="00082016" w:usb3="00000000" w:csb0="00040001" w:csb1="00000000"/>
    <w:embedRegular r:id="rId5" w:fontKey="{6399FF70-5113-4DD9-86A3-64D9BAFC0AA3}"/>
  </w:font>
  <w:font w:name="WPSEMBED7">
    <w:panose1 w:val="02000000000000000000"/>
    <w:charset w:val="86"/>
    <w:family w:val="auto"/>
    <w:pitch w:val="default"/>
    <w:sig w:usb0="A00002BF" w:usb1="38CF7CFA" w:usb2="00082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8CF148">
    <w:pPr>
      <w:pStyle w:val="18"/>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A382E7">
    <w:pPr>
      <w:pStyle w:val="18"/>
      <w:ind w:right="360" w:firstLine="36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2" name="文本框 20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0627974">
                          <w:pPr>
                            <w:pStyle w:val="18"/>
                          </w:pPr>
                          <w:r>
                            <w:fldChar w:fldCharType="begin"/>
                          </w:r>
                          <w:r>
                            <w:instrText xml:space="preserve"> PAGE  \* MERGEFORMAT </w:instrText>
                          </w:r>
                          <w:r>
                            <w:fldChar w:fldCharType="separate"/>
                          </w:r>
                          <w:r>
                            <w:t>34</w:t>
                          </w:r>
                          <w:r>
                            <w:fldChar w:fldCharType="end"/>
                          </w:r>
                        </w:p>
                      </w:txbxContent>
                    </wps:txbx>
                    <wps:bodyPr wrap="none" lIns="0" tIns="0" rIns="0" bIns="0" upright="0">
                      <a:spAutoFit/>
                    </wps:bodyPr>
                  </wps:wsp>
                </a:graphicData>
              </a:graphic>
            </wp:anchor>
          </w:drawing>
        </mc:Choice>
        <mc:Fallback>
          <w:pict>
            <v:shape id="文本框 2050"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Gvd68/LAQAAnQMAAA4AAAAAAAAAAQAgAAAAHgEAAGRycy9lMm9E&#10;b2MueG1sUEsFBgAAAAAGAAYAWQEAAFsFAAAAAA==&#10;">
              <v:fill on="f" focussize="0,0"/>
              <v:stroke on="f"/>
              <v:imagedata o:title=""/>
              <o:lock v:ext="edit" aspectratio="f"/>
              <v:textbox inset="0mm,0mm,0mm,0mm" style="mso-fit-shape-to-text:t;">
                <w:txbxContent>
                  <w:p w14:paraId="50627974">
                    <w:pPr>
                      <w:pStyle w:val="18"/>
                    </w:pPr>
                    <w:r>
                      <w:fldChar w:fldCharType="begin"/>
                    </w:r>
                    <w:r>
                      <w:instrText xml:space="preserve"> PAGE  \* MERGEFORMAT </w:instrText>
                    </w:r>
                    <w:r>
                      <w:fldChar w:fldCharType="separate"/>
                    </w:r>
                    <w:r>
                      <w:t>34</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CCCB17">
    <w:pPr>
      <w:pStyle w:val="18"/>
      <w:ind w:right="360" w:firstLine="4860" w:firstLineChars="2700"/>
      <w:rPr>
        <w:rFonts w:hint="eastAsia"/>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3" name="文本框 20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F8DD05C">
                          <w:pPr>
                            <w:pStyle w:val="18"/>
                          </w:pPr>
                          <w:r>
                            <w:fldChar w:fldCharType="begin"/>
                          </w:r>
                          <w:r>
                            <w:instrText xml:space="preserve"> PAGE  \* MERGEFORMAT </w:instrText>
                          </w:r>
                          <w:r>
                            <w:fldChar w:fldCharType="separate"/>
                          </w:r>
                          <w:r>
                            <w:t>43</w:t>
                          </w:r>
                          <w:r>
                            <w:fldChar w:fldCharType="end"/>
                          </w:r>
                        </w:p>
                      </w:txbxContent>
                    </wps:txbx>
                    <wps:bodyPr wrap="none" lIns="0" tIns="0" rIns="0" bIns="0" upright="0">
                      <a:spAutoFit/>
                    </wps:bodyPr>
                  </wps:wsp>
                </a:graphicData>
              </a:graphic>
            </wp:anchor>
          </w:drawing>
        </mc:Choice>
        <mc:Fallback>
          <w:pict>
            <v:shape id="文本框 2057"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CnTpsizAEAAJ0DAAAOAAAAAAAAAAEAIAAAAB4BAABkcnMvZTJv&#10;RG9jLnhtbFBLBQYAAAAABgAGAFkBAABcBQAAAAA=&#10;">
              <v:fill on="f" focussize="0,0"/>
              <v:stroke on="f"/>
              <v:imagedata o:title=""/>
              <o:lock v:ext="edit" aspectratio="f"/>
              <v:textbox inset="0mm,0mm,0mm,0mm" style="mso-fit-shape-to-text:t;">
                <w:txbxContent>
                  <w:p w14:paraId="5F8DD05C">
                    <w:pPr>
                      <w:pStyle w:val="18"/>
                    </w:pPr>
                    <w:r>
                      <w:fldChar w:fldCharType="begin"/>
                    </w:r>
                    <w:r>
                      <w:instrText xml:space="preserve"> PAGE  \* MERGEFORMAT </w:instrText>
                    </w:r>
                    <w:r>
                      <w:fldChar w:fldCharType="separate"/>
                    </w:r>
                    <w:r>
                      <w:t>43</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79378C">
    <w:pPr>
      <w:pStyle w:val="18"/>
      <w:ind w:right="360" w:firstLine="4860" w:firstLineChars="2700"/>
      <w:rPr>
        <w:rFonts w:hint="eastAsia"/>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B666AA"/>
    <w:multiLevelType w:val="singleLevel"/>
    <w:tmpl w:val="84B666AA"/>
    <w:lvl w:ilvl="0" w:tentative="0">
      <w:start w:val="2"/>
      <w:numFmt w:val="decimal"/>
      <w:suff w:val="nothing"/>
      <w:lvlText w:val="%1、"/>
      <w:lvlJc w:val="left"/>
    </w:lvl>
  </w:abstractNum>
  <w:abstractNum w:abstractNumId="1">
    <w:nsid w:val="B97F2033"/>
    <w:multiLevelType w:val="singleLevel"/>
    <w:tmpl w:val="B97F2033"/>
    <w:lvl w:ilvl="0" w:tentative="0">
      <w:start w:val="1"/>
      <w:numFmt w:val="decimal"/>
      <w:lvlText w:val="%1."/>
      <w:lvlJc w:val="left"/>
      <w:pPr>
        <w:ind w:left="425" w:hanging="425"/>
      </w:pPr>
      <w:rPr>
        <w:rFonts w:hint="default"/>
      </w:rPr>
    </w:lvl>
  </w:abstractNum>
  <w:abstractNum w:abstractNumId="2">
    <w:nsid w:val="F783F572"/>
    <w:multiLevelType w:val="singleLevel"/>
    <w:tmpl w:val="F783F572"/>
    <w:lvl w:ilvl="0" w:tentative="0">
      <w:start w:val="1"/>
      <w:numFmt w:val="upperLetter"/>
      <w:suff w:val="nothing"/>
      <w:lvlText w:val="%1、"/>
      <w:lvlJc w:val="left"/>
    </w:lvl>
  </w:abstractNum>
  <w:abstractNum w:abstractNumId="3">
    <w:nsid w:val="F89DE643"/>
    <w:multiLevelType w:val="singleLevel"/>
    <w:tmpl w:val="F89DE643"/>
    <w:lvl w:ilvl="0" w:tentative="0">
      <w:start w:val="1"/>
      <w:numFmt w:val="decimal"/>
      <w:suff w:val="nothing"/>
      <w:lvlText w:val="%1）"/>
      <w:lvlJc w:val="left"/>
    </w:lvl>
  </w:abstractNum>
  <w:abstractNum w:abstractNumId="4">
    <w:nsid w:val="00FF1834"/>
    <w:multiLevelType w:val="multilevel"/>
    <w:tmpl w:val="00FF1834"/>
    <w:lvl w:ilvl="0" w:tentative="0">
      <w:start w:val="1"/>
      <w:numFmt w:val="decimal"/>
      <w:suff w:val="space"/>
      <w:lvlText w:val="%1."/>
      <w:lvlJc w:val="left"/>
      <w:pPr>
        <w:tabs>
          <w:tab w:val="left" w:pos="0"/>
        </w:tabs>
        <w:ind w:left="0" w:firstLine="0"/>
      </w:pPr>
      <w:rPr>
        <w:rFonts w:hint="default"/>
      </w:rPr>
    </w:lvl>
    <w:lvl w:ilvl="1" w:tentative="0">
      <w:start w:val="1"/>
      <w:numFmt w:val="decimal"/>
      <w:suff w:val="space"/>
      <w:lvlText w:val="%1.%2"/>
      <w:lvlJc w:val="left"/>
      <w:pPr>
        <w:ind w:left="0" w:firstLine="0"/>
      </w:pPr>
      <w:rPr>
        <w:rFonts w:hint="eastAsia"/>
      </w:rPr>
    </w:lvl>
    <w:lvl w:ilvl="2" w:tentative="0">
      <w:start w:val="1"/>
      <w:numFmt w:val="decimal"/>
      <w:suff w:val="space"/>
      <w:lvlText w:val="%1.%2.%3"/>
      <w:lvlJc w:val="left"/>
      <w:pPr>
        <w:ind w:left="0" w:firstLine="0"/>
      </w:pPr>
      <w:rPr>
        <w:rFonts w:hint="eastAsia"/>
      </w:rPr>
    </w:lvl>
    <w:lvl w:ilvl="3" w:tentative="0">
      <w:start w:val="1"/>
      <w:numFmt w:val="decimal"/>
      <w:suff w:val="space"/>
      <w:lvlText w:val="%1.%2.%3.%4"/>
      <w:lvlJc w:val="left"/>
      <w:pPr>
        <w:ind w:left="2977" w:firstLine="0"/>
      </w:pPr>
      <w:rPr>
        <w:rFonts w:hint="eastAsia"/>
      </w:rPr>
    </w:lvl>
    <w:lvl w:ilvl="4" w:tentative="0">
      <w:start w:val="1"/>
      <w:numFmt w:val="decimal"/>
      <w:lvlRestart w:val="2"/>
      <w:pStyle w:val="6"/>
      <w:suff w:val="space"/>
      <w:lvlText w:val="表%1.%2-%5"/>
      <w:lvlJc w:val="left"/>
      <w:pPr>
        <w:ind w:left="2880" w:firstLine="0"/>
      </w:pPr>
      <w:rPr>
        <w:rFonts w:hint="eastAsia"/>
        <w:lang w:val="en-US"/>
      </w:rPr>
    </w:lvl>
    <w:lvl w:ilvl="5" w:tentative="0">
      <w:start w:val="1"/>
      <w:numFmt w:val="decimal"/>
      <w:lvlRestart w:val="2"/>
      <w:pStyle w:val="7"/>
      <w:suff w:val="space"/>
      <w:lvlText w:val="图%1.%2-%6"/>
      <w:lvlJc w:val="left"/>
      <w:pPr>
        <w:ind w:left="3119" w:firstLine="0"/>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abstractNum w:abstractNumId="5">
    <w:nsid w:val="1DCB977C"/>
    <w:multiLevelType w:val="singleLevel"/>
    <w:tmpl w:val="1DCB977C"/>
    <w:lvl w:ilvl="0" w:tentative="0">
      <w:start w:val="3"/>
      <w:numFmt w:val="decimal"/>
      <w:suff w:val="nothing"/>
      <w:lvlText w:val="%1）"/>
      <w:lvlJc w:val="left"/>
    </w:lvl>
  </w:abstractNum>
  <w:abstractNum w:abstractNumId="6">
    <w:nsid w:val="7517B59D"/>
    <w:multiLevelType w:val="singleLevel"/>
    <w:tmpl w:val="7517B59D"/>
    <w:lvl w:ilvl="0" w:tentative="0">
      <w:start w:val="3"/>
      <w:numFmt w:val="decimal"/>
      <w:suff w:val="nothing"/>
      <w:lvlText w:val="%1、"/>
      <w:lvlJc w:val="left"/>
    </w:lvl>
  </w:abstractNum>
  <w:num w:numId="1">
    <w:abstractNumId w:val="4"/>
  </w:num>
  <w:num w:numId="2">
    <w:abstractNumId w:val="6"/>
  </w:num>
  <w:num w:numId="3">
    <w:abstractNumId w:val="0"/>
  </w:num>
  <w:num w:numId="4">
    <w:abstractNumId w:val="5"/>
  </w:num>
  <w:num w:numId="5">
    <w:abstractNumId w:val="2"/>
  </w:num>
  <w:num w:numId="6">
    <w:abstractNumId w:val="1"/>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comments" w:formatting="1" w:enforcement="0"/>
  <w:defaultTabStop w:val="420"/>
  <w:hyphenationZone w:val="360"/>
  <w:doNotHyphenateCaps/>
  <w:drawingGridHorizontalSpacing w:val="105"/>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WJhYjJkYjBkMDM0MmE0Mzc3MDk3ZmNjNWM5NTMxZGQifQ=="/>
  </w:docVars>
  <w:rsids>
    <w:rsidRoot w:val="00A14947"/>
    <w:rsid w:val="00000210"/>
    <w:rsid w:val="0000158E"/>
    <w:rsid w:val="000017F7"/>
    <w:rsid w:val="00002C2D"/>
    <w:rsid w:val="00003B6F"/>
    <w:rsid w:val="0000605E"/>
    <w:rsid w:val="000060B3"/>
    <w:rsid w:val="00006512"/>
    <w:rsid w:val="000078D1"/>
    <w:rsid w:val="00007FC0"/>
    <w:rsid w:val="000115A3"/>
    <w:rsid w:val="00011EF8"/>
    <w:rsid w:val="00012D4C"/>
    <w:rsid w:val="00013E09"/>
    <w:rsid w:val="00020445"/>
    <w:rsid w:val="00021F8A"/>
    <w:rsid w:val="00023FA7"/>
    <w:rsid w:val="000243D4"/>
    <w:rsid w:val="000248D8"/>
    <w:rsid w:val="00024B9D"/>
    <w:rsid w:val="000256CD"/>
    <w:rsid w:val="00025907"/>
    <w:rsid w:val="00025FF1"/>
    <w:rsid w:val="00026774"/>
    <w:rsid w:val="00030DE3"/>
    <w:rsid w:val="0003133F"/>
    <w:rsid w:val="00032D93"/>
    <w:rsid w:val="00036EA7"/>
    <w:rsid w:val="00041873"/>
    <w:rsid w:val="000422AC"/>
    <w:rsid w:val="0004364B"/>
    <w:rsid w:val="000452EB"/>
    <w:rsid w:val="000466A7"/>
    <w:rsid w:val="00050161"/>
    <w:rsid w:val="000514FD"/>
    <w:rsid w:val="000548A0"/>
    <w:rsid w:val="00057878"/>
    <w:rsid w:val="00061554"/>
    <w:rsid w:val="00061B1F"/>
    <w:rsid w:val="00063BCC"/>
    <w:rsid w:val="00063F28"/>
    <w:rsid w:val="00065194"/>
    <w:rsid w:val="00065413"/>
    <w:rsid w:val="00066166"/>
    <w:rsid w:val="00067856"/>
    <w:rsid w:val="000705A6"/>
    <w:rsid w:val="000719DE"/>
    <w:rsid w:val="0007237D"/>
    <w:rsid w:val="000733C4"/>
    <w:rsid w:val="00074783"/>
    <w:rsid w:val="0007621D"/>
    <w:rsid w:val="0008070B"/>
    <w:rsid w:val="0008070E"/>
    <w:rsid w:val="0008100D"/>
    <w:rsid w:val="000810AC"/>
    <w:rsid w:val="00081A02"/>
    <w:rsid w:val="00081AA3"/>
    <w:rsid w:val="00082037"/>
    <w:rsid w:val="00082231"/>
    <w:rsid w:val="00085D17"/>
    <w:rsid w:val="00086BCF"/>
    <w:rsid w:val="00086EAD"/>
    <w:rsid w:val="00090C61"/>
    <w:rsid w:val="000915A4"/>
    <w:rsid w:val="00091930"/>
    <w:rsid w:val="00092D38"/>
    <w:rsid w:val="0009377B"/>
    <w:rsid w:val="000959BC"/>
    <w:rsid w:val="000978FC"/>
    <w:rsid w:val="000A1388"/>
    <w:rsid w:val="000A1EF1"/>
    <w:rsid w:val="000A20C9"/>
    <w:rsid w:val="000A46FB"/>
    <w:rsid w:val="000A7F46"/>
    <w:rsid w:val="000B058F"/>
    <w:rsid w:val="000B0604"/>
    <w:rsid w:val="000B1153"/>
    <w:rsid w:val="000B12B1"/>
    <w:rsid w:val="000B2DFE"/>
    <w:rsid w:val="000B39AB"/>
    <w:rsid w:val="000B3E0A"/>
    <w:rsid w:val="000B4467"/>
    <w:rsid w:val="000B4B3B"/>
    <w:rsid w:val="000B4DB9"/>
    <w:rsid w:val="000B516F"/>
    <w:rsid w:val="000B71AA"/>
    <w:rsid w:val="000C09AC"/>
    <w:rsid w:val="000C0EFA"/>
    <w:rsid w:val="000C12BC"/>
    <w:rsid w:val="000C1449"/>
    <w:rsid w:val="000C2C2D"/>
    <w:rsid w:val="000C2FEF"/>
    <w:rsid w:val="000C333C"/>
    <w:rsid w:val="000C3DC2"/>
    <w:rsid w:val="000C3F8E"/>
    <w:rsid w:val="000C55DB"/>
    <w:rsid w:val="000C5D7E"/>
    <w:rsid w:val="000C6768"/>
    <w:rsid w:val="000C767F"/>
    <w:rsid w:val="000D1124"/>
    <w:rsid w:val="000D12AA"/>
    <w:rsid w:val="000D24A6"/>
    <w:rsid w:val="000D2972"/>
    <w:rsid w:val="000D49EE"/>
    <w:rsid w:val="000D5A44"/>
    <w:rsid w:val="000D6F8B"/>
    <w:rsid w:val="000E036C"/>
    <w:rsid w:val="000E1855"/>
    <w:rsid w:val="000E2B91"/>
    <w:rsid w:val="000E3ED2"/>
    <w:rsid w:val="000E54B3"/>
    <w:rsid w:val="000E5992"/>
    <w:rsid w:val="000E61FB"/>
    <w:rsid w:val="000F2AD6"/>
    <w:rsid w:val="000F4D15"/>
    <w:rsid w:val="000F5BB8"/>
    <w:rsid w:val="000F5CED"/>
    <w:rsid w:val="000F6A1E"/>
    <w:rsid w:val="000F6AD4"/>
    <w:rsid w:val="000F7D0E"/>
    <w:rsid w:val="0010120A"/>
    <w:rsid w:val="00102640"/>
    <w:rsid w:val="001042FE"/>
    <w:rsid w:val="00104307"/>
    <w:rsid w:val="00106B26"/>
    <w:rsid w:val="00113313"/>
    <w:rsid w:val="00113775"/>
    <w:rsid w:val="00114C29"/>
    <w:rsid w:val="001152B6"/>
    <w:rsid w:val="00115CD7"/>
    <w:rsid w:val="0011645A"/>
    <w:rsid w:val="00121390"/>
    <w:rsid w:val="001247F5"/>
    <w:rsid w:val="00124B40"/>
    <w:rsid w:val="00124E5D"/>
    <w:rsid w:val="0012607F"/>
    <w:rsid w:val="0012694F"/>
    <w:rsid w:val="0013035A"/>
    <w:rsid w:val="00130746"/>
    <w:rsid w:val="00130A72"/>
    <w:rsid w:val="00130E1B"/>
    <w:rsid w:val="001310A3"/>
    <w:rsid w:val="00131380"/>
    <w:rsid w:val="00131F42"/>
    <w:rsid w:val="00131FE4"/>
    <w:rsid w:val="0013526F"/>
    <w:rsid w:val="001357F1"/>
    <w:rsid w:val="00140FA8"/>
    <w:rsid w:val="00141326"/>
    <w:rsid w:val="001426D4"/>
    <w:rsid w:val="00142937"/>
    <w:rsid w:val="00142D48"/>
    <w:rsid w:val="00142FEB"/>
    <w:rsid w:val="00143A2D"/>
    <w:rsid w:val="001446FB"/>
    <w:rsid w:val="0014553D"/>
    <w:rsid w:val="001455CE"/>
    <w:rsid w:val="00145A41"/>
    <w:rsid w:val="001472B7"/>
    <w:rsid w:val="00151675"/>
    <w:rsid w:val="00152459"/>
    <w:rsid w:val="001529F2"/>
    <w:rsid w:val="00153DAB"/>
    <w:rsid w:val="00154ABB"/>
    <w:rsid w:val="001562DB"/>
    <w:rsid w:val="00157435"/>
    <w:rsid w:val="0016033F"/>
    <w:rsid w:val="00162ED1"/>
    <w:rsid w:val="00164E60"/>
    <w:rsid w:val="0016710A"/>
    <w:rsid w:val="001706BA"/>
    <w:rsid w:val="00171A3D"/>
    <w:rsid w:val="001723EA"/>
    <w:rsid w:val="001730BE"/>
    <w:rsid w:val="0017504D"/>
    <w:rsid w:val="0017671A"/>
    <w:rsid w:val="001771EA"/>
    <w:rsid w:val="00177422"/>
    <w:rsid w:val="00177F1D"/>
    <w:rsid w:val="001810DA"/>
    <w:rsid w:val="00181397"/>
    <w:rsid w:val="001828F4"/>
    <w:rsid w:val="001834E7"/>
    <w:rsid w:val="00184024"/>
    <w:rsid w:val="001844B2"/>
    <w:rsid w:val="00184590"/>
    <w:rsid w:val="00184C83"/>
    <w:rsid w:val="00184C9C"/>
    <w:rsid w:val="00184CD7"/>
    <w:rsid w:val="001870D1"/>
    <w:rsid w:val="001871F5"/>
    <w:rsid w:val="0018781E"/>
    <w:rsid w:val="00187EF2"/>
    <w:rsid w:val="0019262D"/>
    <w:rsid w:val="00192D53"/>
    <w:rsid w:val="00194344"/>
    <w:rsid w:val="00196832"/>
    <w:rsid w:val="001972F8"/>
    <w:rsid w:val="001978C2"/>
    <w:rsid w:val="001A019E"/>
    <w:rsid w:val="001A02F0"/>
    <w:rsid w:val="001A079B"/>
    <w:rsid w:val="001A0F9F"/>
    <w:rsid w:val="001A13A8"/>
    <w:rsid w:val="001A1B35"/>
    <w:rsid w:val="001A1DD6"/>
    <w:rsid w:val="001A2198"/>
    <w:rsid w:val="001A256C"/>
    <w:rsid w:val="001A34E4"/>
    <w:rsid w:val="001A48A2"/>
    <w:rsid w:val="001A49C8"/>
    <w:rsid w:val="001A5C83"/>
    <w:rsid w:val="001A5D70"/>
    <w:rsid w:val="001A6F61"/>
    <w:rsid w:val="001A7E2F"/>
    <w:rsid w:val="001B2943"/>
    <w:rsid w:val="001B3A2B"/>
    <w:rsid w:val="001B6820"/>
    <w:rsid w:val="001B72B8"/>
    <w:rsid w:val="001B7EC9"/>
    <w:rsid w:val="001C0F98"/>
    <w:rsid w:val="001C1815"/>
    <w:rsid w:val="001C2657"/>
    <w:rsid w:val="001C4E9B"/>
    <w:rsid w:val="001C5623"/>
    <w:rsid w:val="001C69B3"/>
    <w:rsid w:val="001D0EAA"/>
    <w:rsid w:val="001D1637"/>
    <w:rsid w:val="001D2207"/>
    <w:rsid w:val="001D3E8B"/>
    <w:rsid w:val="001D4D71"/>
    <w:rsid w:val="001D5595"/>
    <w:rsid w:val="001D56C1"/>
    <w:rsid w:val="001D66A7"/>
    <w:rsid w:val="001D7199"/>
    <w:rsid w:val="001D7874"/>
    <w:rsid w:val="001D7D30"/>
    <w:rsid w:val="001D7F22"/>
    <w:rsid w:val="001E04D8"/>
    <w:rsid w:val="001E144A"/>
    <w:rsid w:val="001E1F15"/>
    <w:rsid w:val="001E2007"/>
    <w:rsid w:val="001E2B90"/>
    <w:rsid w:val="001E629E"/>
    <w:rsid w:val="001F0F17"/>
    <w:rsid w:val="001F1EC5"/>
    <w:rsid w:val="001F200E"/>
    <w:rsid w:val="001F271E"/>
    <w:rsid w:val="001F3347"/>
    <w:rsid w:val="001F49C9"/>
    <w:rsid w:val="001F50D7"/>
    <w:rsid w:val="001F6388"/>
    <w:rsid w:val="001F69E4"/>
    <w:rsid w:val="00200086"/>
    <w:rsid w:val="00200671"/>
    <w:rsid w:val="002013CC"/>
    <w:rsid w:val="00201B55"/>
    <w:rsid w:val="002021F2"/>
    <w:rsid w:val="00202B74"/>
    <w:rsid w:val="00203345"/>
    <w:rsid w:val="00205427"/>
    <w:rsid w:val="00211793"/>
    <w:rsid w:val="002118FF"/>
    <w:rsid w:val="002124E9"/>
    <w:rsid w:val="002125B4"/>
    <w:rsid w:val="00213506"/>
    <w:rsid w:val="00213C04"/>
    <w:rsid w:val="002155B8"/>
    <w:rsid w:val="002159A9"/>
    <w:rsid w:val="00215AA4"/>
    <w:rsid w:val="00216D49"/>
    <w:rsid w:val="00217306"/>
    <w:rsid w:val="002225A4"/>
    <w:rsid w:val="00222958"/>
    <w:rsid w:val="002231DD"/>
    <w:rsid w:val="00223924"/>
    <w:rsid w:val="0022404E"/>
    <w:rsid w:val="00224545"/>
    <w:rsid w:val="00224839"/>
    <w:rsid w:val="002249B2"/>
    <w:rsid w:val="00225378"/>
    <w:rsid w:val="00225D7D"/>
    <w:rsid w:val="00226574"/>
    <w:rsid w:val="00227184"/>
    <w:rsid w:val="00227856"/>
    <w:rsid w:val="002278EC"/>
    <w:rsid w:val="00232660"/>
    <w:rsid w:val="0023280E"/>
    <w:rsid w:val="002343A6"/>
    <w:rsid w:val="00236238"/>
    <w:rsid w:val="002377D1"/>
    <w:rsid w:val="00240F23"/>
    <w:rsid w:val="00241F75"/>
    <w:rsid w:val="00243A13"/>
    <w:rsid w:val="00243BAF"/>
    <w:rsid w:val="002454EE"/>
    <w:rsid w:val="0024645B"/>
    <w:rsid w:val="00246A86"/>
    <w:rsid w:val="0024719F"/>
    <w:rsid w:val="00247A71"/>
    <w:rsid w:val="00247AF0"/>
    <w:rsid w:val="00247E3B"/>
    <w:rsid w:val="002506BC"/>
    <w:rsid w:val="002511F7"/>
    <w:rsid w:val="002530EA"/>
    <w:rsid w:val="00254345"/>
    <w:rsid w:val="0025435E"/>
    <w:rsid w:val="002624E7"/>
    <w:rsid w:val="0026268E"/>
    <w:rsid w:val="0026352C"/>
    <w:rsid w:val="002640E9"/>
    <w:rsid w:val="00264557"/>
    <w:rsid w:val="002701E7"/>
    <w:rsid w:val="00272482"/>
    <w:rsid w:val="00272798"/>
    <w:rsid w:val="00274EB4"/>
    <w:rsid w:val="00275478"/>
    <w:rsid w:val="002776A7"/>
    <w:rsid w:val="00280332"/>
    <w:rsid w:val="002805AB"/>
    <w:rsid w:val="0028074D"/>
    <w:rsid w:val="002810B8"/>
    <w:rsid w:val="0028160E"/>
    <w:rsid w:val="0028299C"/>
    <w:rsid w:val="00284204"/>
    <w:rsid w:val="00285D9D"/>
    <w:rsid w:val="00287976"/>
    <w:rsid w:val="00287AE0"/>
    <w:rsid w:val="00287E85"/>
    <w:rsid w:val="00290D27"/>
    <w:rsid w:val="00291773"/>
    <w:rsid w:val="0029261A"/>
    <w:rsid w:val="00292681"/>
    <w:rsid w:val="00292992"/>
    <w:rsid w:val="00294333"/>
    <w:rsid w:val="002943CC"/>
    <w:rsid w:val="002944AE"/>
    <w:rsid w:val="00294EA6"/>
    <w:rsid w:val="00295498"/>
    <w:rsid w:val="00295810"/>
    <w:rsid w:val="0029640D"/>
    <w:rsid w:val="00297717"/>
    <w:rsid w:val="002A0761"/>
    <w:rsid w:val="002A168C"/>
    <w:rsid w:val="002A1E5B"/>
    <w:rsid w:val="002A3DC7"/>
    <w:rsid w:val="002A58B3"/>
    <w:rsid w:val="002A6FD4"/>
    <w:rsid w:val="002A7E53"/>
    <w:rsid w:val="002B2F76"/>
    <w:rsid w:val="002B49E2"/>
    <w:rsid w:val="002B585A"/>
    <w:rsid w:val="002B5F1E"/>
    <w:rsid w:val="002B7B00"/>
    <w:rsid w:val="002B7C44"/>
    <w:rsid w:val="002C018B"/>
    <w:rsid w:val="002C17A5"/>
    <w:rsid w:val="002C252F"/>
    <w:rsid w:val="002C28A5"/>
    <w:rsid w:val="002C2B17"/>
    <w:rsid w:val="002C2CF7"/>
    <w:rsid w:val="002C318B"/>
    <w:rsid w:val="002C4203"/>
    <w:rsid w:val="002C596F"/>
    <w:rsid w:val="002C71CE"/>
    <w:rsid w:val="002D17A5"/>
    <w:rsid w:val="002D3DD0"/>
    <w:rsid w:val="002D49E1"/>
    <w:rsid w:val="002D65A2"/>
    <w:rsid w:val="002D6EAF"/>
    <w:rsid w:val="002E00D4"/>
    <w:rsid w:val="002E1F3A"/>
    <w:rsid w:val="002E298A"/>
    <w:rsid w:val="002E3CE0"/>
    <w:rsid w:val="002E4241"/>
    <w:rsid w:val="002E5ECE"/>
    <w:rsid w:val="002F0395"/>
    <w:rsid w:val="002F19B4"/>
    <w:rsid w:val="002F1B1B"/>
    <w:rsid w:val="002F1EB0"/>
    <w:rsid w:val="002F2AF4"/>
    <w:rsid w:val="002F4746"/>
    <w:rsid w:val="002F4FBC"/>
    <w:rsid w:val="003018B5"/>
    <w:rsid w:val="00301978"/>
    <w:rsid w:val="003020FD"/>
    <w:rsid w:val="0030332C"/>
    <w:rsid w:val="00303DD0"/>
    <w:rsid w:val="003051C2"/>
    <w:rsid w:val="00305CA4"/>
    <w:rsid w:val="00306B79"/>
    <w:rsid w:val="003076AB"/>
    <w:rsid w:val="00312296"/>
    <w:rsid w:val="00313D03"/>
    <w:rsid w:val="00314B1C"/>
    <w:rsid w:val="00314F0E"/>
    <w:rsid w:val="00315682"/>
    <w:rsid w:val="00315FF0"/>
    <w:rsid w:val="003160B9"/>
    <w:rsid w:val="00320620"/>
    <w:rsid w:val="0032126A"/>
    <w:rsid w:val="00321AC9"/>
    <w:rsid w:val="00321D8E"/>
    <w:rsid w:val="0032543B"/>
    <w:rsid w:val="00325928"/>
    <w:rsid w:val="00325F09"/>
    <w:rsid w:val="003318B4"/>
    <w:rsid w:val="00331956"/>
    <w:rsid w:val="00331F78"/>
    <w:rsid w:val="00332863"/>
    <w:rsid w:val="00333822"/>
    <w:rsid w:val="0033440C"/>
    <w:rsid w:val="0033451B"/>
    <w:rsid w:val="00335C02"/>
    <w:rsid w:val="00335F66"/>
    <w:rsid w:val="0033684D"/>
    <w:rsid w:val="003376D1"/>
    <w:rsid w:val="00337B42"/>
    <w:rsid w:val="00337CCD"/>
    <w:rsid w:val="00340EEE"/>
    <w:rsid w:val="00341B42"/>
    <w:rsid w:val="00342CFA"/>
    <w:rsid w:val="0034348F"/>
    <w:rsid w:val="003442FD"/>
    <w:rsid w:val="003447B3"/>
    <w:rsid w:val="0034553C"/>
    <w:rsid w:val="003461FC"/>
    <w:rsid w:val="0034652A"/>
    <w:rsid w:val="00346AA5"/>
    <w:rsid w:val="0034704A"/>
    <w:rsid w:val="003477D5"/>
    <w:rsid w:val="00347890"/>
    <w:rsid w:val="00347B42"/>
    <w:rsid w:val="00347F96"/>
    <w:rsid w:val="003502F3"/>
    <w:rsid w:val="0035037A"/>
    <w:rsid w:val="00352B2A"/>
    <w:rsid w:val="003562B0"/>
    <w:rsid w:val="00356653"/>
    <w:rsid w:val="00356F6A"/>
    <w:rsid w:val="0035743F"/>
    <w:rsid w:val="00357B8E"/>
    <w:rsid w:val="00357BE2"/>
    <w:rsid w:val="00360148"/>
    <w:rsid w:val="0036170C"/>
    <w:rsid w:val="00362A24"/>
    <w:rsid w:val="00362CC3"/>
    <w:rsid w:val="00364E09"/>
    <w:rsid w:val="00364E80"/>
    <w:rsid w:val="00365E6D"/>
    <w:rsid w:val="00366E0F"/>
    <w:rsid w:val="0036730D"/>
    <w:rsid w:val="0037001B"/>
    <w:rsid w:val="00371F0B"/>
    <w:rsid w:val="00371FAD"/>
    <w:rsid w:val="00372EB2"/>
    <w:rsid w:val="00374A2C"/>
    <w:rsid w:val="003758F3"/>
    <w:rsid w:val="003800E3"/>
    <w:rsid w:val="00381A72"/>
    <w:rsid w:val="00383016"/>
    <w:rsid w:val="00384676"/>
    <w:rsid w:val="003866FC"/>
    <w:rsid w:val="003876ED"/>
    <w:rsid w:val="00390857"/>
    <w:rsid w:val="00392640"/>
    <w:rsid w:val="003927EB"/>
    <w:rsid w:val="00392D49"/>
    <w:rsid w:val="00392F01"/>
    <w:rsid w:val="00393CDF"/>
    <w:rsid w:val="0039670A"/>
    <w:rsid w:val="003A4BF3"/>
    <w:rsid w:val="003A685D"/>
    <w:rsid w:val="003A6DA1"/>
    <w:rsid w:val="003A7A7F"/>
    <w:rsid w:val="003B00FF"/>
    <w:rsid w:val="003B0D07"/>
    <w:rsid w:val="003B20B2"/>
    <w:rsid w:val="003B2119"/>
    <w:rsid w:val="003B2211"/>
    <w:rsid w:val="003B2D36"/>
    <w:rsid w:val="003B420D"/>
    <w:rsid w:val="003C21FD"/>
    <w:rsid w:val="003C5769"/>
    <w:rsid w:val="003C6B85"/>
    <w:rsid w:val="003C6C16"/>
    <w:rsid w:val="003D0404"/>
    <w:rsid w:val="003D1B22"/>
    <w:rsid w:val="003D5B8A"/>
    <w:rsid w:val="003D64BA"/>
    <w:rsid w:val="003D794D"/>
    <w:rsid w:val="003E174B"/>
    <w:rsid w:val="003E2161"/>
    <w:rsid w:val="003E3058"/>
    <w:rsid w:val="003E3414"/>
    <w:rsid w:val="003E34EB"/>
    <w:rsid w:val="003E3DD2"/>
    <w:rsid w:val="003E4E31"/>
    <w:rsid w:val="003E5990"/>
    <w:rsid w:val="003E76A9"/>
    <w:rsid w:val="003E7958"/>
    <w:rsid w:val="003E7E18"/>
    <w:rsid w:val="003F0809"/>
    <w:rsid w:val="003F3D8B"/>
    <w:rsid w:val="003F6927"/>
    <w:rsid w:val="003F6A8C"/>
    <w:rsid w:val="003F755C"/>
    <w:rsid w:val="0040137C"/>
    <w:rsid w:val="0040236C"/>
    <w:rsid w:val="00403A17"/>
    <w:rsid w:val="00404CDC"/>
    <w:rsid w:val="00406F01"/>
    <w:rsid w:val="00412452"/>
    <w:rsid w:val="004124BB"/>
    <w:rsid w:val="004152A2"/>
    <w:rsid w:val="00416D50"/>
    <w:rsid w:val="00416FD5"/>
    <w:rsid w:val="00417772"/>
    <w:rsid w:val="00420E6A"/>
    <w:rsid w:val="00423D2D"/>
    <w:rsid w:val="00425A9E"/>
    <w:rsid w:val="00425DE7"/>
    <w:rsid w:val="004262A2"/>
    <w:rsid w:val="00426D6B"/>
    <w:rsid w:val="00431067"/>
    <w:rsid w:val="00431E6C"/>
    <w:rsid w:val="004326F2"/>
    <w:rsid w:val="00433CE7"/>
    <w:rsid w:val="00436509"/>
    <w:rsid w:val="0044153C"/>
    <w:rsid w:val="00443244"/>
    <w:rsid w:val="00444603"/>
    <w:rsid w:val="00444861"/>
    <w:rsid w:val="00447C65"/>
    <w:rsid w:val="00452738"/>
    <w:rsid w:val="0045286F"/>
    <w:rsid w:val="00452923"/>
    <w:rsid w:val="00453936"/>
    <w:rsid w:val="00453C48"/>
    <w:rsid w:val="00455B8D"/>
    <w:rsid w:val="00456091"/>
    <w:rsid w:val="004600AB"/>
    <w:rsid w:val="004628A7"/>
    <w:rsid w:val="00464550"/>
    <w:rsid w:val="00466321"/>
    <w:rsid w:val="004663CD"/>
    <w:rsid w:val="00466507"/>
    <w:rsid w:val="00470204"/>
    <w:rsid w:val="0047143C"/>
    <w:rsid w:val="00473A05"/>
    <w:rsid w:val="00474370"/>
    <w:rsid w:val="00475224"/>
    <w:rsid w:val="0047553C"/>
    <w:rsid w:val="00475803"/>
    <w:rsid w:val="004758C9"/>
    <w:rsid w:val="00476928"/>
    <w:rsid w:val="00480434"/>
    <w:rsid w:val="00480BC2"/>
    <w:rsid w:val="00484B9B"/>
    <w:rsid w:val="004854CD"/>
    <w:rsid w:val="004855F6"/>
    <w:rsid w:val="00486490"/>
    <w:rsid w:val="0048661E"/>
    <w:rsid w:val="00486AA1"/>
    <w:rsid w:val="00492A3F"/>
    <w:rsid w:val="00492B19"/>
    <w:rsid w:val="00494670"/>
    <w:rsid w:val="004947CE"/>
    <w:rsid w:val="00495610"/>
    <w:rsid w:val="004A083B"/>
    <w:rsid w:val="004A09F9"/>
    <w:rsid w:val="004A3823"/>
    <w:rsid w:val="004A3939"/>
    <w:rsid w:val="004A47CE"/>
    <w:rsid w:val="004A4F74"/>
    <w:rsid w:val="004A6D1E"/>
    <w:rsid w:val="004B24F8"/>
    <w:rsid w:val="004B30B3"/>
    <w:rsid w:val="004B3111"/>
    <w:rsid w:val="004B44B5"/>
    <w:rsid w:val="004B69FB"/>
    <w:rsid w:val="004B7DF2"/>
    <w:rsid w:val="004C0A6C"/>
    <w:rsid w:val="004C0CA1"/>
    <w:rsid w:val="004C18E1"/>
    <w:rsid w:val="004C30B7"/>
    <w:rsid w:val="004C38E0"/>
    <w:rsid w:val="004C3AB3"/>
    <w:rsid w:val="004C4C9E"/>
    <w:rsid w:val="004C5A8E"/>
    <w:rsid w:val="004C5B40"/>
    <w:rsid w:val="004C6DEE"/>
    <w:rsid w:val="004C7FE6"/>
    <w:rsid w:val="004D14A7"/>
    <w:rsid w:val="004D187E"/>
    <w:rsid w:val="004D234C"/>
    <w:rsid w:val="004D234E"/>
    <w:rsid w:val="004D2362"/>
    <w:rsid w:val="004D300E"/>
    <w:rsid w:val="004D443F"/>
    <w:rsid w:val="004D53CC"/>
    <w:rsid w:val="004D5971"/>
    <w:rsid w:val="004E0F46"/>
    <w:rsid w:val="004E1462"/>
    <w:rsid w:val="004E2661"/>
    <w:rsid w:val="004E3729"/>
    <w:rsid w:val="004E3AB5"/>
    <w:rsid w:val="004E6946"/>
    <w:rsid w:val="004F1AD8"/>
    <w:rsid w:val="004F7CD2"/>
    <w:rsid w:val="00501280"/>
    <w:rsid w:val="00502DB0"/>
    <w:rsid w:val="00503397"/>
    <w:rsid w:val="005039CB"/>
    <w:rsid w:val="0050558F"/>
    <w:rsid w:val="00506286"/>
    <w:rsid w:val="00510813"/>
    <w:rsid w:val="00510CB1"/>
    <w:rsid w:val="00511990"/>
    <w:rsid w:val="00511DE0"/>
    <w:rsid w:val="0051292A"/>
    <w:rsid w:val="005130AE"/>
    <w:rsid w:val="00514870"/>
    <w:rsid w:val="00514B9B"/>
    <w:rsid w:val="005168C2"/>
    <w:rsid w:val="005171E6"/>
    <w:rsid w:val="00517F02"/>
    <w:rsid w:val="00521207"/>
    <w:rsid w:val="0052167F"/>
    <w:rsid w:val="00522371"/>
    <w:rsid w:val="00523832"/>
    <w:rsid w:val="00524303"/>
    <w:rsid w:val="0052459C"/>
    <w:rsid w:val="005248B0"/>
    <w:rsid w:val="005258A2"/>
    <w:rsid w:val="00526D7C"/>
    <w:rsid w:val="00531A6E"/>
    <w:rsid w:val="0053207E"/>
    <w:rsid w:val="00532B2A"/>
    <w:rsid w:val="00534D22"/>
    <w:rsid w:val="00534D98"/>
    <w:rsid w:val="0053654C"/>
    <w:rsid w:val="005401AE"/>
    <w:rsid w:val="0054130C"/>
    <w:rsid w:val="00542873"/>
    <w:rsid w:val="00542E07"/>
    <w:rsid w:val="00545424"/>
    <w:rsid w:val="0054559D"/>
    <w:rsid w:val="00545D96"/>
    <w:rsid w:val="00546663"/>
    <w:rsid w:val="00546D05"/>
    <w:rsid w:val="00547BB1"/>
    <w:rsid w:val="0055196B"/>
    <w:rsid w:val="0055317A"/>
    <w:rsid w:val="00554A7B"/>
    <w:rsid w:val="0055572C"/>
    <w:rsid w:val="0056106A"/>
    <w:rsid w:val="00561564"/>
    <w:rsid w:val="005627D2"/>
    <w:rsid w:val="00564161"/>
    <w:rsid w:val="00564663"/>
    <w:rsid w:val="00565CB8"/>
    <w:rsid w:val="005667F0"/>
    <w:rsid w:val="00567812"/>
    <w:rsid w:val="005720AE"/>
    <w:rsid w:val="00573492"/>
    <w:rsid w:val="0057480F"/>
    <w:rsid w:val="005749B7"/>
    <w:rsid w:val="00574BEF"/>
    <w:rsid w:val="0057630A"/>
    <w:rsid w:val="0057744D"/>
    <w:rsid w:val="00581B6B"/>
    <w:rsid w:val="005823EE"/>
    <w:rsid w:val="00583811"/>
    <w:rsid w:val="00584DC0"/>
    <w:rsid w:val="00585558"/>
    <w:rsid w:val="00587079"/>
    <w:rsid w:val="0059125B"/>
    <w:rsid w:val="00591509"/>
    <w:rsid w:val="00591E73"/>
    <w:rsid w:val="00591EC1"/>
    <w:rsid w:val="00594917"/>
    <w:rsid w:val="00594B48"/>
    <w:rsid w:val="00594D77"/>
    <w:rsid w:val="005955D7"/>
    <w:rsid w:val="00595CDF"/>
    <w:rsid w:val="005969E4"/>
    <w:rsid w:val="005976FE"/>
    <w:rsid w:val="00597878"/>
    <w:rsid w:val="005A06B7"/>
    <w:rsid w:val="005A1759"/>
    <w:rsid w:val="005A21D5"/>
    <w:rsid w:val="005A2D57"/>
    <w:rsid w:val="005A3895"/>
    <w:rsid w:val="005A4183"/>
    <w:rsid w:val="005A4AE3"/>
    <w:rsid w:val="005A68A7"/>
    <w:rsid w:val="005A75CC"/>
    <w:rsid w:val="005B4D27"/>
    <w:rsid w:val="005B4EC6"/>
    <w:rsid w:val="005B63CC"/>
    <w:rsid w:val="005C1279"/>
    <w:rsid w:val="005C1995"/>
    <w:rsid w:val="005C2D82"/>
    <w:rsid w:val="005C591A"/>
    <w:rsid w:val="005D2A5C"/>
    <w:rsid w:val="005D36AB"/>
    <w:rsid w:val="005D3A4E"/>
    <w:rsid w:val="005D6112"/>
    <w:rsid w:val="005D7BD1"/>
    <w:rsid w:val="005E1D71"/>
    <w:rsid w:val="005E64A4"/>
    <w:rsid w:val="005F178D"/>
    <w:rsid w:val="005F20AE"/>
    <w:rsid w:val="005F22F8"/>
    <w:rsid w:val="005F3CB7"/>
    <w:rsid w:val="005F4F9C"/>
    <w:rsid w:val="005F6275"/>
    <w:rsid w:val="006025AB"/>
    <w:rsid w:val="00604F63"/>
    <w:rsid w:val="00610E8A"/>
    <w:rsid w:val="0061157B"/>
    <w:rsid w:val="00616DE5"/>
    <w:rsid w:val="00617CC3"/>
    <w:rsid w:val="00620042"/>
    <w:rsid w:val="00620F1C"/>
    <w:rsid w:val="00623778"/>
    <w:rsid w:val="0062471F"/>
    <w:rsid w:val="006258AE"/>
    <w:rsid w:val="0063032D"/>
    <w:rsid w:val="0063044F"/>
    <w:rsid w:val="00630548"/>
    <w:rsid w:val="00630AAC"/>
    <w:rsid w:val="00630D55"/>
    <w:rsid w:val="006326A3"/>
    <w:rsid w:val="006343EC"/>
    <w:rsid w:val="00634AC6"/>
    <w:rsid w:val="00634D62"/>
    <w:rsid w:val="006357ED"/>
    <w:rsid w:val="006377A6"/>
    <w:rsid w:val="00637A3D"/>
    <w:rsid w:val="006411EF"/>
    <w:rsid w:val="006413AF"/>
    <w:rsid w:val="006415B0"/>
    <w:rsid w:val="00641738"/>
    <w:rsid w:val="00641877"/>
    <w:rsid w:val="00645E36"/>
    <w:rsid w:val="006466E3"/>
    <w:rsid w:val="006474F5"/>
    <w:rsid w:val="006526FD"/>
    <w:rsid w:val="006528D1"/>
    <w:rsid w:val="00652ACB"/>
    <w:rsid w:val="00652C4C"/>
    <w:rsid w:val="006533B3"/>
    <w:rsid w:val="00654314"/>
    <w:rsid w:val="0065670E"/>
    <w:rsid w:val="00663AAF"/>
    <w:rsid w:val="006648FC"/>
    <w:rsid w:val="006652A6"/>
    <w:rsid w:val="006657F7"/>
    <w:rsid w:val="006661E9"/>
    <w:rsid w:val="00670C56"/>
    <w:rsid w:val="006714A7"/>
    <w:rsid w:val="00671DD8"/>
    <w:rsid w:val="00672D35"/>
    <w:rsid w:val="00673669"/>
    <w:rsid w:val="006748B8"/>
    <w:rsid w:val="006753FA"/>
    <w:rsid w:val="006775C3"/>
    <w:rsid w:val="00681942"/>
    <w:rsid w:val="00681E35"/>
    <w:rsid w:val="006844A2"/>
    <w:rsid w:val="0068505A"/>
    <w:rsid w:val="00687BFA"/>
    <w:rsid w:val="00690151"/>
    <w:rsid w:val="0069128F"/>
    <w:rsid w:val="0069290A"/>
    <w:rsid w:val="00693966"/>
    <w:rsid w:val="0069410C"/>
    <w:rsid w:val="006948AE"/>
    <w:rsid w:val="006954A1"/>
    <w:rsid w:val="0069775A"/>
    <w:rsid w:val="00697813"/>
    <w:rsid w:val="006A2021"/>
    <w:rsid w:val="006A3EE8"/>
    <w:rsid w:val="006A5439"/>
    <w:rsid w:val="006A6A1E"/>
    <w:rsid w:val="006A6EE3"/>
    <w:rsid w:val="006A72BF"/>
    <w:rsid w:val="006B03F2"/>
    <w:rsid w:val="006B0C9B"/>
    <w:rsid w:val="006B1292"/>
    <w:rsid w:val="006B37DC"/>
    <w:rsid w:val="006B4F68"/>
    <w:rsid w:val="006B54C0"/>
    <w:rsid w:val="006B6B2E"/>
    <w:rsid w:val="006B6BB1"/>
    <w:rsid w:val="006B7451"/>
    <w:rsid w:val="006B7655"/>
    <w:rsid w:val="006C0592"/>
    <w:rsid w:val="006C1934"/>
    <w:rsid w:val="006C1DCD"/>
    <w:rsid w:val="006C201C"/>
    <w:rsid w:val="006C222B"/>
    <w:rsid w:val="006C272E"/>
    <w:rsid w:val="006C443B"/>
    <w:rsid w:val="006C48C0"/>
    <w:rsid w:val="006C5479"/>
    <w:rsid w:val="006D042A"/>
    <w:rsid w:val="006D1339"/>
    <w:rsid w:val="006D13B5"/>
    <w:rsid w:val="006D31D7"/>
    <w:rsid w:val="006D3EBF"/>
    <w:rsid w:val="006D45A4"/>
    <w:rsid w:val="006D5180"/>
    <w:rsid w:val="006D6A72"/>
    <w:rsid w:val="006D6C8C"/>
    <w:rsid w:val="006D7B6C"/>
    <w:rsid w:val="006E009B"/>
    <w:rsid w:val="006E0AB6"/>
    <w:rsid w:val="006E12FF"/>
    <w:rsid w:val="006E32FC"/>
    <w:rsid w:val="006E607E"/>
    <w:rsid w:val="006E62CB"/>
    <w:rsid w:val="006E761D"/>
    <w:rsid w:val="006F0268"/>
    <w:rsid w:val="006F1423"/>
    <w:rsid w:val="006F1B34"/>
    <w:rsid w:val="006F494D"/>
    <w:rsid w:val="00700D1F"/>
    <w:rsid w:val="00701966"/>
    <w:rsid w:val="00702AA3"/>
    <w:rsid w:val="00702C4C"/>
    <w:rsid w:val="00702EF8"/>
    <w:rsid w:val="00706327"/>
    <w:rsid w:val="00706C5D"/>
    <w:rsid w:val="00710498"/>
    <w:rsid w:val="00710CCD"/>
    <w:rsid w:val="00710DA0"/>
    <w:rsid w:val="00712C93"/>
    <w:rsid w:val="00716A22"/>
    <w:rsid w:val="007201DA"/>
    <w:rsid w:val="0072159C"/>
    <w:rsid w:val="00723428"/>
    <w:rsid w:val="00723832"/>
    <w:rsid w:val="00723D1D"/>
    <w:rsid w:val="00724054"/>
    <w:rsid w:val="0072447F"/>
    <w:rsid w:val="00727ED8"/>
    <w:rsid w:val="0073229E"/>
    <w:rsid w:val="00732922"/>
    <w:rsid w:val="0073360E"/>
    <w:rsid w:val="0074080F"/>
    <w:rsid w:val="00743100"/>
    <w:rsid w:val="007443AE"/>
    <w:rsid w:val="007459D2"/>
    <w:rsid w:val="00745F95"/>
    <w:rsid w:val="00746DF6"/>
    <w:rsid w:val="0075092B"/>
    <w:rsid w:val="0075137F"/>
    <w:rsid w:val="0075162E"/>
    <w:rsid w:val="00751929"/>
    <w:rsid w:val="00752C89"/>
    <w:rsid w:val="00754034"/>
    <w:rsid w:val="00754557"/>
    <w:rsid w:val="007552FD"/>
    <w:rsid w:val="007556BD"/>
    <w:rsid w:val="0075582D"/>
    <w:rsid w:val="00755D61"/>
    <w:rsid w:val="00756556"/>
    <w:rsid w:val="00760699"/>
    <w:rsid w:val="007618C4"/>
    <w:rsid w:val="00761F9C"/>
    <w:rsid w:val="00762DAD"/>
    <w:rsid w:val="00764601"/>
    <w:rsid w:val="00767980"/>
    <w:rsid w:val="00770B19"/>
    <w:rsid w:val="00772FA9"/>
    <w:rsid w:val="0077322A"/>
    <w:rsid w:val="0077372F"/>
    <w:rsid w:val="00773C40"/>
    <w:rsid w:val="0077463F"/>
    <w:rsid w:val="0078095F"/>
    <w:rsid w:val="00780E7B"/>
    <w:rsid w:val="007817E9"/>
    <w:rsid w:val="007836EA"/>
    <w:rsid w:val="00784CDA"/>
    <w:rsid w:val="0079044C"/>
    <w:rsid w:val="007906C4"/>
    <w:rsid w:val="007928E3"/>
    <w:rsid w:val="007940EA"/>
    <w:rsid w:val="0079636F"/>
    <w:rsid w:val="007967E8"/>
    <w:rsid w:val="00796B18"/>
    <w:rsid w:val="00796CBB"/>
    <w:rsid w:val="007A2104"/>
    <w:rsid w:val="007A2170"/>
    <w:rsid w:val="007A22BF"/>
    <w:rsid w:val="007A3323"/>
    <w:rsid w:val="007A4CD6"/>
    <w:rsid w:val="007A5E49"/>
    <w:rsid w:val="007B0BE4"/>
    <w:rsid w:val="007B2A45"/>
    <w:rsid w:val="007B5E3E"/>
    <w:rsid w:val="007B72B8"/>
    <w:rsid w:val="007B741E"/>
    <w:rsid w:val="007B7A58"/>
    <w:rsid w:val="007C21B5"/>
    <w:rsid w:val="007C3842"/>
    <w:rsid w:val="007C4FDD"/>
    <w:rsid w:val="007C5B5D"/>
    <w:rsid w:val="007C7118"/>
    <w:rsid w:val="007C72EB"/>
    <w:rsid w:val="007C7DCD"/>
    <w:rsid w:val="007D6044"/>
    <w:rsid w:val="007D7B70"/>
    <w:rsid w:val="007E00E2"/>
    <w:rsid w:val="007E13E3"/>
    <w:rsid w:val="007E2BB2"/>
    <w:rsid w:val="007E3D63"/>
    <w:rsid w:val="007E4BD2"/>
    <w:rsid w:val="007E534C"/>
    <w:rsid w:val="007E740A"/>
    <w:rsid w:val="007E77D9"/>
    <w:rsid w:val="007E7B9A"/>
    <w:rsid w:val="007F515C"/>
    <w:rsid w:val="007F7A79"/>
    <w:rsid w:val="00801393"/>
    <w:rsid w:val="00802CF7"/>
    <w:rsid w:val="00802F88"/>
    <w:rsid w:val="00803AD1"/>
    <w:rsid w:val="0080531B"/>
    <w:rsid w:val="00810BBE"/>
    <w:rsid w:val="008117A6"/>
    <w:rsid w:val="0081293E"/>
    <w:rsid w:val="008129E7"/>
    <w:rsid w:val="00812EC7"/>
    <w:rsid w:val="00815465"/>
    <w:rsid w:val="00817E9A"/>
    <w:rsid w:val="00820443"/>
    <w:rsid w:val="00822989"/>
    <w:rsid w:val="00822C09"/>
    <w:rsid w:val="008234C3"/>
    <w:rsid w:val="00824A1B"/>
    <w:rsid w:val="0082533F"/>
    <w:rsid w:val="00825437"/>
    <w:rsid w:val="00825845"/>
    <w:rsid w:val="00826379"/>
    <w:rsid w:val="00826B4B"/>
    <w:rsid w:val="0083012D"/>
    <w:rsid w:val="008306BD"/>
    <w:rsid w:val="00830C06"/>
    <w:rsid w:val="00831A80"/>
    <w:rsid w:val="00831FB8"/>
    <w:rsid w:val="0083200F"/>
    <w:rsid w:val="00832287"/>
    <w:rsid w:val="00832BEF"/>
    <w:rsid w:val="00833743"/>
    <w:rsid w:val="00833EF0"/>
    <w:rsid w:val="008340A4"/>
    <w:rsid w:val="00834183"/>
    <w:rsid w:val="00835B88"/>
    <w:rsid w:val="00836CED"/>
    <w:rsid w:val="008374B2"/>
    <w:rsid w:val="0084194E"/>
    <w:rsid w:val="00844D36"/>
    <w:rsid w:val="008454CC"/>
    <w:rsid w:val="00845C60"/>
    <w:rsid w:val="00845E12"/>
    <w:rsid w:val="00846F0B"/>
    <w:rsid w:val="00850FE5"/>
    <w:rsid w:val="00851362"/>
    <w:rsid w:val="00851E3F"/>
    <w:rsid w:val="00854737"/>
    <w:rsid w:val="008562B0"/>
    <w:rsid w:val="00857E44"/>
    <w:rsid w:val="00862003"/>
    <w:rsid w:val="00863BD1"/>
    <w:rsid w:val="008647E2"/>
    <w:rsid w:val="008648F6"/>
    <w:rsid w:val="0086529B"/>
    <w:rsid w:val="00867CCB"/>
    <w:rsid w:val="0087135F"/>
    <w:rsid w:val="0087185A"/>
    <w:rsid w:val="00871894"/>
    <w:rsid w:val="00872D94"/>
    <w:rsid w:val="00880364"/>
    <w:rsid w:val="00882E06"/>
    <w:rsid w:val="00882F5C"/>
    <w:rsid w:val="00883BFA"/>
    <w:rsid w:val="008866CE"/>
    <w:rsid w:val="00886CD5"/>
    <w:rsid w:val="0089007E"/>
    <w:rsid w:val="0089136B"/>
    <w:rsid w:val="00891592"/>
    <w:rsid w:val="008915B7"/>
    <w:rsid w:val="00891E9E"/>
    <w:rsid w:val="00892090"/>
    <w:rsid w:val="00892405"/>
    <w:rsid w:val="00893502"/>
    <w:rsid w:val="0089553B"/>
    <w:rsid w:val="00895CFC"/>
    <w:rsid w:val="008975A4"/>
    <w:rsid w:val="00897AEA"/>
    <w:rsid w:val="008A0FBE"/>
    <w:rsid w:val="008A1007"/>
    <w:rsid w:val="008A13E5"/>
    <w:rsid w:val="008A1B67"/>
    <w:rsid w:val="008A24DC"/>
    <w:rsid w:val="008A24E5"/>
    <w:rsid w:val="008A290C"/>
    <w:rsid w:val="008A2F68"/>
    <w:rsid w:val="008A3ED3"/>
    <w:rsid w:val="008A43FF"/>
    <w:rsid w:val="008A62E8"/>
    <w:rsid w:val="008A6B98"/>
    <w:rsid w:val="008A6BA0"/>
    <w:rsid w:val="008A7130"/>
    <w:rsid w:val="008A756E"/>
    <w:rsid w:val="008B0A3A"/>
    <w:rsid w:val="008B2A2A"/>
    <w:rsid w:val="008B4FA6"/>
    <w:rsid w:val="008B5282"/>
    <w:rsid w:val="008B66B2"/>
    <w:rsid w:val="008B6AC9"/>
    <w:rsid w:val="008B6CDA"/>
    <w:rsid w:val="008B7231"/>
    <w:rsid w:val="008B7C17"/>
    <w:rsid w:val="008C1D56"/>
    <w:rsid w:val="008C2D01"/>
    <w:rsid w:val="008C3CB8"/>
    <w:rsid w:val="008C40E6"/>
    <w:rsid w:val="008C6401"/>
    <w:rsid w:val="008C6430"/>
    <w:rsid w:val="008C6AF1"/>
    <w:rsid w:val="008C7C54"/>
    <w:rsid w:val="008D05CC"/>
    <w:rsid w:val="008D0F49"/>
    <w:rsid w:val="008D0F7A"/>
    <w:rsid w:val="008D1D54"/>
    <w:rsid w:val="008D5034"/>
    <w:rsid w:val="008D509A"/>
    <w:rsid w:val="008D63F8"/>
    <w:rsid w:val="008D68E4"/>
    <w:rsid w:val="008E0506"/>
    <w:rsid w:val="008E0528"/>
    <w:rsid w:val="008E0CFF"/>
    <w:rsid w:val="008E0E24"/>
    <w:rsid w:val="008E12DE"/>
    <w:rsid w:val="008E2093"/>
    <w:rsid w:val="008E3946"/>
    <w:rsid w:val="008E5679"/>
    <w:rsid w:val="008E5D6B"/>
    <w:rsid w:val="008E61DE"/>
    <w:rsid w:val="008E76F0"/>
    <w:rsid w:val="008F15FE"/>
    <w:rsid w:val="008F1F21"/>
    <w:rsid w:val="008F2D29"/>
    <w:rsid w:val="008F5187"/>
    <w:rsid w:val="008F5563"/>
    <w:rsid w:val="008F5890"/>
    <w:rsid w:val="008F60D8"/>
    <w:rsid w:val="008F656A"/>
    <w:rsid w:val="00902727"/>
    <w:rsid w:val="0090312B"/>
    <w:rsid w:val="009046C8"/>
    <w:rsid w:val="009064C4"/>
    <w:rsid w:val="00910825"/>
    <w:rsid w:val="009129A7"/>
    <w:rsid w:val="0091339D"/>
    <w:rsid w:val="009167F6"/>
    <w:rsid w:val="0091736D"/>
    <w:rsid w:val="00924A90"/>
    <w:rsid w:val="0092613A"/>
    <w:rsid w:val="0093037A"/>
    <w:rsid w:val="00932BD3"/>
    <w:rsid w:val="009347B7"/>
    <w:rsid w:val="00934E2B"/>
    <w:rsid w:val="00935DBC"/>
    <w:rsid w:val="00936190"/>
    <w:rsid w:val="009405FC"/>
    <w:rsid w:val="0094154D"/>
    <w:rsid w:val="00943250"/>
    <w:rsid w:val="00944BAA"/>
    <w:rsid w:val="00945637"/>
    <w:rsid w:val="00946D99"/>
    <w:rsid w:val="0095155F"/>
    <w:rsid w:val="00954429"/>
    <w:rsid w:val="009550D5"/>
    <w:rsid w:val="009563CE"/>
    <w:rsid w:val="00956DD6"/>
    <w:rsid w:val="00957FB8"/>
    <w:rsid w:val="00960CFB"/>
    <w:rsid w:val="00960E41"/>
    <w:rsid w:val="009621A6"/>
    <w:rsid w:val="00962CB2"/>
    <w:rsid w:val="00965C00"/>
    <w:rsid w:val="009703D9"/>
    <w:rsid w:val="00975FBE"/>
    <w:rsid w:val="00976328"/>
    <w:rsid w:val="0097680D"/>
    <w:rsid w:val="009773A8"/>
    <w:rsid w:val="009803CA"/>
    <w:rsid w:val="00982438"/>
    <w:rsid w:val="0098404C"/>
    <w:rsid w:val="00985283"/>
    <w:rsid w:val="009912F9"/>
    <w:rsid w:val="0099238F"/>
    <w:rsid w:val="0099381F"/>
    <w:rsid w:val="0099497B"/>
    <w:rsid w:val="009953D2"/>
    <w:rsid w:val="00995992"/>
    <w:rsid w:val="00996DC9"/>
    <w:rsid w:val="009A03E5"/>
    <w:rsid w:val="009A0F3B"/>
    <w:rsid w:val="009A1BB4"/>
    <w:rsid w:val="009A2628"/>
    <w:rsid w:val="009A3200"/>
    <w:rsid w:val="009A66C1"/>
    <w:rsid w:val="009A748C"/>
    <w:rsid w:val="009A752E"/>
    <w:rsid w:val="009B0897"/>
    <w:rsid w:val="009B120F"/>
    <w:rsid w:val="009B188C"/>
    <w:rsid w:val="009B2869"/>
    <w:rsid w:val="009B7BD9"/>
    <w:rsid w:val="009B7FEC"/>
    <w:rsid w:val="009C05AD"/>
    <w:rsid w:val="009C0BD9"/>
    <w:rsid w:val="009C7091"/>
    <w:rsid w:val="009C7DD5"/>
    <w:rsid w:val="009D1A19"/>
    <w:rsid w:val="009D40EF"/>
    <w:rsid w:val="009D5AB5"/>
    <w:rsid w:val="009D5DC7"/>
    <w:rsid w:val="009D71A6"/>
    <w:rsid w:val="009E0EA2"/>
    <w:rsid w:val="009E14AD"/>
    <w:rsid w:val="009E15F8"/>
    <w:rsid w:val="009E227D"/>
    <w:rsid w:val="009E293B"/>
    <w:rsid w:val="009E3688"/>
    <w:rsid w:val="009E5019"/>
    <w:rsid w:val="009E5DC5"/>
    <w:rsid w:val="009E6AC2"/>
    <w:rsid w:val="009E6F38"/>
    <w:rsid w:val="009F0C54"/>
    <w:rsid w:val="009F0F78"/>
    <w:rsid w:val="009F4C89"/>
    <w:rsid w:val="009F6CCB"/>
    <w:rsid w:val="009F7E5F"/>
    <w:rsid w:val="00A0060D"/>
    <w:rsid w:val="00A014CD"/>
    <w:rsid w:val="00A02568"/>
    <w:rsid w:val="00A02FD6"/>
    <w:rsid w:val="00A0332D"/>
    <w:rsid w:val="00A03BC1"/>
    <w:rsid w:val="00A044BA"/>
    <w:rsid w:val="00A04F1B"/>
    <w:rsid w:val="00A0501B"/>
    <w:rsid w:val="00A06E6A"/>
    <w:rsid w:val="00A07130"/>
    <w:rsid w:val="00A10032"/>
    <w:rsid w:val="00A1010A"/>
    <w:rsid w:val="00A110C9"/>
    <w:rsid w:val="00A114DE"/>
    <w:rsid w:val="00A13ACB"/>
    <w:rsid w:val="00A14947"/>
    <w:rsid w:val="00A151A4"/>
    <w:rsid w:val="00A16070"/>
    <w:rsid w:val="00A17F8B"/>
    <w:rsid w:val="00A21268"/>
    <w:rsid w:val="00A214F7"/>
    <w:rsid w:val="00A21725"/>
    <w:rsid w:val="00A22F7D"/>
    <w:rsid w:val="00A238C3"/>
    <w:rsid w:val="00A2442D"/>
    <w:rsid w:val="00A24F79"/>
    <w:rsid w:val="00A25D4F"/>
    <w:rsid w:val="00A26C26"/>
    <w:rsid w:val="00A27BED"/>
    <w:rsid w:val="00A321F3"/>
    <w:rsid w:val="00A32A83"/>
    <w:rsid w:val="00A32AF2"/>
    <w:rsid w:val="00A3444F"/>
    <w:rsid w:val="00A359DB"/>
    <w:rsid w:val="00A368DB"/>
    <w:rsid w:val="00A37AFA"/>
    <w:rsid w:val="00A37D5B"/>
    <w:rsid w:val="00A40087"/>
    <w:rsid w:val="00A423AA"/>
    <w:rsid w:val="00A456BB"/>
    <w:rsid w:val="00A46287"/>
    <w:rsid w:val="00A46CFB"/>
    <w:rsid w:val="00A4724A"/>
    <w:rsid w:val="00A5095C"/>
    <w:rsid w:val="00A52500"/>
    <w:rsid w:val="00A525D2"/>
    <w:rsid w:val="00A53EC6"/>
    <w:rsid w:val="00A55C0F"/>
    <w:rsid w:val="00A6048F"/>
    <w:rsid w:val="00A609F4"/>
    <w:rsid w:val="00A60A63"/>
    <w:rsid w:val="00A60F51"/>
    <w:rsid w:val="00A621D2"/>
    <w:rsid w:val="00A62274"/>
    <w:rsid w:val="00A6244A"/>
    <w:rsid w:val="00A632F7"/>
    <w:rsid w:val="00A639EF"/>
    <w:rsid w:val="00A65DCE"/>
    <w:rsid w:val="00A70C92"/>
    <w:rsid w:val="00A7164D"/>
    <w:rsid w:val="00A7173B"/>
    <w:rsid w:val="00A72CFC"/>
    <w:rsid w:val="00A74295"/>
    <w:rsid w:val="00A75808"/>
    <w:rsid w:val="00A823B3"/>
    <w:rsid w:val="00A84092"/>
    <w:rsid w:val="00A84296"/>
    <w:rsid w:val="00A84BD0"/>
    <w:rsid w:val="00A8713F"/>
    <w:rsid w:val="00A90BA1"/>
    <w:rsid w:val="00A90F5F"/>
    <w:rsid w:val="00A914B0"/>
    <w:rsid w:val="00A91CD7"/>
    <w:rsid w:val="00A959AF"/>
    <w:rsid w:val="00A96AB9"/>
    <w:rsid w:val="00A97A9A"/>
    <w:rsid w:val="00AA0671"/>
    <w:rsid w:val="00AA2531"/>
    <w:rsid w:val="00AA303C"/>
    <w:rsid w:val="00AA609B"/>
    <w:rsid w:val="00AA70BF"/>
    <w:rsid w:val="00AA7C35"/>
    <w:rsid w:val="00AB0D6C"/>
    <w:rsid w:val="00AB1DC2"/>
    <w:rsid w:val="00AB1E09"/>
    <w:rsid w:val="00AB4E5C"/>
    <w:rsid w:val="00AB5330"/>
    <w:rsid w:val="00AB5EB1"/>
    <w:rsid w:val="00AB63A3"/>
    <w:rsid w:val="00AB7747"/>
    <w:rsid w:val="00AC0CA1"/>
    <w:rsid w:val="00AC14CE"/>
    <w:rsid w:val="00AC15F7"/>
    <w:rsid w:val="00AC2A56"/>
    <w:rsid w:val="00AC4377"/>
    <w:rsid w:val="00AD055E"/>
    <w:rsid w:val="00AD0A4F"/>
    <w:rsid w:val="00AD0F10"/>
    <w:rsid w:val="00AD47A7"/>
    <w:rsid w:val="00AD74BA"/>
    <w:rsid w:val="00AE02A9"/>
    <w:rsid w:val="00AE2342"/>
    <w:rsid w:val="00AE2ADF"/>
    <w:rsid w:val="00AE3721"/>
    <w:rsid w:val="00AE4B51"/>
    <w:rsid w:val="00AE54E4"/>
    <w:rsid w:val="00AE5D09"/>
    <w:rsid w:val="00AF006B"/>
    <w:rsid w:val="00AF0CBF"/>
    <w:rsid w:val="00AF257F"/>
    <w:rsid w:val="00AF2D1A"/>
    <w:rsid w:val="00AF33CF"/>
    <w:rsid w:val="00AF3EFE"/>
    <w:rsid w:val="00AF44E7"/>
    <w:rsid w:val="00AF4D50"/>
    <w:rsid w:val="00AF6179"/>
    <w:rsid w:val="00AF760B"/>
    <w:rsid w:val="00B0558D"/>
    <w:rsid w:val="00B07B55"/>
    <w:rsid w:val="00B10FEF"/>
    <w:rsid w:val="00B113B9"/>
    <w:rsid w:val="00B1262D"/>
    <w:rsid w:val="00B1295A"/>
    <w:rsid w:val="00B12BAD"/>
    <w:rsid w:val="00B14B92"/>
    <w:rsid w:val="00B150B3"/>
    <w:rsid w:val="00B16393"/>
    <w:rsid w:val="00B17470"/>
    <w:rsid w:val="00B17B75"/>
    <w:rsid w:val="00B20917"/>
    <w:rsid w:val="00B20A45"/>
    <w:rsid w:val="00B22C5C"/>
    <w:rsid w:val="00B239D3"/>
    <w:rsid w:val="00B24F30"/>
    <w:rsid w:val="00B26968"/>
    <w:rsid w:val="00B306AB"/>
    <w:rsid w:val="00B315B5"/>
    <w:rsid w:val="00B31ABF"/>
    <w:rsid w:val="00B326F6"/>
    <w:rsid w:val="00B33BE3"/>
    <w:rsid w:val="00B35DB9"/>
    <w:rsid w:val="00B4067B"/>
    <w:rsid w:val="00B41C47"/>
    <w:rsid w:val="00B42C58"/>
    <w:rsid w:val="00B440EB"/>
    <w:rsid w:val="00B47E12"/>
    <w:rsid w:val="00B53B5D"/>
    <w:rsid w:val="00B552F4"/>
    <w:rsid w:val="00B55908"/>
    <w:rsid w:val="00B56276"/>
    <w:rsid w:val="00B56973"/>
    <w:rsid w:val="00B570FF"/>
    <w:rsid w:val="00B57C82"/>
    <w:rsid w:val="00B60316"/>
    <w:rsid w:val="00B603AF"/>
    <w:rsid w:val="00B6055E"/>
    <w:rsid w:val="00B61561"/>
    <w:rsid w:val="00B6317D"/>
    <w:rsid w:val="00B66812"/>
    <w:rsid w:val="00B66ABF"/>
    <w:rsid w:val="00B66F19"/>
    <w:rsid w:val="00B67DC1"/>
    <w:rsid w:val="00B70DA7"/>
    <w:rsid w:val="00B72E1B"/>
    <w:rsid w:val="00B7532D"/>
    <w:rsid w:val="00B75C46"/>
    <w:rsid w:val="00B75DB1"/>
    <w:rsid w:val="00B7723F"/>
    <w:rsid w:val="00B80534"/>
    <w:rsid w:val="00B80AEA"/>
    <w:rsid w:val="00B80D45"/>
    <w:rsid w:val="00B82652"/>
    <w:rsid w:val="00B8366F"/>
    <w:rsid w:val="00B8433C"/>
    <w:rsid w:val="00B85666"/>
    <w:rsid w:val="00B86FC9"/>
    <w:rsid w:val="00B87491"/>
    <w:rsid w:val="00B87CF1"/>
    <w:rsid w:val="00B913B1"/>
    <w:rsid w:val="00B91463"/>
    <w:rsid w:val="00B92111"/>
    <w:rsid w:val="00B932C5"/>
    <w:rsid w:val="00B9609D"/>
    <w:rsid w:val="00B97DA0"/>
    <w:rsid w:val="00BA021B"/>
    <w:rsid w:val="00BA29E9"/>
    <w:rsid w:val="00BA51A7"/>
    <w:rsid w:val="00BA7142"/>
    <w:rsid w:val="00BB1529"/>
    <w:rsid w:val="00BB1ADB"/>
    <w:rsid w:val="00BB1FB1"/>
    <w:rsid w:val="00BB237C"/>
    <w:rsid w:val="00BB41A3"/>
    <w:rsid w:val="00BB744E"/>
    <w:rsid w:val="00BC32DC"/>
    <w:rsid w:val="00BC35B6"/>
    <w:rsid w:val="00BC40D9"/>
    <w:rsid w:val="00BC673D"/>
    <w:rsid w:val="00BD022F"/>
    <w:rsid w:val="00BD0D60"/>
    <w:rsid w:val="00BD1B51"/>
    <w:rsid w:val="00BD2B33"/>
    <w:rsid w:val="00BD3F1F"/>
    <w:rsid w:val="00BD4596"/>
    <w:rsid w:val="00BD55ED"/>
    <w:rsid w:val="00BD678F"/>
    <w:rsid w:val="00BE0DA5"/>
    <w:rsid w:val="00BE0E4C"/>
    <w:rsid w:val="00BE1405"/>
    <w:rsid w:val="00BE312D"/>
    <w:rsid w:val="00BE37EE"/>
    <w:rsid w:val="00BF1C20"/>
    <w:rsid w:val="00BF3755"/>
    <w:rsid w:val="00BF5E43"/>
    <w:rsid w:val="00BF6DB1"/>
    <w:rsid w:val="00C00231"/>
    <w:rsid w:val="00C02BBB"/>
    <w:rsid w:val="00C02C0E"/>
    <w:rsid w:val="00C046C5"/>
    <w:rsid w:val="00C06B1D"/>
    <w:rsid w:val="00C0711C"/>
    <w:rsid w:val="00C10578"/>
    <w:rsid w:val="00C1060B"/>
    <w:rsid w:val="00C13164"/>
    <w:rsid w:val="00C1324A"/>
    <w:rsid w:val="00C135BC"/>
    <w:rsid w:val="00C14DD7"/>
    <w:rsid w:val="00C15C95"/>
    <w:rsid w:val="00C20248"/>
    <w:rsid w:val="00C20DE5"/>
    <w:rsid w:val="00C22069"/>
    <w:rsid w:val="00C22496"/>
    <w:rsid w:val="00C22B95"/>
    <w:rsid w:val="00C22D12"/>
    <w:rsid w:val="00C2398D"/>
    <w:rsid w:val="00C23C8F"/>
    <w:rsid w:val="00C24FFA"/>
    <w:rsid w:val="00C25198"/>
    <w:rsid w:val="00C256C5"/>
    <w:rsid w:val="00C256EF"/>
    <w:rsid w:val="00C2596A"/>
    <w:rsid w:val="00C25FB4"/>
    <w:rsid w:val="00C26D7C"/>
    <w:rsid w:val="00C273DB"/>
    <w:rsid w:val="00C27537"/>
    <w:rsid w:val="00C3083C"/>
    <w:rsid w:val="00C328FE"/>
    <w:rsid w:val="00C33507"/>
    <w:rsid w:val="00C3381E"/>
    <w:rsid w:val="00C33E4D"/>
    <w:rsid w:val="00C4117A"/>
    <w:rsid w:val="00C434CE"/>
    <w:rsid w:val="00C4409D"/>
    <w:rsid w:val="00C44A46"/>
    <w:rsid w:val="00C44E72"/>
    <w:rsid w:val="00C456FA"/>
    <w:rsid w:val="00C45A06"/>
    <w:rsid w:val="00C45AE1"/>
    <w:rsid w:val="00C477E1"/>
    <w:rsid w:val="00C47E5B"/>
    <w:rsid w:val="00C51AED"/>
    <w:rsid w:val="00C53235"/>
    <w:rsid w:val="00C55033"/>
    <w:rsid w:val="00C578FE"/>
    <w:rsid w:val="00C61E4B"/>
    <w:rsid w:val="00C6294C"/>
    <w:rsid w:val="00C63F2B"/>
    <w:rsid w:val="00C64241"/>
    <w:rsid w:val="00C64BFF"/>
    <w:rsid w:val="00C65F72"/>
    <w:rsid w:val="00C67E3D"/>
    <w:rsid w:val="00C704E9"/>
    <w:rsid w:val="00C7120F"/>
    <w:rsid w:val="00C72994"/>
    <w:rsid w:val="00C73B9D"/>
    <w:rsid w:val="00C73D38"/>
    <w:rsid w:val="00C757A8"/>
    <w:rsid w:val="00C763C9"/>
    <w:rsid w:val="00C76CF6"/>
    <w:rsid w:val="00C80057"/>
    <w:rsid w:val="00C80CE1"/>
    <w:rsid w:val="00C81C9D"/>
    <w:rsid w:val="00C81F21"/>
    <w:rsid w:val="00C82232"/>
    <w:rsid w:val="00C82913"/>
    <w:rsid w:val="00C84115"/>
    <w:rsid w:val="00C841CA"/>
    <w:rsid w:val="00C852DC"/>
    <w:rsid w:val="00C862C2"/>
    <w:rsid w:val="00C87517"/>
    <w:rsid w:val="00C911F1"/>
    <w:rsid w:val="00C92600"/>
    <w:rsid w:val="00C95DC3"/>
    <w:rsid w:val="00C972B1"/>
    <w:rsid w:val="00C9736F"/>
    <w:rsid w:val="00C97510"/>
    <w:rsid w:val="00CA0133"/>
    <w:rsid w:val="00CA05B6"/>
    <w:rsid w:val="00CA0F33"/>
    <w:rsid w:val="00CA1B8E"/>
    <w:rsid w:val="00CA1FC7"/>
    <w:rsid w:val="00CA2CCE"/>
    <w:rsid w:val="00CA3F55"/>
    <w:rsid w:val="00CA43FD"/>
    <w:rsid w:val="00CA6243"/>
    <w:rsid w:val="00CA7778"/>
    <w:rsid w:val="00CA79A4"/>
    <w:rsid w:val="00CA7B9E"/>
    <w:rsid w:val="00CA7EF8"/>
    <w:rsid w:val="00CA7FA8"/>
    <w:rsid w:val="00CB0596"/>
    <w:rsid w:val="00CB1559"/>
    <w:rsid w:val="00CB2D79"/>
    <w:rsid w:val="00CB4586"/>
    <w:rsid w:val="00CB5584"/>
    <w:rsid w:val="00CB5A10"/>
    <w:rsid w:val="00CB5C2B"/>
    <w:rsid w:val="00CB733F"/>
    <w:rsid w:val="00CC03A5"/>
    <w:rsid w:val="00CC3F5A"/>
    <w:rsid w:val="00CC4480"/>
    <w:rsid w:val="00CC45C9"/>
    <w:rsid w:val="00CC489B"/>
    <w:rsid w:val="00CD1619"/>
    <w:rsid w:val="00CD2BCD"/>
    <w:rsid w:val="00CD39BD"/>
    <w:rsid w:val="00CD3A4C"/>
    <w:rsid w:val="00CD4E61"/>
    <w:rsid w:val="00CE0AD6"/>
    <w:rsid w:val="00CE10E9"/>
    <w:rsid w:val="00CE1B10"/>
    <w:rsid w:val="00CE2910"/>
    <w:rsid w:val="00CE3CF7"/>
    <w:rsid w:val="00CE512F"/>
    <w:rsid w:val="00CE5393"/>
    <w:rsid w:val="00CE5687"/>
    <w:rsid w:val="00CE771B"/>
    <w:rsid w:val="00CE7AE6"/>
    <w:rsid w:val="00CF0661"/>
    <w:rsid w:val="00CF06EE"/>
    <w:rsid w:val="00CF0FC5"/>
    <w:rsid w:val="00CF1A29"/>
    <w:rsid w:val="00CF2A4C"/>
    <w:rsid w:val="00CF348D"/>
    <w:rsid w:val="00CF36BE"/>
    <w:rsid w:val="00CF3778"/>
    <w:rsid w:val="00CF4890"/>
    <w:rsid w:val="00CF5A60"/>
    <w:rsid w:val="00CF6000"/>
    <w:rsid w:val="00CF6DF9"/>
    <w:rsid w:val="00CF79BF"/>
    <w:rsid w:val="00D002FC"/>
    <w:rsid w:val="00D003F3"/>
    <w:rsid w:val="00D0364F"/>
    <w:rsid w:val="00D04B95"/>
    <w:rsid w:val="00D05E12"/>
    <w:rsid w:val="00D06834"/>
    <w:rsid w:val="00D10B63"/>
    <w:rsid w:val="00D11295"/>
    <w:rsid w:val="00D15924"/>
    <w:rsid w:val="00D15E64"/>
    <w:rsid w:val="00D15EF4"/>
    <w:rsid w:val="00D169BE"/>
    <w:rsid w:val="00D21921"/>
    <w:rsid w:val="00D21985"/>
    <w:rsid w:val="00D24146"/>
    <w:rsid w:val="00D25F66"/>
    <w:rsid w:val="00D2666D"/>
    <w:rsid w:val="00D27B48"/>
    <w:rsid w:val="00D308ED"/>
    <w:rsid w:val="00D339C5"/>
    <w:rsid w:val="00D34E80"/>
    <w:rsid w:val="00D36D86"/>
    <w:rsid w:val="00D4099B"/>
    <w:rsid w:val="00D4196D"/>
    <w:rsid w:val="00D428AA"/>
    <w:rsid w:val="00D436F4"/>
    <w:rsid w:val="00D436FB"/>
    <w:rsid w:val="00D4455B"/>
    <w:rsid w:val="00D46937"/>
    <w:rsid w:val="00D470CB"/>
    <w:rsid w:val="00D50A34"/>
    <w:rsid w:val="00D5348C"/>
    <w:rsid w:val="00D53834"/>
    <w:rsid w:val="00D53EFA"/>
    <w:rsid w:val="00D54776"/>
    <w:rsid w:val="00D55EFD"/>
    <w:rsid w:val="00D5794E"/>
    <w:rsid w:val="00D600A4"/>
    <w:rsid w:val="00D627E5"/>
    <w:rsid w:val="00D6322A"/>
    <w:rsid w:val="00D6395A"/>
    <w:rsid w:val="00D63F1A"/>
    <w:rsid w:val="00D64900"/>
    <w:rsid w:val="00D655DA"/>
    <w:rsid w:val="00D67539"/>
    <w:rsid w:val="00D71BF8"/>
    <w:rsid w:val="00D72E93"/>
    <w:rsid w:val="00D76A08"/>
    <w:rsid w:val="00D76A1A"/>
    <w:rsid w:val="00D770C4"/>
    <w:rsid w:val="00D7796D"/>
    <w:rsid w:val="00D8390C"/>
    <w:rsid w:val="00D83C65"/>
    <w:rsid w:val="00D85639"/>
    <w:rsid w:val="00D85BD3"/>
    <w:rsid w:val="00D86701"/>
    <w:rsid w:val="00D9015B"/>
    <w:rsid w:val="00D924F3"/>
    <w:rsid w:val="00D92A3F"/>
    <w:rsid w:val="00D9320D"/>
    <w:rsid w:val="00D935CE"/>
    <w:rsid w:val="00D9392E"/>
    <w:rsid w:val="00D94A7C"/>
    <w:rsid w:val="00D95896"/>
    <w:rsid w:val="00D977D5"/>
    <w:rsid w:val="00D97E8C"/>
    <w:rsid w:val="00DA1143"/>
    <w:rsid w:val="00DA3DCA"/>
    <w:rsid w:val="00DA407F"/>
    <w:rsid w:val="00DB2983"/>
    <w:rsid w:val="00DB3092"/>
    <w:rsid w:val="00DB3228"/>
    <w:rsid w:val="00DB5611"/>
    <w:rsid w:val="00DB73BD"/>
    <w:rsid w:val="00DC0A25"/>
    <w:rsid w:val="00DC1257"/>
    <w:rsid w:val="00DC3D01"/>
    <w:rsid w:val="00DC3DC0"/>
    <w:rsid w:val="00DC448F"/>
    <w:rsid w:val="00DC5B2B"/>
    <w:rsid w:val="00DC72C0"/>
    <w:rsid w:val="00DD164A"/>
    <w:rsid w:val="00DD318D"/>
    <w:rsid w:val="00DE42C1"/>
    <w:rsid w:val="00DE58B2"/>
    <w:rsid w:val="00DE598B"/>
    <w:rsid w:val="00DE5D21"/>
    <w:rsid w:val="00DE6D96"/>
    <w:rsid w:val="00DF15AE"/>
    <w:rsid w:val="00DF18A8"/>
    <w:rsid w:val="00DF2826"/>
    <w:rsid w:val="00DF2E12"/>
    <w:rsid w:val="00DF4972"/>
    <w:rsid w:val="00DF514A"/>
    <w:rsid w:val="00DF6690"/>
    <w:rsid w:val="00DF6804"/>
    <w:rsid w:val="00E003DF"/>
    <w:rsid w:val="00E0358D"/>
    <w:rsid w:val="00E04323"/>
    <w:rsid w:val="00E05C88"/>
    <w:rsid w:val="00E070A2"/>
    <w:rsid w:val="00E072F8"/>
    <w:rsid w:val="00E0763B"/>
    <w:rsid w:val="00E076FA"/>
    <w:rsid w:val="00E10F3D"/>
    <w:rsid w:val="00E11DE4"/>
    <w:rsid w:val="00E11E45"/>
    <w:rsid w:val="00E13F56"/>
    <w:rsid w:val="00E14143"/>
    <w:rsid w:val="00E14FCF"/>
    <w:rsid w:val="00E15EB5"/>
    <w:rsid w:val="00E16072"/>
    <w:rsid w:val="00E16D34"/>
    <w:rsid w:val="00E2134A"/>
    <w:rsid w:val="00E2189A"/>
    <w:rsid w:val="00E2498D"/>
    <w:rsid w:val="00E2519E"/>
    <w:rsid w:val="00E25C34"/>
    <w:rsid w:val="00E25F97"/>
    <w:rsid w:val="00E26078"/>
    <w:rsid w:val="00E2656A"/>
    <w:rsid w:val="00E27084"/>
    <w:rsid w:val="00E332C6"/>
    <w:rsid w:val="00E343CD"/>
    <w:rsid w:val="00E347BA"/>
    <w:rsid w:val="00E3660A"/>
    <w:rsid w:val="00E37A1A"/>
    <w:rsid w:val="00E412D0"/>
    <w:rsid w:val="00E45468"/>
    <w:rsid w:val="00E4666D"/>
    <w:rsid w:val="00E46BEA"/>
    <w:rsid w:val="00E47F9E"/>
    <w:rsid w:val="00E47FA3"/>
    <w:rsid w:val="00E516D5"/>
    <w:rsid w:val="00E52971"/>
    <w:rsid w:val="00E55173"/>
    <w:rsid w:val="00E553AA"/>
    <w:rsid w:val="00E56322"/>
    <w:rsid w:val="00E56EA5"/>
    <w:rsid w:val="00E60982"/>
    <w:rsid w:val="00E62C62"/>
    <w:rsid w:val="00E649A3"/>
    <w:rsid w:val="00E654C1"/>
    <w:rsid w:val="00E65BF8"/>
    <w:rsid w:val="00E65D97"/>
    <w:rsid w:val="00E66F5B"/>
    <w:rsid w:val="00E67EAF"/>
    <w:rsid w:val="00E705E9"/>
    <w:rsid w:val="00E7088C"/>
    <w:rsid w:val="00E72012"/>
    <w:rsid w:val="00E72A5A"/>
    <w:rsid w:val="00E73354"/>
    <w:rsid w:val="00E76D48"/>
    <w:rsid w:val="00E83B42"/>
    <w:rsid w:val="00E85352"/>
    <w:rsid w:val="00E85A4D"/>
    <w:rsid w:val="00E868B8"/>
    <w:rsid w:val="00E87A70"/>
    <w:rsid w:val="00E9242D"/>
    <w:rsid w:val="00E94F9E"/>
    <w:rsid w:val="00E954BA"/>
    <w:rsid w:val="00E96563"/>
    <w:rsid w:val="00E96573"/>
    <w:rsid w:val="00E96DBB"/>
    <w:rsid w:val="00EA2154"/>
    <w:rsid w:val="00EA3240"/>
    <w:rsid w:val="00EA4457"/>
    <w:rsid w:val="00EA615E"/>
    <w:rsid w:val="00EB0227"/>
    <w:rsid w:val="00EB1739"/>
    <w:rsid w:val="00EB1A54"/>
    <w:rsid w:val="00EB1A93"/>
    <w:rsid w:val="00EB5255"/>
    <w:rsid w:val="00EB552C"/>
    <w:rsid w:val="00EB565B"/>
    <w:rsid w:val="00EB570E"/>
    <w:rsid w:val="00EB5C47"/>
    <w:rsid w:val="00EB726D"/>
    <w:rsid w:val="00EC181D"/>
    <w:rsid w:val="00EC1B02"/>
    <w:rsid w:val="00EC40BB"/>
    <w:rsid w:val="00EC645D"/>
    <w:rsid w:val="00EC69C1"/>
    <w:rsid w:val="00EC6EEA"/>
    <w:rsid w:val="00EC7B5E"/>
    <w:rsid w:val="00EC7D6F"/>
    <w:rsid w:val="00ED0639"/>
    <w:rsid w:val="00ED08C0"/>
    <w:rsid w:val="00ED116F"/>
    <w:rsid w:val="00ED1E7B"/>
    <w:rsid w:val="00ED3504"/>
    <w:rsid w:val="00ED6609"/>
    <w:rsid w:val="00EE24A3"/>
    <w:rsid w:val="00EE3A7B"/>
    <w:rsid w:val="00EE4536"/>
    <w:rsid w:val="00EE4916"/>
    <w:rsid w:val="00EE52B0"/>
    <w:rsid w:val="00EE6C07"/>
    <w:rsid w:val="00EF1331"/>
    <w:rsid w:val="00EF1B2E"/>
    <w:rsid w:val="00EF4033"/>
    <w:rsid w:val="00EF4061"/>
    <w:rsid w:val="00EF442B"/>
    <w:rsid w:val="00EF4755"/>
    <w:rsid w:val="00EF5E5A"/>
    <w:rsid w:val="00EF63B1"/>
    <w:rsid w:val="00EF65AE"/>
    <w:rsid w:val="00EF6AC3"/>
    <w:rsid w:val="00EF7135"/>
    <w:rsid w:val="00EF79AF"/>
    <w:rsid w:val="00F027DB"/>
    <w:rsid w:val="00F03444"/>
    <w:rsid w:val="00F0572A"/>
    <w:rsid w:val="00F06242"/>
    <w:rsid w:val="00F06EC5"/>
    <w:rsid w:val="00F070A4"/>
    <w:rsid w:val="00F07F64"/>
    <w:rsid w:val="00F11578"/>
    <w:rsid w:val="00F12D74"/>
    <w:rsid w:val="00F13ABE"/>
    <w:rsid w:val="00F1445E"/>
    <w:rsid w:val="00F14793"/>
    <w:rsid w:val="00F14A7A"/>
    <w:rsid w:val="00F211EF"/>
    <w:rsid w:val="00F21EA1"/>
    <w:rsid w:val="00F22985"/>
    <w:rsid w:val="00F2618D"/>
    <w:rsid w:val="00F264D8"/>
    <w:rsid w:val="00F268BA"/>
    <w:rsid w:val="00F307BC"/>
    <w:rsid w:val="00F337DE"/>
    <w:rsid w:val="00F3383E"/>
    <w:rsid w:val="00F3640B"/>
    <w:rsid w:val="00F36E0C"/>
    <w:rsid w:val="00F42FD7"/>
    <w:rsid w:val="00F44947"/>
    <w:rsid w:val="00F45B64"/>
    <w:rsid w:val="00F465A7"/>
    <w:rsid w:val="00F4696C"/>
    <w:rsid w:val="00F47521"/>
    <w:rsid w:val="00F47654"/>
    <w:rsid w:val="00F50B7C"/>
    <w:rsid w:val="00F52554"/>
    <w:rsid w:val="00F5354A"/>
    <w:rsid w:val="00F53FE5"/>
    <w:rsid w:val="00F54AA6"/>
    <w:rsid w:val="00F550E6"/>
    <w:rsid w:val="00F555C3"/>
    <w:rsid w:val="00F558EC"/>
    <w:rsid w:val="00F5796F"/>
    <w:rsid w:val="00F62285"/>
    <w:rsid w:val="00F626DC"/>
    <w:rsid w:val="00F6613F"/>
    <w:rsid w:val="00F66C19"/>
    <w:rsid w:val="00F71AA9"/>
    <w:rsid w:val="00F71D59"/>
    <w:rsid w:val="00F74199"/>
    <w:rsid w:val="00F74345"/>
    <w:rsid w:val="00F75DCD"/>
    <w:rsid w:val="00F75EAD"/>
    <w:rsid w:val="00F775B3"/>
    <w:rsid w:val="00F8021F"/>
    <w:rsid w:val="00F807BD"/>
    <w:rsid w:val="00F80A0A"/>
    <w:rsid w:val="00F8268A"/>
    <w:rsid w:val="00F82B19"/>
    <w:rsid w:val="00F8323D"/>
    <w:rsid w:val="00F84DC0"/>
    <w:rsid w:val="00F9212D"/>
    <w:rsid w:val="00F92252"/>
    <w:rsid w:val="00F92BB7"/>
    <w:rsid w:val="00F94691"/>
    <w:rsid w:val="00F94C32"/>
    <w:rsid w:val="00F95522"/>
    <w:rsid w:val="00F965DA"/>
    <w:rsid w:val="00F97666"/>
    <w:rsid w:val="00FA0100"/>
    <w:rsid w:val="00FA3861"/>
    <w:rsid w:val="00FA406A"/>
    <w:rsid w:val="00FA44E7"/>
    <w:rsid w:val="00FA544D"/>
    <w:rsid w:val="00FA5E20"/>
    <w:rsid w:val="00FA7027"/>
    <w:rsid w:val="00FB0247"/>
    <w:rsid w:val="00FB27BC"/>
    <w:rsid w:val="00FB31EF"/>
    <w:rsid w:val="00FB49DA"/>
    <w:rsid w:val="00FB503A"/>
    <w:rsid w:val="00FB516C"/>
    <w:rsid w:val="00FB5416"/>
    <w:rsid w:val="00FB5979"/>
    <w:rsid w:val="00FB68ED"/>
    <w:rsid w:val="00FC0A2D"/>
    <w:rsid w:val="00FC1C44"/>
    <w:rsid w:val="00FC1EF6"/>
    <w:rsid w:val="00FC4667"/>
    <w:rsid w:val="00FC5FA1"/>
    <w:rsid w:val="00FC75BA"/>
    <w:rsid w:val="00FD0236"/>
    <w:rsid w:val="00FD18F4"/>
    <w:rsid w:val="00FD1DDB"/>
    <w:rsid w:val="00FD22C9"/>
    <w:rsid w:val="00FD25EA"/>
    <w:rsid w:val="00FD28F0"/>
    <w:rsid w:val="00FD4866"/>
    <w:rsid w:val="00FD54DB"/>
    <w:rsid w:val="00FD619F"/>
    <w:rsid w:val="00FD7398"/>
    <w:rsid w:val="00FD73F5"/>
    <w:rsid w:val="00FD7E2C"/>
    <w:rsid w:val="00FE19B7"/>
    <w:rsid w:val="00FE1A08"/>
    <w:rsid w:val="00FE2C4B"/>
    <w:rsid w:val="00FE2CB5"/>
    <w:rsid w:val="00FE3D3F"/>
    <w:rsid w:val="00FF0BBD"/>
    <w:rsid w:val="00FF0E03"/>
    <w:rsid w:val="00FF1AB6"/>
    <w:rsid w:val="00FF62CF"/>
    <w:rsid w:val="00FF6796"/>
    <w:rsid w:val="00FF730F"/>
    <w:rsid w:val="00FF7727"/>
    <w:rsid w:val="01013396"/>
    <w:rsid w:val="01136E98"/>
    <w:rsid w:val="011709B1"/>
    <w:rsid w:val="01177A17"/>
    <w:rsid w:val="011D612E"/>
    <w:rsid w:val="01227556"/>
    <w:rsid w:val="01290F7E"/>
    <w:rsid w:val="012A1BC3"/>
    <w:rsid w:val="012A2CBE"/>
    <w:rsid w:val="013372B4"/>
    <w:rsid w:val="01384357"/>
    <w:rsid w:val="013E4434"/>
    <w:rsid w:val="01433D2E"/>
    <w:rsid w:val="014432D1"/>
    <w:rsid w:val="014A102B"/>
    <w:rsid w:val="014F2711"/>
    <w:rsid w:val="0150055D"/>
    <w:rsid w:val="01514C3D"/>
    <w:rsid w:val="01550DCD"/>
    <w:rsid w:val="015D1E09"/>
    <w:rsid w:val="01681B30"/>
    <w:rsid w:val="016C3AEE"/>
    <w:rsid w:val="016E3EB9"/>
    <w:rsid w:val="01730582"/>
    <w:rsid w:val="017E2A82"/>
    <w:rsid w:val="01842839"/>
    <w:rsid w:val="01855691"/>
    <w:rsid w:val="018648B1"/>
    <w:rsid w:val="0187363C"/>
    <w:rsid w:val="0188674F"/>
    <w:rsid w:val="018E051B"/>
    <w:rsid w:val="01910DE7"/>
    <w:rsid w:val="01943210"/>
    <w:rsid w:val="019454BF"/>
    <w:rsid w:val="019A1364"/>
    <w:rsid w:val="019B189E"/>
    <w:rsid w:val="01A2719B"/>
    <w:rsid w:val="01AC245E"/>
    <w:rsid w:val="01AE68CE"/>
    <w:rsid w:val="01BB433D"/>
    <w:rsid w:val="01BC1F06"/>
    <w:rsid w:val="01C02096"/>
    <w:rsid w:val="01C2440B"/>
    <w:rsid w:val="01C57AF0"/>
    <w:rsid w:val="01CA77E2"/>
    <w:rsid w:val="01CD4D28"/>
    <w:rsid w:val="01D10B24"/>
    <w:rsid w:val="01D71B4E"/>
    <w:rsid w:val="01D866AD"/>
    <w:rsid w:val="01D972AA"/>
    <w:rsid w:val="01DF4D6A"/>
    <w:rsid w:val="01E1103D"/>
    <w:rsid w:val="01E34A21"/>
    <w:rsid w:val="01EA32C2"/>
    <w:rsid w:val="01F476B0"/>
    <w:rsid w:val="01F76B85"/>
    <w:rsid w:val="01FE4410"/>
    <w:rsid w:val="020451D2"/>
    <w:rsid w:val="020C4532"/>
    <w:rsid w:val="02145195"/>
    <w:rsid w:val="02185ED1"/>
    <w:rsid w:val="02186E23"/>
    <w:rsid w:val="02195ECB"/>
    <w:rsid w:val="021C39C0"/>
    <w:rsid w:val="021C4738"/>
    <w:rsid w:val="022006A5"/>
    <w:rsid w:val="02227095"/>
    <w:rsid w:val="02227A87"/>
    <w:rsid w:val="02274BF5"/>
    <w:rsid w:val="022808CE"/>
    <w:rsid w:val="0228462C"/>
    <w:rsid w:val="022D3EB0"/>
    <w:rsid w:val="02372105"/>
    <w:rsid w:val="02383E31"/>
    <w:rsid w:val="02451DD7"/>
    <w:rsid w:val="024C6FC3"/>
    <w:rsid w:val="024D00FA"/>
    <w:rsid w:val="024E3C17"/>
    <w:rsid w:val="02513F2E"/>
    <w:rsid w:val="02550684"/>
    <w:rsid w:val="02580A43"/>
    <w:rsid w:val="0258151A"/>
    <w:rsid w:val="025B0442"/>
    <w:rsid w:val="02640CAD"/>
    <w:rsid w:val="02646199"/>
    <w:rsid w:val="02650334"/>
    <w:rsid w:val="02661B0E"/>
    <w:rsid w:val="02697903"/>
    <w:rsid w:val="026A7197"/>
    <w:rsid w:val="026D5506"/>
    <w:rsid w:val="026F4AAE"/>
    <w:rsid w:val="0270360B"/>
    <w:rsid w:val="02716DCA"/>
    <w:rsid w:val="02722CAC"/>
    <w:rsid w:val="02735344"/>
    <w:rsid w:val="02743AC8"/>
    <w:rsid w:val="027520D7"/>
    <w:rsid w:val="02764246"/>
    <w:rsid w:val="0284231A"/>
    <w:rsid w:val="02860BCB"/>
    <w:rsid w:val="02900380"/>
    <w:rsid w:val="029345B1"/>
    <w:rsid w:val="029F5DBE"/>
    <w:rsid w:val="02A671D8"/>
    <w:rsid w:val="02AA1A8A"/>
    <w:rsid w:val="02AD7AF0"/>
    <w:rsid w:val="02B30FCF"/>
    <w:rsid w:val="02B43A3F"/>
    <w:rsid w:val="02B452F0"/>
    <w:rsid w:val="02BF1EA7"/>
    <w:rsid w:val="02C62933"/>
    <w:rsid w:val="02CD1899"/>
    <w:rsid w:val="02D25FE4"/>
    <w:rsid w:val="02D36DFE"/>
    <w:rsid w:val="02D374B2"/>
    <w:rsid w:val="02D4764A"/>
    <w:rsid w:val="02DF17B7"/>
    <w:rsid w:val="02E02F52"/>
    <w:rsid w:val="02E06FB5"/>
    <w:rsid w:val="02E12EA8"/>
    <w:rsid w:val="02E67BA1"/>
    <w:rsid w:val="02EA6AA5"/>
    <w:rsid w:val="02EB4F32"/>
    <w:rsid w:val="02EC4DDC"/>
    <w:rsid w:val="02EE0DF9"/>
    <w:rsid w:val="02F3498E"/>
    <w:rsid w:val="02F7542C"/>
    <w:rsid w:val="02F84A16"/>
    <w:rsid w:val="02F96569"/>
    <w:rsid w:val="02FD146E"/>
    <w:rsid w:val="02FE7E66"/>
    <w:rsid w:val="03020C32"/>
    <w:rsid w:val="030301DD"/>
    <w:rsid w:val="03065668"/>
    <w:rsid w:val="03077B17"/>
    <w:rsid w:val="030807FE"/>
    <w:rsid w:val="030975F5"/>
    <w:rsid w:val="031236F6"/>
    <w:rsid w:val="031A129A"/>
    <w:rsid w:val="031E1747"/>
    <w:rsid w:val="03201A90"/>
    <w:rsid w:val="03231B33"/>
    <w:rsid w:val="03242A5C"/>
    <w:rsid w:val="0326672B"/>
    <w:rsid w:val="032B75CF"/>
    <w:rsid w:val="032C52D8"/>
    <w:rsid w:val="033051DF"/>
    <w:rsid w:val="03305436"/>
    <w:rsid w:val="03394EB3"/>
    <w:rsid w:val="03447292"/>
    <w:rsid w:val="03474618"/>
    <w:rsid w:val="034F52C0"/>
    <w:rsid w:val="03554196"/>
    <w:rsid w:val="03566FEC"/>
    <w:rsid w:val="03567637"/>
    <w:rsid w:val="035C1ACC"/>
    <w:rsid w:val="035D44C3"/>
    <w:rsid w:val="035F21B1"/>
    <w:rsid w:val="03623656"/>
    <w:rsid w:val="03634626"/>
    <w:rsid w:val="03670FC0"/>
    <w:rsid w:val="0367220A"/>
    <w:rsid w:val="03683E93"/>
    <w:rsid w:val="036D28B4"/>
    <w:rsid w:val="03722B19"/>
    <w:rsid w:val="03731F62"/>
    <w:rsid w:val="03766DE4"/>
    <w:rsid w:val="037714E9"/>
    <w:rsid w:val="03771E7F"/>
    <w:rsid w:val="03884644"/>
    <w:rsid w:val="038D1304"/>
    <w:rsid w:val="039207E2"/>
    <w:rsid w:val="039669BE"/>
    <w:rsid w:val="03A12B18"/>
    <w:rsid w:val="03A62B48"/>
    <w:rsid w:val="03AB30D0"/>
    <w:rsid w:val="03AD5228"/>
    <w:rsid w:val="03AD6CE2"/>
    <w:rsid w:val="03B33522"/>
    <w:rsid w:val="03B45812"/>
    <w:rsid w:val="03B512A7"/>
    <w:rsid w:val="03B60543"/>
    <w:rsid w:val="03B70FA8"/>
    <w:rsid w:val="03BA7CDE"/>
    <w:rsid w:val="03C4724A"/>
    <w:rsid w:val="03C54999"/>
    <w:rsid w:val="03C640CF"/>
    <w:rsid w:val="03CE487C"/>
    <w:rsid w:val="03D41080"/>
    <w:rsid w:val="03D54243"/>
    <w:rsid w:val="03D712A1"/>
    <w:rsid w:val="03DC08E0"/>
    <w:rsid w:val="03DC0C70"/>
    <w:rsid w:val="03DC0DBF"/>
    <w:rsid w:val="03E4032C"/>
    <w:rsid w:val="03EA5524"/>
    <w:rsid w:val="03EA7B21"/>
    <w:rsid w:val="03ED6FA4"/>
    <w:rsid w:val="03EF2612"/>
    <w:rsid w:val="03F223EA"/>
    <w:rsid w:val="03F22B99"/>
    <w:rsid w:val="03F248A9"/>
    <w:rsid w:val="040227A5"/>
    <w:rsid w:val="04070813"/>
    <w:rsid w:val="040D7C57"/>
    <w:rsid w:val="040E48F1"/>
    <w:rsid w:val="04107BF8"/>
    <w:rsid w:val="04184DB3"/>
    <w:rsid w:val="042374F8"/>
    <w:rsid w:val="04292DE0"/>
    <w:rsid w:val="042B15B4"/>
    <w:rsid w:val="042C7070"/>
    <w:rsid w:val="0433224A"/>
    <w:rsid w:val="04423B6F"/>
    <w:rsid w:val="044466B9"/>
    <w:rsid w:val="044C4F46"/>
    <w:rsid w:val="04586544"/>
    <w:rsid w:val="046038FA"/>
    <w:rsid w:val="046042EA"/>
    <w:rsid w:val="04660E90"/>
    <w:rsid w:val="04670EAA"/>
    <w:rsid w:val="04684B52"/>
    <w:rsid w:val="046D13B3"/>
    <w:rsid w:val="046D6820"/>
    <w:rsid w:val="04713329"/>
    <w:rsid w:val="047C06A9"/>
    <w:rsid w:val="047D732D"/>
    <w:rsid w:val="04805479"/>
    <w:rsid w:val="048246C2"/>
    <w:rsid w:val="0485464E"/>
    <w:rsid w:val="04865248"/>
    <w:rsid w:val="04874259"/>
    <w:rsid w:val="048C36E4"/>
    <w:rsid w:val="04921307"/>
    <w:rsid w:val="049A0157"/>
    <w:rsid w:val="049E3C60"/>
    <w:rsid w:val="04A42BE0"/>
    <w:rsid w:val="04A53D4C"/>
    <w:rsid w:val="04A60D6C"/>
    <w:rsid w:val="04AE17CC"/>
    <w:rsid w:val="04AE7CAB"/>
    <w:rsid w:val="04AF1D34"/>
    <w:rsid w:val="04B21188"/>
    <w:rsid w:val="04B361D1"/>
    <w:rsid w:val="04B53DE4"/>
    <w:rsid w:val="04BB5274"/>
    <w:rsid w:val="04BE3F1E"/>
    <w:rsid w:val="04BE64F9"/>
    <w:rsid w:val="04C01E9F"/>
    <w:rsid w:val="04CB4033"/>
    <w:rsid w:val="04CD59C3"/>
    <w:rsid w:val="04D2096B"/>
    <w:rsid w:val="04D2402E"/>
    <w:rsid w:val="04D242F9"/>
    <w:rsid w:val="04DA239D"/>
    <w:rsid w:val="04DA2FBE"/>
    <w:rsid w:val="04E65957"/>
    <w:rsid w:val="04E703F7"/>
    <w:rsid w:val="04EB6681"/>
    <w:rsid w:val="04F135DB"/>
    <w:rsid w:val="04F55E74"/>
    <w:rsid w:val="04FC15E3"/>
    <w:rsid w:val="04FC2C86"/>
    <w:rsid w:val="04FD7843"/>
    <w:rsid w:val="04FF037E"/>
    <w:rsid w:val="05011BD8"/>
    <w:rsid w:val="05017776"/>
    <w:rsid w:val="050735EE"/>
    <w:rsid w:val="0511357C"/>
    <w:rsid w:val="0519619B"/>
    <w:rsid w:val="051A0D14"/>
    <w:rsid w:val="052309DD"/>
    <w:rsid w:val="05235FD7"/>
    <w:rsid w:val="0527730A"/>
    <w:rsid w:val="052839B8"/>
    <w:rsid w:val="053079C4"/>
    <w:rsid w:val="05392773"/>
    <w:rsid w:val="053B270A"/>
    <w:rsid w:val="053B36B9"/>
    <w:rsid w:val="05415772"/>
    <w:rsid w:val="05445D91"/>
    <w:rsid w:val="0546694F"/>
    <w:rsid w:val="05487868"/>
    <w:rsid w:val="05487A70"/>
    <w:rsid w:val="054A53DB"/>
    <w:rsid w:val="05561A6C"/>
    <w:rsid w:val="05634F8A"/>
    <w:rsid w:val="05657F56"/>
    <w:rsid w:val="0567545A"/>
    <w:rsid w:val="057952D6"/>
    <w:rsid w:val="057B562E"/>
    <w:rsid w:val="057D4123"/>
    <w:rsid w:val="057F4278"/>
    <w:rsid w:val="057F6DC9"/>
    <w:rsid w:val="058250CD"/>
    <w:rsid w:val="05832D9D"/>
    <w:rsid w:val="05843AEB"/>
    <w:rsid w:val="058712C7"/>
    <w:rsid w:val="05874B27"/>
    <w:rsid w:val="05877042"/>
    <w:rsid w:val="05882E3D"/>
    <w:rsid w:val="058B3055"/>
    <w:rsid w:val="059551AA"/>
    <w:rsid w:val="059856FE"/>
    <w:rsid w:val="05A109FE"/>
    <w:rsid w:val="05A21170"/>
    <w:rsid w:val="05A25C7E"/>
    <w:rsid w:val="05A5203C"/>
    <w:rsid w:val="05A567C9"/>
    <w:rsid w:val="05A80A13"/>
    <w:rsid w:val="05A8313D"/>
    <w:rsid w:val="05AC4062"/>
    <w:rsid w:val="05B00408"/>
    <w:rsid w:val="05B25FA6"/>
    <w:rsid w:val="05B320D9"/>
    <w:rsid w:val="05BF12DB"/>
    <w:rsid w:val="05C06193"/>
    <w:rsid w:val="05C624EC"/>
    <w:rsid w:val="05CA5FA0"/>
    <w:rsid w:val="05D84AE2"/>
    <w:rsid w:val="05DD246D"/>
    <w:rsid w:val="05E337FC"/>
    <w:rsid w:val="05E93D73"/>
    <w:rsid w:val="05EC3C54"/>
    <w:rsid w:val="05EC6FD2"/>
    <w:rsid w:val="05F652DD"/>
    <w:rsid w:val="05F83EAE"/>
    <w:rsid w:val="05FF55BD"/>
    <w:rsid w:val="06003C64"/>
    <w:rsid w:val="06020809"/>
    <w:rsid w:val="06090831"/>
    <w:rsid w:val="060C2EAE"/>
    <w:rsid w:val="06121F2A"/>
    <w:rsid w:val="061332E7"/>
    <w:rsid w:val="061614DB"/>
    <w:rsid w:val="061F57BE"/>
    <w:rsid w:val="06214EBC"/>
    <w:rsid w:val="0623179D"/>
    <w:rsid w:val="06233921"/>
    <w:rsid w:val="062A7173"/>
    <w:rsid w:val="06345D7F"/>
    <w:rsid w:val="06375C91"/>
    <w:rsid w:val="06377341"/>
    <w:rsid w:val="063971DB"/>
    <w:rsid w:val="063B020C"/>
    <w:rsid w:val="063E17C3"/>
    <w:rsid w:val="063E7D85"/>
    <w:rsid w:val="06401698"/>
    <w:rsid w:val="06407D95"/>
    <w:rsid w:val="06455BEB"/>
    <w:rsid w:val="064C5817"/>
    <w:rsid w:val="064F1A22"/>
    <w:rsid w:val="065169B7"/>
    <w:rsid w:val="06530017"/>
    <w:rsid w:val="065A60BF"/>
    <w:rsid w:val="065F49BA"/>
    <w:rsid w:val="06611F8D"/>
    <w:rsid w:val="0669727D"/>
    <w:rsid w:val="067B55D8"/>
    <w:rsid w:val="067F6791"/>
    <w:rsid w:val="06813233"/>
    <w:rsid w:val="068517DD"/>
    <w:rsid w:val="0686066C"/>
    <w:rsid w:val="068772D4"/>
    <w:rsid w:val="06880A94"/>
    <w:rsid w:val="068C1AB0"/>
    <w:rsid w:val="06953C9F"/>
    <w:rsid w:val="069B51DD"/>
    <w:rsid w:val="069C35A0"/>
    <w:rsid w:val="069F3BC7"/>
    <w:rsid w:val="06A42F8B"/>
    <w:rsid w:val="06AF070D"/>
    <w:rsid w:val="06B91E1A"/>
    <w:rsid w:val="06BA27AF"/>
    <w:rsid w:val="06BA5C05"/>
    <w:rsid w:val="06BB404E"/>
    <w:rsid w:val="06C57774"/>
    <w:rsid w:val="06C64EA2"/>
    <w:rsid w:val="06C929F2"/>
    <w:rsid w:val="06CA37B9"/>
    <w:rsid w:val="06CB6B9D"/>
    <w:rsid w:val="06D014B3"/>
    <w:rsid w:val="06D07C00"/>
    <w:rsid w:val="06D25138"/>
    <w:rsid w:val="06D729CD"/>
    <w:rsid w:val="06DB6D6E"/>
    <w:rsid w:val="06DC78DF"/>
    <w:rsid w:val="06E15017"/>
    <w:rsid w:val="06E26335"/>
    <w:rsid w:val="06E601C8"/>
    <w:rsid w:val="06E92AC4"/>
    <w:rsid w:val="06F16AF4"/>
    <w:rsid w:val="06F4271B"/>
    <w:rsid w:val="06FA0DFD"/>
    <w:rsid w:val="06FB1609"/>
    <w:rsid w:val="07061F66"/>
    <w:rsid w:val="07080B13"/>
    <w:rsid w:val="07107BC6"/>
    <w:rsid w:val="07133368"/>
    <w:rsid w:val="071B25CA"/>
    <w:rsid w:val="07230354"/>
    <w:rsid w:val="07293586"/>
    <w:rsid w:val="07295285"/>
    <w:rsid w:val="072B545A"/>
    <w:rsid w:val="072D0B32"/>
    <w:rsid w:val="072D63F4"/>
    <w:rsid w:val="072D7853"/>
    <w:rsid w:val="07315DA8"/>
    <w:rsid w:val="073B0F31"/>
    <w:rsid w:val="073B1F70"/>
    <w:rsid w:val="073D3508"/>
    <w:rsid w:val="07423B3C"/>
    <w:rsid w:val="07445DCA"/>
    <w:rsid w:val="074472F4"/>
    <w:rsid w:val="074526C1"/>
    <w:rsid w:val="074905B0"/>
    <w:rsid w:val="074A6435"/>
    <w:rsid w:val="074B78AB"/>
    <w:rsid w:val="075679D7"/>
    <w:rsid w:val="0758433E"/>
    <w:rsid w:val="075C73F4"/>
    <w:rsid w:val="07627EDF"/>
    <w:rsid w:val="0763164E"/>
    <w:rsid w:val="07636392"/>
    <w:rsid w:val="076713BC"/>
    <w:rsid w:val="076B60EF"/>
    <w:rsid w:val="07711C08"/>
    <w:rsid w:val="07770C56"/>
    <w:rsid w:val="07773B00"/>
    <w:rsid w:val="0779781C"/>
    <w:rsid w:val="077A3448"/>
    <w:rsid w:val="077A38A1"/>
    <w:rsid w:val="077B40E4"/>
    <w:rsid w:val="077F2364"/>
    <w:rsid w:val="078607CE"/>
    <w:rsid w:val="07866D9D"/>
    <w:rsid w:val="0796722D"/>
    <w:rsid w:val="0799303C"/>
    <w:rsid w:val="079E37BD"/>
    <w:rsid w:val="07A12B12"/>
    <w:rsid w:val="07A20B3C"/>
    <w:rsid w:val="07A44131"/>
    <w:rsid w:val="07A85C55"/>
    <w:rsid w:val="07AB1830"/>
    <w:rsid w:val="07B9418C"/>
    <w:rsid w:val="07BD36DA"/>
    <w:rsid w:val="07BF0BB7"/>
    <w:rsid w:val="07CC09EB"/>
    <w:rsid w:val="07D40E21"/>
    <w:rsid w:val="07D96C64"/>
    <w:rsid w:val="07DD49A7"/>
    <w:rsid w:val="07E05CD7"/>
    <w:rsid w:val="07E732C7"/>
    <w:rsid w:val="07E80A55"/>
    <w:rsid w:val="07EC2E3C"/>
    <w:rsid w:val="07F775C8"/>
    <w:rsid w:val="07F935DC"/>
    <w:rsid w:val="080B1D94"/>
    <w:rsid w:val="08177B96"/>
    <w:rsid w:val="08197469"/>
    <w:rsid w:val="081D7ED0"/>
    <w:rsid w:val="081E4B17"/>
    <w:rsid w:val="081F3079"/>
    <w:rsid w:val="08206641"/>
    <w:rsid w:val="08216F94"/>
    <w:rsid w:val="082425D6"/>
    <w:rsid w:val="082C64AD"/>
    <w:rsid w:val="082C65BB"/>
    <w:rsid w:val="082E79A9"/>
    <w:rsid w:val="08345967"/>
    <w:rsid w:val="083B4285"/>
    <w:rsid w:val="083C7B78"/>
    <w:rsid w:val="084301F3"/>
    <w:rsid w:val="08437AAB"/>
    <w:rsid w:val="084D6DE8"/>
    <w:rsid w:val="08513A4A"/>
    <w:rsid w:val="08562D55"/>
    <w:rsid w:val="085A5FF7"/>
    <w:rsid w:val="08647286"/>
    <w:rsid w:val="08674583"/>
    <w:rsid w:val="08696A82"/>
    <w:rsid w:val="086B5F8B"/>
    <w:rsid w:val="086D43FF"/>
    <w:rsid w:val="086F5594"/>
    <w:rsid w:val="08700AD2"/>
    <w:rsid w:val="0870356A"/>
    <w:rsid w:val="08712E62"/>
    <w:rsid w:val="08726BAB"/>
    <w:rsid w:val="087742A2"/>
    <w:rsid w:val="08781935"/>
    <w:rsid w:val="08787943"/>
    <w:rsid w:val="087E69F3"/>
    <w:rsid w:val="08877A8F"/>
    <w:rsid w:val="08892F7C"/>
    <w:rsid w:val="088944EE"/>
    <w:rsid w:val="088C3CD7"/>
    <w:rsid w:val="088D1D0C"/>
    <w:rsid w:val="08932257"/>
    <w:rsid w:val="089520DF"/>
    <w:rsid w:val="089952E1"/>
    <w:rsid w:val="089A414F"/>
    <w:rsid w:val="089C0A55"/>
    <w:rsid w:val="089F1C5C"/>
    <w:rsid w:val="08A4332D"/>
    <w:rsid w:val="08AE3800"/>
    <w:rsid w:val="08B50FFC"/>
    <w:rsid w:val="08BB16D3"/>
    <w:rsid w:val="08BD5C39"/>
    <w:rsid w:val="08C07850"/>
    <w:rsid w:val="08C20A64"/>
    <w:rsid w:val="08C93885"/>
    <w:rsid w:val="08CB52FC"/>
    <w:rsid w:val="08CC029F"/>
    <w:rsid w:val="08CC0577"/>
    <w:rsid w:val="08CC4C66"/>
    <w:rsid w:val="08D13CBD"/>
    <w:rsid w:val="08D36DB1"/>
    <w:rsid w:val="08D84047"/>
    <w:rsid w:val="08DA1717"/>
    <w:rsid w:val="08F14F77"/>
    <w:rsid w:val="08FE60B1"/>
    <w:rsid w:val="09022C23"/>
    <w:rsid w:val="090F5C28"/>
    <w:rsid w:val="091149CD"/>
    <w:rsid w:val="09152775"/>
    <w:rsid w:val="09155089"/>
    <w:rsid w:val="09157EED"/>
    <w:rsid w:val="091A56D4"/>
    <w:rsid w:val="091D782B"/>
    <w:rsid w:val="091E2F4A"/>
    <w:rsid w:val="091F08D3"/>
    <w:rsid w:val="09216B4A"/>
    <w:rsid w:val="092217DD"/>
    <w:rsid w:val="092A2F3D"/>
    <w:rsid w:val="09362C28"/>
    <w:rsid w:val="093746C3"/>
    <w:rsid w:val="0938557A"/>
    <w:rsid w:val="093A7294"/>
    <w:rsid w:val="093F0D49"/>
    <w:rsid w:val="093F55AD"/>
    <w:rsid w:val="09512A1D"/>
    <w:rsid w:val="095E4011"/>
    <w:rsid w:val="09632D04"/>
    <w:rsid w:val="0964167E"/>
    <w:rsid w:val="0968157F"/>
    <w:rsid w:val="09694018"/>
    <w:rsid w:val="097304B0"/>
    <w:rsid w:val="09785C86"/>
    <w:rsid w:val="0981076D"/>
    <w:rsid w:val="09866BB3"/>
    <w:rsid w:val="098C3F0D"/>
    <w:rsid w:val="09905B06"/>
    <w:rsid w:val="0991777C"/>
    <w:rsid w:val="09956D51"/>
    <w:rsid w:val="099F7EE8"/>
    <w:rsid w:val="09A33653"/>
    <w:rsid w:val="09B14EAE"/>
    <w:rsid w:val="09B326D5"/>
    <w:rsid w:val="09B81B22"/>
    <w:rsid w:val="09BC4873"/>
    <w:rsid w:val="09BE2367"/>
    <w:rsid w:val="09C10285"/>
    <w:rsid w:val="09CA1DC8"/>
    <w:rsid w:val="09CD0A06"/>
    <w:rsid w:val="09D12896"/>
    <w:rsid w:val="09D3275F"/>
    <w:rsid w:val="09D87E04"/>
    <w:rsid w:val="09E52DD6"/>
    <w:rsid w:val="09E81589"/>
    <w:rsid w:val="09EB0ED1"/>
    <w:rsid w:val="09F86F68"/>
    <w:rsid w:val="09FD621D"/>
    <w:rsid w:val="0A005E4C"/>
    <w:rsid w:val="0A014D0E"/>
    <w:rsid w:val="0A043977"/>
    <w:rsid w:val="0A04459D"/>
    <w:rsid w:val="0A175094"/>
    <w:rsid w:val="0A1F0A4A"/>
    <w:rsid w:val="0A1F1706"/>
    <w:rsid w:val="0A2001BE"/>
    <w:rsid w:val="0A263993"/>
    <w:rsid w:val="0A272F91"/>
    <w:rsid w:val="0A2B4DF2"/>
    <w:rsid w:val="0A2D3AC2"/>
    <w:rsid w:val="0A2F2C93"/>
    <w:rsid w:val="0A331EC9"/>
    <w:rsid w:val="0A3B58C4"/>
    <w:rsid w:val="0A3C6EF7"/>
    <w:rsid w:val="0A3D4649"/>
    <w:rsid w:val="0A3F72CC"/>
    <w:rsid w:val="0A415923"/>
    <w:rsid w:val="0A460E73"/>
    <w:rsid w:val="0A480672"/>
    <w:rsid w:val="0A517BF6"/>
    <w:rsid w:val="0A5657F8"/>
    <w:rsid w:val="0A592545"/>
    <w:rsid w:val="0A5B30EA"/>
    <w:rsid w:val="0A5E596D"/>
    <w:rsid w:val="0A690774"/>
    <w:rsid w:val="0A6C0605"/>
    <w:rsid w:val="0A717B95"/>
    <w:rsid w:val="0A751F10"/>
    <w:rsid w:val="0A7C5115"/>
    <w:rsid w:val="0A836CE5"/>
    <w:rsid w:val="0A876AE8"/>
    <w:rsid w:val="0A8E2478"/>
    <w:rsid w:val="0A8E61A8"/>
    <w:rsid w:val="0A90134B"/>
    <w:rsid w:val="0A946AFD"/>
    <w:rsid w:val="0A960E3D"/>
    <w:rsid w:val="0A977A12"/>
    <w:rsid w:val="0A9C2E65"/>
    <w:rsid w:val="0AA219BC"/>
    <w:rsid w:val="0AA7129C"/>
    <w:rsid w:val="0AA755DF"/>
    <w:rsid w:val="0AA811BE"/>
    <w:rsid w:val="0AAA2FE6"/>
    <w:rsid w:val="0AAD6C85"/>
    <w:rsid w:val="0AB53DC6"/>
    <w:rsid w:val="0AB76A4A"/>
    <w:rsid w:val="0ABF2C7D"/>
    <w:rsid w:val="0AC24D55"/>
    <w:rsid w:val="0AC737AC"/>
    <w:rsid w:val="0ACD0D99"/>
    <w:rsid w:val="0AD629E4"/>
    <w:rsid w:val="0AE05CC8"/>
    <w:rsid w:val="0AE235A4"/>
    <w:rsid w:val="0AE73D26"/>
    <w:rsid w:val="0AE91151"/>
    <w:rsid w:val="0AEB4D6B"/>
    <w:rsid w:val="0AEB5112"/>
    <w:rsid w:val="0AEE5262"/>
    <w:rsid w:val="0AFD4B5B"/>
    <w:rsid w:val="0AFE2CFD"/>
    <w:rsid w:val="0B05393B"/>
    <w:rsid w:val="0B094887"/>
    <w:rsid w:val="0B095AB3"/>
    <w:rsid w:val="0B097861"/>
    <w:rsid w:val="0B0B7F7C"/>
    <w:rsid w:val="0B0D536E"/>
    <w:rsid w:val="0B120D44"/>
    <w:rsid w:val="0B1368D4"/>
    <w:rsid w:val="0B194E38"/>
    <w:rsid w:val="0B1A6A92"/>
    <w:rsid w:val="0B2023E1"/>
    <w:rsid w:val="0B222B18"/>
    <w:rsid w:val="0B2469A1"/>
    <w:rsid w:val="0B28014A"/>
    <w:rsid w:val="0B36418C"/>
    <w:rsid w:val="0B3E6BEC"/>
    <w:rsid w:val="0B3F4F66"/>
    <w:rsid w:val="0B482333"/>
    <w:rsid w:val="0B4F2FD9"/>
    <w:rsid w:val="0B533B9F"/>
    <w:rsid w:val="0B554854"/>
    <w:rsid w:val="0B5A04EE"/>
    <w:rsid w:val="0B5A12E2"/>
    <w:rsid w:val="0B5C6DA1"/>
    <w:rsid w:val="0B5C70A2"/>
    <w:rsid w:val="0B5F0351"/>
    <w:rsid w:val="0B610609"/>
    <w:rsid w:val="0B625196"/>
    <w:rsid w:val="0B73728A"/>
    <w:rsid w:val="0B7373D0"/>
    <w:rsid w:val="0B747169"/>
    <w:rsid w:val="0B772695"/>
    <w:rsid w:val="0B795031"/>
    <w:rsid w:val="0B7C44D7"/>
    <w:rsid w:val="0B7C4EFE"/>
    <w:rsid w:val="0B86750A"/>
    <w:rsid w:val="0B8D19BA"/>
    <w:rsid w:val="0B912919"/>
    <w:rsid w:val="0B9330A2"/>
    <w:rsid w:val="0BA143CF"/>
    <w:rsid w:val="0BA25328"/>
    <w:rsid w:val="0BA708E9"/>
    <w:rsid w:val="0BA81DC8"/>
    <w:rsid w:val="0BAA1044"/>
    <w:rsid w:val="0BAC60A0"/>
    <w:rsid w:val="0BAC78E9"/>
    <w:rsid w:val="0BB11DB1"/>
    <w:rsid w:val="0BB47357"/>
    <w:rsid w:val="0BB97AC8"/>
    <w:rsid w:val="0BC33F7B"/>
    <w:rsid w:val="0BC452B6"/>
    <w:rsid w:val="0BC60C29"/>
    <w:rsid w:val="0BCC6600"/>
    <w:rsid w:val="0BCF21E8"/>
    <w:rsid w:val="0BCF2262"/>
    <w:rsid w:val="0BD15160"/>
    <w:rsid w:val="0BD27BF6"/>
    <w:rsid w:val="0BD71CCF"/>
    <w:rsid w:val="0BD936D7"/>
    <w:rsid w:val="0BD940D8"/>
    <w:rsid w:val="0BDC6633"/>
    <w:rsid w:val="0BE45BD8"/>
    <w:rsid w:val="0BED3FA1"/>
    <w:rsid w:val="0BED5AAB"/>
    <w:rsid w:val="0BF050D8"/>
    <w:rsid w:val="0BF44783"/>
    <w:rsid w:val="0BF61121"/>
    <w:rsid w:val="0BF86301"/>
    <w:rsid w:val="0BFB5627"/>
    <w:rsid w:val="0C0544CC"/>
    <w:rsid w:val="0C0F0C41"/>
    <w:rsid w:val="0C143813"/>
    <w:rsid w:val="0C23301B"/>
    <w:rsid w:val="0C254854"/>
    <w:rsid w:val="0C2637C8"/>
    <w:rsid w:val="0C2932C9"/>
    <w:rsid w:val="0C2A7469"/>
    <w:rsid w:val="0C304A15"/>
    <w:rsid w:val="0C30595E"/>
    <w:rsid w:val="0C311312"/>
    <w:rsid w:val="0C350142"/>
    <w:rsid w:val="0C36178E"/>
    <w:rsid w:val="0C39641A"/>
    <w:rsid w:val="0C3B3C7D"/>
    <w:rsid w:val="0C3C32D7"/>
    <w:rsid w:val="0C3E2C7D"/>
    <w:rsid w:val="0C3E79DE"/>
    <w:rsid w:val="0C402010"/>
    <w:rsid w:val="0C433C66"/>
    <w:rsid w:val="0C443981"/>
    <w:rsid w:val="0C45497E"/>
    <w:rsid w:val="0C472A59"/>
    <w:rsid w:val="0C475EF7"/>
    <w:rsid w:val="0C477411"/>
    <w:rsid w:val="0C496354"/>
    <w:rsid w:val="0C4966FF"/>
    <w:rsid w:val="0C4F5747"/>
    <w:rsid w:val="0C5D118A"/>
    <w:rsid w:val="0C5D16FC"/>
    <w:rsid w:val="0C5D748D"/>
    <w:rsid w:val="0C637445"/>
    <w:rsid w:val="0C685366"/>
    <w:rsid w:val="0C6C4968"/>
    <w:rsid w:val="0C6F1517"/>
    <w:rsid w:val="0C72528F"/>
    <w:rsid w:val="0C7E75BA"/>
    <w:rsid w:val="0C822F81"/>
    <w:rsid w:val="0C903D00"/>
    <w:rsid w:val="0C936DBD"/>
    <w:rsid w:val="0CA05EF5"/>
    <w:rsid w:val="0CA536BE"/>
    <w:rsid w:val="0CA85443"/>
    <w:rsid w:val="0CA95866"/>
    <w:rsid w:val="0CAA6548"/>
    <w:rsid w:val="0CAB2EAE"/>
    <w:rsid w:val="0CB06F35"/>
    <w:rsid w:val="0CB2454C"/>
    <w:rsid w:val="0CB25599"/>
    <w:rsid w:val="0CBA6F42"/>
    <w:rsid w:val="0CBF2F57"/>
    <w:rsid w:val="0CC31F93"/>
    <w:rsid w:val="0CC82A4D"/>
    <w:rsid w:val="0CCE0D62"/>
    <w:rsid w:val="0CD14A5D"/>
    <w:rsid w:val="0CD56FA6"/>
    <w:rsid w:val="0CD65B63"/>
    <w:rsid w:val="0CDB3502"/>
    <w:rsid w:val="0CDD0FA5"/>
    <w:rsid w:val="0CDD62A4"/>
    <w:rsid w:val="0CF22230"/>
    <w:rsid w:val="0CF50EE9"/>
    <w:rsid w:val="0CF741BD"/>
    <w:rsid w:val="0D002783"/>
    <w:rsid w:val="0D0247A5"/>
    <w:rsid w:val="0D044085"/>
    <w:rsid w:val="0D066680"/>
    <w:rsid w:val="0D0B7B74"/>
    <w:rsid w:val="0D0C69CF"/>
    <w:rsid w:val="0D0E5602"/>
    <w:rsid w:val="0D111605"/>
    <w:rsid w:val="0D111F2B"/>
    <w:rsid w:val="0D116EA1"/>
    <w:rsid w:val="0D15426F"/>
    <w:rsid w:val="0D1567BB"/>
    <w:rsid w:val="0D16219E"/>
    <w:rsid w:val="0D180657"/>
    <w:rsid w:val="0D18517E"/>
    <w:rsid w:val="0D1D75F3"/>
    <w:rsid w:val="0D1E1675"/>
    <w:rsid w:val="0D245C66"/>
    <w:rsid w:val="0D250312"/>
    <w:rsid w:val="0D2560D2"/>
    <w:rsid w:val="0D2B3860"/>
    <w:rsid w:val="0D2B6E2A"/>
    <w:rsid w:val="0D2E5FD9"/>
    <w:rsid w:val="0D325089"/>
    <w:rsid w:val="0D3260A7"/>
    <w:rsid w:val="0D3627FC"/>
    <w:rsid w:val="0D371CC0"/>
    <w:rsid w:val="0D38685D"/>
    <w:rsid w:val="0D3E0ECD"/>
    <w:rsid w:val="0D3E6FB7"/>
    <w:rsid w:val="0D400121"/>
    <w:rsid w:val="0D434585"/>
    <w:rsid w:val="0D470EA5"/>
    <w:rsid w:val="0D482BDE"/>
    <w:rsid w:val="0D483549"/>
    <w:rsid w:val="0D4A57CE"/>
    <w:rsid w:val="0D4E1F38"/>
    <w:rsid w:val="0D5079C9"/>
    <w:rsid w:val="0D5154EF"/>
    <w:rsid w:val="0D5323DE"/>
    <w:rsid w:val="0D556D8D"/>
    <w:rsid w:val="0D5725C3"/>
    <w:rsid w:val="0D59633E"/>
    <w:rsid w:val="0D5C1A1C"/>
    <w:rsid w:val="0D5D3E94"/>
    <w:rsid w:val="0D5D49DC"/>
    <w:rsid w:val="0D602970"/>
    <w:rsid w:val="0D621C7D"/>
    <w:rsid w:val="0D646981"/>
    <w:rsid w:val="0D6A58EC"/>
    <w:rsid w:val="0D6E72BA"/>
    <w:rsid w:val="0D6F71B4"/>
    <w:rsid w:val="0D73006E"/>
    <w:rsid w:val="0D7D527D"/>
    <w:rsid w:val="0D820C21"/>
    <w:rsid w:val="0D821B4C"/>
    <w:rsid w:val="0D844D88"/>
    <w:rsid w:val="0D87276C"/>
    <w:rsid w:val="0D8D436B"/>
    <w:rsid w:val="0D941980"/>
    <w:rsid w:val="0D9C3225"/>
    <w:rsid w:val="0DA00712"/>
    <w:rsid w:val="0DA02988"/>
    <w:rsid w:val="0DA15ACD"/>
    <w:rsid w:val="0DA161BD"/>
    <w:rsid w:val="0DA24523"/>
    <w:rsid w:val="0DA2773C"/>
    <w:rsid w:val="0DA35C02"/>
    <w:rsid w:val="0DA47D46"/>
    <w:rsid w:val="0DA54418"/>
    <w:rsid w:val="0DAD635E"/>
    <w:rsid w:val="0DAE0A59"/>
    <w:rsid w:val="0DAF5DB4"/>
    <w:rsid w:val="0DB17DA1"/>
    <w:rsid w:val="0DB75732"/>
    <w:rsid w:val="0DB86146"/>
    <w:rsid w:val="0DBA1167"/>
    <w:rsid w:val="0DBD2207"/>
    <w:rsid w:val="0DBD7E4C"/>
    <w:rsid w:val="0DC108C7"/>
    <w:rsid w:val="0DC45CC1"/>
    <w:rsid w:val="0DD93F62"/>
    <w:rsid w:val="0DDD6082"/>
    <w:rsid w:val="0DE46D75"/>
    <w:rsid w:val="0DE81036"/>
    <w:rsid w:val="0DEA1DCF"/>
    <w:rsid w:val="0DFA7016"/>
    <w:rsid w:val="0E012A71"/>
    <w:rsid w:val="0E040492"/>
    <w:rsid w:val="0E0425AE"/>
    <w:rsid w:val="0E097BCB"/>
    <w:rsid w:val="0E0C6B59"/>
    <w:rsid w:val="0E120BCF"/>
    <w:rsid w:val="0E127789"/>
    <w:rsid w:val="0E147856"/>
    <w:rsid w:val="0E194D6D"/>
    <w:rsid w:val="0E1A5691"/>
    <w:rsid w:val="0E1B64AA"/>
    <w:rsid w:val="0E2C1C82"/>
    <w:rsid w:val="0E2D36E5"/>
    <w:rsid w:val="0E3137AC"/>
    <w:rsid w:val="0E324927"/>
    <w:rsid w:val="0E373E88"/>
    <w:rsid w:val="0E3C7909"/>
    <w:rsid w:val="0E3D671A"/>
    <w:rsid w:val="0E3F4F9E"/>
    <w:rsid w:val="0E401304"/>
    <w:rsid w:val="0E404A80"/>
    <w:rsid w:val="0E414AD1"/>
    <w:rsid w:val="0E434E4F"/>
    <w:rsid w:val="0E44676C"/>
    <w:rsid w:val="0E4D19C9"/>
    <w:rsid w:val="0E590564"/>
    <w:rsid w:val="0E5B7D6A"/>
    <w:rsid w:val="0E5C1773"/>
    <w:rsid w:val="0E64613A"/>
    <w:rsid w:val="0E6676BD"/>
    <w:rsid w:val="0E6754D7"/>
    <w:rsid w:val="0E676DAA"/>
    <w:rsid w:val="0E681654"/>
    <w:rsid w:val="0E6C7675"/>
    <w:rsid w:val="0E6E12C0"/>
    <w:rsid w:val="0E6E52B8"/>
    <w:rsid w:val="0E73034D"/>
    <w:rsid w:val="0E740B02"/>
    <w:rsid w:val="0E76552C"/>
    <w:rsid w:val="0E8836FB"/>
    <w:rsid w:val="0E8E60D1"/>
    <w:rsid w:val="0E9558C8"/>
    <w:rsid w:val="0E9716BC"/>
    <w:rsid w:val="0EA86315"/>
    <w:rsid w:val="0EA95154"/>
    <w:rsid w:val="0EAC59FD"/>
    <w:rsid w:val="0EAF21D9"/>
    <w:rsid w:val="0EAF21E2"/>
    <w:rsid w:val="0EB14B2C"/>
    <w:rsid w:val="0EB21B7E"/>
    <w:rsid w:val="0EB81060"/>
    <w:rsid w:val="0EC541F2"/>
    <w:rsid w:val="0ECA21B7"/>
    <w:rsid w:val="0ECA7307"/>
    <w:rsid w:val="0ED24590"/>
    <w:rsid w:val="0ED3788C"/>
    <w:rsid w:val="0ED60810"/>
    <w:rsid w:val="0ED7143D"/>
    <w:rsid w:val="0EDD431B"/>
    <w:rsid w:val="0EE22690"/>
    <w:rsid w:val="0EE228A3"/>
    <w:rsid w:val="0EE31EA3"/>
    <w:rsid w:val="0EE43265"/>
    <w:rsid w:val="0EEA30E7"/>
    <w:rsid w:val="0EF361D6"/>
    <w:rsid w:val="0EF63FCE"/>
    <w:rsid w:val="0EF644CC"/>
    <w:rsid w:val="0EFC1C49"/>
    <w:rsid w:val="0EFD6688"/>
    <w:rsid w:val="0EFE347C"/>
    <w:rsid w:val="0F0A7041"/>
    <w:rsid w:val="0F0B6C8B"/>
    <w:rsid w:val="0F10645A"/>
    <w:rsid w:val="0F13775A"/>
    <w:rsid w:val="0F171F73"/>
    <w:rsid w:val="0F206DE9"/>
    <w:rsid w:val="0F262938"/>
    <w:rsid w:val="0F2775AE"/>
    <w:rsid w:val="0F325084"/>
    <w:rsid w:val="0F331E43"/>
    <w:rsid w:val="0F36562C"/>
    <w:rsid w:val="0F4009A4"/>
    <w:rsid w:val="0F450786"/>
    <w:rsid w:val="0F4D1F40"/>
    <w:rsid w:val="0F4D2E96"/>
    <w:rsid w:val="0F4E7F38"/>
    <w:rsid w:val="0F510BCB"/>
    <w:rsid w:val="0F5209EC"/>
    <w:rsid w:val="0F5A0DDD"/>
    <w:rsid w:val="0F5B3F73"/>
    <w:rsid w:val="0F5F45FE"/>
    <w:rsid w:val="0F621FDA"/>
    <w:rsid w:val="0F672C4B"/>
    <w:rsid w:val="0F674F85"/>
    <w:rsid w:val="0F6755D2"/>
    <w:rsid w:val="0F684275"/>
    <w:rsid w:val="0F691B21"/>
    <w:rsid w:val="0F6F0CC4"/>
    <w:rsid w:val="0F7233CB"/>
    <w:rsid w:val="0F856650"/>
    <w:rsid w:val="0F8C41B6"/>
    <w:rsid w:val="0F9241DF"/>
    <w:rsid w:val="0F933633"/>
    <w:rsid w:val="0F9565F8"/>
    <w:rsid w:val="0F9A112B"/>
    <w:rsid w:val="0F9B6B4C"/>
    <w:rsid w:val="0F9D2C6D"/>
    <w:rsid w:val="0FA410C8"/>
    <w:rsid w:val="0FAA07F4"/>
    <w:rsid w:val="0FB00211"/>
    <w:rsid w:val="0FB436F8"/>
    <w:rsid w:val="0FB95FF5"/>
    <w:rsid w:val="0FC111DB"/>
    <w:rsid w:val="0FCA14CB"/>
    <w:rsid w:val="0FCA3629"/>
    <w:rsid w:val="0FCA7CE8"/>
    <w:rsid w:val="0FCC498E"/>
    <w:rsid w:val="0FCE600D"/>
    <w:rsid w:val="0FD10C0E"/>
    <w:rsid w:val="0FD8005B"/>
    <w:rsid w:val="0FDF6B2A"/>
    <w:rsid w:val="0FE0356F"/>
    <w:rsid w:val="0FE831B4"/>
    <w:rsid w:val="0FEA3110"/>
    <w:rsid w:val="0FEB2E02"/>
    <w:rsid w:val="0FEB4C47"/>
    <w:rsid w:val="0FF07B38"/>
    <w:rsid w:val="0FF11DF3"/>
    <w:rsid w:val="0FF806DD"/>
    <w:rsid w:val="0FFB62D7"/>
    <w:rsid w:val="10047FC1"/>
    <w:rsid w:val="10066A65"/>
    <w:rsid w:val="100A0C1D"/>
    <w:rsid w:val="10111995"/>
    <w:rsid w:val="10121F9D"/>
    <w:rsid w:val="10176A13"/>
    <w:rsid w:val="101968BD"/>
    <w:rsid w:val="101A380A"/>
    <w:rsid w:val="101F3001"/>
    <w:rsid w:val="10236D43"/>
    <w:rsid w:val="1028470E"/>
    <w:rsid w:val="1032477F"/>
    <w:rsid w:val="10340F65"/>
    <w:rsid w:val="103A6794"/>
    <w:rsid w:val="10414D43"/>
    <w:rsid w:val="1042262D"/>
    <w:rsid w:val="10464231"/>
    <w:rsid w:val="105405D7"/>
    <w:rsid w:val="10582E36"/>
    <w:rsid w:val="105B29D5"/>
    <w:rsid w:val="10606F0E"/>
    <w:rsid w:val="10641D3A"/>
    <w:rsid w:val="1065791B"/>
    <w:rsid w:val="106B1EF6"/>
    <w:rsid w:val="106D2F64"/>
    <w:rsid w:val="10771710"/>
    <w:rsid w:val="10783395"/>
    <w:rsid w:val="108067E8"/>
    <w:rsid w:val="10841436"/>
    <w:rsid w:val="108543B9"/>
    <w:rsid w:val="1085694A"/>
    <w:rsid w:val="10875846"/>
    <w:rsid w:val="108A2802"/>
    <w:rsid w:val="108A4A9F"/>
    <w:rsid w:val="108F6538"/>
    <w:rsid w:val="109B6858"/>
    <w:rsid w:val="109B6E69"/>
    <w:rsid w:val="10A24F48"/>
    <w:rsid w:val="10A406CA"/>
    <w:rsid w:val="10AC2A06"/>
    <w:rsid w:val="10AE180F"/>
    <w:rsid w:val="10B63710"/>
    <w:rsid w:val="10BB07A2"/>
    <w:rsid w:val="10C17F93"/>
    <w:rsid w:val="10C23BAE"/>
    <w:rsid w:val="10C511FF"/>
    <w:rsid w:val="10C56084"/>
    <w:rsid w:val="10C954BE"/>
    <w:rsid w:val="10D43301"/>
    <w:rsid w:val="10D51728"/>
    <w:rsid w:val="10D54B5E"/>
    <w:rsid w:val="10D6471B"/>
    <w:rsid w:val="10DA1801"/>
    <w:rsid w:val="10E1453E"/>
    <w:rsid w:val="10E2525A"/>
    <w:rsid w:val="10E32311"/>
    <w:rsid w:val="10E44C6A"/>
    <w:rsid w:val="10EA3F4F"/>
    <w:rsid w:val="10EB7E37"/>
    <w:rsid w:val="10EC5790"/>
    <w:rsid w:val="10EC642B"/>
    <w:rsid w:val="10EE6705"/>
    <w:rsid w:val="10F03CC0"/>
    <w:rsid w:val="10F06162"/>
    <w:rsid w:val="10F10820"/>
    <w:rsid w:val="10F22854"/>
    <w:rsid w:val="10F30C8C"/>
    <w:rsid w:val="10F55378"/>
    <w:rsid w:val="10F60887"/>
    <w:rsid w:val="10F90377"/>
    <w:rsid w:val="10FF4D36"/>
    <w:rsid w:val="1105451C"/>
    <w:rsid w:val="11065BDB"/>
    <w:rsid w:val="110C58F2"/>
    <w:rsid w:val="111B042E"/>
    <w:rsid w:val="111C2F7A"/>
    <w:rsid w:val="11290EBA"/>
    <w:rsid w:val="112E51CA"/>
    <w:rsid w:val="11321949"/>
    <w:rsid w:val="113349F9"/>
    <w:rsid w:val="11356B11"/>
    <w:rsid w:val="113651DF"/>
    <w:rsid w:val="113A36BF"/>
    <w:rsid w:val="113C3BE2"/>
    <w:rsid w:val="113E37D9"/>
    <w:rsid w:val="1141739B"/>
    <w:rsid w:val="11422895"/>
    <w:rsid w:val="11435D86"/>
    <w:rsid w:val="1146085A"/>
    <w:rsid w:val="11491D43"/>
    <w:rsid w:val="114B06D4"/>
    <w:rsid w:val="1151667D"/>
    <w:rsid w:val="1151758F"/>
    <w:rsid w:val="11522C83"/>
    <w:rsid w:val="11553997"/>
    <w:rsid w:val="11577239"/>
    <w:rsid w:val="115959F3"/>
    <w:rsid w:val="115D26B4"/>
    <w:rsid w:val="115E31FC"/>
    <w:rsid w:val="115E5DB6"/>
    <w:rsid w:val="115F128D"/>
    <w:rsid w:val="1160516D"/>
    <w:rsid w:val="116161ED"/>
    <w:rsid w:val="11637301"/>
    <w:rsid w:val="11665CA1"/>
    <w:rsid w:val="116B3C90"/>
    <w:rsid w:val="116D4B0D"/>
    <w:rsid w:val="116E7424"/>
    <w:rsid w:val="11732A19"/>
    <w:rsid w:val="117A61FE"/>
    <w:rsid w:val="117B5707"/>
    <w:rsid w:val="117F28D8"/>
    <w:rsid w:val="117F5F56"/>
    <w:rsid w:val="11883B8C"/>
    <w:rsid w:val="118B78E3"/>
    <w:rsid w:val="118C11EC"/>
    <w:rsid w:val="118D7330"/>
    <w:rsid w:val="11927D7E"/>
    <w:rsid w:val="11941301"/>
    <w:rsid w:val="1195419F"/>
    <w:rsid w:val="119604A5"/>
    <w:rsid w:val="11972F1E"/>
    <w:rsid w:val="119B18B2"/>
    <w:rsid w:val="119C3706"/>
    <w:rsid w:val="11A56C3D"/>
    <w:rsid w:val="11AB3EAC"/>
    <w:rsid w:val="11AD2583"/>
    <w:rsid w:val="11B27615"/>
    <w:rsid w:val="11B316B9"/>
    <w:rsid w:val="11B379A6"/>
    <w:rsid w:val="11B6145F"/>
    <w:rsid w:val="11BB0034"/>
    <w:rsid w:val="11BC1A70"/>
    <w:rsid w:val="11BF2A4B"/>
    <w:rsid w:val="11C611A4"/>
    <w:rsid w:val="11CD0BE3"/>
    <w:rsid w:val="11CF7287"/>
    <w:rsid w:val="11D95085"/>
    <w:rsid w:val="11E133C1"/>
    <w:rsid w:val="11EF7262"/>
    <w:rsid w:val="11F013EE"/>
    <w:rsid w:val="11FF1E72"/>
    <w:rsid w:val="11FF7E49"/>
    <w:rsid w:val="120362D9"/>
    <w:rsid w:val="12053700"/>
    <w:rsid w:val="12080FF5"/>
    <w:rsid w:val="12097FB9"/>
    <w:rsid w:val="120A1046"/>
    <w:rsid w:val="120D6549"/>
    <w:rsid w:val="12102805"/>
    <w:rsid w:val="12174B86"/>
    <w:rsid w:val="122063EA"/>
    <w:rsid w:val="12224E20"/>
    <w:rsid w:val="122B603A"/>
    <w:rsid w:val="123114D3"/>
    <w:rsid w:val="12336B23"/>
    <w:rsid w:val="123639F6"/>
    <w:rsid w:val="123D414B"/>
    <w:rsid w:val="123E510D"/>
    <w:rsid w:val="123E6CAE"/>
    <w:rsid w:val="12404081"/>
    <w:rsid w:val="12425D17"/>
    <w:rsid w:val="12442667"/>
    <w:rsid w:val="12443874"/>
    <w:rsid w:val="12550B42"/>
    <w:rsid w:val="125C2F44"/>
    <w:rsid w:val="125E2750"/>
    <w:rsid w:val="12631B3A"/>
    <w:rsid w:val="1264068A"/>
    <w:rsid w:val="126F1954"/>
    <w:rsid w:val="12753A2E"/>
    <w:rsid w:val="12776E17"/>
    <w:rsid w:val="127C6165"/>
    <w:rsid w:val="128020C2"/>
    <w:rsid w:val="128A4C1E"/>
    <w:rsid w:val="128B34F8"/>
    <w:rsid w:val="128D714B"/>
    <w:rsid w:val="128E3B42"/>
    <w:rsid w:val="128F31E4"/>
    <w:rsid w:val="12982F51"/>
    <w:rsid w:val="12A2143C"/>
    <w:rsid w:val="12AD0171"/>
    <w:rsid w:val="12B0453D"/>
    <w:rsid w:val="12B24C82"/>
    <w:rsid w:val="12B36550"/>
    <w:rsid w:val="12BB65C2"/>
    <w:rsid w:val="12BE34AE"/>
    <w:rsid w:val="12C1356E"/>
    <w:rsid w:val="12C31EC6"/>
    <w:rsid w:val="12C43F7B"/>
    <w:rsid w:val="12CB5E52"/>
    <w:rsid w:val="12CC486C"/>
    <w:rsid w:val="12CE5243"/>
    <w:rsid w:val="12D465FD"/>
    <w:rsid w:val="12D6736E"/>
    <w:rsid w:val="12D80632"/>
    <w:rsid w:val="12D841CE"/>
    <w:rsid w:val="12DE7EAF"/>
    <w:rsid w:val="12E25892"/>
    <w:rsid w:val="12E96446"/>
    <w:rsid w:val="12EF0D34"/>
    <w:rsid w:val="12EF558E"/>
    <w:rsid w:val="12F37CA2"/>
    <w:rsid w:val="12F454FF"/>
    <w:rsid w:val="12F725C7"/>
    <w:rsid w:val="12FD52CB"/>
    <w:rsid w:val="1301334A"/>
    <w:rsid w:val="130841DA"/>
    <w:rsid w:val="13185CE5"/>
    <w:rsid w:val="131B42F0"/>
    <w:rsid w:val="131F6F7D"/>
    <w:rsid w:val="132246EF"/>
    <w:rsid w:val="13253F0F"/>
    <w:rsid w:val="1329029D"/>
    <w:rsid w:val="132B4B50"/>
    <w:rsid w:val="132D74D0"/>
    <w:rsid w:val="13333DAC"/>
    <w:rsid w:val="1337272B"/>
    <w:rsid w:val="13382AC1"/>
    <w:rsid w:val="133E3030"/>
    <w:rsid w:val="133F7AB5"/>
    <w:rsid w:val="13407557"/>
    <w:rsid w:val="13416200"/>
    <w:rsid w:val="13452FC8"/>
    <w:rsid w:val="134578A4"/>
    <w:rsid w:val="134A52AD"/>
    <w:rsid w:val="13506C8A"/>
    <w:rsid w:val="13523CA0"/>
    <w:rsid w:val="13556AB7"/>
    <w:rsid w:val="135875D7"/>
    <w:rsid w:val="135B377F"/>
    <w:rsid w:val="135D4BED"/>
    <w:rsid w:val="13614747"/>
    <w:rsid w:val="136E33F1"/>
    <w:rsid w:val="1373354D"/>
    <w:rsid w:val="13766648"/>
    <w:rsid w:val="13766AF7"/>
    <w:rsid w:val="1376793E"/>
    <w:rsid w:val="137770DF"/>
    <w:rsid w:val="1378524A"/>
    <w:rsid w:val="137C2E0E"/>
    <w:rsid w:val="137D703E"/>
    <w:rsid w:val="13800147"/>
    <w:rsid w:val="13806048"/>
    <w:rsid w:val="13826DEE"/>
    <w:rsid w:val="13951726"/>
    <w:rsid w:val="13996B27"/>
    <w:rsid w:val="139D7B9A"/>
    <w:rsid w:val="139E14CF"/>
    <w:rsid w:val="13A609F8"/>
    <w:rsid w:val="13A74A7A"/>
    <w:rsid w:val="13A83CA7"/>
    <w:rsid w:val="13AB3BAB"/>
    <w:rsid w:val="13AC33F3"/>
    <w:rsid w:val="13B17D0F"/>
    <w:rsid w:val="13B4139E"/>
    <w:rsid w:val="13BB36C2"/>
    <w:rsid w:val="13BD0D6F"/>
    <w:rsid w:val="13CA5CA4"/>
    <w:rsid w:val="13CC2904"/>
    <w:rsid w:val="13D306EB"/>
    <w:rsid w:val="13D94FC1"/>
    <w:rsid w:val="13DA623E"/>
    <w:rsid w:val="13DA707E"/>
    <w:rsid w:val="13E163E5"/>
    <w:rsid w:val="13E16514"/>
    <w:rsid w:val="13E17046"/>
    <w:rsid w:val="13F36727"/>
    <w:rsid w:val="13F94565"/>
    <w:rsid w:val="13F97C86"/>
    <w:rsid w:val="13FD00AD"/>
    <w:rsid w:val="13FD5D1E"/>
    <w:rsid w:val="140129E5"/>
    <w:rsid w:val="14061EFB"/>
    <w:rsid w:val="14122DCF"/>
    <w:rsid w:val="14135384"/>
    <w:rsid w:val="14151BA3"/>
    <w:rsid w:val="141E017C"/>
    <w:rsid w:val="141F00F5"/>
    <w:rsid w:val="141F56C5"/>
    <w:rsid w:val="14270D58"/>
    <w:rsid w:val="1428183B"/>
    <w:rsid w:val="142A156E"/>
    <w:rsid w:val="142A1B80"/>
    <w:rsid w:val="142A7116"/>
    <w:rsid w:val="143852AB"/>
    <w:rsid w:val="14396509"/>
    <w:rsid w:val="143C2C5E"/>
    <w:rsid w:val="144A333D"/>
    <w:rsid w:val="144C728C"/>
    <w:rsid w:val="144D26BE"/>
    <w:rsid w:val="144D4C62"/>
    <w:rsid w:val="144D6A10"/>
    <w:rsid w:val="144E6DAD"/>
    <w:rsid w:val="1450241A"/>
    <w:rsid w:val="145145D0"/>
    <w:rsid w:val="14581102"/>
    <w:rsid w:val="145863A4"/>
    <w:rsid w:val="14593702"/>
    <w:rsid w:val="1459587D"/>
    <w:rsid w:val="145E6E6F"/>
    <w:rsid w:val="145F221F"/>
    <w:rsid w:val="146D497A"/>
    <w:rsid w:val="146E5179"/>
    <w:rsid w:val="14734F0B"/>
    <w:rsid w:val="14766034"/>
    <w:rsid w:val="148137F7"/>
    <w:rsid w:val="14887F51"/>
    <w:rsid w:val="14952165"/>
    <w:rsid w:val="149A4523"/>
    <w:rsid w:val="14A3625E"/>
    <w:rsid w:val="14B23CE5"/>
    <w:rsid w:val="14B561A3"/>
    <w:rsid w:val="14B720DC"/>
    <w:rsid w:val="14B77891"/>
    <w:rsid w:val="14B86CEB"/>
    <w:rsid w:val="14B90CD7"/>
    <w:rsid w:val="14BA6EE0"/>
    <w:rsid w:val="14BE12F3"/>
    <w:rsid w:val="14BF5492"/>
    <w:rsid w:val="14C32343"/>
    <w:rsid w:val="14C33E51"/>
    <w:rsid w:val="14C633EA"/>
    <w:rsid w:val="14D00B65"/>
    <w:rsid w:val="14D056B8"/>
    <w:rsid w:val="14D12D8D"/>
    <w:rsid w:val="14DB6D09"/>
    <w:rsid w:val="14DD2C3C"/>
    <w:rsid w:val="14DE09B4"/>
    <w:rsid w:val="14E34AE7"/>
    <w:rsid w:val="14E95131"/>
    <w:rsid w:val="14FB1F3B"/>
    <w:rsid w:val="14FE316A"/>
    <w:rsid w:val="15016819"/>
    <w:rsid w:val="15107A3E"/>
    <w:rsid w:val="15177BC0"/>
    <w:rsid w:val="15190455"/>
    <w:rsid w:val="151F6DA3"/>
    <w:rsid w:val="15232E3B"/>
    <w:rsid w:val="15235D3E"/>
    <w:rsid w:val="15264F53"/>
    <w:rsid w:val="15307A7B"/>
    <w:rsid w:val="15353FC2"/>
    <w:rsid w:val="153A2338"/>
    <w:rsid w:val="153B4CFA"/>
    <w:rsid w:val="154C4DDA"/>
    <w:rsid w:val="154D0F1E"/>
    <w:rsid w:val="155572BB"/>
    <w:rsid w:val="155A359A"/>
    <w:rsid w:val="155B2BC0"/>
    <w:rsid w:val="156579A5"/>
    <w:rsid w:val="15697413"/>
    <w:rsid w:val="157241E5"/>
    <w:rsid w:val="15734D19"/>
    <w:rsid w:val="15752172"/>
    <w:rsid w:val="157A158F"/>
    <w:rsid w:val="15927E6A"/>
    <w:rsid w:val="15945CB1"/>
    <w:rsid w:val="15960CA8"/>
    <w:rsid w:val="15971900"/>
    <w:rsid w:val="1598015F"/>
    <w:rsid w:val="159E25E2"/>
    <w:rsid w:val="15AD7DA2"/>
    <w:rsid w:val="15B453CD"/>
    <w:rsid w:val="15BF5AD4"/>
    <w:rsid w:val="15C731CF"/>
    <w:rsid w:val="15C947BC"/>
    <w:rsid w:val="15CB11F3"/>
    <w:rsid w:val="15CB3152"/>
    <w:rsid w:val="15D01BB6"/>
    <w:rsid w:val="15D07F48"/>
    <w:rsid w:val="15D32B47"/>
    <w:rsid w:val="15D5485D"/>
    <w:rsid w:val="15D62A35"/>
    <w:rsid w:val="15DC2444"/>
    <w:rsid w:val="15DD230F"/>
    <w:rsid w:val="15DF44A5"/>
    <w:rsid w:val="15EF0C00"/>
    <w:rsid w:val="15F00966"/>
    <w:rsid w:val="15F23975"/>
    <w:rsid w:val="15FA6764"/>
    <w:rsid w:val="15FB4457"/>
    <w:rsid w:val="15FB4529"/>
    <w:rsid w:val="15FD0DBD"/>
    <w:rsid w:val="15FE6245"/>
    <w:rsid w:val="15FF3D3A"/>
    <w:rsid w:val="16015052"/>
    <w:rsid w:val="16037498"/>
    <w:rsid w:val="16045CE3"/>
    <w:rsid w:val="16067C0D"/>
    <w:rsid w:val="16087E1D"/>
    <w:rsid w:val="160A0B09"/>
    <w:rsid w:val="160C53F2"/>
    <w:rsid w:val="161672D6"/>
    <w:rsid w:val="161876ED"/>
    <w:rsid w:val="16190AD1"/>
    <w:rsid w:val="161C423B"/>
    <w:rsid w:val="161E7406"/>
    <w:rsid w:val="162270B5"/>
    <w:rsid w:val="162A064B"/>
    <w:rsid w:val="162F53C8"/>
    <w:rsid w:val="16380AF5"/>
    <w:rsid w:val="16382AED"/>
    <w:rsid w:val="1638549E"/>
    <w:rsid w:val="163A280C"/>
    <w:rsid w:val="163C6D3C"/>
    <w:rsid w:val="163D2298"/>
    <w:rsid w:val="163F1E44"/>
    <w:rsid w:val="1641651F"/>
    <w:rsid w:val="16483C78"/>
    <w:rsid w:val="164E1ADF"/>
    <w:rsid w:val="16517728"/>
    <w:rsid w:val="165A6EDC"/>
    <w:rsid w:val="165C2A7A"/>
    <w:rsid w:val="16654B5E"/>
    <w:rsid w:val="16665A5D"/>
    <w:rsid w:val="166D7A53"/>
    <w:rsid w:val="1671541D"/>
    <w:rsid w:val="1675224E"/>
    <w:rsid w:val="167669E7"/>
    <w:rsid w:val="16775A39"/>
    <w:rsid w:val="167B466A"/>
    <w:rsid w:val="16850115"/>
    <w:rsid w:val="16880275"/>
    <w:rsid w:val="16897AA8"/>
    <w:rsid w:val="168B1031"/>
    <w:rsid w:val="168C52AB"/>
    <w:rsid w:val="168E4FDC"/>
    <w:rsid w:val="168E5D7B"/>
    <w:rsid w:val="16921E0C"/>
    <w:rsid w:val="1694258C"/>
    <w:rsid w:val="1695551A"/>
    <w:rsid w:val="16983242"/>
    <w:rsid w:val="169A0EAB"/>
    <w:rsid w:val="169C4836"/>
    <w:rsid w:val="169D0409"/>
    <w:rsid w:val="169D4F63"/>
    <w:rsid w:val="16A23725"/>
    <w:rsid w:val="16A76CFC"/>
    <w:rsid w:val="16AB4A01"/>
    <w:rsid w:val="16AB7F54"/>
    <w:rsid w:val="16AD628F"/>
    <w:rsid w:val="16AE139D"/>
    <w:rsid w:val="16B70AB9"/>
    <w:rsid w:val="16B74615"/>
    <w:rsid w:val="16C46D32"/>
    <w:rsid w:val="16C60BB7"/>
    <w:rsid w:val="16CD6933"/>
    <w:rsid w:val="16CE4B3C"/>
    <w:rsid w:val="16D070B0"/>
    <w:rsid w:val="16D2313B"/>
    <w:rsid w:val="16D66E40"/>
    <w:rsid w:val="16D9376D"/>
    <w:rsid w:val="16DA2F76"/>
    <w:rsid w:val="16DA633E"/>
    <w:rsid w:val="16E06D18"/>
    <w:rsid w:val="16E12EBC"/>
    <w:rsid w:val="16E24AD0"/>
    <w:rsid w:val="16E51E97"/>
    <w:rsid w:val="16E86531"/>
    <w:rsid w:val="16EA0E2C"/>
    <w:rsid w:val="16EA1602"/>
    <w:rsid w:val="16EE34AD"/>
    <w:rsid w:val="16F62850"/>
    <w:rsid w:val="16F66508"/>
    <w:rsid w:val="17043020"/>
    <w:rsid w:val="170A508C"/>
    <w:rsid w:val="170E6252"/>
    <w:rsid w:val="171E201A"/>
    <w:rsid w:val="172717E0"/>
    <w:rsid w:val="172969D7"/>
    <w:rsid w:val="172B40D3"/>
    <w:rsid w:val="173C565D"/>
    <w:rsid w:val="17443EF0"/>
    <w:rsid w:val="17465746"/>
    <w:rsid w:val="17467702"/>
    <w:rsid w:val="174B0742"/>
    <w:rsid w:val="174C1160"/>
    <w:rsid w:val="174C5B4A"/>
    <w:rsid w:val="17530F95"/>
    <w:rsid w:val="17591E34"/>
    <w:rsid w:val="175C1CFC"/>
    <w:rsid w:val="17612F53"/>
    <w:rsid w:val="176355EB"/>
    <w:rsid w:val="17643773"/>
    <w:rsid w:val="17666632"/>
    <w:rsid w:val="176E6F52"/>
    <w:rsid w:val="17701D14"/>
    <w:rsid w:val="17716EB9"/>
    <w:rsid w:val="1773110D"/>
    <w:rsid w:val="17735226"/>
    <w:rsid w:val="177B7DE6"/>
    <w:rsid w:val="177C432E"/>
    <w:rsid w:val="178259BF"/>
    <w:rsid w:val="178B6FD1"/>
    <w:rsid w:val="17933CD5"/>
    <w:rsid w:val="179C770F"/>
    <w:rsid w:val="179E0F53"/>
    <w:rsid w:val="17A141B8"/>
    <w:rsid w:val="17A2662F"/>
    <w:rsid w:val="17A61F65"/>
    <w:rsid w:val="17A84678"/>
    <w:rsid w:val="17A92423"/>
    <w:rsid w:val="17AF722A"/>
    <w:rsid w:val="17B16A7E"/>
    <w:rsid w:val="17B97C77"/>
    <w:rsid w:val="17C20009"/>
    <w:rsid w:val="17C26E6F"/>
    <w:rsid w:val="17C27925"/>
    <w:rsid w:val="17CA481C"/>
    <w:rsid w:val="17CD1C16"/>
    <w:rsid w:val="17DF7B71"/>
    <w:rsid w:val="17E02C2C"/>
    <w:rsid w:val="17E3392D"/>
    <w:rsid w:val="17E40135"/>
    <w:rsid w:val="17F53DA4"/>
    <w:rsid w:val="17FE0021"/>
    <w:rsid w:val="18003D15"/>
    <w:rsid w:val="18042A65"/>
    <w:rsid w:val="180463E7"/>
    <w:rsid w:val="180C7480"/>
    <w:rsid w:val="180E295A"/>
    <w:rsid w:val="180F242B"/>
    <w:rsid w:val="18147E2D"/>
    <w:rsid w:val="181A2178"/>
    <w:rsid w:val="18214B9E"/>
    <w:rsid w:val="18215B32"/>
    <w:rsid w:val="18260653"/>
    <w:rsid w:val="18306B68"/>
    <w:rsid w:val="1840009E"/>
    <w:rsid w:val="1841790D"/>
    <w:rsid w:val="18493DB1"/>
    <w:rsid w:val="184B20AD"/>
    <w:rsid w:val="184F1072"/>
    <w:rsid w:val="185329B4"/>
    <w:rsid w:val="18574782"/>
    <w:rsid w:val="185A42A0"/>
    <w:rsid w:val="18663077"/>
    <w:rsid w:val="18664544"/>
    <w:rsid w:val="18685027"/>
    <w:rsid w:val="186A05FD"/>
    <w:rsid w:val="186D1799"/>
    <w:rsid w:val="186F234F"/>
    <w:rsid w:val="18732DF7"/>
    <w:rsid w:val="18752704"/>
    <w:rsid w:val="187B5F68"/>
    <w:rsid w:val="187F302D"/>
    <w:rsid w:val="18826E19"/>
    <w:rsid w:val="18850C79"/>
    <w:rsid w:val="18904647"/>
    <w:rsid w:val="189477B9"/>
    <w:rsid w:val="18951C7C"/>
    <w:rsid w:val="189E55DE"/>
    <w:rsid w:val="189F624C"/>
    <w:rsid w:val="18A0307E"/>
    <w:rsid w:val="18A273D3"/>
    <w:rsid w:val="18A6596A"/>
    <w:rsid w:val="18A82E02"/>
    <w:rsid w:val="18AF760F"/>
    <w:rsid w:val="18B72A18"/>
    <w:rsid w:val="18B7412A"/>
    <w:rsid w:val="18BF5C01"/>
    <w:rsid w:val="18C46036"/>
    <w:rsid w:val="18C62EF6"/>
    <w:rsid w:val="18CD2428"/>
    <w:rsid w:val="18D07B52"/>
    <w:rsid w:val="18D13A93"/>
    <w:rsid w:val="18E2664D"/>
    <w:rsid w:val="18EC6AB8"/>
    <w:rsid w:val="18EE55B4"/>
    <w:rsid w:val="18F25262"/>
    <w:rsid w:val="18F274B7"/>
    <w:rsid w:val="18F33841"/>
    <w:rsid w:val="18F816E2"/>
    <w:rsid w:val="18F82955"/>
    <w:rsid w:val="18F8402C"/>
    <w:rsid w:val="18FC7448"/>
    <w:rsid w:val="1902636C"/>
    <w:rsid w:val="19095A87"/>
    <w:rsid w:val="19104DFB"/>
    <w:rsid w:val="19137AFC"/>
    <w:rsid w:val="19197AD0"/>
    <w:rsid w:val="191C5AE0"/>
    <w:rsid w:val="19223931"/>
    <w:rsid w:val="19270A08"/>
    <w:rsid w:val="192C7B3D"/>
    <w:rsid w:val="193C062C"/>
    <w:rsid w:val="193C5E4C"/>
    <w:rsid w:val="19422943"/>
    <w:rsid w:val="194303E2"/>
    <w:rsid w:val="194660D8"/>
    <w:rsid w:val="19471226"/>
    <w:rsid w:val="19472BEF"/>
    <w:rsid w:val="1949648C"/>
    <w:rsid w:val="194F3C82"/>
    <w:rsid w:val="1950463C"/>
    <w:rsid w:val="1956020B"/>
    <w:rsid w:val="195A73B8"/>
    <w:rsid w:val="195D1C32"/>
    <w:rsid w:val="197226F4"/>
    <w:rsid w:val="197432D1"/>
    <w:rsid w:val="19860839"/>
    <w:rsid w:val="198A31B8"/>
    <w:rsid w:val="198B408C"/>
    <w:rsid w:val="19976C42"/>
    <w:rsid w:val="199B1FCC"/>
    <w:rsid w:val="199C51C6"/>
    <w:rsid w:val="199C5E12"/>
    <w:rsid w:val="199F6720"/>
    <w:rsid w:val="19A10C4A"/>
    <w:rsid w:val="19A77654"/>
    <w:rsid w:val="19A934A4"/>
    <w:rsid w:val="19AB1812"/>
    <w:rsid w:val="19B00A4D"/>
    <w:rsid w:val="19B665FB"/>
    <w:rsid w:val="19C27D7B"/>
    <w:rsid w:val="19C31C82"/>
    <w:rsid w:val="19C80040"/>
    <w:rsid w:val="19CA0A29"/>
    <w:rsid w:val="19CA16F4"/>
    <w:rsid w:val="19D23B8B"/>
    <w:rsid w:val="19D30FEB"/>
    <w:rsid w:val="19DF0B7A"/>
    <w:rsid w:val="19E1317D"/>
    <w:rsid w:val="19E13F6A"/>
    <w:rsid w:val="19E23F91"/>
    <w:rsid w:val="19E969A1"/>
    <w:rsid w:val="19F01717"/>
    <w:rsid w:val="19F36E23"/>
    <w:rsid w:val="19FA3210"/>
    <w:rsid w:val="19FC2847"/>
    <w:rsid w:val="19FD4AA7"/>
    <w:rsid w:val="19FD6599"/>
    <w:rsid w:val="1A003B2E"/>
    <w:rsid w:val="1A0A30BA"/>
    <w:rsid w:val="1A0E62F5"/>
    <w:rsid w:val="1A173187"/>
    <w:rsid w:val="1A197434"/>
    <w:rsid w:val="1A1A531A"/>
    <w:rsid w:val="1A1B48B5"/>
    <w:rsid w:val="1A1C66C0"/>
    <w:rsid w:val="1A235CE7"/>
    <w:rsid w:val="1A25717C"/>
    <w:rsid w:val="1A2E6C57"/>
    <w:rsid w:val="1A361CF4"/>
    <w:rsid w:val="1A42393B"/>
    <w:rsid w:val="1A4408B5"/>
    <w:rsid w:val="1A452843"/>
    <w:rsid w:val="1A483086"/>
    <w:rsid w:val="1A5019CD"/>
    <w:rsid w:val="1A512AF5"/>
    <w:rsid w:val="1A527D1C"/>
    <w:rsid w:val="1A664C6F"/>
    <w:rsid w:val="1A6D0325"/>
    <w:rsid w:val="1A702180"/>
    <w:rsid w:val="1A707000"/>
    <w:rsid w:val="1A721403"/>
    <w:rsid w:val="1A7B5FBB"/>
    <w:rsid w:val="1A8004FE"/>
    <w:rsid w:val="1A801F88"/>
    <w:rsid w:val="1A8B21D4"/>
    <w:rsid w:val="1A8E1076"/>
    <w:rsid w:val="1A9176F5"/>
    <w:rsid w:val="1A947260"/>
    <w:rsid w:val="1A950605"/>
    <w:rsid w:val="1A99682C"/>
    <w:rsid w:val="1A9A4119"/>
    <w:rsid w:val="1A9C1E3E"/>
    <w:rsid w:val="1A9D1D74"/>
    <w:rsid w:val="1A9E647E"/>
    <w:rsid w:val="1A9F2B4D"/>
    <w:rsid w:val="1AA00FED"/>
    <w:rsid w:val="1AA01741"/>
    <w:rsid w:val="1AA428B3"/>
    <w:rsid w:val="1AA9696A"/>
    <w:rsid w:val="1AAD45DE"/>
    <w:rsid w:val="1AB71087"/>
    <w:rsid w:val="1AB8095B"/>
    <w:rsid w:val="1ABD0F06"/>
    <w:rsid w:val="1AC07876"/>
    <w:rsid w:val="1AC36F63"/>
    <w:rsid w:val="1AC473C5"/>
    <w:rsid w:val="1AC62949"/>
    <w:rsid w:val="1AC70AE0"/>
    <w:rsid w:val="1AC81F34"/>
    <w:rsid w:val="1AC83CD3"/>
    <w:rsid w:val="1AC86366"/>
    <w:rsid w:val="1AC87CB2"/>
    <w:rsid w:val="1AD27428"/>
    <w:rsid w:val="1ADC0D0D"/>
    <w:rsid w:val="1ADF4299"/>
    <w:rsid w:val="1AE52636"/>
    <w:rsid w:val="1AEA1B5A"/>
    <w:rsid w:val="1AEE25CF"/>
    <w:rsid w:val="1AF07847"/>
    <w:rsid w:val="1AF7212B"/>
    <w:rsid w:val="1B001940"/>
    <w:rsid w:val="1B046F80"/>
    <w:rsid w:val="1B0D1C09"/>
    <w:rsid w:val="1B0E262A"/>
    <w:rsid w:val="1B0E4C20"/>
    <w:rsid w:val="1B0F593B"/>
    <w:rsid w:val="1B102545"/>
    <w:rsid w:val="1B10433A"/>
    <w:rsid w:val="1B105CDE"/>
    <w:rsid w:val="1B1356E0"/>
    <w:rsid w:val="1B1B6410"/>
    <w:rsid w:val="1B1E1BEE"/>
    <w:rsid w:val="1B1E473C"/>
    <w:rsid w:val="1B217924"/>
    <w:rsid w:val="1B220B5A"/>
    <w:rsid w:val="1B274D30"/>
    <w:rsid w:val="1B2B5035"/>
    <w:rsid w:val="1B2D003E"/>
    <w:rsid w:val="1B2F60E1"/>
    <w:rsid w:val="1B301692"/>
    <w:rsid w:val="1B3267B5"/>
    <w:rsid w:val="1B34092A"/>
    <w:rsid w:val="1B356E54"/>
    <w:rsid w:val="1B366CC0"/>
    <w:rsid w:val="1B393EFF"/>
    <w:rsid w:val="1B3D0675"/>
    <w:rsid w:val="1B3E64C4"/>
    <w:rsid w:val="1B3F107D"/>
    <w:rsid w:val="1B40161D"/>
    <w:rsid w:val="1B4175C5"/>
    <w:rsid w:val="1B441859"/>
    <w:rsid w:val="1B4A0F46"/>
    <w:rsid w:val="1B4B167C"/>
    <w:rsid w:val="1B4C1155"/>
    <w:rsid w:val="1B4E0DDB"/>
    <w:rsid w:val="1B5471EF"/>
    <w:rsid w:val="1B5602C2"/>
    <w:rsid w:val="1B5F313B"/>
    <w:rsid w:val="1B6606B1"/>
    <w:rsid w:val="1B670910"/>
    <w:rsid w:val="1B684B23"/>
    <w:rsid w:val="1B6956DC"/>
    <w:rsid w:val="1B6B5AC1"/>
    <w:rsid w:val="1B6D46B6"/>
    <w:rsid w:val="1B6E189F"/>
    <w:rsid w:val="1B6F0DBB"/>
    <w:rsid w:val="1B81514C"/>
    <w:rsid w:val="1B820D32"/>
    <w:rsid w:val="1B852DAA"/>
    <w:rsid w:val="1B874019"/>
    <w:rsid w:val="1B8D2378"/>
    <w:rsid w:val="1B8E0E36"/>
    <w:rsid w:val="1B8E7731"/>
    <w:rsid w:val="1B9210BA"/>
    <w:rsid w:val="1B960AC2"/>
    <w:rsid w:val="1B99005C"/>
    <w:rsid w:val="1BA025AD"/>
    <w:rsid w:val="1BA5740D"/>
    <w:rsid w:val="1BA87BD8"/>
    <w:rsid w:val="1BAE677A"/>
    <w:rsid w:val="1BB2309B"/>
    <w:rsid w:val="1BB630ED"/>
    <w:rsid w:val="1BBD4792"/>
    <w:rsid w:val="1BBE3DF7"/>
    <w:rsid w:val="1BC127A7"/>
    <w:rsid w:val="1BC21E12"/>
    <w:rsid w:val="1BC52CD5"/>
    <w:rsid w:val="1BC619BB"/>
    <w:rsid w:val="1BCA6B98"/>
    <w:rsid w:val="1BD50CFE"/>
    <w:rsid w:val="1BD526D6"/>
    <w:rsid w:val="1BD72391"/>
    <w:rsid w:val="1BD77104"/>
    <w:rsid w:val="1BD87F6B"/>
    <w:rsid w:val="1BDC54BA"/>
    <w:rsid w:val="1BDD03AB"/>
    <w:rsid w:val="1BE0460E"/>
    <w:rsid w:val="1BE3377B"/>
    <w:rsid w:val="1BEB4001"/>
    <w:rsid w:val="1BEE0646"/>
    <w:rsid w:val="1BEE4F52"/>
    <w:rsid w:val="1BEF2B65"/>
    <w:rsid w:val="1BF24F21"/>
    <w:rsid w:val="1BF41B7A"/>
    <w:rsid w:val="1C010930"/>
    <w:rsid w:val="1C0D0B0A"/>
    <w:rsid w:val="1C1055F7"/>
    <w:rsid w:val="1C132622"/>
    <w:rsid w:val="1C162003"/>
    <w:rsid w:val="1C177F96"/>
    <w:rsid w:val="1C185B56"/>
    <w:rsid w:val="1C1A0A3B"/>
    <w:rsid w:val="1C1F1C35"/>
    <w:rsid w:val="1C201A76"/>
    <w:rsid w:val="1C222012"/>
    <w:rsid w:val="1C2300FD"/>
    <w:rsid w:val="1C2427C6"/>
    <w:rsid w:val="1C2714AC"/>
    <w:rsid w:val="1C2A0C6A"/>
    <w:rsid w:val="1C424981"/>
    <w:rsid w:val="1C4639F7"/>
    <w:rsid w:val="1C533BD9"/>
    <w:rsid w:val="1C547C58"/>
    <w:rsid w:val="1C5A0D28"/>
    <w:rsid w:val="1C5E7925"/>
    <w:rsid w:val="1C5F42AB"/>
    <w:rsid w:val="1C671685"/>
    <w:rsid w:val="1C6D534A"/>
    <w:rsid w:val="1C7A2B9C"/>
    <w:rsid w:val="1C7F5D0D"/>
    <w:rsid w:val="1C8B1641"/>
    <w:rsid w:val="1C8B2132"/>
    <w:rsid w:val="1C8E60C6"/>
    <w:rsid w:val="1C8F3AD6"/>
    <w:rsid w:val="1C93152D"/>
    <w:rsid w:val="1C94560C"/>
    <w:rsid w:val="1C952A4F"/>
    <w:rsid w:val="1C9758FA"/>
    <w:rsid w:val="1C984825"/>
    <w:rsid w:val="1CA238F1"/>
    <w:rsid w:val="1CA43FA6"/>
    <w:rsid w:val="1CA5425E"/>
    <w:rsid w:val="1CAF2138"/>
    <w:rsid w:val="1CB40077"/>
    <w:rsid w:val="1CB51D98"/>
    <w:rsid w:val="1CB74D44"/>
    <w:rsid w:val="1CC003A9"/>
    <w:rsid w:val="1CC00641"/>
    <w:rsid w:val="1CC0512C"/>
    <w:rsid w:val="1CCB2D98"/>
    <w:rsid w:val="1CCE003A"/>
    <w:rsid w:val="1CD35F20"/>
    <w:rsid w:val="1CD9335B"/>
    <w:rsid w:val="1CD9512C"/>
    <w:rsid w:val="1CDF05F9"/>
    <w:rsid w:val="1CE22A61"/>
    <w:rsid w:val="1CE42B67"/>
    <w:rsid w:val="1CE96D17"/>
    <w:rsid w:val="1CEB3848"/>
    <w:rsid w:val="1CEE130F"/>
    <w:rsid w:val="1CF205BB"/>
    <w:rsid w:val="1CF24843"/>
    <w:rsid w:val="1CF3201D"/>
    <w:rsid w:val="1CF75960"/>
    <w:rsid w:val="1CFD070F"/>
    <w:rsid w:val="1CFD3956"/>
    <w:rsid w:val="1D0468F7"/>
    <w:rsid w:val="1D050A52"/>
    <w:rsid w:val="1D1A7519"/>
    <w:rsid w:val="1D1D45E6"/>
    <w:rsid w:val="1D263E95"/>
    <w:rsid w:val="1D2B2FE5"/>
    <w:rsid w:val="1D325EDB"/>
    <w:rsid w:val="1D33206F"/>
    <w:rsid w:val="1D3A517E"/>
    <w:rsid w:val="1D3C593F"/>
    <w:rsid w:val="1D4A44B6"/>
    <w:rsid w:val="1D4B29D2"/>
    <w:rsid w:val="1D4B5569"/>
    <w:rsid w:val="1D4D25E8"/>
    <w:rsid w:val="1D5203A7"/>
    <w:rsid w:val="1D5458A8"/>
    <w:rsid w:val="1D5534A7"/>
    <w:rsid w:val="1D5B751C"/>
    <w:rsid w:val="1D5F53D5"/>
    <w:rsid w:val="1D5F6196"/>
    <w:rsid w:val="1D5F7366"/>
    <w:rsid w:val="1D6132A5"/>
    <w:rsid w:val="1D640288"/>
    <w:rsid w:val="1D6E4314"/>
    <w:rsid w:val="1D720C69"/>
    <w:rsid w:val="1D76283D"/>
    <w:rsid w:val="1D78617B"/>
    <w:rsid w:val="1D794440"/>
    <w:rsid w:val="1D804D84"/>
    <w:rsid w:val="1D825388"/>
    <w:rsid w:val="1D840FC9"/>
    <w:rsid w:val="1D8E56D5"/>
    <w:rsid w:val="1D907758"/>
    <w:rsid w:val="1D9273F3"/>
    <w:rsid w:val="1D931278"/>
    <w:rsid w:val="1D9727DB"/>
    <w:rsid w:val="1DA358F3"/>
    <w:rsid w:val="1DA61A4A"/>
    <w:rsid w:val="1DA67E02"/>
    <w:rsid w:val="1DAA0D4F"/>
    <w:rsid w:val="1DAE4A83"/>
    <w:rsid w:val="1DB53532"/>
    <w:rsid w:val="1DB7304D"/>
    <w:rsid w:val="1DB92C33"/>
    <w:rsid w:val="1DC26B40"/>
    <w:rsid w:val="1DCB324F"/>
    <w:rsid w:val="1DCB50F8"/>
    <w:rsid w:val="1DCC36C4"/>
    <w:rsid w:val="1DD039E9"/>
    <w:rsid w:val="1DD04C16"/>
    <w:rsid w:val="1DD50A0D"/>
    <w:rsid w:val="1DD6399F"/>
    <w:rsid w:val="1DD6789B"/>
    <w:rsid w:val="1DD818D4"/>
    <w:rsid w:val="1DD87F98"/>
    <w:rsid w:val="1DDA3642"/>
    <w:rsid w:val="1DDB32DF"/>
    <w:rsid w:val="1DF04385"/>
    <w:rsid w:val="1DF131FA"/>
    <w:rsid w:val="1DF44011"/>
    <w:rsid w:val="1DF55EB8"/>
    <w:rsid w:val="1DF71875"/>
    <w:rsid w:val="1DF850BB"/>
    <w:rsid w:val="1DFF36CA"/>
    <w:rsid w:val="1DFF6783"/>
    <w:rsid w:val="1E013B7C"/>
    <w:rsid w:val="1E025CEA"/>
    <w:rsid w:val="1E072D57"/>
    <w:rsid w:val="1E1660E3"/>
    <w:rsid w:val="1E1C3095"/>
    <w:rsid w:val="1E1F5033"/>
    <w:rsid w:val="1E274FB7"/>
    <w:rsid w:val="1E321397"/>
    <w:rsid w:val="1E3A219E"/>
    <w:rsid w:val="1E3F4CA3"/>
    <w:rsid w:val="1E4273CA"/>
    <w:rsid w:val="1E45146B"/>
    <w:rsid w:val="1E48228B"/>
    <w:rsid w:val="1E49153A"/>
    <w:rsid w:val="1E49200A"/>
    <w:rsid w:val="1E495D1C"/>
    <w:rsid w:val="1E4B46C2"/>
    <w:rsid w:val="1E4C7C0E"/>
    <w:rsid w:val="1E4D37B0"/>
    <w:rsid w:val="1E4E5A63"/>
    <w:rsid w:val="1E5167D3"/>
    <w:rsid w:val="1E5176F8"/>
    <w:rsid w:val="1E540A99"/>
    <w:rsid w:val="1E5701C3"/>
    <w:rsid w:val="1E5E7A6C"/>
    <w:rsid w:val="1E6A4663"/>
    <w:rsid w:val="1E6B5DDB"/>
    <w:rsid w:val="1E6E3787"/>
    <w:rsid w:val="1E71779F"/>
    <w:rsid w:val="1E7A43DA"/>
    <w:rsid w:val="1E8327E6"/>
    <w:rsid w:val="1E883975"/>
    <w:rsid w:val="1E884065"/>
    <w:rsid w:val="1E8E0F92"/>
    <w:rsid w:val="1E8E3F76"/>
    <w:rsid w:val="1E8F2CBC"/>
    <w:rsid w:val="1E8F2D55"/>
    <w:rsid w:val="1EA01E32"/>
    <w:rsid w:val="1EA135E2"/>
    <w:rsid w:val="1EA57699"/>
    <w:rsid w:val="1EA9518B"/>
    <w:rsid w:val="1EAC6A29"/>
    <w:rsid w:val="1EB259C8"/>
    <w:rsid w:val="1EBD424B"/>
    <w:rsid w:val="1EBD43DF"/>
    <w:rsid w:val="1EBE03A0"/>
    <w:rsid w:val="1ECB3566"/>
    <w:rsid w:val="1ECC2EFC"/>
    <w:rsid w:val="1EDB140F"/>
    <w:rsid w:val="1EDB4322"/>
    <w:rsid w:val="1EDB7CBA"/>
    <w:rsid w:val="1EE15540"/>
    <w:rsid w:val="1EEB4E58"/>
    <w:rsid w:val="1EED0356"/>
    <w:rsid w:val="1EED32EA"/>
    <w:rsid w:val="1EF17083"/>
    <w:rsid w:val="1EF34E2E"/>
    <w:rsid w:val="1EF90580"/>
    <w:rsid w:val="1EF97ADC"/>
    <w:rsid w:val="1EFB6B8A"/>
    <w:rsid w:val="1EFE305E"/>
    <w:rsid w:val="1F015DE9"/>
    <w:rsid w:val="1F0C1E5D"/>
    <w:rsid w:val="1F0C2DA5"/>
    <w:rsid w:val="1F1F0D00"/>
    <w:rsid w:val="1F21342A"/>
    <w:rsid w:val="1F3061A5"/>
    <w:rsid w:val="1F344A96"/>
    <w:rsid w:val="1F347139"/>
    <w:rsid w:val="1F3C0969"/>
    <w:rsid w:val="1F3D054F"/>
    <w:rsid w:val="1F3E6316"/>
    <w:rsid w:val="1F403FC5"/>
    <w:rsid w:val="1F4225A9"/>
    <w:rsid w:val="1F4464D7"/>
    <w:rsid w:val="1F473B74"/>
    <w:rsid w:val="1F4C4122"/>
    <w:rsid w:val="1F521D20"/>
    <w:rsid w:val="1F56528D"/>
    <w:rsid w:val="1F5B06AA"/>
    <w:rsid w:val="1F5E41C7"/>
    <w:rsid w:val="1F5F16B8"/>
    <w:rsid w:val="1F6132DC"/>
    <w:rsid w:val="1F6976C6"/>
    <w:rsid w:val="1F6D3042"/>
    <w:rsid w:val="1F7551DB"/>
    <w:rsid w:val="1F780D08"/>
    <w:rsid w:val="1F806BBB"/>
    <w:rsid w:val="1F807EA1"/>
    <w:rsid w:val="1F8720D1"/>
    <w:rsid w:val="1F880941"/>
    <w:rsid w:val="1F896D6A"/>
    <w:rsid w:val="1F926555"/>
    <w:rsid w:val="1F945A60"/>
    <w:rsid w:val="1F95570F"/>
    <w:rsid w:val="1F963815"/>
    <w:rsid w:val="1F9A2D26"/>
    <w:rsid w:val="1F9F70AE"/>
    <w:rsid w:val="1FA24468"/>
    <w:rsid w:val="1FA9011A"/>
    <w:rsid w:val="1FAB35AA"/>
    <w:rsid w:val="1FAB7D97"/>
    <w:rsid w:val="1FAC3E66"/>
    <w:rsid w:val="1FB107A7"/>
    <w:rsid w:val="1FB1463E"/>
    <w:rsid w:val="1FB40A96"/>
    <w:rsid w:val="1FB70D10"/>
    <w:rsid w:val="1FB81E65"/>
    <w:rsid w:val="1FB87786"/>
    <w:rsid w:val="1FC06E59"/>
    <w:rsid w:val="1FC22BEE"/>
    <w:rsid w:val="1FC56A9D"/>
    <w:rsid w:val="1FCA0E55"/>
    <w:rsid w:val="1FCB75DE"/>
    <w:rsid w:val="1FCC772E"/>
    <w:rsid w:val="1FCE4CA4"/>
    <w:rsid w:val="1FD2202A"/>
    <w:rsid w:val="1FD37ABF"/>
    <w:rsid w:val="1FD66FE9"/>
    <w:rsid w:val="1FD86441"/>
    <w:rsid w:val="1FDC3F0E"/>
    <w:rsid w:val="1FDE439F"/>
    <w:rsid w:val="1FE11E63"/>
    <w:rsid w:val="1FE16BA6"/>
    <w:rsid w:val="1FE31210"/>
    <w:rsid w:val="1FE32F32"/>
    <w:rsid w:val="1FE425B9"/>
    <w:rsid w:val="1FE7539E"/>
    <w:rsid w:val="1FF42436"/>
    <w:rsid w:val="1FF72FD2"/>
    <w:rsid w:val="1FFC0448"/>
    <w:rsid w:val="200343BD"/>
    <w:rsid w:val="200A25E1"/>
    <w:rsid w:val="200B633A"/>
    <w:rsid w:val="200F101E"/>
    <w:rsid w:val="20112BB3"/>
    <w:rsid w:val="201302EF"/>
    <w:rsid w:val="20131427"/>
    <w:rsid w:val="201A390F"/>
    <w:rsid w:val="202224A5"/>
    <w:rsid w:val="20226E35"/>
    <w:rsid w:val="202746F5"/>
    <w:rsid w:val="202C7E22"/>
    <w:rsid w:val="202F288D"/>
    <w:rsid w:val="202F4707"/>
    <w:rsid w:val="20310028"/>
    <w:rsid w:val="203643E2"/>
    <w:rsid w:val="203712D7"/>
    <w:rsid w:val="203B3691"/>
    <w:rsid w:val="203C3BC5"/>
    <w:rsid w:val="203D2B73"/>
    <w:rsid w:val="204C273A"/>
    <w:rsid w:val="204C5806"/>
    <w:rsid w:val="204D1ECB"/>
    <w:rsid w:val="20624664"/>
    <w:rsid w:val="20651A87"/>
    <w:rsid w:val="20671BE0"/>
    <w:rsid w:val="206837B7"/>
    <w:rsid w:val="206F381A"/>
    <w:rsid w:val="206F6295"/>
    <w:rsid w:val="20731AE0"/>
    <w:rsid w:val="20764B1A"/>
    <w:rsid w:val="20793DF8"/>
    <w:rsid w:val="208441B7"/>
    <w:rsid w:val="208555BA"/>
    <w:rsid w:val="208768F0"/>
    <w:rsid w:val="208E6407"/>
    <w:rsid w:val="20911110"/>
    <w:rsid w:val="209155CF"/>
    <w:rsid w:val="2094544C"/>
    <w:rsid w:val="20950DBC"/>
    <w:rsid w:val="20963CB8"/>
    <w:rsid w:val="209918BD"/>
    <w:rsid w:val="209B0B03"/>
    <w:rsid w:val="209F5C69"/>
    <w:rsid w:val="20A138EB"/>
    <w:rsid w:val="20A81A1B"/>
    <w:rsid w:val="20AA370A"/>
    <w:rsid w:val="20AD36EF"/>
    <w:rsid w:val="20AE370B"/>
    <w:rsid w:val="20B07FB6"/>
    <w:rsid w:val="20B120D5"/>
    <w:rsid w:val="20B16579"/>
    <w:rsid w:val="20B428CD"/>
    <w:rsid w:val="20B646FB"/>
    <w:rsid w:val="20B9542D"/>
    <w:rsid w:val="20BE25A4"/>
    <w:rsid w:val="20BE2F27"/>
    <w:rsid w:val="20C07E1F"/>
    <w:rsid w:val="20C25CA7"/>
    <w:rsid w:val="20C763D8"/>
    <w:rsid w:val="20C808AA"/>
    <w:rsid w:val="20CA58FE"/>
    <w:rsid w:val="20CC6F0F"/>
    <w:rsid w:val="20D109C9"/>
    <w:rsid w:val="20D642D9"/>
    <w:rsid w:val="20D73D02"/>
    <w:rsid w:val="20DB3C10"/>
    <w:rsid w:val="20DD696A"/>
    <w:rsid w:val="20DD7701"/>
    <w:rsid w:val="20E03B17"/>
    <w:rsid w:val="20E06E46"/>
    <w:rsid w:val="20E50013"/>
    <w:rsid w:val="20E5500C"/>
    <w:rsid w:val="20EA16D6"/>
    <w:rsid w:val="20F756F7"/>
    <w:rsid w:val="20F922B1"/>
    <w:rsid w:val="21023763"/>
    <w:rsid w:val="210308EA"/>
    <w:rsid w:val="21061923"/>
    <w:rsid w:val="210843BE"/>
    <w:rsid w:val="21097911"/>
    <w:rsid w:val="210C470F"/>
    <w:rsid w:val="210E5131"/>
    <w:rsid w:val="21123A9E"/>
    <w:rsid w:val="211508DE"/>
    <w:rsid w:val="21154D5A"/>
    <w:rsid w:val="211A73DA"/>
    <w:rsid w:val="212308FE"/>
    <w:rsid w:val="212E1A87"/>
    <w:rsid w:val="21365894"/>
    <w:rsid w:val="21385945"/>
    <w:rsid w:val="213A08D8"/>
    <w:rsid w:val="213B74B1"/>
    <w:rsid w:val="213D61F5"/>
    <w:rsid w:val="213D6DF5"/>
    <w:rsid w:val="214152F7"/>
    <w:rsid w:val="21447C5E"/>
    <w:rsid w:val="214543FF"/>
    <w:rsid w:val="2147230F"/>
    <w:rsid w:val="214D2228"/>
    <w:rsid w:val="214F0511"/>
    <w:rsid w:val="215519D5"/>
    <w:rsid w:val="215742A7"/>
    <w:rsid w:val="215A2310"/>
    <w:rsid w:val="215B533B"/>
    <w:rsid w:val="215D0331"/>
    <w:rsid w:val="21624067"/>
    <w:rsid w:val="216C0FAB"/>
    <w:rsid w:val="216D3DAA"/>
    <w:rsid w:val="216E7A84"/>
    <w:rsid w:val="21703FEE"/>
    <w:rsid w:val="21751354"/>
    <w:rsid w:val="217F12D6"/>
    <w:rsid w:val="217F6677"/>
    <w:rsid w:val="21821A7A"/>
    <w:rsid w:val="21864582"/>
    <w:rsid w:val="218B332A"/>
    <w:rsid w:val="2190748C"/>
    <w:rsid w:val="21990AA1"/>
    <w:rsid w:val="21995995"/>
    <w:rsid w:val="219A1286"/>
    <w:rsid w:val="219C1526"/>
    <w:rsid w:val="219D7347"/>
    <w:rsid w:val="21A47E8B"/>
    <w:rsid w:val="21A50B19"/>
    <w:rsid w:val="21A65DEA"/>
    <w:rsid w:val="21A66868"/>
    <w:rsid w:val="21A73FA1"/>
    <w:rsid w:val="21A7569B"/>
    <w:rsid w:val="21B43FEB"/>
    <w:rsid w:val="21B454E9"/>
    <w:rsid w:val="21B87D1C"/>
    <w:rsid w:val="21BA0084"/>
    <w:rsid w:val="21BA0EE0"/>
    <w:rsid w:val="21BB77A2"/>
    <w:rsid w:val="21C36301"/>
    <w:rsid w:val="21C777A3"/>
    <w:rsid w:val="21C96191"/>
    <w:rsid w:val="21CA540B"/>
    <w:rsid w:val="21CF315A"/>
    <w:rsid w:val="21D101E7"/>
    <w:rsid w:val="21D62A8B"/>
    <w:rsid w:val="21DB6CBA"/>
    <w:rsid w:val="21DE318A"/>
    <w:rsid w:val="21E10792"/>
    <w:rsid w:val="21E25926"/>
    <w:rsid w:val="21E30AD6"/>
    <w:rsid w:val="21E45600"/>
    <w:rsid w:val="21ED409A"/>
    <w:rsid w:val="21ED5625"/>
    <w:rsid w:val="21ED7753"/>
    <w:rsid w:val="21EE5D71"/>
    <w:rsid w:val="21EF5B80"/>
    <w:rsid w:val="21F11283"/>
    <w:rsid w:val="21F6343D"/>
    <w:rsid w:val="21F82FAD"/>
    <w:rsid w:val="21FC268E"/>
    <w:rsid w:val="22033668"/>
    <w:rsid w:val="220941AC"/>
    <w:rsid w:val="220C20F0"/>
    <w:rsid w:val="22151481"/>
    <w:rsid w:val="22152852"/>
    <w:rsid w:val="221B6567"/>
    <w:rsid w:val="222641F8"/>
    <w:rsid w:val="22394A78"/>
    <w:rsid w:val="223C1945"/>
    <w:rsid w:val="223C29CB"/>
    <w:rsid w:val="22423C82"/>
    <w:rsid w:val="22455CD4"/>
    <w:rsid w:val="22576990"/>
    <w:rsid w:val="22597821"/>
    <w:rsid w:val="226D6E4A"/>
    <w:rsid w:val="22720A33"/>
    <w:rsid w:val="22744381"/>
    <w:rsid w:val="22752F6E"/>
    <w:rsid w:val="227A5E53"/>
    <w:rsid w:val="227B0C6B"/>
    <w:rsid w:val="22804AA0"/>
    <w:rsid w:val="228A7CE8"/>
    <w:rsid w:val="228B059C"/>
    <w:rsid w:val="228C7E35"/>
    <w:rsid w:val="22935E2C"/>
    <w:rsid w:val="22963C78"/>
    <w:rsid w:val="2296628B"/>
    <w:rsid w:val="2298179E"/>
    <w:rsid w:val="229A6C50"/>
    <w:rsid w:val="229D20C2"/>
    <w:rsid w:val="22A77747"/>
    <w:rsid w:val="22B322A5"/>
    <w:rsid w:val="22BE77E4"/>
    <w:rsid w:val="22C15AE0"/>
    <w:rsid w:val="22C230CA"/>
    <w:rsid w:val="22C54D3D"/>
    <w:rsid w:val="22CB3B2F"/>
    <w:rsid w:val="22CC7BC6"/>
    <w:rsid w:val="22CE0239"/>
    <w:rsid w:val="22D21898"/>
    <w:rsid w:val="22D80AD6"/>
    <w:rsid w:val="22D9209E"/>
    <w:rsid w:val="22DA1DB7"/>
    <w:rsid w:val="22DB7D9B"/>
    <w:rsid w:val="22E007D6"/>
    <w:rsid w:val="22E20C6B"/>
    <w:rsid w:val="22EE1A57"/>
    <w:rsid w:val="22EE7610"/>
    <w:rsid w:val="22F47480"/>
    <w:rsid w:val="22F76CB7"/>
    <w:rsid w:val="22F84D69"/>
    <w:rsid w:val="23005243"/>
    <w:rsid w:val="2302472F"/>
    <w:rsid w:val="230C6777"/>
    <w:rsid w:val="230D2B83"/>
    <w:rsid w:val="230F132C"/>
    <w:rsid w:val="23180C18"/>
    <w:rsid w:val="231978C0"/>
    <w:rsid w:val="23266752"/>
    <w:rsid w:val="232B6424"/>
    <w:rsid w:val="232F5A63"/>
    <w:rsid w:val="232F67C3"/>
    <w:rsid w:val="23366740"/>
    <w:rsid w:val="233C1D09"/>
    <w:rsid w:val="23420AD1"/>
    <w:rsid w:val="2347515D"/>
    <w:rsid w:val="234A4EDB"/>
    <w:rsid w:val="234B0F30"/>
    <w:rsid w:val="234F24B4"/>
    <w:rsid w:val="234F2D31"/>
    <w:rsid w:val="23580F2E"/>
    <w:rsid w:val="235D1BAE"/>
    <w:rsid w:val="23604121"/>
    <w:rsid w:val="23604A7B"/>
    <w:rsid w:val="23627691"/>
    <w:rsid w:val="23686448"/>
    <w:rsid w:val="23695DC7"/>
    <w:rsid w:val="236A7B94"/>
    <w:rsid w:val="236E1F11"/>
    <w:rsid w:val="23722136"/>
    <w:rsid w:val="237775E9"/>
    <w:rsid w:val="237809B3"/>
    <w:rsid w:val="237869AE"/>
    <w:rsid w:val="237922CC"/>
    <w:rsid w:val="238C6FBD"/>
    <w:rsid w:val="238F37F3"/>
    <w:rsid w:val="23936CB3"/>
    <w:rsid w:val="239C5BC6"/>
    <w:rsid w:val="23A456C2"/>
    <w:rsid w:val="23A72EC6"/>
    <w:rsid w:val="23AB18BB"/>
    <w:rsid w:val="23B02B18"/>
    <w:rsid w:val="23B75C54"/>
    <w:rsid w:val="23B8027B"/>
    <w:rsid w:val="23B96153"/>
    <w:rsid w:val="23BB221D"/>
    <w:rsid w:val="23BB3DFB"/>
    <w:rsid w:val="23C90E4C"/>
    <w:rsid w:val="23C955A8"/>
    <w:rsid w:val="23D25685"/>
    <w:rsid w:val="23D314CE"/>
    <w:rsid w:val="23D3712A"/>
    <w:rsid w:val="23D42CAA"/>
    <w:rsid w:val="23D5376B"/>
    <w:rsid w:val="23D8539A"/>
    <w:rsid w:val="23DC593C"/>
    <w:rsid w:val="23DE1C48"/>
    <w:rsid w:val="23DF798F"/>
    <w:rsid w:val="23E12FA8"/>
    <w:rsid w:val="23E17553"/>
    <w:rsid w:val="23E375C9"/>
    <w:rsid w:val="23E70B07"/>
    <w:rsid w:val="23ED5788"/>
    <w:rsid w:val="23F42F67"/>
    <w:rsid w:val="23F449DC"/>
    <w:rsid w:val="23F810FA"/>
    <w:rsid w:val="240210CD"/>
    <w:rsid w:val="240523E9"/>
    <w:rsid w:val="240A2813"/>
    <w:rsid w:val="240F01DA"/>
    <w:rsid w:val="2415322B"/>
    <w:rsid w:val="241935BD"/>
    <w:rsid w:val="241B530B"/>
    <w:rsid w:val="241C39CC"/>
    <w:rsid w:val="241F3238"/>
    <w:rsid w:val="242809E5"/>
    <w:rsid w:val="242B03F0"/>
    <w:rsid w:val="242B5451"/>
    <w:rsid w:val="243224DB"/>
    <w:rsid w:val="24397309"/>
    <w:rsid w:val="243E395E"/>
    <w:rsid w:val="244317FA"/>
    <w:rsid w:val="2444261C"/>
    <w:rsid w:val="2446076E"/>
    <w:rsid w:val="24496E1D"/>
    <w:rsid w:val="244A2F6C"/>
    <w:rsid w:val="24547C40"/>
    <w:rsid w:val="24555018"/>
    <w:rsid w:val="245B35CE"/>
    <w:rsid w:val="245B49A5"/>
    <w:rsid w:val="24623792"/>
    <w:rsid w:val="24733CDE"/>
    <w:rsid w:val="24760C77"/>
    <w:rsid w:val="24785416"/>
    <w:rsid w:val="247C660B"/>
    <w:rsid w:val="247F2548"/>
    <w:rsid w:val="24803C80"/>
    <w:rsid w:val="24854AAB"/>
    <w:rsid w:val="248D505A"/>
    <w:rsid w:val="248D64B8"/>
    <w:rsid w:val="24942439"/>
    <w:rsid w:val="24971777"/>
    <w:rsid w:val="249B19C2"/>
    <w:rsid w:val="24A714C6"/>
    <w:rsid w:val="24AD2775"/>
    <w:rsid w:val="24B115FF"/>
    <w:rsid w:val="24B1712B"/>
    <w:rsid w:val="24B46637"/>
    <w:rsid w:val="24B709D0"/>
    <w:rsid w:val="24BE2E6E"/>
    <w:rsid w:val="24BF09F7"/>
    <w:rsid w:val="24C33CAC"/>
    <w:rsid w:val="24C34ACD"/>
    <w:rsid w:val="24C44349"/>
    <w:rsid w:val="24CC2143"/>
    <w:rsid w:val="24CD4E9B"/>
    <w:rsid w:val="24D13BCA"/>
    <w:rsid w:val="24DA3EBB"/>
    <w:rsid w:val="24DE1802"/>
    <w:rsid w:val="24DF3E9A"/>
    <w:rsid w:val="24E43BB7"/>
    <w:rsid w:val="24E54A43"/>
    <w:rsid w:val="24E8371A"/>
    <w:rsid w:val="24EE3EEE"/>
    <w:rsid w:val="24EE5E5B"/>
    <w:rsid w:val="24EF38F1"/>
    <w:rsid w:val="24EF472C"/>
    <w:rsid w:val="24F011C3"/>
    <w:rsid w:val="24F229E2"/>
    <w:rsid w:val="24F22FE8"/>
    <w:rsid w:val="24F5528E"/>
    <w:rsid w:val="24FF2FEE"/>
    <w:rsid w:val="25012488"/>
    <w:rsid w:val="25040759"/>
    <w:rsid w:val="250C68F6"/>
    <w:rsid w:val="250E27BB"/>
    <w:rsid w:val="25143662"/>
    <w:rsid w:val="25186BC6"/>
    <w:rsid w:val="251B12E1"/>
    <w:rsid w:val="251E1D03"/>
    <w:rsid w:val="25211368"/>
    <w:rsid w:val="252424A5"/>
    <w:rsid w:val="25254B3A"/>
    <w:rsid w:val="252A0898"/>
    <w:rsid w:val="252D38B0"/>
    <w:rsid w:val="252D53FE"/>
    <w:rsid w:val="252F2575"/>
    <w:rsid w:val="253232CE"/>
    <w:rsid w:val="254044DE"/>
    <w:rsid w:val="25441769"/>
    <w:rsid w:val="25454AB1"/>
    <w:rsid w:val="25481AD2"/>
    <w:rsid w:val="25496D80"/>
    <w:rsid w:val="254D526A"/>
    <w:rsid w:val="255E4792"/>
    <w:rsid w:val="256103ED"/>
    <w:rsid w:val="256161B9"/>
    <w:rsid w:val="25636658"/>
    <w:rsid w:val="2565282D"/>
    <w:rsid w:val="2565768D"/>
    <w:rsid w:val="2566013D"/>
    <w:rsid w:val="256C3041"/>
    <w:rsid w:val="256E59A8"/>
    <w:rsid w:val="2570622D"/>
    <w:rsid w:val="25717066"/>
    <w:rsid w:val="257346BE"/>
    <w:rsid w:val="25735A27"/>
    <w:rsid w:val="257430BA"/>
    <w:rsid w:val="25790E7B"/>
    <w:rsid w:val="25796BD8"/>
    <w:rsid w:val="257D7594"/>
    <w:rsid w:val="257E52D1"/>
    <w:rsid w:val="258451D6"/>
    <w:rsid w:val="25875AFA"/>
    <w:rsid w:val="259049AF"/>
    <w:rsid w:val="2592414F"/>
    <w:rsid w:val="259300DB"/>
    <w:rsid w:val="25930E2E"/>
    <w:rsid w:val="259615B0"/>
    <w:rsid w:val="25961682"/>
    <w:rsid w:val="25983902"/>
    <w:rsid w:val="259F1D3A"/>
    <w:rsid w:val="25A2699F"/>
    <w:rsid w:val="25A44CE2"/>
    <w:rsid w:val="25A52498"/>
    <w:rsid w:val="25AD31B1"/>
    <w:rsid w:val="25B00725"/>
    <w:rsid w:val="25B04B74"/>
    <w:rsid w:val="25B20504"/>
    <w:rsid w:val="25B236C8"/>
    <w:rsid w:val="25C51D55"/>
    <w:rsid w:val="25C530DC"/>
    <w:rsid w:val="25C74149"/>
    <w:rsid w:val="25C90BD5"/>
    <w:rsid w:val="25CB19DA"/>
    <w:rsid w:val="25CB4B2A"/>
    <w:rsid w:val="25CD1804"/>
    <w:rsid w:val="25D96DFC"/>
    <w:rsid w:val="25DA3E7C"/>
    <w:rsid w:val="25E87A4B"/>
    <w:rsid w:val="25EA315F"/>
    <w:rsid w:val="25EC2D81"/>
    <w:rsid w:val="25ED0053"/>
    <w:rsid w:val="25ED1DE7"/>
    <w:rsid w:val="25EF0E72"/>
    <w:rsid w:val="25EF32DA"/>
    <w:rsid w:val="25F91854"/>
    <w:rsid w:val="26103D41"/>
    <w:rsid w:val="26105E03"/>
    <w:rsid w:val="26192901"/>
    <w:rsid w:val="262360D0"/>
    <w:rsid w:val="26244CDF"/>
    <w:rsid w:val="2627380F"/>
    <w:rsid w:val="263119B4"/>
    <w:rsid w:val="2635725A"/>
    <w:rsid w:val="263A6CAE"/>
    <w:rsid w:val="26495BF9"/>
    <w:rsid w:val="264B412D"/>
    <w:rsid w:val="264D1F4D"/>
    <w:rsid w:val="26505AD0"/>
    <w:rsid w:val="26556E11"/>
    <w:rsid w:val="26565902"/>
    <w:rsid w:val="26584CC8"/>
    <w:rsid w:val="265C2FF4"/>
    <w:rsid w:val="265F4923"/>
    <w:rsid w:val="2661634B"/>
    <w:rsid w:val="26625EC2"/>
    <w:rsid w:val="26654D7B"/>
    <w:rsid w:val="266744D7"/>
    <w:rsid w:val="266802BB"/>
    <w:rsid w:val="26683828"/>
    <w:rsid w:val="266E7307"/>
    <w:rsid w:val="266F7EAE"/>
    <w:rsid w:val="26736F97"/>
    <w:rsid w:val="26753D0A"/>
    <w:rsid w:val="267972B5"/>
    <w:rsid w:val="267A437C"/>
    <w:rsid w:val="268542F3"/>
    <w:rsid w:val="268679EC"/>
    <w:rsid w:val="268727B0"/>
    <w:rsid w:val="268D33F9"/>
    <w:rsid w:val="269404CF"/>
    <w:rsid w:val="269631F7"/>
    <w:rsid w:val="269F4135"/>
    <w:rsid w:val="26A06C71"/>
    <w:rsid w:val="26A10E3D"/>
    <w:rsid w:val="26AC2706"/>
    <w:rsid w:val="26AC2961"/>
    <w:rsid w:val="26AE47E0"/>
    <w:rsid w:val="26B233F0"/>
    <w:rsid w:val="26B3251E"/>
    <w:rsid w:val="26BA6365"/>
    <w:rsid w:val="26BC4D90"/>
    <w:rsid w:val="26BE0515"/>
    <w:rsid w:val="26BE0B1A"/>
    <w:rsid w:val="26C136ED"/>
    <w:rsid w:val="26C65980"/>
    <w:rsid w:val="26D931B0"/>
    <w:rsid w:val="26DA0729"/>
    <w:rsid w:val="26DD25A7"/>
    <w:rsid w:val="26E254C0"/>
    <w:rsid w:val="26E91B93"/>
    <w:rsid w:val="26EE1B16"/>
    <w:rsid w:val="26EF000B"/>
    <w:rsid w:val="26FB22FC"/>
    <w:rsid w:val="26FD74D0"/>
    <w:rsid w:val="270367DA"/>
    <w:rsid w:val="27044D1E"/>
    <w:rsid w:val="270719B2"/>
    <w:rsid w:val="27074AFB"/>
    <w:rsid w:val="270977F5"/>
    <w:rsid w:val="270D6C01"/>
    <w:rsid w:val="27182429"/>
    <w:rsid w:val="271C2893"/>
    <w:rsid w:val="271F3325"/>
    <w:rsid w:val="271F65E2"/>
    <w:rsid w:val="27220A7D"/>
    <w:rsid w:val="27266A4D"/>
    <w:rsid w:val="272711C1"/>
    <w:rsid w:val="27286E69"/>
    <w:rsid w:val="272E785F"/>
    <w:rsid w:val="273013BD"/>
    <w:rsid w:val="273318F6"/>
    <w:rsid w:val="27336879"/>
    <w:rsid w:val="27374C7D"/>
    <w:rsid w:val="27425501"/>
    <w:rsid w:val="274556D9"/>
    <w:rsid w:val="27482E4D"/>
    <w:rsid w:val="274E52FB"/>
    <w:rsid w:val="27540AC5"/>
    <w:rsid w:val="27546FD5"/>
    <w:rsid w:val="277057A2"/>
    <w:rsid w:val="27721099"/>
    <w:rsid w:val="27723B5D"/>
    <w:rsid w:val="277B1836"/>
    <w:rsid w:val="277D6146"/>
    <w:rsid w:val="278019B0"/>
    <w:rsid w:val="278224C6"/>
    <w:rsid w:val="2785625A"/>
    <w:rsid w:val="27890490"/>
    <w:rsid w:val="278E564F"/>
    <w:rsid w:val="27A229BD"/>
    <w:rsid w:val="27A30218"/>
    <w:rsid w:val="27A41B53"/>
    <w:rsid w:val="27A73CFE"/>
    <w:rsid w:val="27A95F60"/>
    <w:rsid w:val="27AC74B0"/>
    <w:rsid w:val="27AD6FBE"/>
    <w:rsid w:val="27AF0D72"/>
    <w:rsid w:val="27B333D4"/>
    <w:rsid w:val="27BD0C0B"/>
    <w:rsid w:val="27BD45DA"/>
    <w:rsid w:val="27BF3C66"/>
    <w:rsid w:val="27C070C8"/>
    <w:rsid w:val="27C97CD5"/>
    <w:rsid w:val="27CB712C"/>
    <w:rsid w:val="27CC3C98"/>
    <w:rsid w:val="27D112AE"/>
    <w:rsid w:val="27D616D8"/>
    <w:rsid w:val="27D72023"/>
    <w:rsid w:val="27DD5A4C"/>
    <w:rsid w:val="27E27319"/>
    <w:rsid w:val="27E44141"/>
    <w:rsid w:val="27E45486"/>
    <w:rsid w:val="27EA3827"/>
    <w:rsid w:val="27F25694"/>
    <w:rsid w:val="27F403AC"/>
    <w:rsid w:val="27F4092A"/>
    <w:rsid w:val="27F41405"/>
    <w:rsid w:val="280467E8"/>
    <w:rsid w:val="28066C96"/>
    <w:rsid w:val="280D5239"/>
    <w:rsid w:val="28132609"/>
    <w:rsid w:val="28167E4D"/>
    <w:rsid w:val="281918DC"/>
    <w:rsid w:val="28195A94"/>
    <w:rsid w:val="281C3C81"/>
    <w:rsid w:val="28252369"/>
    <w:rsid w:val="28272473"/>
    <w:rsid w:val="282736E4"/>
    <w:rsid w:val="2827430F"/>
    <w:rsid w:val="282C02A6"/>
    <w:rsid w:val="28435C0F"/>
    <w:rsid w:val="28437D81"/>
    <w:rsid w:val="28503519"/>
    <w:rsid w:val="28541657"/>
    <w:rsid w:val="285673E9"/>
    <w:rsid w:val="285C60A6"/>
    <w:rsid w:val="28623DF1"/>
    <w:rsid w:val="28697E52"/>
    <w:rsid w:val="286B654B"/>
    <w:rsid w:val="286E7938"/>
    <w:rsid w:val="287170FD"/>
    <w:rsid w:val="287528F7"/>
    <w:rsid w:val="28784091"/>
    <w:rsid w:val="287B3B0C"/>
    <w:rsid w:val="288367F2"/>
    <w:rsid w:val="288726CD"/>
    <w:rsid w:val="28872858"/>
    <w:rsid w:val="28873408"/>
    <w:rsid w:val="28883B68"/>
    <w:rsid w:val="288F5AD7"/>
    <w:rsid w:val="28906F9B"/>
    <w:rsid w:val="289120D9"/>
    <w:rsid w:val="289204D5"/>
    <w:rsid w:val="289C26D2"/>
    <w:rsid w:val="289D77F5"/>
    <w:rsid w:val="28A3045D"/>
    <w:rsid w:val="28A8536D"/>
    <w:rsid w:val="28A90254"/>
    <w:rsid w:val="28AB3BCD"/>
    <w:rsid w:val="28AB7D51"/>
    <w:rsid w:val="28B60BD0"/>
    <w:rsid w:val="28BF2F94"/>
    <w:rsid w:val="28C16F45"/>
    <w:rsid w:val="28CB19DB"/>
    <w:rsid w:val="28CD3A2E"/>
    <w:rsid w:val="28D2463B"/>
    <w:rsid w:val="28E25E85"/>
    <w:rsid w:val="28E52BED"/>
    <w:rsid w:val="28E73934"/>
    <w:rsid w:val="28F06BC6"/>
    <w:rsid w:val="28F37DE2"/>
    <w:rsid w:val="28F92064"/>
    <w:rsid w:val="28FE641B"/>
    <w:rsid w:val="29040DEC"/>
    <w:rsid w:val="290860E3"/>
    <w:rsid w:val="290B020C"/>
    <w:rsid w:val="290F0322"/>
    <w:rsid w:val="290F0349"/>
    <w:rsid w:val="29121B1F"/>
    <w:rsid w:val="2914585E"/>
    <w:rsid w:val="29163719"/>
    <w:rsid w:val="2917350C"/>
    <w:rsid w:val="29190856"/>
    <w:rsid w:val="291D10A0"/>
    <w:rsid w:val="29206EB8"/>
    <w:rsid w:val="29283896"/>
    <w:rsid w:val="292A28FE"/>
    <w:rsid w:val="292B085B"/>
    <w:rsid w:val="292F0982"/>
    <w:rsid w:val="29312E73"/>
    <w:rsid w:val="2936660C"/>
    <w:rsid w:val="293A0DE1"/>
    <w:rsid w:val="293B1749"/>
    <w:rsid w:val="293B1FAE"/>
    <w:rsid w:val="293C140C"/>
    <w:rsid w:val="293D4E4D"/>
    <w:rsid w:val="29413C8F"/>
    <w:rsid w:val="2946756F"/>
    <w:rsid w:val="29550740"/>
    <w:rsid w:val="29564161"/>
    <w:rsid w:val="29567959"/>
    <w:rsid w:val="29595666"/>
    <w:rsid w:val="295A5703"/>
    <w:rsid w:val="295B3464"/>
    <w:rsid w:val="295D1F41"/>
    <w:rsid w:val="295F078B"/>
    <w:rsid w:val="296634CD"/>
    <w:rsid w:val="296648C9"/>
    <w:rsid w:val="29665317"/>
    <w:rsid w:val="2967011C"/>
    <w:rsid w:val="296C0D67"/>
    <w:rsid w:val="296E1C48"/>
    <w:rsid w:val="296F0B0C"/>
    <w:rsid w:val="29766098"/>
    <w:rsid w:val="297D0CAA"/>
    <w:rsid w:val="29874881"/>
    <w:rsid w:val="298C7B29"/>
    <w:rsid w:val="298D27F7"/>
    <w:rsid w:val="298E4767"/>
    <w:rsid w:val="29904DA4"/>
    <w:rsid w:val="299647F0"/>
    <w:rsid w:val="2996656D"/>
    <w:rsid w:val="29970760"/>
    <w:rsid w:val="299747E3"/>
    <w:rsid w:val="299C3346"/>
    <w:rsid w:val="299E5254"/>
    <w:rsid w:val="29A0418A"/>
    <w:rsid w:val="29B0672F"/>
    <w:rsid w:val="29B52F15"/>
    <w:rsid w:val="29B65846"/>
    <w:rsid w:val="29BA3C05"/>
    <w:rsid w:val="29BA66E8"/>
    <w:rsid w:val="29BB72C9"/>
    <w:rsid w:val="29C95EB3"/>
    <w:rsid w:val="29CC7F7F"/>
    <w:rsid w:val="29DF3FCC"/>
    <w:rsid w:val="29E03200"/>
    <w:rsid w:val="29E300B5"/>
    <w:rsid w:val="29E325E0"/>
    <w:rsid w:val="29E37698"/>
    <w:rsid w:val="29E52B9D"/>
    <w:rsid w:val="29EB1925"/>
    <w:rsid w:val="29EC04B9"/>
    <w:rsid w:val="29F13560"/>
    <w:rsid w:val="29F955D8"/>
    <w:rsid w:val="2A002B49"/>
    <w:rsid w:val="2A021BF3"/>
    <w:rsid w:val="2A04624B"/>
    <w:rsid w:val="2A085B9E"/>
    <w:rsid w:val="2A0C569A"/>
    <w:rsid w:val="2A0E00D4"/>
    <w:rsid w:val="2A132B68"/>
    <w:rsid w:val="2A187D0D"/>
    <w:rsid w:val="2A1C0BDC"/>
    <w:rsid w:val="2A216F1C"/>
    <w:rsid w:val="2A260C0D"/>
    <w:rsid w:val="2A277EFE"/>
    <w:rsid w:val="2A296C7E"/>
    <w:rsid w:val="2A2F34DC"/>
    <w:rsid w:val="2A355843"/>
    <w:rsid w:val="2A3A1C2C"/>
    <w:rsid w:val="2A3E713F"/>
    <w:rsid w:val="2A3F17FE"/>
    <w:rsid w:val="2A401EBA"/>
    <w:rsid w:val="2A4254DE"/>
    <w:rsid w:val="2A432960"/>
    <w:rsid w:val="2A452503"/>
    <w:rsid w:val="2A464FFE"/>
    <w:rsid w:val="2A4B1221"/>
    <w:rsid w:val="2A4D5059"/>
    <w:rsid w:val="2A524929"/>
    <w:rsid w:val="2A54660F"/>
    <w:rsid w:val="2A557A96"/>
    <w:rsid w:val="2A5B7105"/>
    <w:rsid w:val="2A5D6C8B"/>
    <w:rsid w:val="2A5F29FA"/>
    <w:rsid w:val="2A5F7C7E"/>
    <w:rsid w:val="2A617D8B"/>
    <w:rsid w:val="2A671CFC"/>
    <w:rsid w:val="2A6B25D8"/>
    <w:rsid w:val="2A6C5518"/>
    <w:rsid w:val="2A790996"/>
    <w:rsid w:val="2A7C50F3"/>
    <w:rsid w:val="2A8F5A0F"/>
    <w:rsid w:val="2A905ABE"/>
    <w:rsid w:val="2A9420DA"/>
    <w:rsid w:val="2A990F59"/>
    <w:rsid w:val="2A9A4B01"/>
    <w:rsid w:val="2AA056E0"/>
    <w:rsid w:val="2AA07373"/>
    <w:rsid w:val="2AA408FD"/>
    <w:rsid w:val="2AA56F7B"/>
    <w:rsid w:val="2AA6734D"/>
    <w:rsid w:val="2AA77625"/>
    <w:rsid w:val="2AA92517"/>
    <w:rsid w:val="2AA9498D"/>
    <w:rsid w:val="2AAB642C"/>
    <w:rsid w:val="2AAC088D"/>
    <w:rsid w:val="2AAF69A1"/>
    <w:rsid w:val="2AB4113F"/>
    <w:rsid w:val="2ABC1CC9"/>
    <w:rsid w:val="2AC179D7"/>
    <w:rsid w:val="2AC90C66"/>
    <w:rsid w:val="2ACA4099"/>
    <w:rsid w:val="2ACF7537"/>
    <w:rsid w:val="2ADA3205"/>
    <w:rsid w:val="2ADD5C1D"/>
    <w:rsid w:val="2AE51B66"/>
    <w:rsid w:val="2AE73182"/>
    <w:rsid w:val="2AE80DE9"/>
    <w:rsid w:val="2AEA3675"/>
    <w:rsid w:val="2AF31654"/>
    <w:rsid w:val="2AF36B68"/>
    <w:rsid w:val="2AF97284"/>
    <w:rsid w:val="2AFC5022"/>
    <w:rsid w:val="2AFF7A17"/>
    <w:rsid w:val="2B03475B"/>
    <w:rsid w:val="2B042837"/>
    <w:rsid w:val="2B06212C"/>
    <w:rsid w:val="2B066FF7"/>
    <w:rsid w:val="2B084235"/>
    <w:rsid w:val="2B1267FD"/>
    <w:rsid w:val="2B1361F0"/>
    <w:rsid w:val="2B141AF3"/>
    <w:rsid w:val="2B1A4786"/>
    <w:rsid w:val="2B1D10C4"/>
    <w:rsid w:val="2B1D2CC1"/>
    <w:rsid w:val="2B207EA9"/>
    <w:rsid w:val="2B2142FB"/>
    <w:rsid w:val="2B22356E"/>
    <w:rsid w:val="2B2262F3"/>
    <w:rsid w:val="2B247411"/>
    <w:rsid w:val="2B25392A"/>
    <w:rsid w:val="2B27058D"/>
    <w:rsid w:val="2B3161A9"/>
    <w:rsid w:val="2B330D0F"/>
    <w:rsid w:val="2B36364E"/>
    <w:rsid w:val="2B367172"/>
    <w:rsid w:val="2B381D70"/>
    <w:rsid w:val="2B427CAF"/>
    <w:rsid w:val="2B4733D3"/>
    <w:rsid w:val="2B4B5186"/>
    <w:rsid w:val="2B4D5EE7"/>
    <w:rsid w:val="2B541D73"/>
    <w:rsid w:val="2B557941"/>
    <w:rsid w:val="2B590BEA"/>
    <w:rsid w:val="2B5B70DD"/>
    <w:rsid w:val="2B5F689C"/>
    <w:rsid w:val="2B615FC9"/>
    <w:rsid w:val="2B654705"/>
    <w:rsid w:val="2B65781E"/>
    <w:rsid w:val="2B681065"/>
    <w:rsid w:val="2B694081"/>
    <w:rsid w:val="2B6A593D"/>
    <w:rsid w:val="2B6E0CB5"/>
    <w:rsid w:val="2B6F1287"/>
    <w:rsid w:val="2B7006E4"/>
    <w:rsid w:val="2B7D5822"/>
    <w:rsid w:val="2B7E3686"/>
    <w:rsid w:val="2B7F49A6"/>
    <w:rsid w:val="2B8069D3"/>
    <w:rsid w:val="2B8B1750"/>
    <w:rsid w:val="2B8E6B1E"/>
    <w:rsid w:val="2B9630FA"/>
    <w:rsid w:val="2B9734A8"/>
    <w:rsid w:val="2B974219"/>
    <w:rsid w:val="2B9A1A65"/>
    <w:rsid w:val="2B9C0396"/>
    <w:rsid w:val="2B9C1C17"/>
    <w:rsid w:val="2BA12434"/>
    <w:rsid w:val="2BA47662"/>
    <w:rsid w:val="2BA936A8"/>
    <w:rsid w:val="2BAD034C"/>
    <w:rsid w:val="2BAD0C2F"/>
    <w:rsid w:val="2BAD0DF3"/>
    <w:rsid w:val="2BAE5A5B"/>
    <w:rsid w:val="2BB23F36"/>
    <w:rsid w:val="2BBF639C"/>
    <w:rsid w:val="2BC26F9C"/>
    <w:rsid w:val="2BC36028"/>
    <w:rsid w:val="2BCB1660"/>
    <w:rsid w:val="2BCB66AA"/>
    <w:rsid w:val="2BCD3E5A"/>
    <w:rsid w:val="2BCF0BE3"/>
    <w:rsid w:val="2BCF624B"/>
    <w:rsid w:val="2BCF7EC4"/>
    <w:rsid w:val="2BD00A9D"/>
    <w:rsid w:val="2BD02A1D"/>
    <w:rsid w:val="2BD34689"/>
    <w:rsid w:val="2BD355F5"/>
    <w:rsid w:val="2BD96958"/>
    <w:rsid w:val="2BDC10FF"/>
    <w:rsid w:val="2BDC67A1"/>
    <w:rsid w:val="2BE451DC"/>
    <w:rsid w:val="2BE56DA2"/>
    <w:rsid w:val="2BE66366"/>
    <w:rsid w:val="2BEE50BF"/>
    <w:rsid w:val="2BF21F92"/>
    <w:rsid w:val="2BF26A2A"/>
    <w:rsid w:val="2BF51C48"/>
    <w:rsid w:val="2BF818D0"/>
    <w:rsid w:val="2BF856C7"/>
    <w:rsid w:val="2BF976CA"/>
    <w:rsid w:val="2BFD2672"/>
    <w:rsid w:val="2BFE6A21"/>
    <w:rsid w:val="2C031008"/>
    <w:rsid w:val="2C087720"/>
    <w:rsid w:val="2C0B189B"/>
    <w:rsid w:val="2C137D42"/>
    <w:rsid w:val="2C1D2D14"/>
    <w:rsid w:val="2C1D74F8"/>
    <w:rsid w:val="2C1F7431"/>
    <w:rsid w:val="2C2357EC"/>
    <w:rsid w:val="2C290E82"/>
    <w:rsid w:val="2C2C4CCA"/>
    <w:rsid w:val="2C315A5A"/>
    <w:rsid w:val="2C36361E"/>
    <w:rsid w:val="2C3C4763"/>
    <w:rsid w:val="2C444780"/>
    <w:rsid w:val="2C456E72"/>
    <w:rsid w:val="2C463814"/>
    <w:rsid w:val="2C4B1C25"/>
    <w:rsid w:val="2C5164ED"/>
    <w:rsid w:val="2C5270A0"/>
    <w:rsid w:val="2C56122A"/>
    <w:rsid w:val="2C591846"/>
    <w:rsid w:val="2C6072EB"/>
    <w:rsid w:val="2C613A52"/>
    <w:rsid w:val="2C65797D"/>
    <w:rsid w:val="2C6675DE"/>
    <w:rsid w:val="2C676012"/>
    <w:rsid w:val="2C6D707D"/>
    <w:rsid w:val="2C74026C"/>
    <w:rsid w:val="2C754D45"/>
    <w:rsid w:val="2C7601E9"/>
    <w:rsid w:val="2C85655A"/>
    <w:rsid w:val="2C887077"/>
    <w:rsid w:val="2C8D76CE"/>
    <w:rsid w:val="2C8E6628"/>
    <w:rsid w:val="2C9859EB"/>
    <w:rsid w:val="2C9C4F27"/>
    <w:rsid w:val="2CA2089B"/>
    <w:rsid w:val="2CA62E13"/>
    <w:rsid w:val="2CA661DD"/>
    <w:rsid w:val="2CAF2F4A"/>
    <w:rsid w:val="2CB35427"/>
    <w:rsid w:val="2CB36875"/>
    <w:rsid w:val="2CB44CCF"/>
    <w:rsid w:val="2CB90CA6"/>
    <w:rsid w:val="2CBD3C7D"/>
    <w:rsid w:val="2CBF3DC0"/>
    <w:rsid w:val="2CC60ECB"/>
    <w:rsid w:val="2CC753C2"/>
    <w:rsid w:val="2CC974A1"/>
    <w:rsid w:val="2CCA7AFF"/>
    <w:rsid w:val="2CCF55EC"/>
    <w:rsid w:val="2CDD2877"/>
    <w:rsid w:val="2CDE369B"/>
    <w:rsid w:val="2CDF3CF4"/>
    <w:rsid w:val="2CE1679A"/>
    <w:rsid w:val="2CE455E0"/>
    <w:rsid w:val="2CEA788D"/>
    <w:rsid w:val="2CEB410F"/>
    <w:rsid w:val="2CEE20C4"/>
    <w:rsid w:val="2CEE28D4"/>
    <w:rsid w:val="2CFC42F2"/>
    <w:rsid w:val="2D001365"/>
    <w:rsid w:val="2D01058E"/>
    <w:rsid w:val="2D045C82"/>
    <w:rsid w:val="2D075237"/>
    <w:rsid w:val="2D083D71"/>
    <w:rsid w:val="2D0C7D48"/>
    <w:rsid w:val="2D1647B6"/>
    <w:rsid w:val="2D1C1A92"/>
    <w:rsid w:val="2D2664BC"/>
    <w:rsid w:val="2D2C533D"/>
    <w:rsid w:val="2D3A44A6"/>
    <w:rsid w:val="2D404A71"/>
    <w:rsid w:val="2D407D9A"/>
    <w:rsid w:val="2D410C84"/>
    <w:rsid w:val="2D453E61"/>
    <w:rsid w:val="2D481F1F"/>
    <w:rsid w:val="2D542188"/>
    <w:rsid w:val="2D552EB2"/>
    <w:rsid w:val="2D56017B"/>
    <w:rsid w:val="2D561E22"/>
    <w:rsid w:val="2D593A83"/>
    <w:rsid w:val="2D655022"/>
    <w:rsid w:val="2D7C51DE"/>
    <w:rsid w:val="2D7E1439"/>
    <w:rsid w:val="2D817709"/>
    <w:rsid w:val="2D884977"/>
    <w:rsid w:val="2D8B5A96"/>
    <w:rsid w:val="2D927602"/>
    <w:rsid w:val="2D940101"/>
    <w:rsid w:val="2D952BEC"/>
    <w:rsid w:val="2D961732"/>
    <w:rsid w:val="2D971100"/>
    <w:rsid w:val="2D98665D"/>
    <w:rsid w:val="2D9A2788"/>
    <w:rsid w:val="2D9D410D"/>
    <w:rsid w:val="2D9E56F5"/>
    <w:rsid w:val="2D9E7E67"/>
    <w:rsid w:val="2D9F62C3"/>
    <w:rsid w:val="2DA22E26"/>
    <w:rsid w:val="2DAB339F"/>
    <w:rsid w:val="2DAD2442"/>
    <w:rsid w:val="2DB223C9"/>
    <w:rsid w:val="2DB357BA"/>
    <w:rsid w:val="2DB53EBA"/>
    <w:rsid w:val="2DBC17CA"/>
    <w:rsid w:val="2DBF69BB"/>
    <w:rsid w:val="2DC0697A"/>
    <w:rsid w:val="2DC37073"/>
    <w:rsid w:val="2DC63E07"/>
    <w:rsid w:val="2DC76734"/>
    <w:rsid w:val="2DC810AB"/>
    <w:rsid w:val="2DC83B9B"/>
    <w:rsid w:val="2DCD63FB"/>
    <w:rsid w:val="2DCF63DF"/>
    <w:rsid w:val="2DD35745"/>
    <w:rsid w:val="2DDF3BE2"/>
    <w:rsid w:val="2DE26FB5"/>
    <w:rsid w:val="2DE51610"/>
    <w:rsid w:val="2DE8291A"/>
    <w:rsid w:val="2DEE209E"/>
    <w:rsid w:val="2DEE2698"/>
    <w:rsid w:val="2DF71CB0"/>
    <w:rsid w:val="2DFA098F"/>
    <w:rsid w:val="2DFA7D09"/>
    <w:rsid w:val="2E006627"/>
    <w:rsid w:val="2E0163D9"/>
    <w:rsid w:val="2E04418C"/>
    <w:rsid w:val="2E070A8C"/>
    <w:rsid w:val="2E097803"/>
    <w:rsid w:val="2E0A2E34"/>
    <w:rsid w:val="2E180085"/>
    <w:rsid w:val="2E1C3400"/>
    <w:rsid w:val="2E1C586A"/>
    <w:rsid w:val="2E1E6002"/>
    <w:rsid w:val="2E271C28"/>
    <w:rsid w:val="2E2B1037"/>
    <w:rsid w:val="2E2F4E30"/>
    <w:rsid w:val="2E312AA7"/>
    <w:rsid w:val="2E3C14A8"/>
    <w:rsid w:val="2E456956"/>
    <w:rsid w:val="2E4F1210"/>
    <w:rsid w:val="2E5E231C"/>
    <w:rsid w:val="2E6328CD"/>
    <w:rsid w:val="2E642E7C"/>
    <w:rsid w:val="2E662EBA"/>
    <w:rsid w:val="2E667F96"/>
    <w:rsid w:val="2E69546B"/>
    <w:rsid w:val="2E6B1950"/>
    <w:rsid w:val="2E770EF3"/>
    <w:rsid w:val="2E7E31A4"/>
    <w:rsid w:val="2E821CF4"/>
    <w:rsid w:val="2E8226AB"/>
    <w:rsid w:val="2E8379C9"/>
    <w:rsid w:val="2E844C4E"/>
    <w:rsid w:val="2E853105"/>
    <w:rsid w:val="2E865C1E"/>
    <w:rsid w:val="2E8C5556"/>
    <w:rsid w:val="2E8D561D"/>
    <w:rsid w:val="2E935832"/>
    <w:rsid w:val="2E97093A"/>
    <w:rsid w:val="2E9B1B5A"/>
    <w:rsid w:val="2E9B59CF"/>
    <w:rsid w:val="2EA303CF"/>
    <w:rsid w:val="2EA4445E"/>
    <w:rsid w:val="2EA57C84"/>
    <w:rsid w:val="2EB418CB"/>
    <w:rsid w:val="2EB7371F"/>
    <w:rsid w:val="2EBB49EE"/>
    <w:rsid w:val="2EBE3AF5"/>
    <w:rsid w:val="2EC265A4"/>
    <w:rsid w:val="2EC560B6"/>
    <w:rsid w:val="2EC73470"/>
    <w:rsid w:val="2EC97D97"/>
    <w:rsid w:val="2ECC0AC3"/>
    <w:rsid w:val="2ECC23EB"/>
    <w:rsid w:val="2ED6563C"/>
    <w:rsid w:val="2EDA700A"/>
    <w:rsid w:val="2EDF07AD"/>
    <w:rsid w:val="2EDF1BA9"/>
    <w:rsid w:val="2EE144CD"/>
    <w:rsid w:val="2EE54EE5"/>
    <w:rsid w:val="2EE70EEC"/>
    <w:rsid w:val="2EED79E3"/>
    <w:rsid w:val="2EEF76C7"/>
    <w:rsid w:val="2EF55A1F"/>
    <w:rsid w:val="2F0003E9"/>
    <w:rsid w:val="2F064B05"/>
    <w:rsid w:val="2F0804C9"/>
    <w:rsid w:val="2F0A3B8B"/>
    <w:rsid w:val="2F0C2E61"/>
    <w:rsid w:val="2F0E20A5"/>
    <w:rsid w:val="2F0E7C8A"/>
    <w:rsid w:val="2F11773D"/>
    <w:rsid w:val="2F185693"/>
    <w:rsid w:val="2F20533E"/>
    <w:rsid w:val="2F270EDB"/>
    <w:rsid w:val="2F283EAA"/>
    <w:rsid w:val="2F2A68BD"/>
    <w:rsid w:val="2F2C7AAD"/>
    <w:rsid w:val="2F307202"/>
    <w:rsid w:val="2F396F67"/>
    <w:rsid w:val="2F3B1D08"/>
    <w:rsid w:val="2F426433"/>
    <w:rsid w:val="2F436F36"/>
    <w:rsid w:val="2F4C7761"/>
    <w:rsid w:val="2F4F1437"/>
    <w:rsid w:val="2F4F5F32"/>
    <w:rsid w:val="2F5B0EC7"/>
    <w:rsid w:val="2F5B4F17"/>
    <w:rsid w:val="2F5D7B01"/>
    <w:rsid w:val="2F5F0A54"/>
    <w:rsid w:val="2F613479"/>
    <w:rsid w:val="2F646CC8"/>
    <w:rsid w:val="2F67350A"/>
    <w:rsid w:val="2F7022CD"/>
    <w:rsid w:val="2F715851"/>
    <w:rsid w:val="2F720BA6"/>
    <w:rsid w:val="2F740E9D"/>
    <w:rsid w:val="2F7B3541"/>
    <w:rsid w:val="2F7F4294"/>
    <w:rsid w:val="2F81344C"/>
    <w:rsid w:val="2F820168"/>
    <w:rsid w:val="2F82527C"/>
    <w:rsid w:val="2F896C0E"/>
    <w:rsid w:val="2F8A08CC"/>
    <w:rsid w:val="2F905F31"/>
    <w:rsid w:val="2F923C88"/>
    <w:rsid w:val="2F994861"/>
    <w:rsid w:val="2F9F455D"/>
    <w:rsid w:val="2FA14DA0"/>
    <w:rsid w:val="2FA279E2"/>
    <w:rsid w:val="2FA351FD"/>
    <w:rsid w:val="2FA604AB"/>
    <w:rsid w:val="2FA97FF6"/>
    <w:rsid w:val="2FAA0613"/>
    <w:rsid w:val="2FAB56E7"/>
    <w:rsid w:val="2FBA7665"/>
    <w:rsid w:val="2FC02847"/>
    <w:rsid w:val="2FC04E27"/>
    <w:rsid w:val="2FC42895"/>
    <w:rsid w:val="2FC50F6B"/>
    <w:rsid w:val="2FC71093"/>
    <w:rsid w:val="2FD065E6"/>
    <w:rsid w:val="2FD82B2A"/>
    <w:rsid w:val="2FD905A1"/>
    <w:rsid w:val="2FD95069"/>
    <w:rsid w:val="2FD96870"/>
    <w:rsid w:val="2FDA4FD6"/>
    <w:rsid w:val="2FEF4A55"/>
    <w:rsid w:val="2FF51A83"/>
    <w:rsid w:val="2FFC4739"/>
    <w:rsid w:val="2FFD4E80"/>
    <w:rsid w:val="2FFF6E5D"/>
    <w:rsid w:val="300C686C"/>
    <w:rsid w:val="300D5E46"/>
    <w:rsid w:val="3010228D"/>
    <w:rsid w:val="30111B12"/>
    <w:rsid w:val="30122F2A"/>
    <w:rsid w:val="301E15E1"/>
    <w:rsid w:val="30256FBC"/>
    <w:rsid w:val="30287477"/>
    <w:rsid w:val="302C4A64"/>
    <w:rsid w:val="302C78DE"/>
    <w:rsid w:val="302F2528"/>
    <w:rsid w:val="30300966"/>
    <w:rsid w:val="30306D03"/>
    <w:rsid w:val="303E330E"/>
    <w:rsid w:val="303E35AC"/>
    <w:rsid w:val="303F4944"/>
    <w:rsid w:val="303F7FE2"/>
    <w:rsid w:val="30405A30"/>
    <w:rsid w:val="30416CC9"/>
    <w:rsid w:val="30427C2A"/>
    <w:rsid w:val="304347A4"/>
    <w:rsid w:val="30504191"/>
    <w:rsid w:val="30556F63"/>
    <w:rsid w:val="30580BC9"/>
    <w:rsid w:val="305A4537"/>
    <w:rsid w:val="30620053"/>
    <w:rsid w:val="306451C3"/>
    <w:rsid w:val="3069065E"/>
    <w:rsid w:val="306A17AC"/>
    <w:rsid w:val="306E6CC1"/>
    <w:rsid w:val="30743B86"/>
    <w:rsid w:val="307B4587"/>
    <w:rsid w:val="307C34E9"/>
    <w:rsid w:val="307F602B"/>
    <w:rsid w:val="30842504"/>
    <w:rsid w:val="30876574"/>
    <w:rsid w:val="308E72D3"/>
    <w:rsid w:val="30934A93"/>
    <w:rsid w:val="309537C1"/>
    <w:rsid w:val="30A4654D"/>
    <w:rsid w:val="30A50CD1"/>
    <w:rsid w:val="30A81E0C"/>
    <w:rsid w:val="30A86B68"/>
    <w:rsid w:val="30AB4D93"/>
    <w:rsid w:val="30B23189"/>
    <w:rsid w:val="30B73737"/>
    <w:rsid w:val="30BC2AC2"/>
    <w:rsid w:val="30BE21D5"/>
    <w:rsid w:val="30C0643D"/>
    <w:rsid w:val="30C0743E"/>
    <w:rsid w:val="30C31EAB"/>
    <w:rsid w:val="30C45B8F"/>
    <w:rsid w:val="30C661E1"/>
    <w:rsid w:val="30CC39DA"/>
    <w:rsid w:val="30CF0BA0"/>
    <w:rsid w:val="30CF6FDC"/>
    <w:rsid w:val="30DD0CC4"/>
    <w:rsid w:val="30DF2A9A"/>
    <w:rsid w:val="30E00203"/>
    <w:rsid w:val="30E453DB"/>
    <w:rsid w:val="30F625DE"/>
    <w:rsid w:val="30F96B80"/>
    <w:rsid w:val="30FC3634"/>
    <w:rsid w:val="30FE7A67"/>
    <w:rsid w:val="31004119"/>
    <w:rsid w:val="310915AE"/>
    <w:rsid w:val="310B0534"/>
    <w:rsid w:val="310C488B"/>
    <w:rsid w:val="311213ED"/>
    <w:rsid w:val="31174D2B"/>
    <w:rsid w:val="31195299"/>
    <w:rsid w:val="311961A0"/>
    <w:rsid w:val="311A44A4"/>
    <w:rsid w:val="311B2236"/>
    <w:rsid w:val="311E2ED7"/>
    <w:rsid w:val="312C5883"/>
    <w:rsid w:val="312C7FF0"/>
    <w:rsid w:val="312E32CE"/>
    <w:rsid w:val="313031B9"/>
    <w:rsid w:val="3130762B"/>
    <w:rsid w:val="313151C5"/>
    <w:rsid w:val="31327262"/>
    <w:rsid w:val="31341609"/>
    <w:rsid w:val="313945C5"/>
    <w:rsid w:val="31395E4E"/>
    <w:rsid w:val="313F2F61"/>
    <w:rsid w:val="31402F14"/>
    <w:rsid w:val="31411150"/>
    <w:rsid w:val="3147147E"/>
    <w:rsid w:val="314C2998"/>
    <w:rsid w:val="315076E8"/>
    <w:rsid w:val="3153318E"/>
    <w:rsid w:val="3154222C"/>
    <w:rsid w:val="315619EE"/>
    <w:rsid w:val="31561DBD"/>
    <w:rsid w:val="31567728"/>
    <w:rsid w:val="31570A76"/>
    <w:rsid w:val="31573D6F"/>
    <w:rsid w:val="315B2DE2"/>
    <w:rsid w:val="315C449C"/>
    <w:rsid w:val="315D249A"/>
    <w:rsid w:val="315E40CE"/>
    <w:rsid w:val="3160258C"/>
    <w:rsid w:val="31623547"/>
    <w:rsid w:val="31632299"/>
    <w:rsid w:val="31644EEA"/>
    <w:rsid w:val="31696333"/>
    <w:rsid w:val="31710199"/>
    <w:rsid w:val="31726F78"/>
    <w:rsid w:val="31814DC1"/>
    <w:rsid w:val="3183222E"/>
    <w:rsid w:val="318956D7"/>
    <w:rsid w:val="318D4FE9"/>
    <w:rsid w:val="318E3D87"/>
    <w:rsid w:val="3194771C"/>
    <w:rsid w:val="31983286"/>
    <w:rsid w:val="319B5869"/>
    <w:rsid w:val="319B734D"/>
    <w:rsid w:val="31A04983"/>
    <w:rsid w:val="31A42D7F"/>
    <w:rsid w:val="31A52CB1"/>
    <w:rsid w:val="31AF0972"/>
    <w:rsid w:val="31B13E11"/>
    <w:rsid w:val="31B3444B"/>
    <w:rsid w:val="31B82709"/>
    <w:rsid w:val="31B92B8B"/>
    <w:rsid w:val="31C34DFE"/>
    <w:rsid w:val="31C85CAB"/>
    <w:rsid w:val="31CA063D"/>
    <w:rsid w:val="31CD2588"/>
    <w:rsid w:val="31CF6F03"/>
    <w:rsid w:val="31D0305F"/>
    <w:rsid w:val="31D05482"/>
    <w:rsid w:val="31D07AD6"/>
    <w:rsid w:val="31D43E75"/>
    <w:rsid w:val="31D91F74"/>
    <w:rsid w:val="31DD36BE"/>
    <w:rsid w:val="31E0641E"/>
    <w:rsid w:val="31E14BBA"/>
    <w:rsid w:val="31E42AC9"/>
    <w:rsid w:val="31EB49C2"/>
    <w:rsid w:val="31EC10CF"/>
    <w:rsid w:val="31F46B28"/>
    <w:rsid w:val="31FC0DEC"/>
    <w:rsid w:val="31FE192B"/>
    <w:rsid w:val="320930F7"/>
    <w:rsid w:val="320935CD"/>
    <w:rsid w:val="32111DD1"/>
    <w:rsid w:val="3216739D"/>
    <w:rsid w:val="321B63E6"/>
    <w:rsid w:val="32235D79"/>
    <w:rsid w:val="32243D23"/>
    <w:rsid w:val="32255E0C"/>
    <w:rsid w:val="32295C5F"/>
    <w:rsid w:val="322D7188"/>
    <w:rsid w:val="32302131"/>
    <w:rsid w:val="323112C7"/>
    <w:rsid w:val="323369A1"/>
    <w:rsid w:val="323437C8"/>
    <w:rsid w:val="323638B6"/>
    <w:rsid w:val="323872D7"/>
    <w:rsid w:val="323B4A6F"/>
    <w:rsid w:val="32400B34"/>
    <w:rsid w:val="32444348"/>
    <w:rsid w:val="32472DB6"/>
    <w:rsid w:val="324C1CE3"/>
    <w:rsid w:val="324C2637"/>
    <w:rsid w:val="324D7F47"/>
    <w:rsid w:val="324F158C"/>
    <w:rsid w:val="325635EA"/>
    <w:rsid w:val="32571340"/>
    <w:rsid w:val="325E3FED"/>
    <w:rsid w:val="32625106"/>
    <w:rsid w:val="32674B13"/>
    <w:rsid w:val="3269569E"/>
    <w:rsid w:val="32723C48"/>
    <w:rsid w:val="3273128F"/>
    <w:rsid w:val="32760DE1"/>
    <w:rsid w:val="327A6D68"/>
    <w:rsid w:val="327B1571"/>
    <w:rsid w:val="3282323F"/>
    <w:rsid w:val="328240DE"/>
    <w:rsid w:val="328C5BBC"/>
    <w:rsid w:val="329314B0"/>
    <w:rsid w:val="32951967"/>
    <w:rsid w:val="329900FB"/>
    <w:rsid w:val="329D3A1C"/>
    <w:rsid w:val="329E6876"/>
    <w:rsid w:val="329F7CCB"/>
    <w:rsid w:val="32A156FD"/>
    <w:rsid w:val="32AF1F81"/>
    <w:rsid w:val="32B35DF6"/>
    <w:rsid w:val="32B966BE"/>
    <w:rsid w:val="32BC33E8"/>
    <w:rsid w:val="32C02276"/>
    <w:rsid w:val="32C0264B"/>
    <w:rsid w:val="32C028A2"/>
    <w:rsid w:val="32C5066B"/>
    <w:rsid w:val="32C75E5E"/>
    <w:rsid w:val="32CB499B"/>
    <w:rsid w:val="32CB7F3F"/>
    <w:rsid w:val="32CC3FB9"/>
    <w:rsid w:val="32CE7060"/>
    <w:rsid w:val="32D12125"/>
    <w:rsid w:val="32D16665"/>
    <w:rsid w:val="32D560F7"/>
    <w:rsid w:val="32D710DC"/>
    <w:rsid w:val="32E3324E"/>
    <w:rsid w:val="32E91BA2"/>
    <w:rsid w:val="32E968BE"/>
    <w:rsid w:val="32EA395E"/>
    <w:rsid w:val="32EB68A6"/>
    <w:rsid w:val="32F517A7"/>
    <w:rsid w:val="32F7388F"/>
    <w:rsid w:val="32FC280E"/>
    <w:rsid w:val="32FD48F7"/>
    <w:rsid w:val="32FD755A"/>
    <w:rsid w:val="33010C9A"/>
    <w:rsid w:val="3303440D"/>
    <w:rsid w:val="33097532"/>
    <w:rsid w:val="331935EC"/>
    <w:rsid w:val="331E52DB"/>
    <w:rsid w:val="331F0988"/>
    <w:rsid w:val="33240427"/>
    <w:rsid w:val="3327072F"/>
    <w:rsid w:val="33291F9F"/>
    <w:rsid w:val="333015F2"/>
    <w:rsid w:val="33310A59"/>
    <w:rsid w:val="3333300C"/>
    <w:rsid w:val="333E0C04"/>
    <w:rsid w:val="334A7605"/>
    <w:rsid w:val="334B6320"/>
    <w:rsid w:val="334F77BD"/>
    <w:rsid w:val="33514171"/>
    <w:rsid w:val="33517D18"/>
    <w:rsid w:val="33590AD6"/>
    <w:rsid w:val="33611CC0"/>
    <w:rsid w:val="33637B63"/>
    <w:rsid w:val="33644A48"/>
    <w:rsid w:val="33674805"/>
    <w:rsid w:val="33697ACC"/>
    <w:rsid w:val="33734F64"/>
    <w:rsid w:val="33751DB8"/>
    <w:rsid w:val="337A0A4C"/>
    <w:rsid w:val="337C75D3"/>
    <w:rsid w:val="337E524D"/>
    <w:rsid w:val="33821CBD"/>
    <w:rsid w:val="3387158A"/>
    <w:rsid w:val="33874378"/>
    <w:rsid w:val="338B0965"/>
    <w:rsid w:val="338E698C"/>
    <w:rsid w:val="33966FCC"/>
    <w:rsid w:val="3398477B"/>
    <w:rsid w:val="339F2007"/>
    <w:rsid w:val="33A1074F"/>
    <w:rsid w:val="33A6210C"/>
    <w:rsid w:val="33B81D9B"/>
    <w:rsid w:val="33C11918"/>
    <w:rsid w:val="33C3506D"/>
    <w:rsid w:val="33D04146"/>
    <w:rsid w:val="33D84C0C"/>
    <w:rsid w:val="33D91A44"/>
    <w:rsid w:val="33D934D4"/>
    <w:rsid w:val="33DD27E0"/>
    <w:rsid w:val="33DE5171"/>
    <w:rsid w:val="33E65D87"/>
    <w:rsid w:val="33EB1F76"/>
    <w:rsid w:val="33F0139B"/>
    <w:rsid w:val="33F04676"/>
    <w:rsid w:val="33F20F2A"/>
    <w:rsid w:val="33FE2F6A"/>
    <w:rsid w:val="340321F7"/>
    <w:rsid w:val="340A1632"/>
    <w:rsid w:val="340D5AC8"/>
    <w:rsid w:val="340E07E5"/>
    <w:rsid w:val="340F7C20"/>
    <w:rsid w:val="34106055"/>
    <w:rsid w:val="341131D1"/>
    <w:rsid w:val="34166845"/>
    <w:rsid w:val="34171AE1"/>
    <w:rsid w:val="341773A7"/>
    <w:rsid w:val="34193CAF"/>
    <w:rsid w:val="341E0F95"/>
    <w:rsid w:val="341E1D1F"/>
    <w:rsid w:val="3422537C"/>
    <w:rsid w:val="34227120"/>
    <w:rsid w:val="34235BF7"/>
    <w:rsid w:val="34301D0E"/>
    <w:rsid w:val="34377098"/>
    <w:rsid w:val="34383093"/>
    <w:rsid w:val="343A7CCB"/>
    <w:rsid w:val="344526F6"/>
    <w:rsid w:val="34565D06"/>
    <w:rsid w:val="34577CFC"/>
    <w:rsid w:val="3459515A"/>
    <w:rsid w:val="345F2573"/>
    <w:rsid w:val="34603F33"/>
    <w:rsid w:val="34607BAA"/>
    <w:rsid w:val="34657070"/>
    <w:rsid w:val="346C3F1B"/>
    <w:rsid w:val="346C405C"/>
    <w:rsid w:val="346C65E7"/>
    <w:rsid w:val="34724779"/>
    <w:rsid w:val="3473665B"/>
    <w:rsid w:val="34741917"/>
    <w:rsid w:val="347436ED"/>
    <w:rsid w:val="3476717D"/>
    <w:rsid w:val="347C0AE5"/>
    <w:rsid w:val="348056C8"/>
    <w:rsid w:val="34876319"/>
    <w:rsid w:val="348A43C0"/>
    <w:rsid w:val="348D05AC"/>
    <w:rsid w:val="348E74D7"/>
    <w:rsid w:val="348F1DA3"/>
    <w:rsid w:val="34954889"/>
    <w:rsid w:val="34984933"/>
    <w:rsid w:val="349961CA"/>
    <w:rsid w:val="349B2C17"/>
    <w:rsid w:val="34A23777"/>
    <w:rsid w:val="34A96341"/>
    <w:rsid w:val="34AA710F"/>
    <w:rsid w:val="34AE2876"/>
    <w:rsid w:val="34B228A7"/>
    <w:rsid w:val="34B748BD"/>
    <w:rsid w:val="34BC50BC"/>
    <w:rsid w:val="34BF5849"/>
    <w:rsid w:val="34C07791"/>
    <w:rsid w:val="34C123E1"/>
    <w:rsid w:val="34C758B2"/>
    <w:rsid w:val="34CB7194"/>
    <w:rsid w:val="34CE091C"/>
    <w:rsid w:val="34D504FB"/>
    <w:rsid w:val="34E16FD5"/>
    <w:rsid w:val="34E56418"/>
    <w:rsid w:val="34E6495A"/>
    <w:rsid w:val="34E716DE"/>
    <w:rsid w:val="34ED417B"/>
    <w:rsid w:val="34F23C69"/>
    <w:rsid w:val="34F3402D"/>
    <w:rsid w:val="34F45F67"/>
    <w:rsid w:val="34F956DB"/>
    <w:rsid w:val="34F979E7"/>
    <w:rsid w:val="35044446"/>
    <w:rsid w:val="350A4C1A"/>
    <w:rsid w:val="350E7F0B"/>
    <w:rsid w:val="3517029F"/>
    <w:rsid w:val="352549C2"/>
    <w:rsid w:val="35285C9F"/>
    <w:rsid w:val="35296278"/>
    <w:rsid w:val="35297954"/>
    <w:rsid w:val="352B4490"/>
    <w:rsid w:val="352B59B5"/>
    <w:rsid w:val="352C5F21"/>
    <w:rsid w:val="352E6057"/>
    <w:rsid w:val="35306A29"/>
    <w:rsid w:val="35394BD9"/>
    <w:rsid w:val="35461CD8"/>
    <w:rsid w:val="354662E5"/>
    <w:rsid w:val="354E6EF6"/>
    <w:rsid w:val="354F76CD"/>
    <w:rsid w:val="35525E5E"/>
    <w:rsid w:val="355349ED"/>
    <w:rsid w:val="3555415E"/>
    <w:rsid w:val="356722D6"/>
    <w:rsid w:val="3567759B"/>
    <w:rsid w:val="356C6E34"/>
    <w:rsid w:val="356D6B2D"/>
    <w:rsid w:val="356F25EF"/>
    <w:rsid w:val="357749F1"/>
    <w:rsid w:val="35775243"/>
    <w:rsid w:val="357B70FF"/>
    <w:rsid w:val="35841E61"/>
    <w:rsid w:val="35847A22"/>
    <w:rsid w:val="358B11D6"/>
    <w:rsid w:val="358C5FA8"/>
    <w:rsid w:val="35960333"/>
    <w:rsid w:val="35972B4A"/>
    <w:rsid w:val="35A04296"/>
    <w:rsid w:val="35A52D26"/>
    <w:rsid w:val="35A61B4D"/>
    <w:rsid w:val="35A7047D"/>
    <w:rsid w:val="35AB568A"/>
    <w:rsid w:val="35AE11C1"/>
    <w:rsid w:val="35AF1BE0"/>
    <w:rsid w:val="35B251BB"/>
    <w:rsid w:val="35B70117"/>
    <w:rsid w:val="35BD086B"/>
    <w:rsid w:val="35BE2C22"/>
    <w:rsid w:val="35C15DF1"/>
    <w:rsid w:val="35C26275"/>
    <w:rsid w:val="35CA288A"/>
    <w:rsid w:val="35CB433B"/>
    <w:rsid w:val="35CE2F97"/>
    <w:rsid w:val="35D44071"/>
    <w:rsid w:val="35D82C0E"/>
    <w:rsid w:val="35DF103A"/>
    <w:rsid w:val="35E00EF6"/>
    <w:rsid w:val="35E30735"/>
    <w:rsid w:val="35EC4681"/>
    <w:rsid w:val="35ED3C8B"/>
    <w:rsid w:val="35EF2E1C"/>
    <w:rsid w:val="35F1149A"/>
    <w:rsid w:val="35F165B8"/>
    <w:rsid w:val="35F63208"/>
    <w:rsid w:val="35FB592D"/>
    <w:rsid w:val="36003320"/>
    <w:rsid w:val="360065A3"/>
    <w:rsid w:val="36034B1A"/>
    <w:rsid w:val="36074A7F"/>
    <w:rsid w:val="360B4212"/>
    <w:rsid w:val="360C2505"/>
    <w:rsid w:val="360F6BD4"/>
    <w:rsid w:val="3616547E"/>
    <w:rsid w:val="36175043"/>
    <w:rsid w:val="36175A8B"/>
    <w:rsid w:val="361A301D"/>
    <w:rsid w:val="36234C3C"/>
    <w:rsid w:val="36262BD4"/>
    <w:rsid w:val="362F761C"/>
    <w:rsid w:val="363027D7"/>
    <w:rsid w:val="36310C2A"/>
    <w:rsid w:val="36344D84"/>
    <w:rsid w:val="363475D8"/>
    <w:rsid w:val="3635703B"/>
    <w:rsid w:val="3635734A"/>
    <w:rsid w:val="363611DD"/>
    <w:rsid w:val="363A144A"/>
    <w:rsid w:val="363A64B8"/>
    <w:rsid w:val="364747FE"/>
    <w:rsid w:val="36497A3D"/>
    <w:rsid w:val="364D6E3E"/>
    <w:rsid w:val="364F5FAD"/>
    <w:rsid w:val="36573D32"/>
    <w:rsid w:val="36585D37"/>
    <w:rsid w:val="36594BA9"/>
    <w:rsid w:val="366213DA"/>
    <w:rsid w:val="36672BD0"/>
    <w:rsid w:val="36687282"/>
    <w:rsid w:val="366D6646"/>
    <w:rsid w:val="366E6258"/>
    <w:rsid w:val="36731670"/>
    <w:rsid w:val="36762627"/>
    <w:rsid w:val="36766C3C"/>
    <w:rsid w:val="367B6810"/>
    <w:rsid w:val="368A3772"/>
    <w:rsid w:val="368D4DEF"/>
    <w:rsid w:val="368E42A2"/>
    <w:rsid w:val="368F1B12"/>
    <w:rsid w:val="36923549"/>
    <w:rsid w:val="369274CC"/>
    <w:rsid w:val="36963DEF"/>
    <w:rsid w:val="369A3F83"/>
    <w:rsid w:val="369E2CA4"/>
    <w:rsid w:val="369E6E91"/>
    <w:rsid w:val="36AA1648"/>
    <w:rsid w:val="36AA789A"/>
    <w:rsid w:val="36AD7522"/>
    <w:rsid w:val="36AF3739"/>
    <w:rsid w:val="36B01A2A"/>
    <w:rsid w:val="36B23F70"/>
    <w:rsid w:val="36B75FBF"/>
    <w:rsid w:val="36B933B5"/>
    <w:rsid w:val="36BA4F87"/>
    <w:rsid w:val="36BD0C45"/>
    <w:rsid w:val="36C013E1"/>
    <w:rsid w:val="36C32AC5"/>
    <w:rsid w:val="36C76268"/>
    <w:rsid w:val="36CB7220"/>
    <w:rsid w:val="36CC53C5"/>
    <w:rsid w:val="36CF1E2D"/>
    <w:rsid w:val="36D3294D"/>
    <w:rsid w:val="36D43DAA"/>
    <w:rsid w:val="36E0204C"/>
    <w:rsid w:val="36E5616D"/>
    <w:rsid w:val="36EA0CA3"/>
    <w:rsid w:val="36EF1F1E"/>
    <w:rsid w:val="36F3658C"/>
    <w:rsid w:val="36F92F58"/>
    <w:rsid w:val="37011092"/>
    <w:rsid w:val="3701395E"/>
    <w:rsid w:val="37063111"/>
    <w:rsid w:val="37115AFA"/>
    <w:rsid w:val="371476EA"/>
    <w:rsid w:val="371567FA"/>
    <w:rsid w:val="3715740A"/>
    <w:rsid w:val="37165CA4"/>
    <w:rsid w:val="37195A2D"/>
    <w:rsid w:val="371A6183"/>
    <w:rsid w:val="371B4788"/>
    <w:rsid w:val="371E7F6B"/>
    <w:rsid w:val="371F71DC"/>
    <w:rsid w:val="372568E0"/>
    <w:rsid w:val="37270AE8"/>
    <w:rsid w:val="372A14F0"/>
    <w:rsid w:val="37320EE5"/>
    <w:rsid w:val="37394EDD"/>
    <w:rsid w:val="373A43C1"/>
    <w:rsid w:val="373E2EE9"/>
    <w:rsid w:val="3740037C"/>
    <w:rsid w:val="37401E77"/>
    <w:rsid w:val="374134DA"/>
    <w:rsid w:val="37441E44"/>
    <w:rsid w:val="37462307"/>
    <w:rsid w:val="3747333B"/>
    <w:rsid w:val="374B5357"/>
    <w:rsid w:val="374C482B"/>
    <w:rsid w:val="374F61BF"/>
    <w:rsid w:val="37533DA9"/>
    <w:rsid w:val="375C3FF4"/>
    <w:rsid w:val="375D2045"/>
    <w:rsid w:val="375F6CB2"/>
    <w:rsid w:val="37607046"/>
    <w:rsid w:val="37613665"/>
    <w:rsid w:val="376467FE"/>
    <w:rsid w:val="37672C7B"/>
    <w:rsid w:val="376B0DD8"/>
    <w:rsid w:val="376C3610"/>
    <w:rsid w:val="377E215C"/>
    <w:rsid w:val="377E7D61"/>
    <w:rsid w:val="378003E0"/>
    <w:rsid w:val="3783492C"/>
    <w:rsid w:val="37835AA1"/>
    <w:rsid w:val="37851CAA"/>
    <w:rsid w:val="378D0CB7"/>
    <w:rsid w:val="378E45D5"/>
    <w:rsid w:val="3792693C"/>
    <w:rsid w:val="379C29EF"/>
    <w:rsid w:val="379D3E0A"/>
    <w:rsid w:val="379D5C11"/>
    <w:rsid w:val="37A11B30"/>
    <w:rsid w:val="37A80682"/>
    <w:rsid w:val="37AB1B1C"/>
    <w:rsid w:val="37AC4521"/>
    <w:rsid w:val="37B4550A"/>
    <w:rsid w:val="37B64172"/>
    <w:rsid w:val="37B95F81"/>
    <w:rsid w:val="37C14360"/>
    <w:rsid w:val="37C2238B"/>
    <w:rsid w:val="37C90083"/>
    <w:rsid w:val="37CD4F76"/>
    <w:rsid w:val="37D1265C"/>
    <w:rsid w:val="37DC5883"/>
    <w:rsid w:val="37DD1765"/>
    <w:rsid w:val="37DE14A3"/>
    <w:rsid w:val="37DF4C71"/>
    <w:rsid w:val="37E00298"/>
    <w:rsid w:val="37E50EA2"/>
    <w:rsid w:val="37E52F20"/>
    <w:rsid w:val="37E56A72"/>
    <w:rsid w:val="37F012DD"/>
    <w:rsid w:val="37F52B8A"/>
    <w:rsid w:val="37F57C7F"/>
    <w:rsid w:val="37F67534"/>
    <w:rsid w:val="37F70649"/>
    <w:rsid w:val="37F973CB"/>
    <w:rsid w:val="37FD41C3"/>
    <w:rsid w:val="37FF59C4"/>
    <w:rsid w:val="38000912"/>
    <w:rsid w:val="38012CA8"/>
    <w:rsid w:val="38015D0A"/>
    <w:rsid w:val="38036479"/>
    <w:rsid w:val="380D3DE7"/>
    <w:rsid w:val="381017E6"/>
    <w:rsid w:val="38137838"/>
    <w:rsid w:val="3817378C"/>
    <w:rsid w:val="381B6E2F"/>
    <w:rsid w:val="38215E3F"/>
    <w:rsid w:val="38223E64"/>
    <w:rsid w:val="382B27B0"/>
    <w:rsid w:val="382B5F49"/>
    <w:rsid w:val="3830274D"/>
    <w:rsid w:val="38327B65"/>
    <w:rsid w:val="3835736D"/>
    <w:rsid w:val="383859F4"/>
    <w:rsid w:val="38435AF4"/>
    <w:rsid w:val="384B18C4"/>
    <w:rsid w:val="38550871"/>
    <w:rsid w:val="385B4234"/>
    <w:rsid w:val="385D381A"/>
    <w:rsid w:val="385E5295"/>
    <w:rsid w:val="38602937"/>
    <w:rsid w:val="38646AC4"/>
    <w:rsid w:val="386646A9"/>
    <w:rsid w:val="386A3FC3"/>
    <w:rsid w:val="386C29BB"/>
    <w:rsid w:val="386D6A36"/>
    <w:rsid w:val="387B61D4"/>
    <w:rsid w:val="388060BC"/>
    <w:rsid w:val="3887044A"/>
    <w:rsid w:val="388971D1"/>
    <w:rsid w:val="389E0B7E"/>
    <w:rsid w:val="389F02D4"/>
    <w:rsid w:val="38A26BEA"/>
    <w:rsid w:val="38A4757D"/>
    <w:rsid w:val="38A671B9"/>
    <w:rsid w:val="38A86215"/>
    <w:rsid w:val="38AC7112"/>
    <w:rsid w:val="38AE7E0B"/>
    <w:rsid w:val="38B11196"/>
    <w:rsid w:val="38B302F9"/>
    <w:rsid w:val="38C04E3C"/>
    <w:rsid w:val="38C1475F"/>
    <w:rsid w:val="38CE1178"/>
    <w:rsid w:val="38D3293B"/>
    <w:rsid w:val="38DD6470"/>
    <w:rsid w:val="38DF2CA6"/>
    <w:rsid w:val="38DF79A6"/>
    <w:rsid w:val="38E04191"/>
    <w:rsid w:val="38E319C0"/>
    <w:rsid w:val="38E54BBA"/>
    <w:rsid w:val="38E63528"/>
    <w:rsid w:val="38EA1330"/>
    <w:rsid w:val="38EB010D"/>
    <w:rsid w:val="38EB6D82"/>
    <w:rsid w:val="38ED53C1"/>
    <w:rsid w:val="38F10E1E"/>
    <w:rsid w:val="38F12CD3"/>
    <w:rsid w:val="38F2018F"/>
    <w:rsid w:val="38F7040C"/>
    <w:rsid w:val="38F71449"/>
    <w:rsid w:val="38F73806"/>
    <w:rsid w:val="38F94775"/>
    <w:rsid w:val="38FB2756"/>
    <w:rsid w:val="39052E3A"/>
    <w:rsid w:val="390811EC"/>
    <w:rsid w:val="39101EE9"/>
    <w:rsid w:val="39172F89"/>
    <w:rsid w:val="391B59F3"/>
    <w:rsid w:val="391D08C7"/>
    <w:rsid w:val="391E2798"/>
    <w:rsid w:val="39204793"/>
    <w:rsid w:val="39240CDB"/>
    <w:rsid w:val="39284D16"/>
    <w:rsid w:val="392971ED"/>
    <w:rsid w:val="392A68D6"/>
    <w:rsid w:val="392F1552"/>
    <w:rsid w:val="392F4087"/>
    <w:rsid w:val="39325651"/>
    <w:rsid w:val="3936134E"/>
    <w:rsid w:val="39367DA1"/>
    <w:rsid w:val="39396ADE"/>
    <w:rsid w:val="393C7314"/>
    <w:rsid w:val="394174A7"/>
    <w:rsid w:val="39423B23"/>
    <w:rsid w:val="394C2E8B"/>
    <w:rsid w:val="394E11E0"/>
    <w:rsid w:val="394E3871"/>
    <w:rsid w:val="394F291C"/>
    <w:rsid w:val="39531C5B"/>
    <w:rsid w:val="39574BC0"/>
    <w:rsid w:val="39601BD1"/>
    <w:rsid w:val="396436F7"/>
    <w:rsid w:val="3965021B"/>
    <w:rsid w:val="39660C13"/>
    <w:rsid w:val="39663C15"/>
    <w:rsid w:val="396C57B4"/>
    <w:rsid w:val="396D71A1"/>
    <w:rsid w:val="397311DC"/>
    <w:rsid w:val="39777E36"/>
    <w:rsid w:val="39780881"/>
    <w:rsid w:val="397C7659"/>
    <w:rsid w:val="39813A75"/>
    <w:rsid w:val="39837973"/>
    <w:rsid w:val="398C14D9"/>
    <w:rsid w:val="398F1E3D"/>
    <w:rsid w:val="39914521"/>
    <w:rsid w:val="39A01C75"/>
    <w:rsid w:val="39A16D33"/>
    <w:rsid w:val="39A932E8"/>
    <w:rsid w:val="39AD5C2D"/>
    <w:rsid w:val="39B25341"/>
    <w:rsid w:val="39B27902"/>
    <w:rsid w:val="39B37888"/>
    <w:rsid w:val="39B84AC8"/>
    <w:rsid w:val="39BA6AA3"/>
    <w:rsid w:val="39BB4F7F"/>
    <w:rsid w:val="39C232CE"/>
    <w:rsid w:val="39D64736"/>
    <w:rsid w:val="39D765DF"/>
    <w:rsid w:val="39DF194B"/>
    <w:rsid w:val="39E235FC"/>
    <w:rsid w:val="39EA5FFB"/>
    <w:rsid w:val="39ED01CA"/>
    <w:rsid w:val="39F15BDD"/>
    <w:rsid w:val="39F73552"/>
    <w:rsid w:val="39FD6250"/>
    <w:rsid w:val="39FD6638"/>
    <w:rsid w:val="3A063C43"/>
    <w:rsid w:val="3A0672C9"/>
    <w:rsid w:val="3A073BBB"/>
    <w:rsid w:val="3A0836DE"/>
    <w:rsid w:val="3A1733B1"/>
    <w:rsid w:val="3A1F5E4E"/>
    <w:rsid w:val="3A231DE6"/>
    <w:rsid w:val="3A27015C"/>
    <w:rsid w:val="3A2B2AA0"/>
    <w:rsid w:val="3A2E433E"/>
    <w:rsid w:val="3A2F0AA3"/>
    <w:rsid w:val="3A363FB8"/>
    <w:rsid w:val="3A3C6ECC"/>
    <w:rsid w:val="3A3E5321"/>
    <w:rsid w:val="3A3F0E30"/>
    <w:rsid w:val="3A4C4BF9"/>
    <w:rsid w:val="3A577AC3"/>
    <w:rsid w:val="3A5B7DD3"/>
    <w:rsid w:val="3A5F0FB7"/>
    <w:rsid w:val="3A6530BC"/>
    <w:rsid w:val="3A6555AE"/>
    <w:rsid w:val="3A6C2D28"/>
    <w:rsid w:val="3A6E758F"/>
    <w:rsid w:val="3A6F78DD"/>
    <w:rsid w:val="3A744447"/>
    <w:rsid w:val="3A770B12"/>
    <w:rsid w:val="3A7916AC"/>
    <w:rsid w:val="3A81655F"/>
    <w:rsid w:val="3A844E7D"/>
    <w:rsid w:val="3A872856"/>
    <w:rsid w:val="3A8B0A95"/>
    <w:rsid w:val="3A8C6B45"/>
    <w:rsid w:val="3A8E6B94"/>
    <w:rsid w:val="3A90657C"/>
    <w:rsid w:val="3A970BEB"/>
    <w:rsid w:val="3A9A6765"/>
    <w:rsid w:val="3A9C3EFF"/>
    <w:rsid w:val="3A9E3272"/>
    <w:rsid w:val="3A9F34C1"/>
    <w:rsid w:val="3A9F7FFB"/>
    <w:rsid w:val="3AA4742F"/>
    <w:rsid w:val="3AA86CE8"/>
    <w:rsid w:val="3AAD2149"/>
    <w:rsid w:val="3AB012A3"/>
    <w:rsid w:val="3AB21AFF"/>
    <w:rsid w:val="3AB46E09"/>
    <w:rsid w:val="3AC76447"/>
    <w:rsid w:val="3AC8799F"/>
    <w:rsid w:val="3ACF3CCE"/>
    <w:rsid w:val="3ACF5C41"/>
    <w:rsid w:val="3ACF79D6"/>
    <w:rsid w:val="3AD366B7"/>
    <w:rsid w:val="3AD37361"/>
    <w:rsid w:val="3ADC2E0A"/>
    <w:rsid w:val="3ADE3FB6"/>
    <w:rsid w:val="3AE81184"/>
    <w:rsid w:val="3AEC5523"/>
    <w:rsid w:val="3AF636C8"/>
    <w:rsid w:val="3AF936CF"/>
    <w:rsid w:val="3AFE30CC"/>
    <w:rsid w:val="3AFF1B57"/>
    <w:rsid w:val="3B05751E"/>
    <w:rsid w:val="3B075C59"/>
    <w:rsid w:val="3B084811"/>
    <w:rsid w:val="3B0A4DAB"/>
    <w:rsid w:val="3B0C4680"/>
    <w:rsid w:val="3B1A0FDA"/>
    <w:rsid w:val="3B1F00FE"/>
    <w:rsid w:val="3B226FDE"/>
    <w:rsid w:val="3B281A54"/>
    <w:rsid w:val="3B2A3811"/>
    <w:rsid w:val="3B2C2002"/>
    <w:rsid w:val="3B314DD4"/>
    <w:rsid w:val="3B3670D6"/>
    <w:rsid w:val="3B370DC9"/>
    <w:rsid w:val="3B3763D1"/>
    <w:rsid w:val="3B3A3B0B"/>
    <w:rsid w:val="3B456329"/>
    <w:rsid w:val="3B491D1F"/>
    <w:rsid w:val="3B4D1259"/>
    <w:rsid w:val="3B4E3CD0"/>
    <w:rsid w:val="3B541105"/>
    <w:rsid w:val="3B566601"/>
    <w:rsid w:val="3B5D25BA"/>
    <w:rsid w:val="3B6246F3"/>
    <w:rsid w:val="3B6861DB"/>
    <w:rsid w:val="3B705BA2"/>
    <w:rsid w:val="3B7564E2"/>
    <w:rsid w:val="3B787B31"/>
    <w:rsid w:val="3B79050B"/>
    <w:rsid w:val="3B7E4B46"/>
    <w:rsid w:val="3B877A57"/>
    <w:rsid w:val="3B9047A3"/>
    <w:rsid w:val="3B977D11"/>
    <w:rsid w:val="3B980EFD"/>
    <w:rsid w:val="3BA1126C"/>
    <w:rsid w:val="3BAA4F3A"/>
    <w:rsid w:val="3BAE5D58"/>
    <w:rsid w:val="3BB14CEC"/>
    <w:rsid w:val="3BB16FD5"/>
    <w:rsid w:val="3BBA394F"/>
    <w:rsid w:val="3BBE400B"/>
    <w:rsid w:val="3BC073E4"/>
    <w:rsid w:val="3BC9170E"/>
    <w:rsid w:val="3BCB51C4"/>
    <w:rsid w:val="3BCD01C1"/>
    <w:rsid w:val="3BCD7BE4"/>
    <w:rsid w:val="3BD2663A"/>
    <w:rsid w:val="3BD61109"/>
    <w:rsid w:val="3BE57F8A"/>
    <w:rsid w:val="3BEA1AFB"/>
    <w:rsid w:val="3BEB3449"/>
    <w:rsid w:val="3BEC3710"/>
    <w:rsid w:val="3BED6290"/>
    <w:rsid w:val="3BF00426"/>
    <w:rsid w:val="3BF44E91"/>
    <w:rsid w:val="3BF946E8"/>
    <w:rsid w:val="3BFA690E"/>
    <w:rsid w:val="3BFC3A4D"/>
    <w:rsid w:val="3BFF41E4"/>
    <w:rsid w:val="3BFF7A6C"/>
    <w:rsid w:val="3C0A5940"/>
    <w:rsid w:val="3C0A7E90"/>
    <w:rsid w:val="3C0D19CB"/>
    <w:rsid w:val="3C0E4916"/>
    <w:rsid w:val="3C174B41"/>
    <w:rsid w:val="3C1C565B"/>
    <w:rsid w:val="3C1E37D7"/>
    <w:rsid w:val="3C1F1ED1"/>
    <w:rsid w:val="3C277F55"/>
    <w:rsid w:val="3C2F6E1E"/>
    <w:rsid w:val="3C3547EC"/>
    <w:rsid w:val="3C4732A8"/>
    <w:rsid w:val="3C4D5335"/>
    <w:rsid w:val="3C4F64BA"/>
    <w:rsid w:val="3C510B28"/>
    <w:rsid w:val="3C52797E"/>
    <w:rsid w:val="3C5315C9"/>
    <w:rsid w:val="3C5639CB"/>
    <w:rsid w:val="3C5D483B"/>
    <w:rsid w:val="3C626D7D"/>
    <w:rsid w:val="3C636521"/>
    <w:rsid w:val="3C7820B2"/>
    <w:rsid w:val="3C7C081B"/>
    <w:rsid w:val="3C84547B"/>
    <w:rsid w:val="3C866559"/>
    <w:rsid w:val="3C8E0C4D"/>
    <w:rsid w:val="3C9330EB"/>
    <w:rsid w:val="3CA0626E"/>
    <w:rsid w:val="3CA37266"/>
    <w:rsid w:val="3CA607D7"/>
    <w:rsid w:val="3CA91C03"/>
    <w:rsid w:val="3CB00BC8"/>
    <w:rsid w:val="3CB44678"/>
    <w:rsid w:val="3CBB2F57"/>
    <w:rsid w:val="3CC26B69"/>
    <w:rsid w:val="3CC30423"/>
    <w:rsid w:val="3CCE2028"/>
    <w:rsid w:val="3CCE36D3"/>
    <w:rsid w:val="3CD06FA6"/>
    <w:rsid w:val="3CD5104F"/>
    <w:rsid w:val="3CDA245A"/>
    <w:rsid w:val="3CDE1A8F"/>
    <w:rsid w:val="3CEA3959"/>
    <w:rsid w:val="3CEE4C40"/>
    <w:rsid w:val="3CF229D2"/>
    <w:rsid w:val="3CF64887"/>
    <w:rsid w:val="3CFB4CAE"/>
    <w:rsid w:val="3CFD74B5"/>
    <w:rsid w:val="3CFE7D41"/>
    <w:rsid w:val="3CFF2C84"/>
    <w:rsid w:val="3D023C99"/>
    <w:rsid w:val="3D034C30"/>
    <w:rsid w:val="3D0633EA"/>
    <w:rsid w:val="3D097D79"/>
    <w:rsid w:val="3D1161F6"/>
    <w:rsid w:val="3D155211"/>
    <w:rsid w:val="3D1E06B7"/>
    <w:rsid w:val="3D1E1458"/>
    <w:rsid w:val="3D2342BA"/>
    <w:rsid w:val="3D2362EC"/>
    <w:rsid w:val="3D255ECD"/>
    <w:rsid w:val="3D2D64DA"/>
    <w:rsid w:val="3D2E3A32"/>
    <w:rsid w:val="3D2E5814"/>
    <w:rsid w:val="3D30653F"/>
    <w:rsid w:val="3D316CE8"/>
    <w:rsid w:val="3D3214BF"/>
    <w:rsid w:val="3D373E2F"/>
    <w:rsid w:val="3D386165"/>
    <w:rsid w:val="3D38721C"/>
    <w:rsid w:val="3D4A76E1"/>
    <w:rsid w:val="3D4C764D"/>
    <w:rsid w:val="3D526F02"/>
    <w:rsid w:val="3D591FBE"/>
    <w:rsid w:val="3D5D4C2B"/>
    <w:rsid w:val="3D610554"/>
    <w:rsid w:val="3D632551"/>
    <w:rsid w:val="3D63742D"/>
    <w:rsid w:val="3D650FFA"/>
    <w:rsid w:val="3D696705"/>
    <w:rsid w:val="3D6A31AB"/>
    <w:rsid w:val="3D7012E9"/>
    <w:rsid w:val="3D705941"/>
    <w:rsid w:val="3D733367"/>
    <w:rsid w:val="3D744219"/>
    <w:rsid w:val="3D751CDB"/>
    <w:rsid w:val="3D794F3F"/>
    <w:rsid w:val="3D7A6BF4"/>
    <w:rsid w:val="3D850EDB"/>
    <w:rsid w:val="3D8A6863"/>
    <w:rsid w:val="3D8E156E"/>
    <w:rsid w:val="3D931088"/>
    <w:rsid w:val="3D946306"/>
    <w:rsid w:val="3D976D74"/>
    <w:rsid w:val="3D9A6E5E"/>
    <w:rsid w:val="3D9F4A18"/>
    <w:rsid w:val="3DA81BC4"/>
    <w:rsid w:val="3DA90ED5"/>
    <w:rsid w:val="3DA96C77"/>
    <w:rsid w:val="3DAC0F43"/>
    <w:rsid w:val="3DB81CEF"/>
    <w:rsid w:val="3DBC20E0"/>
    <w:rsid w:val="3DC079A3"/>
    <w:rsid w:val="3DCB7233"/>
    <w:rsid w:val="3DD12DE9"/>
    <w:rsid w:val="3DD42668"/>
    <w:rsid w:val="3DD628CB"/>
    <w:rsid w:val="3DD97FB5"/>
    <w:rsid w:val="3DDE2232"/>
    <w:rsid w:val="3DE53744"/>
    <w:rsid w:val="3DEA6E2A"/>
    <w:rsid w:val="3DFA1107"/>
    <w:rsid w:val="3E02417A"/>
    <w:rsid w:val="3E044768"/>
    <w:rsid w:val="3E0A09BE"/>
    <w:rsid w:val="3E1700D9"/>
    <w:rsid w:val="3E1A21F5"/>
    <w:rsid w:val="3E1C4CA9"/>
    <w:rsid w:val="3E254E20"/>
    <w:rsid w:val="3E255731"/>
    <w:rsid w:val="3E2747CC"/>
    <w:rsid w:val="3E2B66DA"/>
    <w:rsid w:val="3E2D4F7C"/>
    <w:rsid w:val="3E3361A8"/>
    <w:rsid w:val="3E35355E"/>
    <w:rsid w:val="3E373433"/>
    <w:rsid w:val="3E3867EA"/>
    <w:rsid w:val="3E3B5E4E"/>
    <w:rsid w:val="3E3D3223"/>
    <w:rsid w:val="3E4349B5"/>
    <w:rsid w:val="3E464117"/>
    <w:rsid w:val="3E4713C9"/>
    <w:rsid w:val="3E495A98"/>
    <w:rsid w:val="3E4F1B2B"/>
    <w:rsid w:val="3E5A6094"/>
    <w:rsid w:val="3E5B708B"/>
    <w:rsid w:val="3E5C505E"/>
    <w:rsid w:val="3E5E74F6"/>
    <w:rsid w:val="3E631DB9"/>
    <w:rsid w:val="3E6509B9"/>
    <w:rsid w:val="3E6575B5"/>
    <w:rsid w:val="3E685335"/>
    <w:rsid w:val="3E692CF7"/>
    <w:rsid w:val="3E6B3412"/>
    <w:rsid w:val="3E727E7E"/>
    <w:rsid w:val="3E727FD4"/>
    <w:rsid w:val="3E7B077D"/>
    <w:rsid w:val="3E7D5608"/>
    <w:rsid w:val="3E816F07"/>
    <w:rsid w:val="3E857E48"/>
    <w:rsid w:val="3E897B6A"/>
    <w:rsid w:val="3E8B6858"/>
    <w:rsid w:val="3E8E01F1"/>
    <w:rsid w:val="3E923D5E"/>
    <w:rsid w:val="3E9606F3"/>
    <w:rsid w:val="3E9A5482"/>
    <w:rsid w:val="3E9C653B"/>
    <w:rsid w:val="3E9E240D"/>
    <w:rsid w:val="3EA11698"/>
    <w:rsid w:val="3EA92C92"/>
    <w:rsid w:val="3EAE391C"/>
    <w:rsid w:val="3EAF1EF2"/>
    <w:rsid w:val="3EBB090D"/>
    <w:rsid w:val="3EBF754F"/>
    <w:rsid w:val="3ECC60A4"/>
    <w:rsid w:val="3ED13554"/>
    <w:rsid w:val="3ED41958"/>
    <w:rsid w:val="3ED8317F"/>
    <w:rsid w:val="3EDA0523"/>
    <w:rsid w:val="3EE173C2"/>
    <w:rsid w:val="3EE51377"/>
    <w:rsid w:val="3EEF6792"/>
    <w:rsid w:val="3EF1413C"/>
    <w:rsid w:val="3EF32D22"/>
    <w:rsid w:val="3EFB337B"/>
    <w:rsid w:val="3EFE33AA"/>
    <w:rsid w:val="3F0044FB"/>
    <w:rsid w:val="3F051ACB"/>
    <w:rsid w:val="3F073531"/>
    <w:rsid w:val="3F0775BC"/>
    <w:rsid w:val="3F11495A"/>
    <w:rsid w:val="3F181B9C"/>
    <w:rsid w:val="3F2006FA"/>
    <w:rsid w:val="3F235DA0"/>
    <w:rsid w:val="3F2C57D3"/>
    <w:rsid w:val="3F3A262F"/>
    <w:rsid w:val="3F3A544F"/>
    <w:rsid w:val="3F415642"/>
    <w:rsid w:val="3F487483"/>
    <w:rsid w:val="3F4B426E"/>
    <w:rsid w:val="3F5268AA"/>
    <w:rsid w:val="3F543BDB"/>
    <w:rsid w:val="3F550399"/>
    <w:rsid w:val="3F57443A"/>
    <w:rsid w:val="3F5C66CB"/>
    <w:rsid w:val="3F5D1891"/>
    <w:rsid w:val="3F5D20A4"/>
    <w:rsid w:val="3F5F5A54"/>
    <w:rsid w:val="3F632CDC"/>
    <w:rsid w:val="3F67457A"/>
    <w:rsid w:val="3F6D2DEE"/>
    <w:rsid w:val="3F711701"/>
    <w:rsid w:val="3F741949"/>
    <w:rsid w:val="3F7F4CF7"/>
    <w:rsid w:val="3F8A094A"/>
    <w:rsid w:val="3F8A1FC2"/>
    <w:rsid w:val="3F8B7B53"/>
    <w:rsid w:val="3F8F784E"/>
    <w:rsid w:val="3F905675"/>
    <w:rsid w:val="3F90588D"/>
    <w:rsid w:val="3F946BD6"/>
    <w:rsid w:val="3F9A4950"/>
    <w:rsid w:val="3F9D4D79"/>
    <w:rsid w:val="3FA73D49"/>
    <w:rsid w:val="3FAF09F9"/>
    <w:rsid w:val="3FB452E6"/>
    <w:rsid w:val="3FBC7CBA"/>
    <w:rsid w:val="3FBD2E4C"/>
    <w:rsid w:val="3FBD3F58"/>
    <w:rsid w:val="3FC14181"/>
    <w:rsid w:val="3FD03B52"/>
    <w:rsid w:val="3FD55AA8"/>
    <w:rsid w:val="3FD578FF"/>
    <w:rsid w:val="3FDC0157"/>
    <w:rsid w:val="3FDD5267"/>
    <w:rsid w:val="3FE335A4"/>
    <w:rsid w:val="3FE45E73"/>
    <w:rsid w:val="3FE77FD6"/>
    <w:rsid w:val="3FEF73D4"/>
    <w:rsid w:val="3FF44991"/>
    <w:rsid w:val="3FF72FBB"/>
    <w:rsid w:val="3FF809BA"/>
    <w:rsid w:val="3FFD033C"/>
    <w:rsid w:val="40012271"/>
    <w:rsid w:val="40070E59"/>
    <w:rsid w:val="400714EE"/>
    <w:rsid w:val="40080CF0"/>
    <w:rsid w:val="400C5E08"/>
    <w:rsid w:val="401706C6"/>
    <w:rsid w:val="401747F3"/>
    <w:rsid w:val="401B4653"/>
    <w:rsid w:val="401C4C7B"/>
    <w:rsid w:val="401F7D89"/>
    <w:rsid w:val="40262990"/>
    <w:rsid w:val="40283A19"/>
    <w:rsid w:val="402B1A4C"/>
    <w:rsid w:val="402F5F4B"/>
    <w:rsid w:val="403B1AEB"/>
    <w:rsid w:val="403F09F1"/>
    <w:rsid w:val="403F1471"/>
    <w:rsid w:val="403F5806"/>
    <w:rsid w:val="404943AF"/>
    <w:rsid w:val="40500C87"/>
    <w:rsid w:val="40512B35"/>
    <w:rsid w:val="40592588"/>
    <w:rsid w:val="40641B18"/>
    <w:rsid w:val="406960D0"/>
    <w:rsid w:val="406C4885"/>
    <w:rsid w:val="4070745F"/>
    <w:rsid w:val="407134BB"/>
    <w:rsid w:val="4073314C"/>
    <w:rsid w:val="40761BB2"/>
    <w:rsid w:val="407A4CE9"/>
    <w:rsid w:val="407A6407"/>
    <w:rsid w:val="407C0D77"/>
    <w:rsid w:val="40803096"/>
    <w:rsid w:val="40826737"/>
    <w:rsid w:val="40881DB3"/>
    <w:rsid w:val="40895F3C"/>
    <w:rsid w:val="408F5EAA"/>
    <w:rsid w:val="40907B01"/>
    <w:rsid w:val="40923879"/>
    <w:rsid w:val="409307F7"/>
    <w:rsid w:val="40931DF8"/>
    <w:rsid w:val="409739F7"/>
    <w:rsid w:val="409751C0"/>
    <w:rsid w:val="40985896"/>
    <w:rsid w:val="409A27E8"/>
    <w:rsid w:val="40A54ECB"/>
    <w:rsid w:val="40A67324"/>
    <w:rsid w:val="40A749B7"/>
    <w:rsid w:val="40A93120"/>
    <w:rsid w:val="40A94108"/>
    <w:rsid w:val="40AE6BAF"/>
    <w:rsid w:val="40B0026A"/>
    <w:rsid w:val="40B72CF1"/>
    <w:rsid w:val="40BE1048"/>
    <w:rsid w:val="40C36A4B"/>
    <w:rsid w:val="40C96831"/>
    <w:rsid w:val="40DC79C6"/>
    <w:rsid w:val="40E21D7C"/>
    <w:rsid w:val="40E63BD5"/>
    <w:rsid w:val="40E90FBF"/>
    <w:rsid w:val="40EB0FF3"/>
    <w:rsid w:val="40EE67F5"/>
    <w:rsid w:val="40F854CD"/>
    <w:rsid w:val="40FA685C"/>
    <w:rsid w:val="40FD165F"/>
    <w:rsid w:val="41041EEE"/>
    <w:rsid w:val="410B6675"/>
    <w:rsid w:val="41120950"/>
    <w:rsid w:val="411378C9"/>
    <w:rsid w:val="411418C6"/>
    <w:rsid w:val="41146A56"/>
    <w:rsid w:val="41152AF1"/>
    <w:rsid w:val="41192E6C"/>
    <w:rsid w:val="411955A4"/>
    <w:rsid w:val="411F6046"/>
    <w:rsid w:val="412934A2"/>
    <w:rsid w:val="412B53E2"/>
    <w:rsid w:val="412B59BE"/>
    <w:rsid w:val="412B68F1"/>
    <w:rsid w:val="412D1399"/>
    <w:rsid w:val="412F2E8F"/>
    <w:rsid w:val="413039EF"/>
    <w:rsid w:val="41383471"/>
    <w:rsid w:val="413D183C"/>
    <w:rsid w:val="413E1F6A"/>
    <w:rsid w:val="41415E2F"/>
    <w:rsid w:val="414562AC"/>
    <w:rsid w:val="4148029E"/>
    <w:rsid w:val="4149598B"/>
    <w:rsid w:val="414D46EB"/>
    <w:rsid w:val="414F439E"/>
    <w:rsid w:val="41626A3F"/>
    <w:rsid w:val="416529A9"/>
    <w:rsid w:val="417E7959"/>
    <w:rsid w:val="41803E3C"/>
    <w:rsid w:val="41897892"/>
    <w:rsid w:val="418A0801"/>
    <w:rsid w:val="4190186B"/>
    <w:rsid w:val="419409EF"/>
    <w:rsid w:val="4196066D"/>
    <w:rsid w:val="41961147"/>
    <w:rsid w:val="41967006"/>
    <w:rsid w:val="419C2AC7"/>
    <w:rsid w:val="419D4ED4"/>
    <w:rsid w:val="41A6793B"/>
    <w:rsid w:val="41AB0F6E"/>
    <w:rsid w:val="41AB1EF5"/>
    <w:rsid w:val="41B004EC"/>
    <w:rsid w:val="41BF6404"/>
    <w:rsid w:val="41C553D1"/>
    <w:rsid w:val="41C75FB8"/>
    <w:rsid w:val="41D11DDB"/>
    <w:rsid w:val="41D31447"/>
    <w:rsid w:val="41D77B9A"/>
    <w:rsid w:val="41DB2331"/>
    <w:rsid w:val="41DB75FD"/>
    <w:rsid w:val="41DE4C23"/>
    <w:rsid w:val="41E42A9E"/>
    <w:rsid w:val="41E542A0"/>
    <w:rsid w:val="41F8751C"/>
    <w:rsid w:val="41FB7DDC"/>
    <w:rsid w:val="4200449D"/>
    <w:rsid w:val="42043346"/>
    <w:rsid w:val="420658E3"/>
    <w:rsid w:val="42072888"/>
    <w:rsid w:val="42075CE5"/>
    <w:rsid w:val="42083BFA"/>
    <w:rsid w:val="420874CD"/>
    <w:rsid w:val="420E4868"/>
    <w:rsid w:val="420E6F2F"/>
    <w:rsid w:val="421523BF"/>
    <w:rsid w:val="42160A0B"/>
    <w:rsid w:val="421720FC"/>
    <w:rsid w:val="42246753"/>
    <w:rsid w:val="42284D1F"/>
    <w:rsid w:val="422A0778"/>
    <w:rsid w:val="422B6141"/>
    <w:rsid w:val="422C3774"/>
    <w:rsid w:val="422E0F16"/>
    <w:rsid w:val="422F7398"/>
    <w:rsid w:val="42303BF6"/>
    <w:rsid w:val="423435F7"/>
    <w:rsid w:val="423A3BCC"/>
    <w:rsid w:val="42416730"/>
    <w:rsid w:val="424E37D0"/>
    <w:rsid w:val="424E57D2"/>
    <w:rsid w:val="4254553D"/>
    <w:rsid w:val="42546AC6"/>
    <w:rsid w:val="425A5916"/>
    <w:rsid w:val="425C3E3A"/>
    <w:rsid w:val="425D780A"/>
    <w:rsid w:val="425E3790"/>
    <w:rsid w:val="42646396"/>
    <w:rsid w:val="426A648F"/>
    <w:rsid w:val="426A7875"/>
    <w:rsid w:val="4278473F"/>
    <w:rsid w:val="427D202E"/>
    <w:rsid w:val="428B5084"/>
    <w:rsid w:val="428E2C10"/>
    <w:rsid w:val="42940B7F"/>
    <w:rsid w:val="4297259D"/>
    <w:rsid w:val="4297695F"/>
    <w:rsid w:val="42985937"/>
    <w:rsid w:val="429E629C"/>
    <w:rsid w:val="42A0706C"/>
    <w:rsid w:val="42A739D2"/>
    <w:rsid w:val="42AD3475"/>
    <w:rsid w:val="42B26C49"/>
    <w:rsid w:val="42B50FD4"/>
    <w:rsid w:val="42B6077B"/>
    <w:rsid w:val="42BA4A0B"/>
    <w:rsid w:val="42BD407C"/>
    <w:rsid w:val="42C7113F"/>
    <w:rsid w:val="42CB4176"/>
    <w:rsid w:val="42D17DB5"/>
    <w:rsid w:val="42E57F4B"/>
    <w:rsid w:val="42E60979"/>
    <w:rsid w:val="42F23BC5"/>
    <w:rsid w:val="42F41201"/>
    <w:rsid w:val="42F70A87"/>
    <w:rsid w:val="42F8337F"/>
    <w:rsid w:val="42FA5323"/>
    <w:rsid w:val="42FB69D8"/>
    <w:rsid w:val="43081DBE"/>
    <w:rsid w:val="43120E53"/>
    <w:rsid w:val="43135B69"/>
    <w:rsid w:val="431A58BB"/>
    <w:rsid w:val="431D0B20"/>
    <w:rsid w:val="4320576B"/>
    <w:rsid w:val="43210607"/>
    <w:rsid w:val="43242EFD"/>
    <w:rsid w:val="43292892"/>
    <w:rsid w:val="432F2B5F"/>
    <w:rsid w:val="43302233"/>
    <w:rsid w:val="43366C90"/>
    <w:rsid w:val="4339622E"/>
    <w:rsid w:val="433A6FE6"/>
    <w:rsid w:val="433B15BB"/>
    <w:rsid w:val="433E098E"/>
    <w:rsid w:val="43403314"/>
    <w:rsid w:val="43454447"/>
    <w:rsid w:val="43480868"/>
    <w:rsid w:val="4350713C"/>
    <w:rsid w:val="435235CB"/>
    <w:rsid w:val="43576EC1"/>
    <w:rsid w:val="43593A51"/>
    <w:rsid w:val="435D0DCC"/>
    <w:rsid w:val="435E117D"/>
    <w:rsid w:val="436653E0"/>
    <w:rsid w:val="4367195D"/>
    <w:rsid w:val="4369429B"/>
    <w:rsid w:val="43785E82"/>
    <w:rsid w:val="437B06A7"/>
    <w:rsid w:val="43875359"/>
    <w:rsid w:val="4388394A"/>
    <w:rsid w:val="438C5C19"/>
    <w:rsid w:val="438E1404"/>
    <w:rsid w:val="43944DDC"/>
    <w:rsid w:val="439960B6"/>
    <w:rsid w:val="43AD49E6"/>
    <w:rsid w:val="43AD66FB"/>
    <w:rsid w:val="43AE0745"/>
    <w:rsid w:val="43B255FE"/>
    <w:rsid w:val="43B42BC4"/>
    <w:rsid w:val="43B71491"/>
    <w:rsid w:val="43B745E5"/>
    <w:rsid w:val="43BB3682"/>
    <w:rsid w:val="43C04927"/>
    <w:rsid w:val="43C4431A"/>
    <w:rsid w:val="43C44B00"/>
    <w:rsid w:val="43C63A76"/>
    <w:rsid w:val="43C64D54"/>
    <w:rsid w:val="43C97C3C"/>
    <w:rsid w:val="43CF573E"/>
    <w:rsid w:val="43D4282D"/>
    <w:rsid w:val="43D664C2"/>
    <w:rsid w:val="43D96F89"/>
    <w:rsid w:val="43DF0FEE"/>
    <w:rsid w:val="43E068D6"/>
    <w:rsid w:val="43E7373D"/>
    <w:rsid w:val="43E82E0A"/>
    <w:rsid w:val="43E94C15"/>
    <w:rsid w:val="43F40F34"/>
    <w:rsid w:val="43FB36AD"/>
    <w:rsid w:val="4400492C"/>
    <w:rsid w:val="44055BE3"/>
    <w:rsid w:val="44082546"/>
    <w:rsid w:val="440A4835"/>
    <w:rsid w:val="440A5963"/>
    <w:rsid w:val="440D4C0A"/>
    <w:rsid w:val="44134FC3"/>
    <w:rsid w:val="44137209"/>
    <w:rsid w:val="441537CF"/>
    <w:rsid w:val="44156301"/>
    <w:rsid w:val="441814E8"/>
    <w:rsid w:val="441B7195"/>
    <w:rsid w:val="441C6C9E"/>
    <w:rsid w:val="441E71D2"/>
    <w:rsid w:val="44216EB8"/>
    <w:rsid w:val="44217BE7"/>
    <w:rsid w:val="442306FD"/>
    <w:rsid w:val="442434CE"/>
    <w:rsid w:val="442D0498"/>
    <w:rsid w:val="442D34BF"/>
    <w:rsid w:val="44316F05"/>
    <w:rsid w:val="44325D4B"/>
    <w:rsid w:val="4438016A"/>
    <w:rsid w:val="443D3AC9"/>
    <w:rsid w:val="444059B8"/>
    <w:rsid w:val="44434FFF"/>
    <w:rsid w:val="44464C91"/>
    <w:rsid w:val="4448159C"/>
    <w:rsid w:val="444A0278"/>
    <w:rsid w:val="444C657E"/>
    <w:rsid w:val="445361E5"/>
    <w:rsid w:val="44540EE9"/>
    <w:rsid w:val="44551467"/>
    <w:rsid w:val="445728E4"/>
    <w:rsid w:val="44623471"/>
    <w:rsid w:val="446458C3"/>
    <w:rsid w:val="4469003D"/>
    <w:rsid w:val="446B41F8"/>
    <w:rsid w:val="446E17F3"/>
    <w:rsid w:val="447042C7"/>
    <w:rsid w:val="447A4AB0"/>
    <w:rsid w:val="447B0BEA"/>
    <w:rsid w:val="44823110"/>
    <w:rsid w:val="44902CD8"/>
    <w:rsid w:val="449175CA"/>
    <w:rsid w:val="44941DDB"/>
    <w:rsid w:val="449618D8"/>
    <w:rsid w:val="44982388"/>
    <w:rsid w:val="449A4605"/>
    <w:rsid w:val="44A37D10"/>
    <w:rsid w:val="44A46D0D"/>
    <w:rsid w:val="44A95D2A"/>
    <w:rsid w:val="44B951CC"/>
    <w:rsid w:val="44BE0D29"/>
    <w:rsid w:val="44C10F0B"/>
    <w:rsid w:val="44C43FE2"/>
    <w:rsid w:val="44C46891"/>
    <w:rsid w:val="44C8423E"/>
    <w:rsid w:val="44CB4EB5"/>
    <w:rsid w:val="44CC15A8"/>
    <w:rsid w:val="44CD14E0"/>
    <w:rsid w:val="44CE617A"/>
    <w:rsid w:val="44D3731B"/>
    <w:rsid w:val="44D93A53"/>
    <w:rsid w:val="44DC072C"/>
    <w:rsid w:val="44DC7F6D"/>
    <w:rsid w:val="44DE2D03"/>
    <w:rsid w:val="44EA5E16"/>
    <w:rsid w:val="44EB7930"/>
    <w:rsid w:val="44EB79FC"/>
    <w:rsid w:val="44EC5126"/>
    <w:rsid w:val="44F20B0B"/>
    <w:rsid w:val="44F20D8A"/>
    <w:rsid w:val="44F33D65"/>
    <w:rsid w:val="44F9139D"/>
    <w:rsid w:val="44FB4053"/>
    <w:rsid w:val="44FD02FD"/>
    <w:rsid w:val="44FF3CAD"/>
    <w:rsid w:val="45024B14"/>
    <w:rsid w:val="450625AA"/>
    <w:rsid w:val="45076279"/>
    <w:rsid w:val="45107462"/>
    <w:rsid w:val="45110AAC"/>
    <w:rsid w:val="451816C8"/>
    <w:rsid w:val="4519777D"/>
    <w:rsid w:val="452021FA"/>
    <w:rsid w:val="45220A98"/>
    <w:rsid w:val="45227F78"/>
    <w:rsid w:val="4524265D"/>
    <w:rsid w:val="452D701E"/>
    <w:rsid w:val="452E5F4C"/>
    <w:rsid w:val="4532349B"/>
    <w:rsid w:val="45357C45"/>
    <w:rsid w:val="453937BB"/>
    <w:rsid w:val="453D5077"/>
    <w:rsid w:val="453E0752"/>
    <w:rsid w:val="45441D71"/>
    <w:rsid w:val="454554B1"/>
    <w:rsid w:val="454A1846"/>
    <w:rsid w:val="454A362A"/>
    <w:rsid w:val="45522193"/>
    <w:rsid w:val="45612018"/>
    <w:rsid w:val="457479A6"/>
    <w:rsid w:val="45764916"/>
    <w:rsid w:val="4586784B"/>
    <w:rsid w:val="458946E9"/>
    <w:rsid w:val="458C4D3B"/>
    <w:rsid w:val="4595205C"/>
    <w:rsid w:val="45982BBB"/>
    <w:rsid w:val="459B2317"/>
    <w:rsid w:val="459B7711"/>
    <w:rsid w:val="45A317CF"/>
    <w:rsid w:val="45A45CA6"/>
    <w:rsid w:val="45A47C0E"/>
    <w:rsid w:val="45A87B57"/>
    <w:rsid w:val="45A95176"/>
    <w:rsid w:val="45AD7F09"/>
    <w:rsid w:val="45BC270C"/>
    <w:rsid w:val="45C66FC2"/>
    <w:rsid w:val="45CF4C28"/>
    <w:rsid w:val="45D03BB6"/>
    <w:rsid w:val="45D20A9C"/>
    <w:rsid w:val="45ED3A71"/>
    <w:rsid w:val="45EE1600"/>
    <w:rsid w:val="45F54925"/>
    <w:rsid w:val="45F66658"/>
    <w:rsid w:val="45F80515"/>
    <w:rsid w:val="45F93022"/>
    <w:rsid w:val="45FE618C"/>
    <w:rsid w:val="4605713A"/>
    <w:rsid w:val="460768CC"/>
    <w:rsid w:val="46086E6D"/>
    <w:rsid w:val="46090A55"/>
    <w:rsid w:val="460D2BA8"/>
    <w:rsid w:val="46152600"/>
    <w:rsid w:val="46160458"/>
    <w:rsid w:val="46160AA8"/>
    <w:rsid w:val="461737F4"/>
    <w:rsid w:val="46180292"/>
    <w:rsid w:val="46207231"/>
    <w:rsid w:val="4621401C"/>
    <w:rsid w:val="46222452"/>
    <w:rsid w:val="462B1AEF"/>
    <w:rsid w:val="46330D6B"/>
    <w:rsid w:val="46364AA2"/>
    <w:rsid w:val="463949C5"/>
    <w:rsid w:val="46411E2D"/>
    <w:rsid w:val="4644085C"/>
    <w:rsid w:val="46452284"/>
    <w:rsid w:val="4645480E"/>
    <w:rsid w:val="464768F6"/>
    <w:rsid w:val="464949DA"/>
    <w:rsid w:val="464961EC"/>
    <w:rsid w:val="464A6846"/>
    <w:rsid w:val="464E0D79"/>
    <w:rsid w:val="464E2BA8"/>
    <w:rsid w:val="464F7B16"/>
    <w:rsid w:val="46507E7A"/>
    <w:rsid w:val="465261F4"/>
    <w:rsid w:val="465367C2"/>
    <w:rsid w:val="465518B5"/>
    <w:rsid w:val="46577FD6"/>
    <w:rsid w:val="46590580"/>
    <w:rsid w:val="46607A58"/>
    <w:rsid w:val="4667698D"/>
    <w:rsid w:val="46680E43"/>
    <w:rsid w:val="466E0E0D"/>
    <w:rsid w:val="467758EC"/>
    <w:rsid w:val="46787EE8"/>
    <w:rsid w:val="46794B93"/>
    <w:rsid w:val="46797EAC"/>
    <w:rsid w:val="467D1AF8"/>
    <w:rsid w:val="467E32F3"/>
    <w:rsid w:val="467E3ED1"/>
    <w:rsid w:val="4681230D"/>
    <w:rsid w:val="468302A4"/>
    <w:rsid w:val="46914607"/>
    <w:rsid w:val="46922533"/>
    <w:rsid w:val="46A1122E"/>
    <w:rsid w:val="46A20C3F"/>
    <w:rsid w:val="46A41C10"/>
    <w:rsid w:val="46A7622B"/>
    <w:rsid w:val="46A80CAB"/>
    <w:rsid w:val="46AC5A9D"/>
    <w:rsid w:val="46AD0904"/>
    <w:rsid w:val="46B02CAB"/>
    <w:rsid w:val="46BC10A8"/>
    <w:rsid w:val="46BD1C81"/>
    <w:rsid w:val="46BD6BD8"/>
    <w:rsid w:val="46C11ECA"/>
    <w:rsid w:val="46CD2651"/>
    <w:rsid w:val="46CF747A"/>
    <w:rsid w:val="46D0054F"/>
    <w:rsid w:val="46D11748"/>
    <w:rsid w:val="46D879D5"/>
    <w:rsid w:val="46D955A7"/>
    <w:rsid w:val="46E0513E"/>
    <w:rsid w:val="46E839E5"/>
    <w:rsid w:val="46EC1A77"/>
    <w:rsid w:val="46ED5A1C"/>
    <w:rsid w:val="46EF56AF"/>
    <w:rsid w:val="46F26964"/>
    <w:rsid w:val="46FA13DE"/>
    <w:rsid w:val="46FC1A4C"/>
    <w:rsid w:val="46FE3D19"/>
    <w:rsid w:val="46FE4D33"/>
    <w:rsid w:val="47060B1D"/>
    <w:rsid w:val="4706480A"/>
    <w:rsid w:val="470C65B9"/>
    <w:rsid w:val="47133957"/>
    <w:rsid w:val="471B7A9D"/>
    <w:rsid w:val="471F03B3"/>
    <w:rsid w:val="47354183"/>
    <w:rsid w:val="473C32A8"/>
    <w:rsid w:val="473F3DA2"/>
    <w:rsid w:val="47431B6E"/>
    <w:rsid w:val="47431B7D"/>
    <w:rsid w:val="47476B81"/>
    <w:rsid w:val="474E0BBF"/>
    <w:rsid w:val="474E0CD4"/>
    <w:rsid w:val="47533C96"/>
    <w:rsid w:val="475511B0"/>
    <w:rsid w:val="475F02B5"/>
    <w:rsid w:val="476C6F1C"/>
    <w:rsid w:val="476D770E"/>
    <w:rsid w:val="4770255B"/>
    <w:rsid w:val="47723ABC"/>
    <w:rsid w:val="477701A9"/>
    <w:rsid w:val="47771D37"/>
    <w:rsid w:val="477E3358"/>
    <w:rsid w:val="477F680B"/>
    <w:rsid w:val="47814935"/>
    <w:rsid w:val="478E35F1"/>
    <w:rsid w:val="478E72B9"/>
    <w:rsid w:val="47915059"/>
    <w:rsid w:val="4792407F"/>
    <w:rsid w:val="47950996"/>
    <w:rsid w:val="47976E87"/>
    <w:rsid w:val="47984A8A"/>
    <w:rsid w:val="479E6318"/>
    <w:rsid w:val="47A07E0C"/>
    <w:rsid w:val="47A34C31"/>
    <w:rsid w:val="47A62A5D"/>
    <w:rsid w:val="47AA1392"/>
    <w:rsid w:val="47AB73BB"/>
    <w:rsid w:val="47AC63EE"/>
    <w:rsid w:val="47B265AF"/>
    <w:rsid w:val="47B87371"/>
    <w:rsid w:val="47BE3144"/>
    <w:rsid w:val="47C05F4D"/>
    <w:rsid w:val="47C16173"/>
    <w:rsid w:val="47C24AFC"/>
    <w:rsid w:val="47C50090"/>
    <w:rsid w:val="47C65E4E"/>
    <w:rsid w:val="47CF0F0F"/>
    <w:rsid w:val="47CF29E6"/>
    <w:rsid w:val="47D97FD6"/>
    <w:rsid w:val="47E25031"/>
    <w:rsid w:val="47E50B5D"/>
    <w:rsid w:val="47E80D45"/>
    <w:rsid w:val="47E84EC4"/>
    <w:rsid w:val="47F02AC6"/>
    <w:rsid w:val="47F55EF3"/>
    <w:rsid w:val="47F85484"/>
    <w:rsid w:val="47FD068F"/>
    <w:rsid w:val="480A6B7A"/>
    <w:rsid w:val="480D779A"/>
    <w:rsid w:val="480E5490"/>
    <w:rsid w:val="480E62FB"/>
    <w:rsid w:val="48103B40"/>
    <w:rsid w:val="4818105C"/>
    <w:rsid w:val="48192959"/>
    <w:rsid w:val="481A7E3A"/>
    <w:rsid w:val="481F19FB"/>
    <w:rsid w:val="482244DC"/>
    <w:rsid w:val="482B6CCE"/>
    <w:rsid w:val="48311BC9"/>
    <w:rsid w:val="483425CE"/>
    <w:rsid w:val="48353277"/>
    <w:rsid w:val="483575CC"/>
    <w:rsid w:val="4836255B"/>
    <w:rsid w:val="48366A3F"/>
    <w:rsid w:val="4837606B"/>
    <w:rsid w:val="48381CD9"/>
    <w:rsid w:val="483872C5"/>
    <w:rsid w:val="483D40CA"/>
    <w:rsid w:val="483F2019"/>
    <w:rsid w:val="483F331D"/>
    <w:rsid w:val="484838F3"/>
    <w:rsid w:val="48496F13"/>
    <w:rsid w:val="484D77DB"/>
    <w:rsid w:val="4850658B"/>
    <w:rsid w:val="48580E9D"/>
    <w:rsid w:val="485A0681"/>
    <w:rsid w:val="485F0EEE"/>
    <w:rsid w:val="48667F99"/>
    <w:rsid w:val="48673E8E"/>
    <w:rsid w:val="486B315D"/>
    <w:rsid w:val="486E662B"/>
    <w:rsid w:val="486F6530"/>
    <w:rsid w:val="4870272E"/>
    <w:rsid w:val="489431D5"/>
    <w:rsid w:val="489546E8"/>
    <w:rsid w:val="489951DC"/>
    <w:rsid w:val="48A17A02"/>
    <w:rsid w:val="48A501F5"/>
    <w:rsid w:val="48AF18EA"/>
    <w:rsid w:val="48B02826"/>
    <w:rsid w:val="48B25F42"/>
    <w:rsid w:val="48B72175"/>
    <w:rsid w:val="48B8695B"/>
    <w:rsid w:val="48BD0639"/>
    <w:rsid w:val="48BD1B09"/>
    <w:rsid w:val="48BE0572"/>
    <w:rsid w:val="48C16CA0"/>
    <w:rsid w:val="48C532E9"/>
    <w:rsid w:val="48C70316"/>
    <w:rsid w:val="48C77E38"/>
    <w:rsid w:val="48C9454D"/>
    <w:rsid w:val="48CD522C"/>
    <w:rsid w:val="48D02C33"/>
    <w:rsid w:val="48D34521"/>
    <w:rsid w:val="48E024F5"/>
    <w:rsid w:val="48E11A19"/>
    <w:rsid w:val="48E33E25"/>
    <w:rsid w:val="48EE30EB"/>
    <w:rsid w:val="48EE55C2"/>
    <w:rsid w:val="48EF188D"/>
    <w:rsid w:val="48F47443"/>
    <w:rsid w:val="48F54724"/>
    <w:rsid w:val="49012E7D"/>
    <w:rsid w:val="490266AD"/>
    <w:rsid w:val="49034C2E"/>
    <w:rsid w:val="490434A1"/>
    <w:rsid w:val="490604BA"/>
    <w:rsid w:val="490D6365"/>
    <w:rsid w:val="491C70B7"/>
    <w:rsid w:val="491F5EC6"/>
    <w:rsid w:val="49206FD5"/>
    <w:rsid w:val="49291655"/>
    <w:rsid w:val="492A4733"/>
    <w:rsid w:val="49303D58"/>
    <w:rsid w:val="4932572A"/>
    <w:rsid w:val="49426E11"/>
    <w:rsid w:val="49430FCD"/>
    <w:rsid w:val="494617DF"/>
    <w:rsid w:val="494E19E0"/>
    <w:rsid w:val="49575660"/>
    <w:rsid w:val="495C329E"/>
    <w:rsid w:val="49675C45"/>
    <w:rsid w:val="496764E1"/>
    <w:rsid w:val="49680512"/>
    <w:rsid w:val="496E747D"/>
    <w:rsid w:val="49716334"/>
    <w:rsid w:val="49783F4F"/>
    <w:rsid w:val="497853F1"/>
    <w:rsid w:val="497B0C92"/>
    <w:rsid w:val="497C2339"/>
    <w:rsid w:val="497D6DF6"/>
    <w:rsid w:val="497E2BE8"/>
    <w:rsid w:val="49830203"/>
    <w:rsid w:val="49894CEA"/>
    <w:rsid w:val="498F0DD8"/>
    <w:rsid w:val="4993092B"/>
    <w:rsid w:val="49960B42"/>
    <w:rsid w:val="499A7923"/>
    <w:rsid w:val="499F7FE6"/>
    <w:rsid w:val="49B322DE"/>
    <w:rsid w:val="49B54BA8"/>
    <w:rsid w:val="49B652A4"/>
    <w:rsid w:val="49B82B8A"/>
    <w:rsid w:val="49BA1429"/>
    <w:rsid w:val="49BB3406"/>
    <w:rsid w:val="49BE123B"/>
    <w:rsid w:val="49C26A0C"/>
    <w:rsid w:val="49C63CB5"/>
    <w:rsid w:val="49C704F8"/>
    <w:rsid w:val="49C84469"/>
    <w:rsid w:val="49C918A3"/>
    <w:rsid w:val="49C92E93"/>
    <w:rsid w:val="49C94EFC"/>
    <w:rsid w:val="49D4280C"/>
    <w:rsid w:val="49D611E2"/>
    <w:rsid w:val="49D64F66"/>
    <w:rsid w:val="49DC3C35"/>
    <w:rsid w:val="49DC7715"/>
    <w:rsid w:val="49DD71DE"/>
    <w:rsid w:val="49DE3019"/>
    <w:rsid w:val="49DF5521"/>
    <w:rsid w:val="49E91E93"/>
    <w:rsid w:val="49EA1F09"/>
    <w:rsid w:val="49EA5BBF"/>
    <w:rsid w:val="49EC173D"/>
    <w:rsid w:val="49F11AA3"/>
    <w:rsid w:val="49F92F6F"/>
    <w:rsid w:val="49FA0C27"/>
    <w:rsid w:val="4A001853"/>
    <w:rsid w:val="4A023139"/>
    <w:rsid w:val="4A052F31"/>
    <w:rsid w:val="4A0D3B33"/>
    <w:rsid w:val="4A1031E0"/>
    <w:rsid w:val="4A113656"/>
    <w:rsid w:val="4A1616BD"/>
    <w:rsid w:val="4A164F90"/>
    <w:rsid w:val="4A220E48"/>
    <w:rsid w:val="4A2A792E"/>
    <w:rsid w:val="4A361719"/>
    <w:rsid w:val="4A38692C"/>
    <w:rsid w:val="4A4B3C81"/>
    <w:rsid w:val="4A552C62"/>
    <w:rsid w:val="4A563EBE"/>
    <w:rsid w:val="4A5773DB"/>
    <w:rsid w:val="4A6563CF"/>
    <w:rsid w:val="4A711605"/>
    <w:rsid w:val="4A7665E3"/>
    <w:rsid w:val="4A771DA6"/>
    <w:rsid w:val="4A776791"/>
    <w:rsid w:val="4A782276"/>
    <w:rsid w:val="4A7A523E"/>
    <w:rsid w:val="4A7B1BDE"/>
    <w:rsid w:val="4A7B38F2"/>
    <w:rsid w:val="4A7B576F"/>
    <w:rsid w:val="4A802AF0"/>
    <w:rsid w:val="4A807E02"/>
    <w:rsid w:val="4A8F3C7F"/>
    <w:rsid w:val="4A92074F"/>
    <w:rsid w:val="4A9679B7"/>
    <w:rsid w:val="4A986C7A"/>
    <w:rsid w:val="4A9C4DB8"/>
    <w:rsid w:val="4A9F3BE2"/>
    <w:rsid w:val="4AA511E4"/>
    <w:rsid w:val="4AA54826"/>
    <w:rsid w:val="4ABB1980"/>
    <w:rsid w:val="4AC30030"/>
    <w:rsid w:val="4AC47CAC"/>
    <w:rsid w:val="4AC54EC0"/>
    <w:rsid w:val="4AC57DFA"/>
    <w:rsid w:val="4AC72371"/>
    <w:rsid w:val="4AC75741"/>
    <w:rsid w:val="4ACA3E7C"/>
    <w:rsid w:val="4AD35A45"/>
    <w:rsid w:val="4AD40F16"/>
    <w:rsid w:val="4AD53D6E"/>
    <w:rsid w:val="4AD93E52"/>
    <w:rsid w:val="4AE249F4"/>
    <w:rsid w:val="4AE52E00"/>
    <w:rsid w:val="4AEE6FC7"/>
    <w:rsid w:val="4AF561A9"/>
    <w:rsid w:val="4AF64347"/>
    <w:rsid w:val="4B0502D6"/>
    <w:rsid w:val="4B0A1403"/>
    <w:rsid w:val="4B0E61F2"/>
    <w:rsid w:val="4B1443F0"/>
    <w:rsid w:val="4B1550A5"/>
    <w:rsid w:val="4B156BBC"/>
    <w:rsid w:val="4B191A7F"/>
    <w:rsid w:val="4B1C7E5B"/>
    <w:rsid w:val="4B22217C"/>
    <w:rsid w:val="4B257098"/>
    <w:rsid w:val="4B26049D"/>
    <w:rsid w:val="4B270039"/>
    <w:rsid w:val="4B2C5BC9"/>
    <w:rsid w:val="4B3068E9"/>
    <w:rsid w:val="4B335C59"/>
    <w:rsid w:val="4B356F89"/>
    <w:rsid w:val="4B382A7C"/>
    <w:rsid w:val="4B3A68A2"/>
    <w:rsid w:val="4B3F0F1B"/>
    <w:rsid w:val="4B3F5624"/>
    <w:rsid w:val="4B431B29"/>
    <w:rsid w:val="4B4677DC"/>
    <w:rsid w:val="4B482FDC"/>
    <w:rsid w:val="4B4E3DF6"/>
    <w:rsid w:val="4B5300A9"/>
    <w:rsid w:val="4B55380C"/>
    <w:rsid w:val="4B5959B3"/>
    <w:rsid w:val="4B5959D0"/>
    <w:rsid w:val="4B5A4F93"/>
    <w:rsid w:val="4B5E09E3"/>
    <w:rsid w:val="4B7207D4"/>
    <w:rsid w:val="4B761D31"/>
    <w:rsid w:val="4B836260"/>
    <w:rsid w:val="4B837E91"/>
    <w:rsid w:val="4B8D01BF"/>
    <w:rsid w:val="4B8F4771"/>
    <w:rsid w:val="4B905513"/>
    <w:rsid w:val="4B9206C9"/>
    <w:rsid w:val="4B92700D"/>
    <w:rsid w:val="4B936CFD"/>
    <w:rsid w:val="4B944ADB"/>
    <w:rsid w:val="4B9947E0"/>
    <w:rsid w:val="4BAD04AD"/>
    <w:rsid w:val="4BAD0EAF"/>
    <w:rsid w:val="4BAD6936"/>
    <w:rsid w:val="4BB01C9B"/>
    <w:rsid w:val="4BB646AB"/>
    <w:rsid w:val="4BB714F3"/>
    <w:rsid w:val="4BBA62CD"/>
    <w:rsid w:val="4BBF584D"/>
    <w:rsid w:val="4BC45E7C"/>
    <w:rsid w:val="4BC65C1F"/>
    <w:rsid w:val="4BC83CB8"/>
    <w:rsid w:val="4BC92119"/>
    <w:rsid w:val="4BDF51F8"/>
    <w:rsid w:val="4BDF5691"/>
    <w:rsid w:val="4BE041C3"/>
    <w:rsid w:val="4BE959A6"/>
    <w:rsid w:val="4BEA27BB"/>
    <w:rsid w:val="4BEC3D01"/>
    <w:rsid w:val="4BF71265"/>
    <w:rsid w:val="4BF721BE"/>
    <w:rsid w:val="4BFB31F7"/>
    <w:rsid w:val="4BFD6579"/>
    <w:rsid w:val="4BFE7671"/>
    <w:rsid w:val="4BFF581C"/>
    <w:rsid w:val="4C061800"/>
    <w:rsid w:val="4C065710"/>
    <w:rsid w:val="4C0E3588"/>
    <w:rsid w:val="4C106C3B"/>
    <w:rsid w:val="4C2C5422"/>
    <w:rsid w:val="4C2C67C4"/>
    <w:rsid w:val="4C3C4BDF"/>
    <w:rsid w:val="4C4261D4"/>
    <w:rsid w:val="4C4A0649"/>
    <w:rsid w:val="4C4B29F9"/>
    <w:rsid w:val="4C4F6CF0"/>
    <w:rsid w:val="4C5B5467"/>
    <w:rsid w:val="4C5B6CB9"/>
    <w:rsid w:val="4C61141F"/>
    <w:rsid w:val="4C6B7184"/>
    <w:rsid w:val="4C6C0DCC"/>
    <w:rsid w:val="4C764B42"/>
    <w:rsid w:val="4C797593"/>
    <w:rsid w:val="4C7E5ECA"/>
    <w:rsid w:val="4C876AA5"/>
    <w:rsid w:val="4C8B0496"/>
    <w:rsid w:val="4C910CFE"/>
    <w:rsid w:val="4C9D13B6"/>
    <w:rsid w:val="4CA26CC1"/>
    <w:rsid w:val="4CA34D48"/>
    <w:rsid w:val="4CA40102"/>
    <w:rsid w:val="4CAB5D66"/>
    <w:rsid w:val="4CAD0054"/>
    <w:rsid w:val="4CB86415"/>
    <w:rsid w:val="4CB968D1"/>
    <w:rsid w:val="4CBA03DF"/>
    <w:rsid w:val="4CBD74B7"/>
    <w:rsid w:val="4CD10E18"/>
    <w:rsid w:val="4CD466FE"/>
    <w:rsid w:val="4CD60F91"/>
    <w:rsid w:val="4CD8042C"/>
    <w:rsid w:val="4CDD4567"/>
    <w:rsid w:val="4CE0545A"/>
    <w:rsid w:val="4CEB3321"/>
    <w:rsid w:val="4CED3C0E"/>
    <w:rsid w:val="4CF221A1"/>
    <w:rsid w:val="4CF2559A"/>
    <w:rsid w:val="4CF64A76"/>
    <w:rsid w:val="4CF87B1C"/>
    <w:rsid w:val="4CF94237"/>
    <w:rsid w:val="4CFB09F8"/>
    <w:rsid w:val="4CFB2B88"/>
    <w:rsid w:val="4CFC2960"/>
    <w:rsid w:val="4CFC6CBF"/>
    <w:rsid w:val="4CFD0B53"/>
    <w:rsid w:val="4D0769C1"/>
    <w:rsid w:val="4D0D6132"/>
    <w:rsid w:val="4D0E00FB"/>
    <w:rsid w:val="4D106DBA"/>
    <w:rsid w:val="4D1473C4"/>
    <w:rsid w:val="4D176606"/>
    <w:rsid w:val="4D1B26CA"/>
    <w:rsid w:val="4D1C1C01"/>
    <w:rsid w:val="4D230C15"/>
    <w:rsid w:val="4D2412F2"/>
    <w:rsid w:val="4D286FE0"/>
    <w:rsid w:val="4D2956E6"/>
    <w:rsid w:val="4D2C303F"/>
    <w:rsid w:val="4D2F0C94"/>
    <w:rsid w:val="4D330689"/>
    <w:rsid w:val="4D3467AB"/>
    <w:rsid w:val="4D3A0517"/>
    <w:rsid w:val="4D3F2693"/>
    <w:rsid w:val="4D405B62"/>
    <w:rsid w:val="4D4A6978"/>
    <w:rsid w:val="4D4A6F7D"/>
    <w:rsid w:val="4D4B1038"/>
    <w:rsid w:val="4D5073AC"/>
    <w:rsid w:val="4D543701"/>
    <w:rsid w:val="4D5465B6"/>
    <w:rsid w:val="4D565D1C"/>
    <w:rsid w:val="4D567E93"/>
    <w:rsid w:val="4D5828F7"/>
    <w:rsid w:val="4D582F1A"/>
    <w:rsid w:val="4D5A39E1"/>
    <w:rsid w:val="4D5E580B"/>
    <w:rsid w:val="4D5F3011"/>
    <w:rsid w:val="4D625ABD"/>
    <w:rsid w:val="4D6C0776"/>
    <w:rsid w:val="4D6D4256"/>
    <w:rsid w:val="4D6F424F"/>
    <w:rsid w:val="4D733C2D"/>
    <w:rsid w:val="4D7471F9"/>
    <w:rsid w:val="4D75097E"/>
    <w:rsid w:val="4D7C7519"/>
    <w:rsid w:val="4D820A92"/>
    <w:rsid w:val="4D856693"/>
    <w:rsid w:val="4D881010"/>
    <w:rsid w:val="4D892B11"/>
    <w:rsid w:val="4D8F1B6B"/>
    <w:rsid w:val="4D9536CC"/>
    <w:rsid w:val="4D9C4BDE"/>
    <w:rsid w:val="4D9E1EFD"/>
    <w:rsid w:val="4DA5551D"/>
    <w:rsid w:val="4DAA338D"/>
    <w:rsid w:val="4DAE7818"/>
    <w:rsid w:val="4DB40EE0"/>
    <w:rsid w:val="4DB645C4"/>
    <w:rsid w:val="4DB64F2F"/>
    <w:rsid w:val="4DBC1F35"/>
    <w:rsid w:val="4DC05945"/>
    <w:rsid w:val="4DC31516"/>
    <w:rsid w:val="4DCA44FA"/>
    <w:rsid w:val="4DCE1E2F"/>
    <w:rsid w:val="4DD265C0"/>
    <w:rsid w:val="4DD361FF"/>
    <w:rsid w:val="4DDC0AA8"/>
    <w:rsid w:val="4DDD0ED4"/>
    <w:rsid w:val="4DDD3FA9"/>
    <w:rsid w:val="4DDE6A9C"/>
    <w:rsid w:val="4DE44AE0"/>
    <w:rsid w:val="4DEC4FB0"/>
    <w:rsid w:val="4DF93DAC"/>
    <w:rsid w:val="4DFA2E8F"/>
    <w:rsid w:val="4DFC7F1C"/>
    <w:rsid w:val="4DFD3271"/>
    <w:rsid w:val="4E014AFA"/>
    <w:rsid w:val="4E036A76"/>
    <w:rsid w:val="4E075D8A"/>
    <w:rsid w:val="4E0B31CA"/>
    <w:rsid w:val="4E0B736E"/>
    <w:rsid w:val="4E0D250D"/>
    <w:rsid w:val="4E0F2496"/>
    <w:rsid w:val="4E296D81"/>
    <w:rsid w:val="4E2B7B5E"/>
    <w:rsid w:val="4E2C0F1C"/>
    <w:rsid w:val="4E30070B"/>
    <w:rsid w:val="4E35547E"/>
    <w:rsid w:val="4E3851B9"/>
    <w:rsid w:val="4E3B0A3A"/>
    <w:rsid w:val="4E4826B3"/>
    <w:rsid w:val="4E4E388A"/>
    <w:rsid w:val="4E5673BD"/>
    <w:rsid w:val="4E5F0DDA"/>
    <w:rsid w:val="4E5F5372"/>
    <w:rsid w:val="4E604FB7"/>
    <w:rsid w:val="4E605485"/>
    <w:rsid w:val="4E610C85"/>
    <w:rsid w:val="4E617C55"/>
    <w:rsid w:val="4E662D16"/>
    <w:rsid w:val="4E681B8C"/>
    <w:rsid w:val="4E6A412A"/>
    <w:rsid w:val="4E6B66B8"/>
    <w:rsid w:val="4E6C77F3"/>
    <w:rsid w:val="4E724CEA"/>
    <w:rsid w:val="4E727159"/>
    <w:rsid w:val="4E77033A"/>
    <w:rsid w:val="4E7A439B"/>
    <w:rsid w:val="4E86699F"/>
    <w:rsid w:val="4EA54AF9"/>
    <w:rsid w:val="4EAB5F00"/>
    <w:rsid w:val="4EB3368C"/>
    <w:rsid w:val="4EBB3930"/>
    <w:rsid w:val="4EBE7704"/>
    <w:rsid w:val="4EC00FAD"/>
    <w:rsid w:val="4EC90485"/>
    <w:rsid w:val="4ECC61A8"/>
    <w:rsid w:val="4ECE7BCB"/>
    <w:rsid w:val="4ED157B7"/>
    <w:rsid w:val="4ED57278"/>
    <w:rsid w:val="4ED72D2C"/>
    <w:rsid w:val="4ED80BEB"/>
    <w:rsid w:val="4EE26A86"/>
    <w:rsid w:val="4EF018F4"/>
    <w:rsid w:val="4EF075B3"/>
    <w:rsid w:val="4EF43D78"/>
    <w:rsid w:val="4EFB1CA6"/>
    <w:rsid w:val="4EFF41D8"/>
    <w:rsid w:val="4F050CD4"/>
    <w:rsid w:val="4F0A2534"/>
    <w:rsid w:val="4F0E6D5D"/>
    <w:rsid w:val="4F0E6F58"/>
    <w:rsid w:val="4F1418FD"/>
    <w:rsid w:val="4F17689D"/>
    <w:rsid w:val="4F223476"/>
    <w:rsid w:val="4F2C6C47"/>
    <w:rsid w:val="4F2F1C34"/>
    <w:rsid w:val="4F3212B2"/>
    <w:rsid w:val="4F333490"/>
    <w:rsid w:val="4F355D9B"/>
    <w:rsid w:val="4F36667F"/>
    <w:rsid w:val="4F407E7D"/>
    <w:rsid w:val="4F413F0E"/>
    <w:rsid w:val="4F4370F2"/>
    <w:rsid w:val="4F453FDE"/>
    <w:rsid w:val="4F461112"/>
    <w:rsid w:val="4F4915A7"/>
    <w:rsid w:val="4F4A2B94"/>
    <w:rsid w:val="4F502BC0"/>
    <w:rsid w:val="4F557141"/>
    <w:rsid w:val="4F5E5B74"/>
    <w:rsid w:val="4F5F526E"/>
    <w:rsid w:val="4F5F5C3F"/>
    <w:rsid w:val="4F6C15BC"/>
    <w:rsid w:val="4F6C4681"/>
    <w:rsid w:val="4F6F213E"/>
    <w:rsid w:val="4F730D1A"/>
    <w:rsid w:val="4F763D90"/>
    <w:rsid w:val="4F773B59"/>
    <w:rsid w:val="4F803237"/>
    <w:rsid w:val="4F80799B"/>
    <w:rsid w:val="4F841386"/>
    <w:rsid w:val="4F8D442A"/>
    <w:rsid w:val="4F9843DC"/>
    <w:rsid w:val="4F9B2DE3"/>
    <w:rsid w:val="4F9D2544"/>
    <w:rsid w:val="4FA05EC4"/>
    <w:rsid w:val="4FA11B42"/>
    <w:rsid w:val="4FAA2859"/>
    <w:rsid w:val="4FAA681D"/>
    <w:rsid w:val="4FAC76F3"/>
    <w:rsid w:val="4FB214EC"/>
    <w:rsid w:val="4FB21777"/>
    <w:rsid w:val="4FB437DA"/>
    <w:rsid w:val="4FBF737C"/>
    <w:rsid w:val="4FC00B88"/>
    <w:rsid w:val="4FC13933"/>
    <w:rsid w:val="4FC17E5B"/>
    <w:rsid w:val="4FC62A8C"/>
    <w:rsid w:val="4FC76DD2"/>
    <w:rsid w:val="4FCB2D35"/>
    <w:rsid w:val="4FCF3616"/>
    <w:rsid w:val="4FCF7423"/>
    <w:rsid w:val="4FD219ED"/>
    <w:rsid w:val="4FD70824"/>
    <w:rsid w:val="4FE20B1E"/>
    <w:rsid w:val="4FE20F0D"/>
    <w:rsid w:val="4FE267DC"/>
    <w:rsid w:val="4FE51552"/>
    <w:rsid w:val="4FE53250"/>
    <w:rsid w:val="4FEB2917"/>
    <w:rsid w:val="4FEC4AED"/>
    <w:rsid w:val="4FED3E0C"/>
    <w:rsid w:val="4FF14C70"/>
    <w:rsid w:val="4FF939CB"/>
    <w:rsid w:val="4FFC10FA"/>
    <w:rsid w:val="4FFC7854"/>
    <w:rsid w:val="4FFF419C"/>
    <w:rsid w:val="50010F5D"/>
    <w:rsid w:val="50024C18"/>
    <w:rsid w:val="50033F66"/>
    <w:rsid w:val="500656EA"/>
    <w:rsid w:val="500707B0"/>
    <w:rsid w:val="5008178E"/>
    <w:rsid w:val="500A7922"/>
    <w:rsid w:val="500B5179"/>
    <w:rsid w:val="501025C1"/>
    <w:rsid w:val="501145E2"/>
    <w:rsid w:val="50194C80"/>
    <w:rsid w:val="501A0C23"/>
    <w:rsid w:val="501F4A58"/>
    <w:rsid w:val="501F4D26"/>
    <w:rsid w:val="5020642F"/>
    <w:rsid w:val="50241FFC"/>
    <w:rsid w:val="50255EC4"/>
    <w:rsid w:val="502C5B03"/>
    <w:rsid w:val="502D50C3"/>
    <w:rsid w:val="503B5746"/>
    <w:rsid w:val="503E1C5E"/>
    <w:rsid w:val="503E7BF6"/>
    <w:rsid w:val="503F6558"/>
    <w:rsid w:val="50401C5B"/>
    <w:rsid w:val="50435DEE"/>
    <w:rsid w:val="504418FE"/>
    <w:rsid w:val="50485D20"/>
    <w:rsid w:val="50504C4B"/>
    <w:rsid w:val="50506590"/>
    <w:rsid w:val="505717A2"/>
    <w:rsid w:val="50596351"/>
    <w:rsid w:val="505B568D"/>
    <w:rsid w:val="505C2B55"/>
    <w:rsid w:val="50607D66"/>
    <w:rsid w:val="506104D1"/>
    <w:rsid w:val="50634FEE"/>
    <w:rsid w:val="506626AE"/>
    <w:rsid w:val="5067562F"/>
    <w:rsid w:val="506E067B"/>
    <w:rsid w:val="506E0E57"/>
    <w:rsid w:val="50726A1D"/>
    <w:rsid w:val="507B25EC"/>
    <w:rsid w:val="50800FC2"/>
    <w:rsid w:val="508D4A1D"/>
    <w:rsid w:val="508F1D69"/>
    <w:rsid w:val="50927A15"/>
    <w:rsid w:val="509C6E7C"/>
    <w:rsid w:val="509D7E32"/>
    <w:rsid w:val="50A40336"/>
    <w:rsid w:val="50A54F03"/>
    <w:rsid w:val="50A7534E"/>
    <w:rsid w:val="50A76666"/>
    <w:rsid w:val="50A81AB3"/>
    <w:rsid w:val="50AF0E94"/>
    <w:rsid w:val="50B40F5E"/>
    <w:rsid w:val="50B76AE2"/>
    <w:rsid w:val="50BD32F7"/>
    <w:rsid w:val="50C01D3C"/>
    <w:rsid w:val="50C451F2"/>
    <w:rsid w:val="50C5683D"/>
    <w:rsid w:val="50D36D0D"/>
    <w:rsid w:val="50D95BEB"/>
    <w:rsid w:val="50DA0CCD"/>
    <w:rsid w:val="50E63A81"/>
    <w:rsid w:val="50E7376D"/>
    <w:rsid w:val="50E757DC"/>
    <w:rsid w:val="50EC3FE1"/>
    <w:rsid w:val="50FD287F"/>
    <w:rsid w:val="50FE48D0"/>
    <w:rsid w:val="510548FC"/>
    <w:rsid w:val="51123482"/>
    <w:rsid w:val="51145F88"/>
    <w:rsid w:val="51187A9F"/>
    <w:rsid w:val="511A5FBB"/>
    <w:rsid w:val="511B69AD"/>
    <w:rsid w:val="512177E8"/>
    <w:rsid w:val="51234C7A"/>
    <w:rsid w:val="512E6647"/>
    <w:rsid w:val="512F0C70"/>
    <w:rsid w:val="512F3BA8"/>
    <w:rsid w:val="51327738"/>
    <w:rsid w:val="51360D60"/>
    <w:rsid w:val="51382D71"/>
    <w:rsid w:val="513865F2"/>
    <w:rsid w:val="51390F94"/>
    <w:rsid w:val="51426D40"/>
    <w:rsid w:val="514C212E"/>
    <w:rsid w:val="51501EBB"/>
    <w:rsid w:val="51505975"/>
    <w:rsid w:val="51510223"/>
    <w:rsid w:val="515110B9"/>
    <w:rsid w:val="515F0B5F"/>
    <w:rsid w:val="5162104E"/>
    <w:rsid w:val="51672559"/>
    <w:rsid w:val="5167266E"/>
    <w:rsid w:val="51680A29"/>
    <w:rsid w:val="51680F94"/>
    <w:rsid w:val="51687A3E"/>
    <w:rsid w:val="51744399"/>
    <w:rsid w:val="51824187"/>
    <w:rsid w:val="51827CF0"/>
    <w:rsid w:val="518D1BA5"/>
    <w:rsid w:val="518D2DA3"/>
    <w:rsid w:val="51910060"/>
    <w:rsid w:val="51933719"/>
    <w:rsid w:val="5196564A"/>
    <w:rsid w:val="51981E3E"/>
    <w:rsid w:val="519D4E63"/>
    <w:rsid w:val="51A139B6"/>
    <w:rsid w:val="51A27E07"/>
    <w:rsid w:val="51A57EC9"/>
    <w:rsid w:val="51A9018B"/>
    <w:rsid w:val="51AB0B68"/>
    <w:rsid w:val="51AC0A25"/>
    <w:rsid w:val="51AC6698"/>
    <w:rsid w:val="51AF590F"/>
    <w:rsid w:val="51B045EC"/>
    <w:rsid w:val="51B53355"/>
    <w:rsid w:val="51B9412D"/>
    <w:rsid w:val="51BB01F4"/>
    <w:rsid w:val="51C15D6C"/>
    <w:rsid w:val="51C4760A"/>
    <w:rsid w:val="51CF3BB1"/>
    <w:rsid w:val="51CF6F53"/>
    <w:rsid w:val="51D04201"/>
    <w:rsid w:val="51D671BA"/>
    <w:rsid w:val="51DE62A5"/>
    <w:rsid w:val="51E40087"/>
    <w:rsid w:val="51E85046"/>
    <w:rsid w:val="51EA65FC"/>
    <w:rsid w:val="51EB3610"/>
    <w:rsid w:val="51EC2F25"/>
    <w:rsid w:val="51F84358"/>
    <w:rsid w:val="51F96C81"/>
    <w:rsid w:val="51FB330B"/>
    <w:rsid w:val="52022BC8"/>
    <w:rsid w:val="52096BA4"/>
    <w:rsid w:val="520D609C"/>
    <w:rsid w:val="521C7446"/>
    <w:rsid w:val="521E59C9"/>
    <w:rsid w:val="52202768"/>
    <w:rsid w:val="52202F33"/>
    <w:rsid w:val="5222272C"/>
    <w:rsid w:val="52291CD0"/>
    <w:rsid w:val="522A5E34"/>
    <w:rsid w:val="522D4A3C"/>
    <w:rsid w:val="52342EAD"/>
    <w:rsid w:val="52345AFE"/>
    <w:rsid w:val="52347A55"/>
    <w:rsid w:val="523672BC"/>
    <w:rsid w:val="523A73EE"/>
    <w:rsid w:val="5240450F"/>
    <w:rsid w:val="52461405"/>
    <w:rsid w:val="524B3200"/>
    <w:rsid w:val="52525504"/>
    <w:rsid w:val="52554706"/>
    <w:rsid w:val="52583C45"/>
    <w:rsid w:val="525C3750"/>
    <w:rsid w:val="52654DCD"/>
    <w:rsid w:val="526651E2"/>
    <w:rsid w:val="52671CEB"/>
    <w:rsid w:val="526E683E"/>
    <w:rsid w:val="5277467D"/>
    <w:rsid w:val="5278510F"/>
    <w:rsid w:val="527F195C"/>
    <w:rsid w:val="52804C8C"/>
    <w:rsid w:val="52837DC1"/>
    <w:rsid w:val="52884ADC"/>
    <w:rsid w:val="528D4AEB"/>
    <w:rsid w:val="528F1D7E"/>
    <w:rsid w:val="528F5E6A"/>
    <w:rsid w:val="529A511D"/>
    <w:rsid w:val="52A06358"/>
    <w:rsid w:val="52A82B36"/>
    <w:rsid w:val="52A9284C"/>
    <w:rsid w:val="52B23ED4"/>
    <w:rsid w:val="52B54761"/>
    <w:rsid w:val="52BA17E6"/>
    <w:rsid w:val="52BE405A"/>
    <w:rsid w:val="52C050DB"/>
    <w:rsid w:val="52C1071F"/>
    <w:rsid w:val="52C41D13"/>
    <w:rsid w:val="52C67E3B"/>
    <w:rsid w:val="52CC02AC"/>
    <w:rsid w:val="52CF691F"/>
    <w:rsid w:val="52D03FC9"/>
    <w:rsid w:val="52D234C7"/>
    <w:rsid w:val="52D64BD6"/>
    <w:rsid w:val="52D67B87"/>
    <w:rsid w:val="52DD3B1C"/>
    <w:rsid w:val="52E25DDA"/>
    <w:rsid w:val="52E3616F"/>
    <w:rsid w:val="52E37B9B"/>
    <w:rsid w:val="52E64E44"/>
    <w:rsid w:val="52EE79CB"/>
    <w:rsid w:val="52F04794"/>
    <w:rsid w:val="52F84176"/>
    <w:rsid w:val="52FA0771"/>
    <w:rsid w:val="52FD3574"/>
    <w:rsid w:val="53010E60"/>
    <w:rsid w:val="53041D24"/>
    <w:rsid w:val="53075102"/>
    <w:rsid w:val="53101AD7"/>
    <w:rsid w:val="53153DA9"/>
    <w:rsid w:val="531D1C70"/>
    <w:rsid w:val="53232554"/>
    <w:rsid w:val="53351A42"/>
    <w:rsid w:val="53384CC6"/>
    <w:rsid w:val="534775A6"/>
    <w:rsid w:val="534C3341"/>
    <w:rsid w:val="535008A4"/>
    <w:rsid w:val="53551437"/>
    <w:rsid w:val="536269E4"/>
    <w:rsid w:val="53640FAE"/>
    <w:rsid w:val="5366499C"/>
    <w:rsid w:val="536C0779"/>
    <w:rsid w:val="53733A60"/>
    <w:rsid w:val="537430FC"/>
    <w:rsid w:val="53763849"/>
    <w:rsid w:val="53790D5A"/>
    <w:rsid w:val="537B30C5"/>
    <w:rsid w:val="53804D80"/>
    <w:rsid w:val="538B3C91"/>
    <w:rsid w:val="538B65FB"/>
    <w:rsid w:val="538C05FC"/>
    <w:rsid w:val="538C23AA"/>
    <w:rsid w:val="538D23F9"/>
    <w:rsid w:val="53987A3F"/>
    <w:rsid w:val="53990A5B"/>
    <w:rsid w:val="539D0EA6"/>
    <w:rsid w:val="53A039CC"/>
    <w:rsid w:val="53A1505A"/>
    <w:rsid w:val="53A16DA2"/>
    <w:rsid w:val="53AE6D85"/>
    <w:rsid w:val="53AF4F3D"/>
    <w:rsid w:val="53B32E6D"/>
    <w:rsid w:val="53B76944"/>
    <w:rsid w:val="53BD265E"/>
    <w:rsid w:val="53C410B1"/>
    <w:rsid w:val="53C80D3D"/>
    <w:rsid w:val="53C9226F"/>
    <w:rsid w:val="53CB540E"/>
    <w:rsid w:val="53CD6ECD"/>
    <w:rsid w:val="53D022CD"/>
    <w:rsid w:val="53D20E50"/>
    <w:rsid w:val="53D42DFD"/>
    <w:rsid w:val="53D907F3"/>
    <w:rsid w:val="53DA73B2"/>
    <w:rsid w:val="53DB2D36"/>
    <w:rsid w:val="53DC0686"/>
    <w:rsid w:val="53E122B0"/>
    <w:rsid w:val="53E166FA"/>
    <w:rsid w:val="53E47AF0"/>
    <w:rsid w:val="53E67E4A"/>
    <w:rsid w:val="53E81E61"/>
    <w:rsid w:val="53E86C2E"/>
    <w:rsid w:val="53EA58DE"/>
    <w:rsid w:val="53EA6915"/>
    <w:rsid w:val="53EA7C72"/>
    <w:rsid w:val="53ED2F5B"/>
    <w:rsid w:val="53F02939"/>
    <w:rsid w:val="53F1045F"/>
    <w:rsid w:val="53F25C32"/>
    <w:rsid w:val="53F27492"/>
    <w:rsid w:val="53F67529"/>
    <w:rsid w:val="53FA2FFA"/>
    <w:rsid w:val="54063E08"/>
    <w:rsid w:val="54096E90"/>
    <w:rsid w:val="540C0463"/>
    <w:rsid w:val="541128AF"/>
    <w:rsid w:val="54152207"/>
    <w:rsid w:val="54186376"/>
    <w:rsid w:val="5419695A"/>
    <w:rsid w:val="54213CF9"/>
    <w:rsid w:val="5425746C"/>
    <w:rsid w:val="542D76A7"/>
    <w:rsid w:val="54321BDA"/>
    <w:rsid w:val="543437E8"/>
    <w:rsid w:val="5436187F"/>
    <w:rsid w:val="54367EA6"/>
    <w:rsid w:val="54397925"/>
    <w:rsid w:val="543D4E68"/>
    <w:rsid w:val="543F7066"/>
    <w:rsid w:val="544669FD"/>
    <w:rsid w:val="54467DD5"/>
    <w:rsid w:val="544754E5"/>
    <w:rsid w:val="5448414B"/>
    <w:rsid w:val="544A5D7F"/>
    <w:rsid w:val="544A5F16"/>
    <w:rsid w:val="544D0ED2"/>
    <w:rsid w:val="54540909"/>
    <w:rsid w:val="545446F5"/>
    <w:rsid w:val="545F207B"/>
    <w:rsid w:val="54640282"/>
    <w:rsid w:val="54645031"/>
    <w:rsid w:val="54697D0B"/>
    <w:rsid w:val="546D2293"/>
    <w:rsid w:val="5472334E"/>
    <w:rsid w:val="54735771"/>
    <w:rsid w:val="54741390"/>
    <w:rsid w:val="547933C8"/>
    <w:rsid w:val="54795557"/>
    <w:rsid w:val="547B61ED"/>
    <w:rsid w:val="547F154C"/>
    <w:rsid w:val="547F3CBD"/>
    <w:rsid w:val="547F69AD"/>
    <w:rsid w:val="54816B16"/>
    <w:rsid w:val="54841AB9"/>
    <w:rsid w:val="54865AE3"/>
    <w:rsid w:val="548E1454"/>
    <w:rsid w:val="54913094"/>
    <w:rsid w:val="54915817"/>
    <w:rsid w:val="5495703C"/>
    <w:rsid w:val="549877F2"/>
    <w:rsid w:val="54994D7E"/>
    <w:rsid w:val="549E4143"/>
    <w:rsid w:val="54A37699"/>
    <w:rsid w:val="54A80D6E"/>
    <w:rsid w:val="54A9457C"/>
    <w:rsid w:val="54AC2EAE"/>
    <w:rsid w:val="54B24092"/>
    <w:rsid w:val="54B50EE8"/>
    <w:rsid w:val="54B81538"/>
    <w:rsid w:val="54B85C39"/>
    <w:rsid w:val="54BC4864"/>
    <w:rsid w:val="54BE52AB"/>
    <w:rsid w:val="54C91AAA"/>
    <w:rsid w:val="54CE71A5"/>
    <w:rsid w:val="54CF0197"/>
    <w:rsid w:val="54D720E4"/>
    <w:rsid w:val="54D77047"/>
    <w:rsid w:val="54DA697C"/>
    <w:rsid w:val="54E51602"/>
    <w:rsid w:val="54E644F5"/>
    <w:rsid w:val="54E762B6"/>
    <w:rsid w:val="54EB5A5F"/>
    <w:rsid w:val="54EC65BD"/>
    <w:rsid w:val="54ED547D"/>
    <w:rsid w:val="54F105A7"/>
    <w:rsid w:val="54F41181"/>
    <w:rsid w:val="54F55D2D"/>
    <w:rsid w:val="54F73313"/>
    <w:rsid w:val="54F80955"/>
    <w:rsid w:val="54FA5FC7"/>
    <w:rsid w:val="54FD7CE4"/>
    <w:rsid w:val="55014BD2"/>
    <w:rsid w:val="55051D73"/>
    <w:rsid w:val="550A5C7C"/>
    <w:rsid w:val="551162CB"/>
    <w:rsid w:val="551438F0"/>
    <w:rsid w:val="55170C0C"/>
    <w:rsid w:val="55185D30"/>
    <w:rsid w:val="55195537"/>
    <w:rsid w:val="551C775D"/>
    <w:rsid w:val="551D7E6A"/>
    <w:rsid w:val="5522575F"/>
    <w:rsid w:val="55227E41"/>
    <w:rsid w:val="5526250E"/>
    <w:rsid w:val="552E69F5"/>
    <w:rsid w:val="55301478"/>
    <w:rsid w:val="553944F2"/>
    <w:rsid w:val="55404195"/>
    <w:rsid w:val="5545059E"/>
    <w:rsid w:val="55473FE1"/>
    <w:rsid w:val="554D679D"/>
    <w:rsid w:val="555076EA"/>
    <w:rsid w:val="555170A7"/>
    <w:rsid w:val="55582504"/>
    <w:rsid w:val="555E1B24"/>
    <w:rsid w:val="5560515D"/>
    <w:rsid w:val="55611AFF"/>
    <w:rsid w:val="556F2D08"/>
    <w:rsid w:val="557652E9"/>
    <w:rsid w:val="55765B9D"/>
    <w:rsid w:val="557923A6"/>
    <w:rsid w:val="557A6A9C"/>
    <w:rsid w:val="557B3326"/>
    <w:rsid w:val="557C2B5D"/>
    <w:rsid w:val="557D644E"/>
    <w:rsid w:val="55870235"/>
    <w:rsid w:val="558704E6"/>
    <w:rsid w:val="5587536D"/>
    <w:rsid w:val="558F48DE"/>
    <w:rsid w:val="5595220B"/>
    <w:rsid w:val="559A4B07"/>
    <w:rsid w:val="559B174B"/>
    <w:rsid w:val="559E48FE"/>
    <w:rsid w:val="559F4616"/>
    <w:rsid w:val="55A53678"/>
    <w:rsid w:val="55AB468D"/>
    <w:rsid w:val="55B41769"/>
    <w:rsid w:val="55C902CA"/>
    <w:rsid w:val="55CA2BB6"/>
    <w:rsid w:val="55CE0CF4"/>
    <w:rsid w:val="55D64525"/>
    <w:rsid w:val="55D65DA2"/>
    <w:rsid w:val="55D701E3"/>
    <w:rsid w:val="55D87B28"/>
    <w:rsid w:val="55E76964"/>
    <w:rsid w:val="55EB0D1D"/>
    <w:rsid w:val="55EE3A17"/>
    <w:rsid w:val="55F01DFF"/>
    <w:rsid w:val="55F52488"/>
    <w:rsid w:val="55FE7136"/>
    <w:rsid w:val="56035AAB"/>
    <w:rsid w:val="560B6B3E"/>
    <w:rsid w:val="56127AD6"/>
    <w:rsid w:val="56196032"/>
    <w:rsid w:val="561A3CEB"/>
    <w:rsid w:val="561B78F2"/>
    <w:rsid w:val="56213F76"/>
    <w:rsid w:val="56235CF2"/>
    <w:rsid w:val="562C5A33"/>
    <w:rsid w:val="562F6E1A"/>
    <w:rsid w:val="56301C52"/>
    <w:rsid w:val="56303848"/>
    <w:rsid w:val="56313417"/>
    <w:rsid w:val="563235BE"/>
    <w:rsid w:val="5637484F"/>
    <w:rsid w:val="56377F3C"/>
    <w:rsid w:val="563B1485"/>
    <w:rsid w:val="563E326B"/>
    <w:rsid w:val="563F302A"/>
    <w:rsid w:val="56405D0B"/>
    <w:rsid w:val="56441488"/>
    <w:rsid w:val="56455C13"/>
    <w:rsid w:val="5655120F"/>
    <w:rsid w:val="565C5EA3"/>
    <w:rsid w:val="56602C14"/>
    <w:rsid w:val="5665073C"/>
    <w:rsid w:val="56672B12"/>
    <w:rsid w:val="566964A9"/>
    <w:rsid w:val="567173BB"/>
    <w:rsid w:val="567431FA"/>
    <w:rsid w:val="56743367"/>
    <w:rsid w:val="567627B6"/>
    <w:rsid w:val="56785089"/>
    <w:rsid w:val="56854998"/>
    <w:rsid w:val="568629D9"/>
    <w:rsid w:val="568C0F67"/>
    <w:rsid w:val="568D2030"/>
    <w:rsid w:val="568D44A9"/>
    <w:rsid w:val="568E6439"/>
    <w:rsid w:val="56923493"/>
    <w:rsid w:val="56996C42"/>
    <w:rsid w:val="569C25C6"/>
    <w:rsid w:val="569D0344"/>
    <w:rsid w:val="569F2107"/>
    <w:rsid w:val="56A13A3D"/>
    <w:rsid w:val="56A17838"/>
    <w:rsid w:val="56A63FEE"/>
    <w:rsid w:val="56A8723E"/>
    <w:rsid w:val="56AA2994"/>
    <w:rsid w:val="56AB7BE9"/>
    <w:rsid w:val="56B22A9C"/>
    <w:rsid w:val="56BD513F"/>
    <w:rsid w:val="56BE0DEA"/>
    <w:rsid w:val="56C124B0"/>
    <w:rsid w:val="56C22E09"/>
    <w:rsid w:val="56C33571"/>
    <w:rsid w:val="56C61406"/>
    <w:rsid w:val="56C64865"/>
    <w:rsid w:val="56CA0CA2"/>
    <w:rsid w:val="56D253FE"/>
    <w:rsid w:val="56D4713A"/>
    <w:rsid w:val="56D829C1"/>
    <w:rsid w:val="56DD05D4"/>
    <w:rsid w:val="56DF0373"/>
    <w:rsid w:val="56E17DEA"/>
    <w:rsid w:val="56E26BE2"/>
    <w:rsid w:val="56E27958"/>
    <w:rsid w:val="56FB1D20"/>
    <w:rsid w:val="56FD5E9D"/>
    <w:rsid w:val="56FE1FA1"/>
    <w:rsid w:val="5708227F"/>
    <w:rsid w:val="570E40E1"/>
    <w:rsid w:val="571674D0"/>
    <w:rsid w:val="571702AF"/>
    <w:rsid w:val="57176010"/>
    <w:rsid w:val="57195FDB"/>
    <w:rsid w:val="571C5F7A"/>
    <w:rsid w:val="57210F25"/>
    <w:rsid w:val="57250B4B"/>
    <w:rsid w:val="57256567"/>
    <w:rsid w:val="57263D4C"/>
    <w:rsid w:val="5728775A"/>
    <w:rsid w:val="57293973"/>
    <w:rsid w:val="572E6AA7"/>
    <w:rsid w:val="573101D5"/>
    <w:rsid w:val="57327A88"/>
    <w:rsid w:val="57334825"/>
    <w:rsid w:val="57342B6C"/>
    <w:rsid w:val="573D5524"/>
    <w:rsid w:val="57412C7C"/>
    <w:rsid w:val="5742124D"/>
    <w:rsid w:val="57441E9D"/>
    <w:rsid w:val="57460354"/>
    <w:rsid w:val="574A4090"/>
    <w:rsid w:val="574C4989"/>
    <w:rsid w:val="574E4C89"/>
    <w:rsid w:val="574F3E1A"/>
    <w:rsid w:val="57505B6F"/>
    <w:rsid w:val="575136EE"/>
    <w:rsid w:val="57521020"/>
    <w:rsid w:val="575A48A4"/>
    <w:rsid w:val="576377F2"/>
    <w:rsid w:val="576B029A"/>
    <w:rsid w:val="576D66C9"/>
    <w:rsid w:val="5773211C"/>
    <w:rsid w:val="57764869"/>
    <w:rsid w:val="57764A00"/>
    <w:rsid w:val="577C0C09"/>
    <w:rsid w:val="577F499D"/>
    <w:rsid w:val="57805257"/>
    <w:rsid w:val="57813C86"/>
    <w:rsid w:val="578406A3"/>
    <w:rsid w:val="579730CB"/>
    <w:rsid w:val="57983E27"/>
    <w:rsid w:val="57A471DA"/>
    <w:rsid w:val="57A634AD"/>
    <w:rsid w:val="57A6382B"/>
    <w:rsid w:val="57AE71BA"/>
    <w:rsid w:val="57B00080"/>
    <w:rsid w:val="57B1010C"/>
    <w:rsid w:val="57B72A76"/>
    <w:rsid w:val="57BB2040"/>
    <w:rsid w:val="57C27419"/>
    <w:rsid w:val="57C3426C"/>
    <w:rsid w:val="57C926DA"/>
    <w:rsid w:val="57CA16D3"/>
    <w:rsid w:val="57CA33F0"/>
    <w:rsid w:val="57CE1F93"/>
    <w:rsid w:val="57CE250B"/>
    <w:rsid w:val="57D17ECD"/>
    <w:rsid w:val="57D946F2"/>
    <w:rsid w:val="57DA1635"/>
    <w:rsid w:val="57DB688D"/>
    <w:rsid w:val="57DC0B62"/>
    <w:rsid w:val="57DD0791"/>
    <w:rsid w:val="57EA37ED"/>
    <w:rsid w:val="57EC7B92"/>
    <w:rsid w:val="57EE19F4"/>
    <w:rsid w:val="57F42AD2"/>
    <w:rsid w:val="57F80F06"/>
    <w:rsid w:val="57FA28F8"/>
    <w:rsid w:val="57FF463D"/>
    <w:rsid w:val="57FF4976"/>
    <w:rsid w:val="58020E42"/>
    <w:rsid w:val="58132A00"/>
    <w:rsid w:val="58194836"/>
    <w:rsid w:val="581978C0"/>
    <w:rsid w:val="581D04B1"/>
    <w:rsid w:val="581F55CF"/>
    <w:rsid w:val="5824364D"/>
    <w:rsid w:val="5827460F"/>
    <w:rsid w:val="582D27E4"/>
    <w:rsid w:val="582F7B9F"/>
    <w:rsid w:val="5835523D"/>
    <w:rsid w:val="583B5BE4"/>
    <w:rsid w:val="583C5D85"/>
    <w:rsid w:val="583E182B"/>
    <w:rsid w:val="584040AF"/>
    <w:rsid w:val="58473FD6"/>
    <w:rsid w:val="58481D0A"/>
    <w:rsid w:val="584B71DD"/>
    <w:rsid w:val="584C56D9"/>
    <w:rsid w:val="58512972"/>
    <w:rsid w:val="58523757"/>
    <w:rsid w:val="58592FFE"/>
    <w:rsid w:val="585A4825"/>
    <w:rsid w:val="586048F0"/>
    <w:rsid w:val="58632099"/>
    <w:rsid w:val="586334B4"/>
    <w:rsid w:val="5864245B"/>
    <w:rsid w:val="58656344"/>
    <w:rsid w:val="58667A1E"/>
    <w:rsid w:val="58680DD6"/>
    <w:rsid w:val="586D4BB3"/>
    <w:rsid w:val="586F049E"/>
    <w:rsid w:val="58725243"/>
    <w:rsid w:val="58765E6E"/>
    <w:rsid w:val="588234CD"/>
    <w:rsid w:val="58847993"/>
    <w:rsid w:val="588743D1"/>
    <w:rsid w:val="5887701A"/>
    <w:rsid w:val="588919AC"/>
    <w:rsid w:val="58892C4B"/>
    <w:rsid w:val="588A295E"/>
    <w:rsid w:val="58912438"/>
    <w:rsid w:val="589244E8"/>
    <w:rsid w:val="58927581"/>
    <w:rsid w:val="5894035F"/>
    <w:rsid w:val="589B257A"/>
    <w:rsid w:val="589C0ED5"/>
    <w:rsid w:val="58A53BD7"/>
    <w:rsid w:val="58AD5E19"/>
    <w:rsid w:val="58B4522B"/>
    <w:rsid w:val="58BA6412"/>
    <w:rsid w:val="58C21459"/>
    <w:rsid w:val="58C46213"/>
    <w:rsid w:val="58C82C7D"/>
    <w:rsid w:val="58CA0E96"/>
    <w:rsid w:val="58CB707B"/>
    <w:rsid w:val="58CC659C"/>
    <w:rsid w:val="58D36420"/>
    <w:rsid w:val="58D515C5"/>
    <w:rsid w:val="58DB2E7F"/>
    <w:rsid w:val="58DD3532"/>
    <w:rsid w:val="58EC758A"/>
    <w:rsid w:val="58EE5667"/>
    <w:rsid w:val="58F4743C"/>
    <w:rsid w:val="58F47765"/>
    <w:rsid w:val="58F92E7A"/>
    <w:rsid w:val="58FD59B1"/>
    <w:rsid w:val="59002C95"/>
    <w:rsid w:val="5904775A"/>
    <w:rsid w:val="59051AF1"/>
    <w:rsid w:val="590E2C86"/>
    <w:rsid w:val="59101E40"/>
    <w:rsid w:val="591075D9"/>
    <w:rsid w:val="591255E3"/>
    <w:rsid w:val="59132227"/>
    <w:rsid w:val="59156A63"/>
    <w:rsid w:val="59194DB3"/>
    <w:rsid w:val="59372DB8"/>
    <w:rsid w:val="59374B66"/>
    <w:rsid w:val="593754EA"/>
    <w:rsid w:val="5943175D"/>
    <w:rsid w:val="5944364E"/>
    <w:rsid w:val="594512A3"/>
    <w:rsid w:val="594730BB"/>
    <w:rsid w:val="59493A2B"/>
    <w:rsid w:val="594A5EFA"/>
    <w:rsid w:val="594F4306"/>
    <w:rsid w:val="595B0223"/>
    <w:rsid w:val="595E350A"/>
    <w:rsid w:val="595E3945"/>
    <w:rsid w:val="59683ED0"/>
    <w:rsid w:val="596E06BD"/>
    <w:rsid w:val="596F0FE1"/>
    <w:rsid w:val="5970160E"/>
    <w:rsid w:val="59776C57"/>
    <w:rsid w:val="59796F2C"/>
    <w:rsid w:val="597A3BB4"/>
    <w:rsid w:val="59802754"/>
    <w:rsid w:val="5980662B"/>
    <w:rsid w:val="59883CEE"/>
    <w:rsid w:val="598A2EE8"/>
    <w:rsid w:val="598B0876"/>
    <w:rsid w:val="598F37F6"/>
    <w:rsid w:val="59915F0C"/>
    <w:rsid w:val="599268CD"/>
    <w:rsid w:val="59926C60"/>
    <w:rsid w:val="59972730"/>
    <w:rsid w:val="599D3151"/>
    <w:rsid w:val="599F6A6C"/>
    <w:rsid w:val="59A0205B"/>
    <w:rsid w:val="59A655DB"/>
    <w:rsid w:val="59AA71BC"/>
    <w:rsid w:val="59AB2B24"/>
    <w:rsid w:val="59AF016D"/>
    <w:rsid w:val="59B13DE7"/>
    <w:rsid w:val="59B24C30"/>
    <w:rsid w:val="59B33A6A"/>
    <w:rsid w:val="59B53C83"/>
    <w:rsid w:val="59BC4E19"/>
    <w:rsid w:val="59BF5131"/>
    <w:rsid w:val="59C0439F"/>
    <w:rsid w:val="59C3260B"/>
    <w:rsid w:val="59CB2876"/>
    <w:rsid w:val="59CF7FFA"/>
    <w:rsid w:val="59D06B63"/>
    <w:rsid w:val="59D138D0"/>
    <w:rsid w:val="59D46E4D"/>
    <w:rsid w:val="59D70DF6"/>
    <w:rsid w:val="59D943F3"/>
    <w:rsid w:val="59DC43E2"/>
    <w:rsid w:val="59E01932"/>
    <w:rsid w:val="59E36ED5"/>
    <w:rsid w:val="59EB5A03"/>
    <w:rsid w:val="59F02A98"/>
    <w:rsid w:val="59F43943"/>
    <w:rsid w:val="59F43DAD"/>
    <w:rsid w:val="59F741B9"/>
    <w:rsid w:val="59FD3342"/>
    <w:rsid w:val="59FE5EAD"/>
    <w:rsid w:val="5A002D33"/>
    <w:rsid w:val="5A0228D6"/>
    <w:rsid w:val="5A031253"/>
    <w:rsid w:val="5A0A227A"/>
    <w:rsid w:val="5A0B768D"/>
    <w:rsid w:val="5A1035F7"/>
    <w:rsid w:val="5A106122"/>
    <w:rsid w:val="5A120F96"/>
    <w:rsid w:val="5A154B35"/>
    <w:rsid w:val="5A1C721B"/>
    <w:rsid w:val="5A20210E"/>
    <w:rsid w:val="5A227E3C"/>
    <w:rsid w:val="5A232DB6"/>
    <w:rsid w:val="5A250CD3"/>
    <w:rsid w:val="5A2A0FF2"/>
    <w:rsid w:val="5A344B88"/>
    <w:rsid w:val="5A3A4BFC"/>
    <w:rsid w:val="5A3F1CE6"/>
    <w:rsid w:val="5A413A7D"/>
    <w:rsid w:val="5A464C59"/>
    <w:rsid w:val="5A4C1844"/>
    <w:rsid w:val="5A4C271C"/>
    <w:rsid w:val="5A4D0E26"/>
    <w:rsid w:val="5A4E391C"/>
    <w:rsid w:val="5A523F67"/>
    <w:rsid w:val="5A5A3C99"/>
    <w:rsid w:val="5A62514A"/>
    <w:rsid w:val="5A66077E"/>
    <w:rsid w:val="5A68338C"/>
    <w:rsid w:val="5A6C1661"/>
    <w:rsid w:val="5A6C2C5F"/>
    <w:rsid w:val="5A6C37F8"/>
    <w:rsid w:val="5A6E1621"/>
    <w:rsid w:val="5A7E662A"/>
    <w:rsid w:val="5A824F61"/>
    <w:rsid w:val="5A8F414A"/>
    <w:rsid w:val="5A943EAC"/>
    <w:rsid w:val="5A97319F"/>
    <w:rsid w:val="5A9931A8"/>
    <w:rsid w:val="5A997FFD"/>
    <w:rsid w:val="5A9D33A2"/>
    <w:rsid w:val="5A9F45F1"/>
    <w:rsid w:val="5AA86FE3"/>
    <w:rsid w:val="5AAB441A"/>
    <w:rsid w:val="5AAC2F64"/>
    <w:rsid w:val="5AB45E21"/>
    <w:rsid w:val="5AB57ADB"/>
    <w:rsid w:val="5ABE2233"/>
    <w:rsid w:val="5ABE28B2"/>
    <w:rsid w:val="5AC02935"/>
    <w:rsid w:val="5AC71CC4"/>
    <w:rsid w:val="5ACC4AFB"/>
    <w:rsid w:val="5ACF104A"/>
    <w:rsid w:val="5AD20076"/>
    <w:rsid w:val="5AD958C4"/>
    <w:rsid w:val="5ADA1F2D"/>
    <w:rsid w:val="5ADC2FE2"/>
    <w:rsid w:val="5ADC5C1A"/>
    <w:rsid w:val="5AE66844"/>
    <w:rsid w:val="5AF014DE"/>
    <w:rsid w:val="5AFA22EF"/>
    <w:rsid w:val="5AFA571E"/>
    <w:rsid w:val="5AFB2AC3"/>
    <w:rsid w:val="5B014AC2"/>
    <w:rsid w:val="5B0952EE"/>
    <w:rsid w:val="5B0A1252"/>
    <w:rsid w:val="5B11379C"/>
    <w:rsid w:val="5B1342C9"/>
    <w:rsid w:val="5B15253F"/>
    <w:rsid w:val="5B1672C9"/>
    <w:rsid w:val="5B184C2F"/>
    <w:rsid w:val="5B1C2265"/>
    <w:rsid w:val="5B215A30"/>
    <w:rsid w:val="5B247238"/>
    <w:rsid w:val="5B24736C"/>
    <w:rsid w:val="5B3F056B"/>
    <w:rsid w:val="5B43273B"/>
    <w:rsid w:val="5B436494"/>
    <w:rsid w:val="5B4659C7"/>
    <w:rsid w:val="5B483E15"/>
    <w:rsid w:val="5B487CCC"/>
    <w:rsid w:val="5B491F57"/>
    <w:rsid w:val="5B4930DF"/>
    <w:rsid w:val="5B4C228D"/>
    <w:rsid w:val="5B513991"/>
    <w:rsid w:val="5B5223A2"/>
    <w:rsid w:val="5B55485C"/>
    <w:rsid w:val="5B580594"/>
    <w:rsid w:val="5B5C66B0"/>
    <w:rsid w:val="5B5C70B7"/>
    <w:rsid w:val="5B601692"/>
    <w:rsid w:val="5B652646"/>
    <w:rsid w:val="5B691D69"/>
    <w:rsid w:val="5B6A5BF7"/>
    <w:rsid w:val="5B6F2E7B"/>
    <w:rsid w:val="5B747107"/>
    <w:rsid w:val="5B7B0219"/>
    <w:rsid w:val="5B7C6694"/>
    <w:rsid w:val="5B7D607A"/>
    <w:rsid w:val="5B7E049F"/>
    <w:rsid w:val="5B817E36"/>
    <w:rsid w:val="5B8B3B5F"/>
    <w:rsid w:val="5B8B66D5"/>
    <w:rsid w:val="5B8C6DAF"/>
    <w:rsid w:val="5B9074C2"/>
    <w:rsid w:val="5B98787F"/>
    <w:rsid w:val="5B990DAB"/>
    <w:rsid w:val="5B992B08"/>
    <w:rsid w:val="5BA466F0"/>
    <w:rsid w:val="5BA67D81"/>
    <w:rsid w:val="5BB6535D"/>
    <w:rsid w:val="5BB76F0A"/>
    <w:rsid w:val="5BBE0842"/>
    <w:rsid w:val="5BC51FAE"/>
    <w:rsid w:val="5BC621D1"/>
    <w:rsid w:val="5BCE0283"/>
    <w:rsid w:val="5BCE7A03"/>
    <w:rsid w:val="5BD1291B"/>
    <w:rsid w:val="5BD57A5E"/>
    <w:rsid w:val="5BD74FE6"/>
    <w:rsid w:val="5BDF5D95"/>
    <w:rsid w:val="5BE106D2"/>
    <w:rsid w:val="5BE12500"/>
    <w:rsid w:val="5BE25087"/>
    <w:rsid w:val="5BF768E4"/>
    <w:rsid w:val="5BFE5E95"/>
    <w:rsid w:val="5BFE7528"/>
    <w:rsid w:val="5C0056E3"/>
    <w:rsid w:val="5C025183"/>
    <w:rsid w:val="5C0452BD"/>
    <w:rsid w:val="5C0E6052"/>
    <w:rsid w:val="5C1359A7"/>
    <w:rsid w:val="5C174D63"/>
    <w:rsid w:val="5C1C0C01"/>
    <w:rsid w:val="5C1E0615"/>
    <w:rsid w:val="5C215491"/>
    <w:rsid w:val="5C2652F5"/>
    <w:rsid w:val="5C2825D7"/>
    <w:rsid w:val="5C2A1CB0"/>
    <w:rsid w:val="5C2A71C8"/>
    <w:rsid w:val="5C304070"/>
    <w:rsid w:val="5C336E40"/>
    <w:rsid w:val="5C3633D5"/>
    <w:rsid w:val="5C3F5307"/>
    <w:rsid w:val="5C416902"/>
    <w:rsid w:val="5C4318FB"/>
    <w:rsid w:val="5C4B2C37"/>
    <w:rsid w:val="5C4C07C1"/>
    <w:rsid w:val="5C4C1F2A"/>
    <w:rsid w:val="5C525C25"/>
    <w:rsid w:val="5C5372B0"/>
    <w:rsid w:val="5C575841"/>
    <w:rsid w:val="5C6376F3"/>
    <w:rsid w:val="5C6475FD"/>
    <w:rsid w:val="5C692E7B"/>
    <w:rsid w:val="5C6B0B9F"/>
    <w:rsid w:val="5C6D273E"/>
    <w:rsid w:val="5C6F5C5F"/>
    <w:rsid w:val="5C6F6C51"/>
    <w:rsid w:val="5C754419"/>
    <w:rsid w:val="5C77094F"/>
    <w:rsid w:val="5C7B26BD"/>
    <w:rsid w:val="5C81140E"/>
    <w:rsid w:val="5C82129A"/>
    <w:rsid w:val="5C86672A"/>
    <w:rsid w:val="5C8A1451"/>
    <w:rsid w:val="5C90777E"/>
    <w:rsid w:val="5C961BA3"/>
    <w:rsid w:val="5C9A13DB"/>
    <w:rsid w:val="5CA006E4"/>
    <w:rsid w:val="5CAA2883"/>
    <w:rsid w:val="5CAB249C"/>
    <w:rsid w:val="5CAB60F4"/>
    <w:rsid w:val="5CB3602E"/>
    <w:rsid w:val="5CB846DA"/>
    <w:rsid w:val="5CC170D3"/>
    <w:rsid w:val="5CC510E3"/>
    <w:rsid w:val="5CCA2E88"/>
    <w:rsid w:val="5CCB3CAF"/>
    <w:rsid w:val="5CCE6B90"/>
    <w:rsid w:val="5CD33B36"/>
    <w:rsid w:val="5CD67D5B"/>
    <w:rsid w:val="5CD836C0"/>
    <w:rsid w:val="5CDE00F9"/>
    <w:rsid w:val="5CDF51BF"/>
    <w:rsid w:val="5CE06428"/>
    <w:rsid w:val="5CE47D66"/>
    <w:rsid w:val="5CEB0D51"/>
    <w:rsid w:val="5CEF6E08"/>
    <w:rsid w:val="5CF3173B"/>
    <w:rsid w:val="5CF721CC"/>
    <w:rsid w:val="5CF934ED"/>
    <w:rsid w:val="5CFB705F"/>
    <w:rsid w:val="5D0107C7"/>
    <w:rsid w:val="5D015C98"/>
    <w:rsid w:val="5D02548B"/>
    <w:rsid w:val="5D056E4B"/>
    <w:rsid w:val="5D071674"/>
    <w:rsid w:val="5D081668"/>
    <w:rsid w:val="5D0823A0"/>
    <w:rsid w:val="5D13360D"/>
    <w:rsid w:val="5D141171"/>
    <w:rsid w:val="5D187E77"/>
    <w:rsid w:val="5D1914A8"/>
    <w:rsid w:val="5D297484"/>
    <w:rsid w:val="5D2D08EC"/>
    <w:rsid w:val="5D2D2213"/>
    <w:rsid w:val="5D2E60F1"/>
    <w:rsid w:val="5D30308C"/>
    <w:rsid w:val="5D3700CC"/>
    <w:rsid w:val="5D3A780F"/>
    <w:rsid w:val="5D3F5111"/>
    <w:rsid w:val="5D40057A"/>
    <w:rsid w:val="5D4036EE"/>
    <w:rsid w:val="5D444D5E"/>
    <w:rsid w:val="5D483969"/>
    <w:rsid w:val="5D4E77DC"/>
    <w:rsid w:val="5D536CDE"/>
    <w:rsid w:val="5D580F91"/>
    <w:rsid w:val="5D583AD8"/>
    <w:rsid w:val="5D5F4C02"/>
    <w:rsid w:val="5D680A7D"/>
    <w:rsid w:val="5D6C5EAB"/>
    <w:rsid w:val="5D7E2060"/>
    <w:rsid w:val="5D7E2788"/>
    <w:rsid w:val="5D845FAC"/>
    <w:rsid w:val="5D856D46"/>
    <w:rsid w:val="5D895C88"/>
    <w:rsid w:val="5D9044AD"/>
    <w:rsid w:val="5D9A77CD"/>
    <w:rsid w:val="5D9E6370"/>
    <w:rsid w:val="5DA36667"/>
    <w:rsid w:val="5DA84AAB"/>
    <w:rsid w:val="5DAA5D87"/>
    <w:rsid w:val="5DAC3980"/>
    <w:rsid w:val="5DB117E6"/>
    <w:rsid w:val="5DBA4F6E"/>
    <w:rsid w:val="5DBC61BF"/>
    <w:rsid w:val="5DBE5BA0"/>
    <w:rsid w:val="5DC00614"/>
    <w:rsid w:val="5DCD14F0"/>
    <w:rsid w:val="5DD04152"/>
    <w:rsid w:val="5DD67F36"/>
    <w:rsid w:val="5DD72186"/>
    <w:rsid w:val="5DD93266"/>
    <w:rsid w:val="5DE66B5A"/>
    <w:rsid w:val="5DE67DA9"/>
    <w:rsid w:val="5DE942B2"/>
    <w:rsid w:val="5DF96AFE"/>
    <w:rsid w:val="5DFF3E94"/>
    <w:rsid w:val="5E0059F8"/>
    <w:rsid w:val="5E077567"/>
    <w:rsid w:val="5E10499C"/>
    <w:rsid w:val="5E1100D9"/>
    <w:rsid w:val="5E136A72"/>
    <w:rsid w:val="5E185240"/>
    <w:rsid w:val="5E193D09"/>
    <w:rsid w:val="5E1E3D82"/>
    <w:rsid w:val="5E2217DA"/>
    <w:rsid w:val="5E2467F1"/>
    <w:rsid w:val="5E273D40"/>
    <w:rsid w:val="5E2D659B"/>
    <w:rsid w:val="5E3609F0"/>
    <w:rsid w:val="5E370C99"/>
    <w:rsid w:val="5E383829"/>
    <w:rsid w:val="5E427570"/>
    <w:rsid w:val="5E4460C5"/>
    <w:rsid w:val="5E484322"/>
    <w:rsid w:val="5E4A7E6C"/>
    <w:rsid w:val="5E503BBD"/>
    <w:rsid w:val="5E512226"/>
    <w:rsid w:val="5E5503B8"/>
    <w:rsid w:val="5E562455"/>
    <w:rsid w:val="5E5B7FD7"/>
    <w:rsid w:val="5E620763"/>
    <w:rsid w:val="5E65538B"/>
    <w:rsid w:val="5E6829AE"/>
    <w:rsid w:val="5E6A1B8A"/>
    <w:rsid w:val="5E6F4DA2"/>
    <w:rsid w:val="5E734626"/>
    <w:rsid w:val="5E754CE8"/>
    <w:rsid w:val="5E780356"/>
    <w:rsid w:val="5E8259E8"/>
    <w:rsid w:val="5E826883"/>
    <w:rsid w:val="5E8C10D0"/>
    <w:rsid w:val="5E9B2A8C"/>
    <w:rsid w:val="5E9D190F"/>
    <w:rsid w:val="5E9E25E8"/>
    <w:rsid w:val="5EA178E6"/>
    <w:rsid w:val="5EA549C5"/>
    <w:rsid w:val="5EA720D3"/>
    <w:rsid w:val="5EAB3F5B"/>
    <w:rsid w:val="5EAC1B52"/>
    <w:rsid w:val="5EB01642"/>
    <w:rsid w:val="5EB34F14"/>
    <w:rsid w:val="5EB66937"/>
    <w:rsid w:val="5EB86334"/>
    <w:rsid w:val="5EBA354D"/>
    <w:rsid w:val="5ECB0CE9"/>
    <w:rsid w:val="5ECE3876"/>
    <w:rsid w:val="5EE2501D"/>
    <w:rsid w:val="5EE70FEF"/>
    <w:rsid w:val="5EE72758"/>
    <w:rsid w:val="5EE75843"/>
    <w:rsid w:val="5EEA7191"/>
    <w:rsid w:val="5EF507BD"/>
    <w:rsid w:val="5EF84A67"/>
    <w:rsid w:val="5EFB71CC"/>
    <w:rsid w:val="5EFC5CCE"/>
    <w:rsid w:val="5F05090D"/>
    <w:rsid w:val="5F0A1402"/>
    <w:rsid w:val="5F1140B0"/>
    <w:rsid w:val="5F146A90"/>
    <w:rsid w:val="5F176AEE"/>
    <w:rsid w:val="5F1A2B43"/>
    <w:rsid w:val="5F2009DE"/>
    <w:rsid w:val="5F202164"/>
    <w:rsid w:val="5F263465"/>
    <w:rsid w:val="5F296CFF"/>
    <w:rsid w:val="5F2B3554"/>
    <w:rsid w:val="5F303500"/>
    <w:rsid w:val="5F367D2E"/>
    <w:rsid w:val="5F437C5A"/>
    <w:rsid w:val="5F4A33E1"/>
    <w:rsid w:val="5F505147"/>
    <w:rsid w:val="5F545CA3"/>
    <w:rsid w:val="5F557AF4"/>
    <w:rsid w:val="5F5A1AA7"/>
    <w:rsid w:val="5F5D4949"/>
    <w:rsid w:val="5F681A34"/>
    <w:rsid w:val="5F6A1DF3"/>
    <w:rsid w:val="5F6E00D1"/>
    <w:rsid w:val="5F6F3F55"/>
    <w:rsid w:val="5F731642"/>
    <w:rsid w:val="5F7717D3"/>
    <w:rsid w:val="5F7C1F08"/>
    <w:rsid w:val="5F7D2B94"/>
    <w:rsid w:val="5F7D4176"/>
    <w:rsid w:val="5F7E529D"/>
    <w:rsid w:val="5F8A03AC"/>
    <w:rsid w:val="5F8C21D5"/>
    <w:rsid w:val="5F900A1E"/>
    <w:rsid w:val="5F990172"/>
    <w:rsid w:val="5F9A6C30"/>
    <w:rsid w:val="5FA17C32"/>
    <w:rsid w:val="5FAF4BC3"/>
    <w:rsid w:val="5FB837BB"/>
    <w:rsid w:val="5FB964C9"/>
    <w:rsid w:val="5FBC6DF6"/>
    <w:rsid w:val="5FBF131C"/>
    <w:rsid w:val="5FC058B5"/>
    <w:rsid w:val="5FC60A12"/>
    <w:rsid w:val="5FCF5AF8"/>
    <w:rsid w:val="5FD255E8"/>
    <w:rsid w:val="5FD8487C"/>
    <w:rsid w:val="5FDF26F0"/>
    <w:rsid w:val="5FE64BF0"/>
    <w:rsid w:val="5FE87A96"/>
    <w:rsid w:val="5FE93B43"/>
    <w:rsid w:val="5FEA5EC9"/>
    <w:rsid w:val="5FEB5E68"/>
    <w:rsid w:val="5FEC2DE5"/>
    <w:rsid w:val="5FED3F20"/>
    <w:rsid w:val="5FF05484"/>
    <w:rsid w:val="5FF41B2A"/>
    <w:rsid w:val="5FF845D5"/>
    <w:rsid w:val="60025ECE"/>
    <w:rsid w:val="60031A37"/>
    <w:rsid w:val="600471FE"/>
    <w:rsid w:val="60077357"/>
    <w:rsid w:val="601262CE"/>
    <w:rsid w:val="60143F9F"/>
    <w:rsid w:val="60150303"/>
    <w:rsid w:val="601856F1"/>
    <w:rsid w:val="601C7DEF"/>
    <w:rsid w:val="601D05BE"/>
    <w:rsid w:val="601F27EA"/>
    <w:rsid w:val="60211801"/>
    <w:rsid w:val="602539BE"/>
    <w:rsid w:val="602C2322"/>
    <w:rsid w:val="602F6BBF"/>
    <w:rsid w:val="6031428B"/>
    <w:rsid w:val="603B64FF"/>
    <w:rsid w:val="603C5102"/>
    <w:rsid w:val="603E4050"/>
    <w:rsid w:val="603F44D9"/>
    <w:rsid w:val="604052E7"/>
    <w:rsid w:val="60455753"/>
    <w:rsid w:val="604B15EA"/>
    <w:rsid w:val="604F6C39"/>
    <w:rsid w:val="6057789C"/>
    <w:rsid w:val="605955D5"/>
    <w:rsid w:val="605E50FF"/>
    <w:rsid w:val="605F7E99"/>
    <w:rsid w:val="60624596"/>
    <w:rsid w:val="606E2817"/>
    <w:rsid w:val="606E5EE1"/>
    <w:rsid w:val="6076066E"/>
    <w:rsid w:val="60765719"/>
    <w:rsid w:val="6078542D"/>
    <w:rsid w:val="607A0521"/>
    <w:rsid w:val="607E2E3B"/>
    <w:rsid w:val="608375E3"/>
    <w:rsid w:val="60894B47"/>
    <w:rsid w:val="608C4214"/>
    <w:rsid w:val="608D20F4"/>
    <w:rsid w:val="608F7035"/>
    <w:rsid w:val="6093020D"/>
    <w:rsid w:val="60965EEA"/>
    <w:rsid w:val="609D6BAA"/>
    <w:rsid w:val="60A06B19"/>
    <w:rsid w:val="60A502A2"/>
    <w:rsid w:val="60AB34A2"/>
    <w:rsid w:val="60AB7052"/>
    <w:rsid w:val="60AD640B"/>
    <w:rsid w:val="60B056B8"/>
    <w:rsid w:val="60BF3776"/>
    <w:rsid w:val="60C16521"/>
    <w:rsid w:val="60C41699"/>
    <w:rsid w:val="60C50080"/>
    <w:rsid w:val="60CA2279"/>
    <w:rsid w:val="60CC405A"/>
    <w:rsid w:val="60D1764E"/>
    <w:rsid w:val="60D5057C"/>
    <w:rsid w:val="60E342A1"/>
    <w:rsid w:val="60F23C69"/>
    <w:rsid w:val="60F4129E"/>
    <w:rsid w:val="60FD5078"/>
    <w:rsid w:val="610A00D9"/>
    <w:rsid w:val="61104968"/>
    <w:rsid w:val="61125E73"/>
    <w:rsid w:val="611447FE"/>
    <w:rsid w:val="611B2EF7"/>
    <w:rsid w:val="611B52C6"/>
    <w:rsid w:val="6120280E"/>
    <w:rsid w:val="6121784B"/>
    <w:rsid w:val="61241E74"/>
    <w:rsid w:val="61254203"/>
    <w:rsid w:val="61266A2B"/>
    <w:rsid w:val="6127128F"/>
    <w:rsid w:val="612956DC"/>
    <w:rsid w:val="6129748A"/>
    <w:rsid w:val="612A283D"/>
    <w:rsid w:val="612C5F0B"/>
    <w:rsid w:val="612E2CF2"/>
    <w:rsid w:val="61300387"/>
    <w:rsid w:val="613021D0"/>
    <w:rsid w:val="613D0827"/>
    <w:rsid w:val="613E24C6"/>
    <w:rsid w:val="613E6B83"/>
    <w:rsid w:val="6146003C"/>
    <w:rsid w:val="614638DD"/>
    <w:rsid w:val="614F59AC"/>
    <w:rsid w:val="615D19B1"/>
    <w:rsid w:val="615D524A"/>
    <w:rsid w:val="615E5FF0"/>
    <w:rsid w:val="61607851"/>
    <w:rsid w:val="61663131"/>
    <w:rsid w:val="61666EDC"/>
    <w:rsid w:val="61695FBC"/>
    <w:rsid w:val="616C4A77"/>
    <w:rsid w:val="6170549C"/>
    <w:rsid w:val="61752617"/>
    <w:rsid w:val="617B4212"/>
    <w:rsid w:val="617C3A5E"/>
    <w:rsid w:val="617D251D"/>
    <w:rsid w:val="61864038"/>
    <w:rsid w:val="61881750"/>
    <w:rsid w:val="618938D7"/>
    <w:rsid w:val="61932B55"/>
    <w:rsid w:val="61964706"/>
    <w:rsid w:val="61973C7F"/>
    <w:rsid w:val="61994676"/>
    <w:rsid w:val="61A01CC3"/>
    <w:rsid w:val="61A70640"/>
    <w:rsid w:val="61B46D40"/>
    <w:rsid w:val="61B46FAA"/>
    <w:rsid w:val="61B644FC"/>
    <w:rsid w:val="61B91D17"/>
    <w:rsid w:val="61C13105"/>
    <w:rsid w:val="61C67266"/>
    <w:rsid w:val="61CA04D4"/>
    <w:rsid w:val="61CB5D20"/>
    <w:rsid w:val="61CD0D50"/>
    <w:rsid w:val="61CE3507"/>
    <w:rsid w:val="61CE5398"/>
    <w:rsid w:val="61CF0829"/>
    <w:rsid w:val="61D5750C"/>
    <w:rsid w:val="61D75138"/>
    <w:rsid w:val="61D919F4"/>
    <w:rsid w:val="61DF5064"/>
    <w:rsid w:val="61E15F33"/>
    <w:rsid w:val="61E215D8"/>
    <w:rsid w:val="61E54F24"/>
    <w:rsid w:val="61EB0BE3"/>
    <w:rsid w:val="61F039E9"/>
    <w:rsid w:val="61F156B7"/>
    <w:rsid w:val="61F173FA"/>
    <w:rsid w:val="61F406A3"/>
    <w:rsid w:val="61F51F86"/>
    <w:rsid w:val="61F606F2"/>
    <w:rsid w:val="61F77DBE"/>
    <w:rsid w:val="61FC7609"/>
    <w:rsid w:val="62005C7D"/>
    <w:rsid w:val="62011935"/>
    <w:rsid w:val="620528C7"/>
    <w:rsid w:val="62074918"/>
    <w:rsid w:val="620E1EE3"/>
    <w:rsid w:val="62112F1B"/>
    <w:rsid w:val="62130658"/>
    <w:rsid w:val="62141E43"/>
    <w:rsid w:val="621534E7"/>
    <w:rsid w:val="62161F00"/>
    <w:rsid w:val="621A72D1"/>
    <w:rsid w:val="621B3775"/>
    <w:rsid w:val="6220088D"/>
    <w:rsid w:val="62217B46"/>
    <w:rsid w:val="622208E7"/>
    <w:rsid w:val="62274D59"/>
    <w:rsid w:val="622A2130"/>
    <w:rsid w:val="622C10B8"/>
    <w:rsid w:val="622E079E"/>
    <w:rsid w:val="623120E1"/>
    <w:rsid w:val="62364782"/>
    <w:rsid w:val="623F217D"/>
    <w:rsid w:val="62414943"/>
    <w:rsid w:val="62497244"/>
    <w:rsid w:val="624D6461"/>
    <w:rsid w:val="62596DD7"/>
    <w:rsid w:val="625A2390"/>
    <w:rsid w:val="625D7075"/>
    <w:rsid w:val="62634C22"/>
    <w:rsid w:val="6268271F"/>
    <w:rsid w:val="626D7B35"/>
    <w:rsid w:val="626D7C0B"/>
    <w:rsid w:val="626E766F"/>
    <w:rsid w:val="6271541F"/>
    <w:rsid w:val="62723ADF"/>
    <w:rsid w:val="627367B8"/>
    <w:rsid w:val="62745232"/>
    <w:rsid w:val="62772B04"/>
    <w:rsid w:val="62782955"/>
    <w:rsid w:val="6279204E"/>
    <w:rsid w:val="627A68BF"/>
    <w:rsid w:val="627F2C16"/>
    <w:rsid w:val="627F33D4"/>
    <w:rsid w:val="62826ED5"/>
    <w:rsid w:val="628F1EBD"/>
    <w:rsid w:val="62915393"/>
    <w:rsid w:val="62A00C11"/>
    <w:rsid w:val="62A1489C"/>
    <w:rsid w:val="62AA45FB"/>
    <w:rsid w:val="62AC142F"/>
    <w:rsid w:val="62AC75F7"/>
    <w:rsid w:val="62AE7EC3"/>
    <w:rsid w:val="62B049F1"/>
    <w:rsid w:val="62B54DAC"/>
    <w:rsid w:val="62B70B1D"/>
    <w:rsid w:val="62B87945"/>
    <w:rsid w:val="62BC12F3"/>
    <w:rsid w:val="62BD035F"/>
    <w:rsid w:val="62CF3178"/>
    <w:rsid w:val="62D3026A"/>
    <w:rsid w:val="62D61F3E"/>
    <w:rsid w:val="62D95C02"/>
    <w:rsid w:val="62E26BD5"/>
    <w:rsid w:val="62E32773"/>
    <w:rsid w:val="62E461A2"/>
    <w:rsid w:val="62E845DE"/>
    <w:rsid w:val="62ED570E"/>
    <w:rsid w:val="62F0419A"/>
    <w:rsid w:val="62F779CE"/>
    <w:rsid w:val="630423B9"/>
    <w:rsid w:val="630D0D3B"/>
    <w:rsid w:val="630D5419"/>
    <w:rsid w:val="63104FD9"/>
    <w:rsid w:val="6311135E"/>
    <w:rsid w:val="6313060F"/>
    <w:rsid w:val="631448DA"/>
    <w:rsid w:val="63171166"/>
    <w:rsid w:val="63182FBF"/>
    <w:rsid w:val="63186964"/>
    <w:rsid w:val="631D78A2"/>
    <w:rsid w:val="631E4A40"/>
    <w:rsid w:val="632135FE"/>
    <w:rsid w:val="632223E3"/>
    <w:rsid w:val="63224BCE"/>
    <w:rsid w:val="63252140"/>
    <w:rsid w:val="632F219A"/>
    <w:rsid w:val="633457FC"/>
    <w:rsid w:val="63346D0C"/>
    <w:rsid w:val="633B2C2F"/>
    <w:rsid w:val="63404387"/>
    <w:rsid w:val="63495C85"/>
    <w:rsid w:val="63536D4E"/>
    <w:rsid w:val="6356673F"/>
    <w:rsid w:val="635B7642"/>
    <w:rsid w:val="635C2D67"/>
    <w:rsid w:val="63664114"/>
    <w:rsid w:val="63690012"/>
    <w:rsid w:val="63691349"/>
    <w:rsid w:val="636D0055"/>
    <w:rsid w:val="636D4018"/>
    <w:rsid w:val="63732569"/>
    <w:rsid w:val="63793211"/>
    <w:rsid w:val="637A3FCD"/>
    <w:rsid w:val="637D42A9"/>
    <w:rsid w:val="63884B03"/>
    <w:rsid w:val="638A40CA"/>
    <w:rsid w:val="638A6E63"/>
    <w:rsid w:val="638E1F59"/>
    <w:rsid w:val="638E585D"/>
    <w:rsid w:val="63931953"/>
    <w:rsid w:val="63937962"/>
    <w:rsid w:val="6394356A"/>
    <w:rsid w:val="639442D5"/>
    <w:rsid w:val="6398060C"/>
    <w:rsid w:val="639A17D5"/>
    <w:rsid w:val="639E27DA"/>
    <w:rsid w:val="63AC1B64"/>
    <w:rsid w:val="63AE176B"/>
    <w:rsid w:val="63AE7238"/>
    <w:rsid w:val="63B07155"/>
    <w:rsid w:val="63BD5C8A"/>
    <w:rsid w:val="63C0216B"/>
    <w:rsid w:val="63C61B2C"/>
    <w:rsid w:val="63D40BE9"/>
    <w:rsid w:val="63D92F85"/>
    <w:rsid w:val="63DC308A"/>
    <w:rsid w:val="63DF0435"/>
    <w:rsid w:val="63E35DE8"/>
    <w:rsid w:val="63E6701B"/>
    <w:rsid w:val="63ED767A"/>
    <w:rsid w:val="63F70BF1"/>
    <w:rsid w:val="63FE485F"/>
    <w:rsid w:val="63FF691D"/>
    <w:rsid w:val="64052FDF"/>
    <w:rsid w:val="64063C18"/>
    <w:rsid w:val="64095B60"/>
    <w:rsid w:val="640E764B"/>
    <w:rsid w:val="64102431"/>
    <w:rsid w:val="641250FD"/>
    <w:rsid w:val="64126D36"/>
    <w:rsid w:val="641649D9"/>
    <w:rsid w:val="641D56B9"/>
    <w:rsid w:val="641E52F5"/>
    <w:rsid w:val="641F52B0"/>
    <w:rsid w:val="642006C8"/>
    <w:rsid w:val="64224F24"/>
    <w:rsid w:val="64260594"/>
    <w:rsid w:val="6428110A"/>
    <w:rsid w:val="64291282"/>
    <w:rsid w:val="642A6D8A"/>
    <w:rsid w:val="642A73AB"/>
    <w:rsid w:val="642F256A"/>
    <w:rsid w:val="643259E2"/>
    <w:rsid w:val="643651D9"/>
    <w:rsid w:val="64405857"/>
    <w:rsid w:val="64480E21"/>
    <w:rsid w:val="64495385"/>
    <w:rsid w:val="645A6D51"/>
    <w:rsid w:val="64650059"/>
    <w:rsid w:val="646934F0"/>
    <w:rsid w:val="646E3CD1"/>
    <w:rsid w:val="6473643E"/>
    <w:rsid w:val="64744EC0"/>
    <w:rsid w:val="64745C70"/>
    <w:rsid w:val="64777BF2"/>
    <w:rsid w:val="647942F9"/>
    <w:rsid w:val="647C7B30"/>
    <w:rsid w:val="647E081D"/>
    <w:rsid w:val="64825C48"/>
    <w:rsid w:val="64884E9A"/>
    <w:rsid w:val="64892023"/>
    <w:rsid w:val="6489612D"/>
    <w:rsid w:val="64906759"/>
    <w:rsid w:val="64911D88"/>
    <w:rsid w:val="64923DD6"/>
    <w:rsid w:val="649317EA"/>
    <w:rsid w:val="649D0C2F"/>
    <w:rsid w:val="649F69D2"/>
    <w:rsid w:val="64A03D9E"/>
    <w:rsid w:val="64A12D7F"/>
    <w:rsid w:val="64A5243A"/>
    <w:rsid w:val="64A538AF"/>
    <w:rsid w:val="64AC19CE"/>
    <w:rsid w:val="64AC4F46"/>
    <w:rsid w:val="64B24D21"/>
    <w:rsid w:val="64B32A88"/>
    <w:rsid w:val="64B60388"/>
    <w:rsid w:val="64C17A46"/>
    <w:rsid w:val="64C24BE7"/>
    <w:rsid w:val="64C75FEF"/>
    <w:rsid w:val="64C94EC5"/>
    <w:rsid w:val="64CD357D"/>
    <w:rsid w:val="64D911C7"/>
    <w:rsid w:val="64DA0DFC"/>
    <w:rsid w:val="64DC0849"/>
    <w:rsid w:val="64DD1873"/>
    <w:rsid w:val="64E1679C"/>
    <w:rsid w:val="64E339D3"/>
    <w:rsid w:val="64E40ABC"/>
    <w:rsid w:val="64E94CA1"/>
    <w:rsid w:val="64EB2547"/>
    <w:rsid w:val="64F34037"/>
    <w:rsid w:val="64F531DE"/>
    <w:rsid w:val="64F73553"/>
    <w:rsid w:val="64F9429C"/>
    <w:rsid w:val="64FA4EBC"/>
    <w:rsid w:val="650C22A7"/>
    <w:rsid w:val="650C3A16"/>
    <w:rsid w:val="6516191D"/>
    <w:rsid w:val="65172D10"/>
    <w:rsid w:val="65183B18"/>
    <w:rsid w:val="651D6666"/>
    <w:rsid w:val="65316B4E"/>
    <w:rsid w:val="65366283"/>
    <w:rsid w:val="65373578"/>
    <w:rsid w:val="65381C0D"/>
    <w:rsid w:val="65382034"/>
    <w:rsid w:val="65382D6E"/>
    <w:rsid w:val="65396733"/>
    <w:rsid w:val="65491B84"/>
    <w:rsid w:val="65496571"/>
    <w:rsid w:val="65516FAF"/>
    <w:rsid w:val="65612989"/>
    <w:rsid w:val="656147AA"/>
    <w:rsid w:val="656236AE"/>
    <w:rsid w:val="656342BD"/>
    <w:rsid w:val="6573174F"/>
    <w:rsid w:val="657421EF"/>
    <w:rsid w:val="657643F5"/>
    <w:rsid w:val="657874A5"/>
    <w:rsid w:val="65787D56"/>
    <w:rsid w:val="657C2032"/>
    <w:rsid w:val="657D4903"/>
    <w:rsid w:val="65835215"/>
    <w:rsid w:val="6583674F"/>
    <w:rsid w:val="6588385C"/>
    <w:rsid w:val="65895552"/>
    <w:rsid w:val="658B6791"/>
    <w:rsid w:val="65933EFA"/>
    <w:rsid w:val="659E122A"/>
    <w:rsid w:val="659F422A"/>
    <w:rsid w:val="65A11C77"/>
    <w:rsid w:val="65A64F80"/>
    <w:rsid w:val="65A739F2"/>
    <w:rsid w:val="65B234F7"/>
    <w:rsid w:val="65B36835"/>
    <w:rsid w:val="65B57FB4"/>
    <w:rsid w:val="65BA00B2"/>
    <w:rsid w:val="65C00D56"/>
    <w:rsid w:val="65C10014"/>
    <w:rsid w:val="65C438BA"/>
    <w:rsid w:val="65C67185"/>
    <w:rsid w:val="65CB765F"/>
    <w:rsid w:val="65D21D70"/>
    <w:rsid w:val="65D335CC"/>
    <w:rsid w:val="65D45294"/>
    <w:rsid w:val="65D71677"/>
    <w:rsid w:val="65DE7EF3"/>
    <w:rsid w:val="65F22540"/>
    <w:rsid w:val="65F6064E"/>
    <w:rsid w:val="65FB1716"/>
    <w:rsid w:val="65FC3145"/>
    <w:rsid w:val="65FD0DB9"/>
    <w:rsid w:val="65FE0571"/>
    <w:rsid w:val="65FF042C"/>
    <w:rsid w:val="6601303D"/>
    <w:rsid w:val="6606565F"/>
    <w:rsid w:val="66092FFA"/>
    <w:rsid w:val="660E4AD2"/>
    <w:rsid w:val="660F7DE3"/>
    <w:rsid w:val="6613042B"/>
    <w:rsid w:val="66152DBF"/>
    <w:rsid w:val="6615782E"/>
    <w:rsid w:val="661968D7"/>
    <w:rsid w:val="66207BF6"/>
    <w:rsid w:val="66226D54"/>
    <w:rsid w:val="66250E86"/>
    <w:rsid w:val="6628274C"/>
    <w:rsid w:val="66354BFB"/>
    <w:rsid w:val="66357FD5"/>
    <w:rsid w:val="66372649"/>
    <w:rsid w:val="66386D38"/>
    <w:rsid w:val="663B5F74"/>
    <w:rsid w:val="66483EFC"/>
    <w:rsid w:val="6650370B"/>
    <w:rsid w:val="66507BD9"/>
    <w:rsid w:val="66540E53"/>
    <w:rsid w:val="66545AF2"/>
    <w:rsid w:val="66575A45"/>
    <w:rsid w:val="665C4848"/>
    <w:rsid w:val="665E66D2"/>
    <w:rsid w:val="666337A8"/>
    <w:rsid w:val="666429C0"/>
    <w:rsid w:val="66667D15"/>
    <w:rsid w:val="666B4423"/>
    <w:rsid w:val="666C6DE0"/>
    <w:rsid w:val="666D1E22"/>
    <w:rsid w:val="66731C80"/>
    <w:rsid w:val="667A4455"/>
    <w:rsid w:val="66805D9E"/>
    <w:rsid w:val="6682435E"/>
    <w:rsid w:val="668246C4"/>
    <w:rsid w:val="6685501D"/>
    <w:rsid w:val="66910267"/>
    <w:rsid w:val="66935B55"/>
    <w:rsid w:val="669360F2"/>
    <w:rsid w:val="66982C0E"/>
    <w:rsid w:val="669866AB"/>
    <w:rsid w:val="66992BCB"/>
    <w:rsid w:val="669B6734"/>
    <w:rsid w:val="669C022F"/>
    <w:rsid w:val="669E3F34"/>
    <w:rsid w:val="669E4476"/>
    <w:rsid w:val="66AB2385"/>
    <w:rsid w:val="66AD781D"/>
    <w:rsid w:val="66B17D41"/>
    <w:rsid w:val="66B419D0"/>
    <w:rsid w:val="66BB285B"/>
    <w:rsid w:val="66CC1E98"/>
    <w:rsid w:val="66D205F4"/>
    <w:rsid w:val="66DB0F05"/>
    <w:rsid w:val="66E257E5"/>
    <w:rsid w:val="66E3233B"/>
    <w:rsid w:val="66E37F35"/>
    <w:rsid w:val="66EA07C5"/>
    <w:rsid w:val="66EA1965"/>
    <w:rsid w:val="66EC2894"/>
    <w:rsid w:val="66EE0E18"/>
    <w:rsid w:val="66EE624B"/>
    <w:rsid w:val="66F02012"/>
    <w:rsid w:val="66F3389B"/>
    <w:rsid w:val="66F916AD"/>
    <w:rsid w:val="66FA2E8C"/>
    <w:rsid w:val="66FC4ED3"/>
    <w:rsid w:val="67000CC4"/>
    <w:rsid w:val="670921D6"/>
    <w:rsid w:val="67183AA8"/>
    <w:rsid w:val="671956AB"/>
    <w:rsid w:val="671F124A"/>
    <w:rsid w:val="672056DD"/>
    <w:rsid w:val="672F4561"/>
    <w:rsid w:val="67344F6D"/>
    <w:rsid w:val="6736645D"/>
    <w:rsid w:val="673B3590"/>
    <w:rsid w:val="67423054"/>
    <w:rsid w:val="6747410F"/>
    <w:rsid w:val="67517FE2"/>
    <w:rsid w:val="675328A7"/>
    <w:rsid w:val="675A49FC"/>
    <w:rsid w:val="675D398A"/>
    <w:rsid w:val="675E5E59"/>
    <w:rsid w:val="67627219"/>
    <w:rsid w:val="67627598"/>
    <w:rsid w:val="676319F9"/>
    <w:rsid w:val="6765558E"/>
    <w:rsid w:val="67662879"/>
    <w:rsid w:val="676D2607"/>
    <w:rsid w:val="676D505A"/>
    <w:rsid w:val="677456EB"/>
    <w:rsid w:val="67775565"/>
    <w:rsid w:val="677A33C6"/>
    <w:rsid w:val="677C1EC2"/>
    <w:rsid w:val="677F3E08"/>
    <w:rsid w:val="678741FE"/>
    <w:rsid w:val="67891163"/>
    <w:rsid w:val="678A7E76"/>
    <w:rsid w:val="678E6859"/>
    <w:rsid w:val="679006CE"/>
    <w:rsid w:val="67913A70"/>
    <w:rsid w:val="67920F63"/>
    <w:rsid w:val="67981588"/>
    <w:rsid w:val="679B03F3"/>
    <w:rsid w:val="679B7CAD"/>
    <w:rsid w:val="679D64DC"/>
    <w:rsid w:val="67A17EBF"/>
    <w:rsid w:val="67A94BFF"/>
    <w:rsid w:val="67AA0F73"/>
    <w:rsid w:val="67B2516C"/>
    <w:rsid w:val="67B324D1"/>
    <w:rsid w:val="67B546EE"/>
    <w:rsid w:val="67B90875"/>
    <w:rsid w:val="67B9399B"/>
    <w:rsid w:val="67BC1058"/>
    <w:rsid w:val="67BC5624"/>
    <w:rsid w:val="67C74A66"/>
    <w:rsid w:val="67C972D1"/>
    <w:rsid w:val="67CC35BD"/>
    <w:rsid w:val="67CD2071"/>
    <w:rsid w:val="67D104AD"/>
    <w:rsid w:val="67D5772E"/>
    <w:rsid w:val="67DC1888"/>
    <w:rsid w:val="67DC552B"/>
    <w:rsid w:val="67DC59BE"/>
    <w:rsid w:val="67E61BC6"/>
    <w:rsid w:val="67F25499"/>
    <w:rsid w:val="67FC1A91"/>
    <w:rsid w:val="68047D68"/>
    <w:rsid w:val="68051ECA"/>
    <w:rsid w:val="68083606"/>
    <w:rsid w:val="680C3022"/>
    <w:rsid w:val="6812406C"/>
    <w:rsid w:val="68172DB8"/>
    <w:rsid w:val="681F032B"/>
    <w:rsid w:val="681F6961"/>
    <w:rsid w:val="68221EE4"/>
    <w:rsid w:val="68231C2E"/>
    <w:rsid w:val="68264029"/>
    <w:rsid w:val="68273C50"/>
    <w:rsid w:val="682A6A1B"/>
    <w:rsid w:val="682B1F4E"/>
    <w:rsid w:val="682E590A"/>
    <w:rsid w:val="683918F5"/>
    <w:rsid w:val="68405A7E"/>
    <w:rsid w:val="68421C10"/>
    <w:rsid w:val="68440332"/>
    <w:rsid w:val="6844387B"/>
    <w:rsid w:val="684466BA"/>
    <w:rsid w:val="684A17F2"/>
    <w:rsid w:val="684B1784"/>
    <w:rsid w:val="684E21F8"/>
    <w:rsid w:val="68544672"/>
    <w:rsid w:val="68550B65"/>
    <w:rsid w:val="6855699D"/>
    <w:rsid w:val="685A1B20"/>
    <w:rsid w:val="685E7B92"/>
    <w:rsid w:val="68610A2F"/>
    <w:rsid w:val="6865327C"/>
    <w:rsid w:val="68670CD8"/>
    <w:rsid w:val="686A0A4C"/>
    <w:rsid w:val="686D7D24"/>
    <w:rsid w:val="68731F37"/>
    <w:rsid w:val="68776B0D"/>
    <w:rsid w:val="6879653C"/>
    <w:rsid w:val="68805514"/>
    <w:rsid w:val="688178E9"/>
    <w:rsid w:val="68894D83"/>
    <w:rsid w:val="688F7F64"/>
    <w:rsid w:val="6898644F"/>
    <w:rsid w:val="689E52AF"/>
    <w:rsid w:val="68A86CAA"/>
    <w:rsid w:val="68AB50FA"/>
    <w:rsid w:val="68AC2F33"/>
    <w:rsid w:val="68BD7F87"/>
    <w:rsid w:val="68C2679D"/>
    <w:rsid w:val="68C268B7"/>
    <w:rsid w:val="68C46547"/>
    <w:rsid w:val="68C5197E"/>
    <w:rsid w:val="68CC5AD0"/>
    <w:rsid w:val="68CE70DE"/>
    <w:rsid w:val="68CF28D2"/>
    <w:rsid w:val="68D15DF1"/>
    <w:rsid w:val="68D3359C"/>
    <w:rsid w:val="68E77E10"/>
    <w:rsid w:val="68E8530D"/>
    <w:rsid w:val="68EB4613"/>
    <w:rsid w:val="68F204F6"/>
    <w:rsid w:val="68F2764D"/>
    <w:rsid w:val="68F67459"/>
    <w:rsid w:val="68FA663F"/>
    <w:rsid w:val="68FF5B5B"/>
    <w:rsid w:val="69086117"/>
    <w:rsid w:val="690C269F"/>
    <w:rsid w:val="690F6D99"/>
    <w:rsid w:val="69110F2F"/>
    <w:rsid w:val="691813E2"/>
    <w:rsid w:val="6919560A"/>
    <w:rsid w:val="691B6008"/>
    <w:rsid w:val="691F7E49"/>
    <w:rsid w:val="69252C2D"/>
    <w:rsid w:val="69295B08"/>
    <w:rsid w:val="69316E2F"/>
    <w:rsid w:val="6935090A"/>
    <w:rsid w:val="69362F6A"/>
    <w:rsid w:val="693B0F3B"/>
    <w:rsid w:val="693C476F"/>
    <w:rsid w:val="694503FD"/>
    <w:rsid w:val="694E2071"/>
    <w:rsid w:val="694E3138"/>
    <w:rsid w:val="694E40DA"/>
    <w:rsid w:val="69521FF4"/>
    <w:rsid w:val="69522BA5"/>
    <w:rsid w:val="69603C11"/>
    <w:rsid w:val="69612F5A"/>
    <w:rsid w:val="6963086B"/>
    <w:rsid w:val="69641721"/>
    <w:rsid w:val="69646187"/>
    <w:rsid w:val="69647A0C"/>
    <w:rsid w:val="69694379"/>
    <w:rsid w:val="69694AF2"/>
    <w:rsid w:val="696B2596"/>
    <w:rsid w:val="696E0FB2"/>
    <w:rsid w:val="69766163"/>
    <w:rsid w:val="697A3B33"/>
    <w:rsid w:val="697E42E8"/>
    <w:rsid w:val="698B12F7"/>
    <w:rsid w:val="698E2D66"/>
    <w:rsid w:val="699240E4"/>
    <w:rsid w:val="699516BE"/>
    <w:rsid w:val="699D4E6C"/>
    <w:rsid w:val="69A1084D"/>
    <w:rsid w:val="69AE5259"/>
    <w:rsid w:val="69B01C7E"/>
    <w:rsid w:val="69B1626F"/>
    <w:rsid w:val="69B97EB5"/>
    <w:rsid w:val="69C45336"/>
    <w:rsid w:val="69C47475"/>
    <w:rsid w:val="69C922D2"/>
    <w:rsid w:val="69D07516"/>
    <w:rsid w:val="69D44760"/>
    <w:rsid w:val="69D65CD5"/>
    <w:rsid w:val="69D81A4D"/>
    <w:rsid w:val="69D9262A"/>
    <w:rsid w:val="69EC619F"/>
    <w:rsid w:val="69EC7D0A"/>
    <w:rsid w:val="69EE2BB5"/>
    <w:rsid w:val="69F35FA3"/>
    <w:rsid w:val="69F56628"/>
    <w:rsid w:val="69F872BC"/>
    <w:rsid w:val="6A077541"/>
    <w:rsid w:val="6A0942FC"/>
    <w:rsid w:val="6A0960AB"/>
    <w:rsid w:val="6A15302D"/>
    <w:rsid w:val="6A167974"/>
    <w:rsid w:val="6A1C3E82"/>
    <w:rsid w:val="6A1E3383"/>
    <w:rsid w:val="6A1F59CD"/>
    <w:rsid w:val="6A241FFF"/>
    <w:rsid w:val="6A24635D"/>
    <w:rsid w:val="6A256806"/>
    <w:rsid w:val="6A280CDE"/>
    <w:rsid w:val="6A29045C"/>
    <w:rsid w:val="6A2904FB"/>
    <w:rsid w:val="6A2B3F9F"/>
    <w:rsid w:val="6A2C4203"/>
    <w:rsid w:val="6A2D7EBB"/>
    <w:rsid w:val="6A3121D7"/>
    <w:rsid w:val="6A39211B"/>
    <w:rsid w:val="6A3959CD"/>
    <w:rsid w:val="6A3F4582"/>
    <w:rsid w:val="6A4701D4"/>
    <w:rsid w:val="6A4910C8"/>
    <w:rsid w:val="6A4A2B7A"/>
    <w:rsid w:val="6A4A5387"/>
    <w:rsid w:val="6A4B11CB"/>
    <w:rsid w:val="6A520EC7"/>
    <w:rsid w:val="6A5B390B"/>
    <w:rsid w:val="6A6339D0"/>
    <w:rsid w:val="6A6521D7"/>
    <w:rsid w:val="6A670A86"/>
    <w:rsid w:val="6A6726A3"/>
    <w:rsid w:val="6A672C87"/>
    <w:rsid w:val="6A67310F"/>
    <w:rsid w:val="6A690E64"/>
    <w:rsid w:val="6A6C5CA9"/>
    <w:rsid w:val="6A6C6306"/>
    <w:rsid w:val="6A6E5F0E"/>
    <w:rsid w:val="6A70612A"/>
    <w:rsid w:val="6A793230"/>
    <w:rsid w:val="6A7A6FA8"/>
    <w:rsid w:val="6A813F17"/>
    <w:rsid w:val="6A8435A7"/>
    <w:rsid w:val="6A897582"/>
    <w:rsid w:val="6A9204D5"/>
    <w:rsid w:val="6A927E4E"/>
    <w:rsid w:val="6A950B6E"/>
    <w:rsid w:val="6A994FF4"/>
    <w:rsid w:val="6AA211A5"/>
    <w:rsid w:val="6AA3061E"/>
    <w:rsid w:val="6AA57A35"/>
    <w:rsid w:val="6AAF3C72"/>
    <w:rsid w:val="6AB16E9A"/>
    <w:rsid w:val="6AB31849"/>
    <w:rsid w:val="6AB66BCB"/>
    <w:rsid w:val="6AB931E5"/>
    <w:rsid w:val="6ABD4868"/>
    <w:rsid w:val="6AC455FE"/>
    <w:rsid w:val="6ACC48D6"/>
    <w:rsid w:val="6ACF676C"/>
    <w:rsid w:val="6AD50B4B"/>
    <w:rsid w:val="6AD8558E"/>
    <w:rsid w:val="6AD85CAE"/>
    <w:rsid w:val="6AD93CCF"/>
    <w:rsid w:val="6AE67C77"/>
    <w:rsid w:val="6AEB7C93"/>
    <w:rsid w:val="6AF44F46"/>
    <w:rsid w:val="6AF87E20"/>
    <w:rsid w:val="6B021350"/>
    <w:rsid w:val="6B062357"/>
    <w:rsid w:val="6B0D141C"/>
    <w:rsid w:val="6B15059E"/>
    <w:rsid w:val="6B153DE0"/>
    <w:rsid w:val="6B183069"/>
    <w:rsid w:val="6B1B2A36"/>
    <w:rsid w:val="6B1C4200"/>
    <w:rsid w:val="6B255DF0"/>
    <w:rsid w:val="6B2C1854"/>
    <w:rsid w:val="6B322639"/>
    <w:rsid w:val="6B342C7A"/>
    <w:rsid w:val="6B3549A1"/>
    <w:rsid w:val="6B3C0F7B"/>
    <w:rsid w:val="6B411121"/>
    <w:rsid w:val="6B432856"/>
    <w:rsid w:val="6B44754B"/>
    <w:rsid w:val="6B477EDB"/>
    <w:rsid w:val="6B493FDF"/>
    <w:rsid w:val="6B4A3F66"/>
    <w:rsid w:val="6B4B1AC3"/>
    <w:rsid w:val="6B4B6091"/>
    <w:rsid w:val="6B4D11EB"/>
    <w:rsid w:val="6B4F1C7B"/>
    <w:rsid w:val="6B4F2206"/>
    <w:rsid w:val="6B53157D"/>
    <w:rsid w:val="6B536809"/>
    <w:rsid w:val="6B554DD5"/>
    <w:rsid w:val="6B5852D9"/>
    <w:rsid w:val="6B5F6A56"/>
    <w:rsid w:val="6B610E4F"/>
    <w:rsid w:val="6B6214E3"/>
    <w:rsid w:val="6B643D37"/>
    <w:rsid w:val="6B706BB7"/>
    <w:rsid w:val="6B74561D"/>
    <w:rsid w:val="6B797260"/>
    <w:rsid w:val="6B7B23E1"/>
    <w:rsid w:val="6B8135C5"/>
    <w:rsid w:val="6B823C62"/>
    <w:rsid w:val="6B82622F"/>
    <w:rsid w:val="6B850A8A"/>
    <w:rsid w:val="6B9142E9"/>
    <w:rsid w:val="6B93558B"/>
    <w:rsid w:val="6B945502"/>
    <w:rsid w:val="6B970619"/>
    <w:rsid w:val="6B987881"/>
    <w:rsid w:val="6B9A16B0"/>
    <w:rsid w:val="6B9E5CFE"/>
    <w:rsid w:val="6B9F56CA"/>
    <w:rsid w:val="6BA31C16"/>
    <w:rsid w:val="6BA32859"/>
    <w:rsid w:val="6BB23B28"/>
    <w:rsid w:val="6BB71C8A"/>
    <w:rsid w:val="6BBC603F"/>
    <w:rsid w:val="6BBE7862"/>
    <w:rsid w:val="6BC23B8F"/>
    <w:rsid w:val="6BC26769"/>
    <w:rsid w:val="6BC30971"/>
    <w:rsid w:val="6BC753D6"/>
    <w:rsid w:val="6BC83708"/>
    <w:rsid w:val="6BD72FF6"/>
    <w:rsid w:val="6BD85253"/>
    <w:rsid w:val="6BDA1473"/>
    <w:rsid w:val="6BE62B8E"/>
    <w:rsid w:val="6BEA2BA5"/>
    <w:rsid w:val="6BEC638D"/>
    <w:rsid w:val="6BED164E"/>
    <w:rsid w:val="6BED4E39"/>
    <w:rsid w:val="6BED67A1"/>
    <w:rsid w:val="6BF06487"/>
    <w:rsid w:val="6BF40D40"/>
    <w:rsid w:val="6BF453B7"/>
    <w:rsid w:val="6BF55C4E"/>
    <w:rsid w:val="6BF7127E"/>
    <w:rsid w:val="6BFA466A"/>
    <w:rsid w:val="6C0142C3"/>
    <w:rsid w:val="6C026228"/>
    <w:rsid w:val="6C047E31"/>
    <w:rsid w:val="6C0709AB"/>
    <w:rsid w:val="6C0A2142"/>
    <w:rsid w:val="6C157FAA"/>
    <w:rsid w:val="6C161698"/>
    <w:rsid w:val="6C192FC4"/>
    <w:rsid w:val="6C196C3E"/>
    <w:rsid w:val="6C1B4333"/>
    <w:rsid w:val="6C216E7D"/>
    <w:rsid w:val="6C333CE4"/>
    <w:rsid w:val="6C35101D"/>
    <w:rsid w:val="6C363043"/>
    <w:rsid w:val="6C382279"/>
    <w:rsid w:val="6C3A75B5"/>
    <w:rsid w:val="6C3C5723"/>
    <w:rsid w:val="6C3E5EFE"/>
    <w:rsid w:val="6C4D6A96"/>
    <w:rsid w:val="6C5A3F16"/>
    <w:rsid w:val="6C5D623A"/>
    <w:rsid w:val="6C5D7990"/>
    <w:rsid w:val="6C600F1B"/>
    <w:rsid w:val="6C62044F"/>
    <w:rsid w:val="6C635F46"/>
    <w:rsid w:val="6C636C38"/>
    <w:rsid w:val="6C657EEA"/>
    <w:rsid w:val="6C690B85"/>
    <w:rsid w:val="6C697063"/>
    <w:rsid w:val="6C6A6643"/>
    <w:rsid w:val="6C70566B"/>
    <w:rsid w:val="6C7078EB"/>
    <w:rsid w:val="6C715622"/>
    <w:rsid w:val="6C74185B"/>
    <w:rsid w:val="6C7A47AA"/>
    <w:rsid w:val="6C7B148A"/>
    <w:rsid w:val="6C7C1F6E"/>
    <w:rsid w:val="6C7E39B7"/>
    <w:rsid w:val="6C855049"/>
    <w:rsid w:val="6C8D4D71"/>
    <w:rsid w:val="6C8D5408"/>
    <w:rsid w:val="6C913EB6"/>
    <w:rsid w:val="6C920F20"/>
    <w:rsid w:val="6C9514D1"/>
    <w:rsid w:val="6C962E8E"/>
    <w:rsid w:val="6CA13971"/>
    <w:rsid w:val="6CA15133"/>
    <w:rsid w:val="6CA2380D"/>
    <w:rsid w:val="6CA257D7"/>
    <w:rsid w:val="6CA461AF"/>
    <w:rsid w:val="6CA61005"/>
    <w:rsid w:val="6CAA7CB1"/>
    <w:rsid w:val="6CAE61ED"/>
    <w:rsid w:val="6CB717C4"/>
    <w:rsid w:val="6CC43C36"/>
    <w:rsid w:val="6CC82F32"/>
    <w:rsid w:val="6CCC72A9"/>
    <w:rsid w:val="6CCF33F5"/>
    <w:rsid w:val="6CD12194"/>
    <w:rsid w:val="6CD4504E"/>
    <w:rsid w:val="6CDC1652"/>
    <w:rsid w:val="6CDF7511"/>
    <w:rsid w:val="6CEC361C"/>
    <w:rsid w:val="6CED4A95"/>
    <w:rsid w:val="6CEE293C"/>
    <w:rsid w:val="6CF72805"/>
    <w:rsid w:val="6CFA09F3"/>
    <w:rsid w:val="6CFC7FBF"/>
    <w:rsid w:val="6CFD0BC3"/>
    <w:rsid w:val="6CFD0E30"/>
    <w:rsid w:val="6D047526"/>
    <w:rsid w:val="6D0C5F3E"/>
    <w:rsid w:val="6D0E52E2"/>
    <w:rsid w:val="6D1014FE"/>
    <w:rsid w:val="6D127BAB"/>
    <w:rsid w:val="6D1362A4"/>
    <w:rsid w:val="6D187EC8"/>
    <w:rsid w:val="6D1A6758"/>
    <w:rsid w:val="6D1C6A92"/>
    <w:rsid w:val="6D1F7993"/>
    <w:rsid w:val="6D233F3F"/>
    <w:rsid w:val="6D2A509E"/>
    <w:rsid w:val="6D2B2B4B"/>
    <w:rsid w:val="6D2C6215"/>
    <w:rsid w:val="6D2D03CD"/>
    <w:rsid w:val="6D3142CF"/>
    <w:rsid w:val="6D354FD3"/>
    <w:rsid w:val="6D39415A"/>
    <w:rsid w:val="6D3A2128"/>
    <w:rsid w:val="6D3C6B2D"/>
    <w:rsid w:val="6D447E3F"/>
    <w:rsid w:val="6D4A5F0F"/>
    <w:rsid w:val="6D530ACD"/>
    <w:rsid w:val="6D5726BE"/>
    <w:rsid w:val="6D593871"/>
    <w:rsid w:val="6D5A0320"/>
    <w:rsid w:val="6D5C243E"/>
    <w:rsid w:val="6D5E19DE"/>
    <w:rsid w:val="6D650C8F"/>
    <w:rsid w:val="6D6B3B40"/>
    <w:rsid w:val="6D6D676F"/>
    <w:rsid w:val="6D6D6796"/>
    <w:rsid w:val="6D714071"/>
    <w:rsid w:val="6D735A7B"/>
    <w:rsid w:val="6D737D4A"/>
    <w:rsid w:val="6D792961"/>
    <w:rsid w:val="6D7E6392"/>
    <w:rsid w:val="6D7F7D4C"/>
    <w:rsid w:val="6D814FE3"/>
    <w:rsid w:val="6D863776"/>
    <w:rsid w:val="6D873E5A"/>
    <w:rsid w:val="6D8846AC"/>
    <w:rsid w:val="6D8C23B6"/>
    <w:rsid w:val="6D8C438F"/>
    <w:rsid w:val="6D8F0E1B"/>
    <w:rsid w:val="6D8F28BE"/>
    <w:rsid w:val="6D900C7B"/>
    <w:rsid w:val="6D9059AA"/>
    <w:rsid w:val="6D937139"/>
    <w:rsid w:val="6D943FA8"/>
    <w:rsid w:val="6D955CC1"/>
    <w:rsid w:val="6D9B3E2A"/>
    <w:rsid w:val="6D9B40D4"/>
    <w:rsid w:val="6DA14EE3"/>
    <w:rsid w:val="6DA212D4"/>
    <w:rsid w:val="6DA64519"/>
    <w:rsid w:val="6DAC0273"/>
    <w:rsid w:val="6DB03809"/>
    <w:rsid w:val="6DB30F34"/>
    <w:rsid w:val="6DB34098"/>
    <w:rsid w:val="6DB340C8"/>
    <w:rsid w:val="6DB545B6"/>
    <w:rsid w:val="6DB6750B"/>
    <w:rsid w:val="6DBA14B3"/>
    <w:rsid w:val="6DBB52AC"/>
    <w:rsid w:val="6DBF11FD"/>
    <w:rsid w:val="6DC11871"/>
    <w:rsid w:val="6DC9488A"/>
    <w:rsid w:val="6DCA3549"/>
    <w:rsid w:val="6DCD6D0C"/>
    <w:rsid w:val="6DCF306E"/>
    <w:rsid w:val="6DD47089"/>
    <w:rsid w:val="6DD95A7F"/>
    <w:rsid w:val="6DDF1FB8"/>
    <w:rsid w:val="6DE02FB4"/>
    <w:rsid w:val="6DE27FE2"/>
    <w:rsid w:val="6DF21700"/>
    <w:rsid w:val="6DF33BB1"/>
    <w:rsid w:val="6DF40B4F"/>
    <w:rsid w:val="6DF9409C"/>
    <w:rsid w:val="6DFF3DFF"/>
    <w:rsid w:val="6E1B70B8"/>
    <w:rsid w:val="6E1D04BA"/>
    <w:rsid w:val="6E26745E"/>
    <w:rsid w:val="6E292E16"/>
    <w:rsid w:val="6E320B4B"/>
    <w:rsid w:val="6E333E26"/>
    <w:rsid w:val="6E381D3A"/>
    <w:rsid w:val="6E3D2D5B"/>
    <w:rsid w:val="6E461CB0"/>
    <w:rsid w:val="6E470827"/>
    <w:rsid w:val="6E4E0E29"/>
    <w:rsid w:val="6E4E22DE"/>
    <w:rsid w:val="6E4E6782"/>
    <w:rsid w:val="6E514CED"/>
    <w:rsid w:val="6E516D21"/>
    <w:rsid w:val="6E537D05"/>
    <w:rsid w:val="6E566352"/>
    <w:rsid w:val="6E5E5859"/>
    <w:rsid w:val="6E617D2A"/>
    <w:rsid w:val="6E633944"/>
    <w:rsid w:val="6E685F5E"/>
    <w:rsid w:val="6E6B35C1"/>
    <w:rsid w:val="6E7631F1"/>
    <w:rsid w:val="6E815867"/>
    <w:rsid w:val="6E8303F2"/>
    <w:rsid w:val="6E875010"/>
    <w:rsid w:val="6E89616B"/>
    <w:rsid w:val="6E8B26DD"/>
    <w:rsid w:val="6E8F7A40"/>
    <w:rsid w:val="6E940445"/>
    <w:rsid w:val="6E970964"/>
    <w:rsid w:val="6E994BD4"/>
    <w:rsid w:val="6E9D1B01"/>
    <w:rsid w:val="6EA14AF4"/>
    <w:rsid w:val="6EA4236F"/>
    <w:rsid w:val="6EA90865"/>
    <w:rsid w:val="6EAA0417"/>
    <w:rsid w:val="6EAE0FCF"/>
    <w:rsid w:val="6EAE45DE"/>
    <w:rsid w:val="6EB02E64"/>
    <w:rsid w:val="6EB137CF"/>
    <w:rsid w:val="6EB563D5"/>
    <w:rsid w:val="6EBC72B2"/>
    <w:rsid w:val="6EC4778E"/>
    <w:rsid w:val="6EC6314D"/>
    <w:rsid w:val="6EC70F3F"/>
    <w:rsid w:val="6EC96A9E"/>
    <w:rsid w:val="6ECA0A53"/>
    <w:rsid w:val="6ED87E38"/>
    <w:rsid w:val="6ED92677"/>
    <w:rsid w:val="6ED9429F"/>
    <w:rsid w:val="6EDE34FD"/>
    <w:rsid w:val="6EE73233"/>
    <w:rsid w:val="6EED1237"/>
    <w:rsid w:val="6EEF2AFF"/>
    <w:rsid w:val="6EF4344A"/>
    <w:rsid w:val="6EF6752E"/>
    <w:rsid w:val="6EF74328"/>
    <w:rsid w:val="6EF966EE"/>
    <w:rsid w:val="6EFE2DC7"/>
    <w:rsid w:val="6F0309D7"/>
    <w:rsid w:val="6F051440"/>
    <w:rsid w:val="6F0C3260"/>
    <w:rsid w:val="6F0C6A0E"/>
    <w:rsid w:val="6F155151"/>
    <w:rsid w:val="6F1C00B2"/>
    <w:rsid w:val="6F1F1ECC"/>
    <w:rsid w:val="6F225983"/>
    <w:rsid w:val="6F2C2D7E"/>
    <w:rsid w:val="6F324609"/>
    <w:rsid w:val="6F3B6197"/>
    <w:rsid w:val="6F3C0238"/>
    <w:rsid w:val="6F3C107A"/>
    <w:rsid w:val="6F407630"/>
    <w:rsid w:val="6F417E5B"/>
    <w:rsid w:val="6F466824"/>
    <w:rsid w:val="6F4F163D"/>
    <w:rsid w:val="6F554BD0"/>
    <w:rsid w:val="6F5A3019"/>
    <w:rsid w:val="6F742C31"/>
    <w:rsid w:val="6F753AF9"/>
    <w:rsid w:val="6F793AD0"/>
    <w:rsid w:val="6F803663"/>
    <w:rsid w:val="6F81252E"/>
    <w:rsid w:val="6F814935"/>
    <w:rsid w:val="6F816B55"/>
    <w:rsid w:val="6F857F81"/>
    <w:rsid w:val="6F860447"/>
    <w:rsid w:val="6F8B154D"/>
    <w:rsid w:val="6F8B3282"/>
    <w:rsid w:val="6F914A16"/>
    <w:rsid w:val="6F9812E0"/>
    <w:rsid w:val="6F9C7671"/>
    <w:rsid w:val="6F9F7E09"/>
    <w:rsid w:val="6FA13CFE"/>
    <w:rsid w:val="6FA611A8"/>
    <w:rsid w:val="6FA916FD"/>
    <w:rsid w:val="6FAB40C6"/>
    <w:rsid w:val="6FAC70B4"/>
    <w:rsid w:val="6FAF5E00"/>
    <w:rsid w:val="6FB17B00"/>
    <w:rsid w:val="6FB92D17"/>
    <w:rsid w:val="6FBA436E"/>
    <w:rsid w:val="6FBE5CE9"/>
    <w:rsid w:val="6FC116C7"/>
    <w:rsid w:val="6FC369E0"/>
    <w:rsid w:val="6FC552E5"/>
    <w:rsid w:val="6FC56BB6"/>
    <w:rsid w:val="6FC936F7"/>
    <w:rsid w:val="6FCC3594"/>
    <w:rsid w:val="6FD06288"/>
    <w:rsid w:val="6FD2326F"/>
    <w:rsid w:val="6FD7202F"/>
    <w:rsid w:val="6FD730CA"/>
    <w:rsid w:val="6FDD1BC1"/>
    <w:rsid w:val="6FDF684F"/>
    <w:rsid w:val="6FE1688E"/>
    <w:rsid w:val="6FE1724C"/>
    <w:rsid w:val="6FE55332"/>
    <w:rsid w:val="6FEC6B83"/>
    <w:rsid w:val="6FF2313D"/>
    <w:rsid w:val="6FFC5590"/>
    <w:rsid w:val="6FFD3EA9"/>
    <w:rsid w:val="700B0BA4"/>
    <w:rsid w:val="700D1C68"/>
    <w:rsid w:val="700E4F04"/>
    <w:rsid w:val="700F396B"/>
    <w:rsid w:val="701051AB"/>
    <w:rsid w:val="70131AA6"/>
    <w:rsid w:val="7019217D"/>
    <w:rsid w:val="701E2184"/>
    <w:rsid w:val="70225A3E"/>
    <w:rsid w:val="702754D1"/>
    <w:rsid w:val="702754DC"/>
    <w:rsid w:val="702B7703"/>
    <w:rsid w:val="702C7058"/>
    <w:rsid w:val="702D33B8"/>
    <w:rsid w:val="703836F4"/>
    <w:rsid w:val="70383A54"/>
    <w:rsid w:val="703A66DC"/>
    <w:rsid w:val="703B0AE2"/>
    <w:rsid w:val="703C471B"/>
    <w:rsid w:val="703E6557"/>
    <w:rsid w:val="70415189"/>
    <w:rsid w:val="70421197"/>
    <w:rsid w:val="70454283"/>
    <w:rsid w:val="7046087A"/>
    <w:rsid w:val="704946B6"/>
    <w:rsid w:val="704E5E11"/>
    <w:rsid w:val="70596D82"/>
    <w:rsid w:val="706308B4"/>
    <w:rsid w:val="706A3786"/>
    <w:rsid w:val="706D1DD0"/>
    <w:rsid w:val="706F3D99"/>
    <w:rsid w:val="706F5850"/>
    <w:rsid w:val="70763C15"/>
    <w:rsid w:val="7076780D"/>
    <w:rsid w:val="707D2C45"/>
    <w:rsid w:val="707D334E"/>
    <w:rsid w:val="707F7743"/>
    <w:rsid w:val="70856B87"/>
    <w:rsid w:val="70870D1E"/>
    <w:rsid w:val="70A00DEB"/>
    <w:rsid w:val="70A06582"/>
    <w:rsid w:val="70A21524"/>
    <w:rsid w:val="70A77A6C"/>
    <w:rsid w:val="70A80003"/>
    <w:rsid w:val="70A909FB"/>
    <w:rsid w:val="70AB2D5B"/>
    <w:rsid w:val="70B14239"/>
    <w:rsid w:val="70B35BA8"/>
    <w:rsid w:val="70B36AD8"/>
    <w:rsid w:val="70BD5CE9"/>
    <w:rsid w:val="70BF7CCC"/>
    <w:rsid w:val="70C554D3"/>
    <w:rsid w:val="70C60582"/>
    <w:rsid w:val="70C60F06"/>
    <w:rsid w:val="70CC0771"/>
    <w:rsid w:val="70D527EE"/>
    <w:rsid w:val="70D7164F"/>
    <w:rsid w:val="70DB1B83"/>
    <w:rsid w:val="70DB52A8"/>
    <w:rsid w:val="70DE13C7"/>
    <w:rsid w:val="70E046E5"/>
    <w:rsid w:val="70E15B9A"/>
    <w:rsid w:val="70E220E0"/>
    <w:rsid w:val="70ED18BA"/>
    <w:rsid w:val="70F40CE3"/>
    <w:rsid w:val="70F4281E"/>
    <w:rsid w:val="71054508"/>
    <w:rsid w:val="71071DDF"/>
    <w:rsid w:val="710A6126"/>
    <w:rsid w:val="710A687B"/>
    <w:rsid w:val="710F044A"/>
    <w:rsid w:val="71107D1F"/>
    <w:rsid w:val="711462F5"/>
    <w:rsid w:val="711474BB"/>
    <w:rsid w:val="711A422A"/>
    <w:rsid w:val="711B27D9"/>
    <w:rsid w:val="711B3C7F"/>
    <w:rsid w:val="711C2318"/>
    <w:rsid w:val="711E055D"/>
    <w:rsid w:val="71246473"/>
    <w:rsid w:val="712667E0"/>
    <w:rsid w:val="71273F8B"/>
    <w:rsid w:val="712A2467"/>
    <w:rsid w:val="71300761"/>
    <w:rsid w:val="71312F51"/>
    <w:rsid w:val="71345A97"/>
    <w:rsid w:val="71364A93"/>
    <w:rsid w:val="713B4AAE"/>
    <w:rsid w:val="71457D9D"/>
    <w:rsid w:val="715402A2"/>
    <w:rsid w:val="715B5300"/>
    <w:rsid w:val="715E0F62"/>
    <w:rsid w:val="715F7CF8"/>
    <w:rsid w:val="716650F8"/>
    <w:rsid w:val="71685FB8"/>
    <w:rsid w:val="71694DE1"/>
    <w:rsid w:val="716A2140"/>
    <w:rsid w:val="716D04D5"/>
    <w:rsid w:val="716D3E25"/>
    <w:rsid w:val="71755E4D"/>
    <w:rsid w:val="71833A54"/>
    <w:rsid w:val="71883D59"/>
    <w:rsid w:val="718860C8"/>
    <w:rsid w:val="718F02A0"/>
    <w:rsid w:val="718F3339"/>
    <w:rsid w:val="719167AD"/>
    <w:rsid w:val="71983564"/>
    <w:rsid w:val="719856D5"/>
    <w:rsid w:val="719B5F46"/>
    <w:rsid w:val="71A66D8E"/>
    <w:rsid w:val="71AB0BFD"/>
    <w:rsid w:val="71AB5C99"/>
    <w:rsid w:val="71AC76C5"/>
    <w:rsid w:val="71B21437"/>
    <w:rsid w:val="71B24BC4"/>
    <w:rsid w:val="71B51BE1"/>
    <w:rsid w:val="71B87ED7"/>
    <w:rsid w:val="71BB38BA"/>
    <w:rsid w:val="71C42E6F"/>
    <w:rsid w:val="71C710A4"/>
    <w:rsid w:val="71CD74B3"/>
    <w:rsid w:val="71D07DB4"/>
    <w:rsid w:val="71D27F8A"/>
    <w:rsid w:val="71D71106"/>
    <w:rsid w:val="71DB032D"/>
    <w:rsid w:val="71E002A1"/>
    <w:rsid w:val="71E14A24"/>
    <w:rsid w:val="71F118FE"/>
    <w:rsid w:val="71F34AC8"/>
    <w:rsid w:val="71F4202B"/>
    <w:rsid w:val="71F4374E"/>
    <w:rsid w:val="71F522FE"/>
    <w:rsid w:val="71F73A84"/>
    <w:rsid w:val="71FA24BB"/>
    <w:rsid w:val="71FD1E88"/>
    <w:rsid w:val="72052146"/>
    <w:rsid w:val="72074916"/>
    <w:rsid w:val="720A7322"/>
    <w:rsid w:val="720E398F"/>
    <w:rsid w:val="72112199"/>
    <w:rsid w:val="72121CDF"/>
    <w:rsid w:val="72136F42"/>
    <w:rsid w:val="721A6769"/>
    <w:rsid w:val="721B21C9"/>
    <w:rsid w:val="721D52B1"/>
    <w:rsid w:val="72210E9F"/>
    <w:rsid w:val="722577FA"/>
    <w:rsid w:val="72294047"/>
    <w:rsid w:val="723700F2"/>
    <w:rsid w:val="723A68BB"/>
    <w:rsid w:val="723D4E8C"/>
    <w:rsid w:val="724934C4"/>
    <w:rsid w:val="724F1DB1"/>
    <w:rsid w:val="72507B87"/>
    <w:rsid w:val="725527EB"/>
    <w:rsid w:val="72553024"/>
    <w:rsid w:val="725679D7"/>
    <w:rsid w:val="7258530E"/>
    <w:rsid w:val="725B146D"/>
    <w:rsid w:val="72607C72"/>
    <w:rsid w:val="72686C2D"/>
    <w:rsid w:val="726A6CC2"/>
    <w:rsid w:val="7271435B"/>
    <w:rsid w:val="72717DCC"/>
    <w:rsid w:val="72733860"/>
    <w:rsid w:val="7279604F"/>
    <w:rsid w:val="727B142A"/>
    <w:rsid w:val="72826AE4"/>
    <w:rsid w:val="728346D7"/>
    <w:rsid w:val="72876AB2"/>
    <w:rsid w:val="72880811"/>
    <w:rsid w:val="728A58AF"/>
    <w:rsid w:val="728C0074"/>
    <w:rsid w:val="72964C53"/>
    <w:rsid w:val="72A6019D"/>
    <w:rsid w:val="72A746B3"/>
    <w:rsid w:val="72AF5330"/>
    <w:rsid w:val="72B3302F"/>
    <w:rsid w:val="72B65C98"/>
    <w:rsid w:val="72B73252"/>
    <w:rsid w:val="72BB698A"/>
    <w:rsid w:val="72C13D54"/>
    <w:rsid w:val="72C214EC"/>
    <w:rsid w:val="72C6029D"/>
    <w:rsid w:val="72CA281D"/>
    <w:rsid w:val="72CB51FC"/>
    <w:rsid w:val="72D24E63"/>
    <w:rsid w:val="72D428F7"/>
    <w:rsid w:val="72D9404A"/>
    <w:rsid w:val="72DA2EC3"/>
    <w:rsid w:val="72E2066A"/>
    <w:rsid w:val="72EF453E"/>
    <w:rsid w:val="72F12558"/>
    <w:rsid w:val="72F41839"/>
    <w:rsid w:val="72F545DB"/>
    <w:rsid w:val="72F631F8"/>
    <w:rsid w:val="72F73585"/>
    <w:rsid w:val="72F820CC"/>
    <w:rsid w:val="72F97EA2"/>
    <w:rsid w:val="72FD154A"/>
    <w:rsid w:val="72FF7CF5"/>
    <w:rsid w:val="73036C20"/>
    <w:rsid w:val="73040DC7"/>
    <w:rsid w:val="730C09AF"/>
    <w:rsid w:val="7310215D"/>
    <w:rsid w:val="73114287"/>
    <w:rsid w:val="73122968"/>
    <w:rsid w:val="73132E6C"/>
    <w:rsid w:val="73155E7E"/>
    <w:rsid w:val="731955B0"/>
    <w:rsid w:val="731A3DF3"/>
    <w:rsid w:val="731B7F6C"/>
    <w:rsid w:val="731C29AB"/>
    <w:rsid w:val="731D589B"/>
    <w:rsid w:val="731F5D5E"/>
    <w:rsid w:val="732213E3"/>
    <w:rsid w:val="73265251"/>
    <w:rsid w:val="732D59FF"/>
    <w:rsid w:val="73311D53"/>
    <w:rsid w:val="73326672"/>
    <w:rsid w:val="73353069"/>
    <w:rsid w:val="73365408"/>
    <w:rsid w:val="73382BAD"/>
    <w:rsid w:val="733D0DD5"/>
    <w:rsid w:val="733F3A50"/>
    <w:rsid w:val="73433A9B"/>
    <w:rsid w:val="734639CE"/>
    <w:rsid w:val="734C5B69"/>
    <w:rsid w:val="734E152B"/>
    <w:rsid w:val="734E2D80"/>
    <w:rsid w:val="735073B5"/>
    <w:rsid w:val="73517D90"/>
    <w:rsid w:val="7353373B"/>
    <w:rsid w:val="7354206C"/>
    <w:rsid w:val="73564E58"/>
    <w:rsid w:val="735832C2"/>
    <w:rsid w:val="735A2074"/>
    <w:rsid w:val="73615058"/>
    <w:rsid w:val="73676D32"/>
    <w:rsid w:val="73691C9F"/>
    <w:rsid w:val="736A21E1"/>
    <w:rsid w:val="736B2874"/>
    <w:rsid w:val="736D5AFD"/>
    <w:rsid w:val="736F5A0A"/>
    <w:rsid w:val="73761B69"/>
    <w:rsid w:val="73784153"/>
    <w:rsid w:val="737921F0"/>
    <w:rsid w:val="737B2226"/>
    <w:rsid w:val="737B5808"/>
    <w:rsid w:val="737C43AF"/>
    <w:rsid w:val="737F3D9B"/>
    <w:rsid w:val="738347AF"/>
    <w:rsid w:val="73842AE9"/>
    <w:rsid w:val="73952A84"/>
    <w:rsid w:val="739C5B56"/>
    <w:rsid w:val="73A461ED"/>
    <w:rsid w:val="73A56035"/>
    <w:rsid w:val="73A67A5C"/>
    <w:rsid w:val="73AA2CDD"/>
    <w:rsid w:val="73AE0554"/>
    <w:rsid w:val="73AF7CC3"/>
    <w:rsid w:val="73C24C98"/>
    <w:rsid w:val="73C33DBB"/>
    <w:rsid w:val="73C51AD5"/>
    <w:rsid w:val="73C60F07"/>
    <w:rsid w:val="73CB021D"/>
    <w:rsid w:val="73CE2458"/>
    <w:rsid w:val="73CF2DDF"/>
    <w:rsid w:val="73D20000"/>
    <w:rsid w:val="73DD0976"/>
    <w:rsid w:val="73DF1F43"/>
    <w:rsid w:val="73EA4452"/>
    <w:rsid w:val="73EF2358"/>
    <w:rsid w:val="73F22EB8"/>
    <w:rsid w:val="73FD3D19"/>
    <w:rsid w:val="73FF68A9"/>
    <w:rsid w:val="740578E3"/>
    <w:rsid w:val="74065015"/>
    <w:rsid w:val="740712EA"/>
    <w:rsid w:val="740C1538"/>
    <w:rsid w:val="740C2DE4"/>
    <w:rsid w:val="74132CA1"/>
    <w:rsid w:val="74150645"/>
    <w:rsid w:val="741735C5"/>
    <w:rsid w:val="741C57B6"/>
    <w:rsid w:val="741E273F"/>
    <w:rsid w:val="741E2A08"/>
    <w:rsid w:val="741E793C"/>
    <w:rsid w:val="74214413"/>
    <w:rsid w:val="7423420D"/>
    <w:rsid w:val="742B6214"/>
    <w:rsid w:val="74320AC2"/>
    <w:rsid w:val="74321B1E"/>
    <w:rsid w:val="74326133"/>
    <w:rsid w:val="74373814"/>
    <w:rsid w:val="743B5608"/>
    <w:rsid w:val="743D1570"/>
    <w:rsid w:val="7442567A"/>
    <w:rsid w:val="74427DFE"/>
    <w:rsid w:val="7443496D"/>
    <w:rsid w:val="74456ECE"/>
    <w:rsid w:val="744A07AA"/>
    <w:rsid w:val="744D33EB"/>
    <w:rsid w:val="74503744"/>
    <w:rsid w:val="74524397"/>
    <w:rsid w:val="74570117"/>
    <w:rsid w:val="74585B4C"/>
    <w:rsid w:val="745909DC"/>
    <w:rsid w:val="745919DD"/>
    <w:rsid w:val="745A3932"/>
    <w:rsid w:val="745E3944"/>
    <w:rsid w:val="74617DC0"/>
    <w:rsid w:val="74776B23"/>
    <w:rsid w:val="747800B5"/>
    <w:rsid w:val="74783079"/>
    <w:rsid w:val="747B3474"/>
    <w:rsid w:val="747C0248"/>
    <w:rsid w:val="74841D59"/>
    <w:rsid w:val="74866357"/>
    <w:rsid w:val="749008E5"/>
    <w:rsid w:val="749063A1"/>
    <w:rsid w:val="749C4D8E"/>
    <w:rsid w:val="749D1593"/>
    <w:rsid w:val="74A33ECA"/>
    <w:rsid w:val="74A7099A"/>
    <w:rsid w:val="74AA45A1"/>
    <w:rsid w:val="74AD3C7D"/>
    <w:rsid w:val="74B30220"/>
    <w:rsid w:val="74B44E65"/>
    <w:rsid w:val="74B713CB"/>
    <w:rsid w:val="74C13FA6"/>
    <w:rsid w:val="74C41AE2"/>
    <w:rsid w:val="74C73F4D"/>
    <w:rsid w:val="74CC5A0C"/>
    <w:rsid w:val="74CF0EE4"/>
    <w:rsid w:val="74D37940"/>
    <w:rsid w:val="74D62D5E"/>
    <w:rsid w:val="74D73FE1"/>
    <w:rsid w:val="74DB3E3D"/>
    <w:rsid w:val="74E375C2"/>
    <w:rsid w:val="74E963CF"/>
    <w:rsid w:val="74EA0887"/>
    <w:rsid w:val="74EE2AA6"/>
    <w:rsid w:val="74EF147A"/>
    <w:rsid w:val="74EF45D0"/>
    <w:rsid w:val="74EF5B6E"/>
    <w:rsid w:val="74F1655B"/>
    <w:rsid w:val="74F17A2B"/>
    <w:rsid w:val="74F87553"/>
    <w:rsid w:val="74FF5C0D"/>
    <w:rsid w:val="75046088"/>
    <w:rsid w:val="7507481B"/>
    <w:rsid w:val="750C192E"/>
    <w:rsid w:val="750E015E"/>
    <w:rsid w:val="75151DA7"/>
    <w:rsid w:val="75204263"/>
    <w:rsid w:val="75234F1D"/>
    <w:rsid w:val="75285DAE"/>
    <w:rsid w:val="75344B51"/>
    <w:rsid w:val="753E0EDC"/>
    <w:rsid w:val="75426B76"/>
    <w:rsid w:val="75445D68"/>
    <w:rsid w:val="75463FCC"/>
    <w:rsid w:val="754F2C9A"/>
    <w:rsid w:val="754F6784"/>
    <w:rsid w:val="755268C8"/>
    <w:rsid w:val="755B6706"/>
    <w:rsid w:val="755D6D4C"/>
    <w:rsid w:val="75601DC3"/>
    <w:rsid w:val="75605670"/>
    <w:rsid w:val="756718C7"/>
    <w:rsid w:val="757743F9"/>
    <w:rsid w:val="7579236D"/>
    <w:rsid w:val="75796912"/>
    <w:rsid w:val="757F6D71"/>
    <w:rsid w:val="75810420"/>
    <w:rsid w:val="758306DE"/>
    <w:rsid w:val="758E5037"/>
    <w:rsid w:val="75907B95"/>
    <w:rsid w:val="759309BA"/>
    <w:rsid w:val="7593215C"/>
    <w:rsid w:val="7599294A"/>
    <w:rsid w:val="759A3CF7"/>
    <w:rsid w:val="75A23E53"/>
    <w:rsid w:val="75AD38C8"/>
    <w:rsid w:val="75AD6171"/>
    <w:rsid w:val="75AF3629"/>
    <w:rsid w:val="75B2635C"/>
    <w:rsid w:val="75B44C01"/>
    <w:rsid w:val="75B571C6"/>
    <w:rsid w:val="75B61EA0"/>
    <w:rsid w:val="75B6301C"/>
    <w:rsid w:val="75B72E5F"/>
    <w:rsid w:val="75B92C7F"/>
    <w:rsid w:val="75BA6E2C"/>
    <w:rsid w:val="75BB6755"/>
    <w:rsid w:val="75BC6E6B"/>
    <w:rsid w:val="75C1028F"/>
    <w:rsid w:val="75C6283A"/>
    <w:rsid w:val="75CE5E31"/>
    <w:rsid w:val="75D237F5"/>
    <w:rsid w:val="75D25EEA"/>
    <w:rsid w:val="75D4596E"/>
    <w:rsid w:val="75E023B5"/>
    <w:rsid w:val="75E80138"/>
    <w:rsid w:val="75E865AB"/>
    <w:rsid w:val="75E867EB"/>
    <w:rsid w:val="75ED4AD2"/>
    <w:rsid w:val="75EF43A6"/>
    <w:rsid w:val="760D76CA"/>
    <w:rsid w:val="76112296"/>
    <w:rsid w:val="76130AE5"/>
    <w:rsid w:val="761402B1"/>
    <w:rsid w:val="76286F0E"/>
    <w:rsid w:val="76322C84"/>
    <w:rsid w:val="7635099D"/>
    <w:rsid w:val="76367977"/>
    <w:rsid w:val="76394C81"/>
    <w:rsid w:val="763B4064"/>
    <w:rsid w:val="763C3774"/>
    <w:rsid w:val="76415D59"/>
    <w:rsid w:val="7644117B"/>
    <w:rsid w:val="76463801"/>
    <w:rsid w:val="76464DAE"/>
    <w:rsid w:val="764A782F"/>
    <w:rsid w:val="764F0376"/>
    <w:rsid w:val="765560E4"/>
    <w:rsid w:val="76590092"/>
    <w:rsid w:val="765902BA"/>
    <w:rsid w:val="765C6E0D"/>
    <w:rsid w:val="765C7A8B"/>
    <w:rsid w:val="765D6F23"/>
    <w:rsid w:val="766564D3"/>
    <w:rsid w:val="76663A7F"/>
    <w:rsid w:val="76673A61"/>
    <w:rsid w:val="76673E6F"/>
    <w:rsid w:val="766A30C6"/>
    <w:rsid w:val="766E26EE"/>
    <w:rsid w:val="76702432"/>
    <w:rsid w:val="767112AE"/>
    <w:rsid w:val="767338BE"/>
    <w:rsid w:val="767977C3"/>
    <w:rsid w:val="767A42D2"/>
    <w:rsid w:val="768419D1"/>
    <w:rsid w:val="7689303D"/>
    <w:rsid w:val="769779A1"/>
    <w:rsid w:val="769936E9"/>
    <w:rsid w:val="76A03E59"/>
    <w:rsid w:val="76A042C4"/>
    <w:rsid w:val="76A13979"/>
    <w:rsid w:val="76A3749B"/>
    <w:rsid w:val="76AC511E"/>
    <w:rsid w:val="76B037D3"/>
    <w:rsid w:val="76B25E7B"/>
    <w:rsid w:val="76B33469"/>
    <w:rsid w:val="76B53BB5"/>
    <w:rsid w:val="76B55386"/>
    <w:rsid w:val="76BF474E"/>
    <w:rsid w:val="76C74B3C"/>
    <w:rsid w:val="76C8042A"/>
    <w:rsid w:val="76CB05F1"/>
    <w:rsid w:val="76CD29EE"/>
    <w:rsid w:val="76D06AD8"/>
    <w:rsid w:val="76D23184"/>
    <w:rsid w:val="76D67314"/>
    <w:rsid w:val="76D87AD7"/>
    <w:rsid w:val="76DA3A78"/>
    <w:rsid w:val="76E25CB9"/>
    <w:rsid w:val="76E47BF1"/>
    <w:rsid w:val="76EE475E"/>
    <w:rsid w:val="76F83EA5"/>
    <w:rsid w:val="76F95FA6"/>
    <w:rsid w:val="76FB0CBE"/>
    <w:rsid w:val="76FC06D9"/>
    <w:rsid w:val="77020629"/>
    <w:rsid w:val="77076364"/>
    <w:rsid w:val="77084B42"/>
    <w:rsid w:val="770874F5"/>
    <w:rsid w:val="770B4786"/>
    <w:rsid w:val="771C1E27"/>
    <w:rsid w:val="772043DB"/>
    <w:rsid w:val="77242ABF"/>
    <w:rsid w:val="77291478"/>
    <w:rsid w:val="772B083F"/>
    <w:rsid w:val="7740169E"/>
    <w:rsid w:val="77414FCA"/>
    <w:rsid w:val="77443CA2"/>
    <w:rsid w:val="77487BCC"/>
    <w:rsid w:val="77541BC5"/>
    <w:rsid w:val="775D01B2"/>
    <w:rsid w:val="776A0D57"/>
    <w:rsid w:val="776A53DE"/>
    <w:rsid w:val="776B3121"/>
    <w:rsid w:val="776E2D99"/>
    <w:rsid w:val="77700146"/>
    <w:rsid w:val="777267A6"/>
    <w:rsid w:val="77754A71"/>
    <w:rsid w:val="77762421"/>
    <w:rsid w:val="7776575D"/>
    <w:rsid w:val="77784B01"/>
    <w:rsid w:val="777C0DD7"/>
    <w:rsid w:val="77832A58"/>
    <w:rsid w:val="77855AEA"/>
    <w:rsid w:val="77862AE9"/>
    <w:rsid w:val="778E11F4"/>
    <w:rsid w:val="77912B68"/>
    <w:rsid w:val="77996970"/>
    <w:rsid w:val="779A1C45"/>
    <w:rsid w:val="77A153A4"/>
    <w:rsid w:val="77A26F3D"/>
    <w:rsid w:val="77A46C0A"/>
    <w:rsid w:val="77A803BF"/>
    <w:rsid w:val="77B07B65"/>
    <w:rsid w:val="77B56B1F"/>
    <w:rsid w:val="77BC1F22"/>
    <w:rsid w:val="77BD2A5C"/>
    <w:rsid w:val="77C14814"/>
    <w:rsid w:val="77C42EAB"/>
    <w:rsid w:val="77C67628"/>
    <w:rsid w:val="77C72EC9"/>
    <w:rsid w:val="77CB724D"/>
    <w:rsid w:val="77D04AD5"/>
    <w:rsid w:val="77D04F01"/>
    <w:rsid w:val="77D870BC"/>
    <w:rsid w:val="77E41C53"/>
    <w:rsid w:val="77E872FF"/>
    <w:rsid w:val="77EC39F5"/>
    <w:rsid w:val="77F0617D"/>
    <w:rsid w:val="77F4061E"/>
    <w:rsid w:val="77F50ACB"/>
    <w:rsid w:val="77F515C2"/>
    <w:rsid w:val="77F602F8"/>
    <w:rsid w:val="77FC394B"/>
    <w:rsid w:val="77FD4907"/>
    <w:rsid w:val="77FF76BB"/>
    <w:rsid w:val="78034D77"/>
    <w:rsid w:val="780D7D41"/>
    <w:rsid w:val="780E0CF0"/>
    <w:rsid w:val="780F09F4"/>
    <w:rsid w:val="781035A4"/>
    <w:rsid w:val="78105187"/>
    <w:rsid w:val="781529CB"/>
    <w:rsid w:val="781A2B08"/>
    <w:rsid w:val="781C2EF4"/>
    <w:rsid w:val="781F6250"/>
    <w:rsid w:val="782055C7"/>
    <w:rsid w:val="78222BDF"/>
    <w:rsid w:val="782D7A23"/>
    <w:rsid w:val="782E5C0B"/>
    <w:rsid w:val="78304B6E"/>
    <w:rsid w:val="78306D66"/>
    <w:rsid w:val="78313BF4"/>
    <w:rsid w:val="78334C70"/>
    <w:rsid w:val="783B0019"/>
    <w:rsid w:val="783B52BE"/>
    <w:rsid w:val="78412C69"/>
    <w:rsid w:val="7843609F"/>
    <w:rsid w:val="784C662C"/>
    <w:rsid w:val="78530DF3"/>
    <w:rsid w:val="785536DC"/>
    <w:rsid w:val="78574485"/>
    <w:rsid w:val="78577851"/>
    <w:rsid w:val="78632E2A"/>
    <w:rsid w:val="78633CFA"/>
    <w:rsid w:val="786B1485"/>
    <w:rsid w:val="78702E52"/>
    <w:rsid w:val="78746C0C"/>
    <w:rsid w:val="78754678"/>
    <w:rsid w:val="787A2794"/>
    <w:rsid w:val="787F5F0E"/>
    <w:rsid w:val="78822C85"/>
    <w:rsid w:val="788259A6"/>
    <w:rsid w:val="788750F3"/>
    <w:rsid w:val="788A134B"/>
    <w:rsid w:val="788D0E9C"/>
    <w:rsid w:val="788D7EA7"/>
    <w:rsid w:val="78915B18"/>
    <w:rsid w:val="789728D6"/>
    <w:rsid w:val="78992CEF"/>
    <w:rsid w:val="78995542"/>
    <w:rsid w:val="789F3A7A"/>
    <w:rsid w:val="78A5039F"/>
    <w:rsid w:val="78A57767"/>
    <w:rsid w:val="78A90480"/>
    <w:rsid w:val="78AF53D8"/>
    <w:rsid w:val="78B15D17"/>
    <w:rsid w:val="78BA58D9"/>
    <w:rsid w:val="78BA7BB7"/>
    <w:rsid w:val="78BB38BE"/>
    <w:rsid w:val="78BB76AC"/>
    <w:rsid w:val="78C13233"/>
    <w:rsid w:val="78C23FF4"/>
    <w:rsid w:val="78C77403"/>
    <w:rsid w:val="78C77FF5"/>
    <w:rsid w:val="78D3725B"/>
    <w:rsid w:val="78D5418E"/>
    <w:rsid w:val="78D728E5"/>
    <w:rsid w:val="78DC4459"/>
    <w:rsid w:val="78E068EC"/>
    <w:rsid w:val="78E506D6"/>
    <w:rsid w:val="78E858F8"/>
    <w:rsid w:val="78E91F95"/>
    <w:rsid w:val="78F2570F"/>
    <w:rsid w:val="78F6215E"/>
    <w:rsid w:val="78F91E55"/>
    <w:rsid w:val="79017ADD"/>
    <w:rsid w:val="79025C82"/>
    <w:rsid w:val="790D5D89"/>
    <w:rsid w:val="790F485C"/>
    <w:rsid w:val="7913404B"/>
    <w:rsid w:val="791C748D"/>
    <w:rsid w:val="791D26D8"/>
    <w:rsid w:val="7925482D"/>
    <w:rsid w:val="792F4F85"/>
    <w:rsid w:val="79326EB3"/>
    <w:rsid w:val="793A699B"/>
    <w:rsid w:val="793B68DE"/>
    <w:rsid w:val="793D1CB4"/>
    <w:rsid w:val="793D20A3"/>
    <w:rsid w:val="793F138E"/>
    <w:rsid w:val="794A286C"/>
    <w:rsid w:val="794B2436"/>
    <w:rsid w:val="7957240F"/>
    <w:rsid w:val="79666D68"/>
    <w:rsid w:val="79734F3F"/>
    <w:rsid w:val="7974197D"/>
    <w:rsid w:val="79751067"/>
    <w:rsid w:val="797F0B5B"/>
    <w:rsid w:val="79891BE0"/>
    <w:rsid w:val="798C74A9"/>
    <w:rsid w:val="798D5D3F"/>
    <w:rsid w:val="799A5998"/>
    <w:rsid w:val="79A25BD4"/>
    <w:rsid w:val="79A279F4"/>
    <w:rsid w:val="79A33085"/>
    <w:rsid w:val="79A51C5F"/>
    <w:rsid w:val="79AB79B9"/>
    <w:rsid w:val="79AE3AD0"/>
    <w:rsid w:val="79B052F4"/>
    <w:rsid w:val="79B27967"/>
    <w:rsid w:val="79B67745"/>
    <w:rsid w:val="79B701C2"/>
    <w:rsid w:val="79C66DEF"/>
    <w:rsid w:val="79CA0A38"/>
    <w:rsid w:val="79CC60C9"/>
    <w:rsid w:val="79D02741"/>
    <w:rsid w:val="79D31C3E"/>
    <w:rsid w:val="79DE1E27"/>
    <w:rsid w:val="79E5265A"/>
    <w:rsid w:val="79E816F1"/>
    <w:rsid w:val="79E86164"/>
    <w:rsid w:val="79E92405"/>
    <w:rsid w:val="79F04277"/>
    <w:rsid w:val="79F15C13"/>
    <w:rsid w:val="79F44331"/>
    <w:rsid w:val="79FE49A5"/>
    <w:rsid w:val="7A020420"/>
    <w:rsid w:val="7A024D1C"/>
    <w:rsid w:val="7A084F16"/>
    <w:rsid w:val="7A0F3061"/>
    <w:rsid w:val="7A1E0956"/>
    <w:rsid w:val="7A22423F"/>
    <w:rsid w:val="7A224EEE"/>
    <w:rsid w:val="7A252A8D"/>
    <w:rsid w:val="7A3107D2"/>
    <w:rsid w:val="7A3347F5"/>
    <w:rsid w:val="7A341909"/>
    <w:rsid w:val="7A364017"/>
    <w:rsid w:val="7A366B4D"/>
    <w:rsid w:val="7A3727C0"/>
    <w:rsid w:val="7A37631C"/>
    <w:rsid w:val="7A393A6E"/>
    <w:rsid w:val="7A3E1718"/>
    <w:rsid w:val="7A410D6F"/>
    <w:rsid w:val="7A4775C4"/>
    <w:rsid w:val="7A4C5FE8"/>
    <w:rsid w:val="7A4F1DEB"/>
    <w:rsid w:val="7A540C7C"/>
    <w:rsid w:val="7A5B3CBD"/>
    <w:rsid w:val="7A623DB5"/>
    <w:rsid w:val="7A633852"/>
    <w:rsid w:val="7A682A32"/>
    <w:rsid w:val="7A7021BC"/>
    <w:rsid w:val="7A7118B5"/>
    <w:rsid w:val="7A760EF6"/>
    <w:rsid w:val="7A76395B"/>
    <w:rsid w:val="7A7B0FFC"/>
    <w:rsid w:val="7A7B627A"/>
    <w:rsid w:val="7A8265E1"/>
    <w:rsid w:val="7A8D10E2"/>
    <w:rsid w:val="7A8F5ED1"/>
    <w:rsid w:val="7A913F68"/>
    <w:rsid w:val="7A9E7238"/>
    <w:rsid w:val="7AA1145D"/>
    <w:rsid w:val="7AA377DF"/>
    <w:rsid w:val="7AA455E8"/>
    <w:rsid w:val="7AA55430"/>
    <w:rsid w:val="7AA61279"/>
    <w:rsid w:val="7AAF2AAB"/>
    <w:rsid w:val="7AAF5E76"/>
    <w:rsid w:val="7AB872CA"/>
    <w:rsid w:val="7ABB1438"/>
    <w:rsid w:val="7ABB757E"/>
    <w:rsid w:val="7ABE693B"/>
    <w:rsid w:val="7AC159F2"/>
    <w:rsid w:val="7AC970ED"/>
    <w:rsid w:val="7ACC34D4"/>
    <w:rsid w:val="7AD157FA"/>
    <w:rsid w:val="7AD5178A"/>
    <w:rsid w:val="7ADB2BE2"/>
    <w:rsid w:val="7AE31908"/>
    <w:rsid w:val="7AE67DFC"/>
    <w:rsid w:val="7AE70262"/>
    <w:rsid w:val="7AEA4EBC"/>
    <w:rsid w:val="7AEB2BC0"/>
    <w:rsid w:val="7AEB306A"/>
    <w:rsid w:val="7AED4F43"/>
    <w:rsid w:val="7AEE3FC0"/>
    <w:rsid w:val="7AF23CA5"/>
    <w:rsid w:val="7AFB3DA0"/>
    <w:rsid w:val="7AFE6E3A"/>
    <w:rsid w:val="7B061E2A"/>
    <w:rsid w:val="7B0852CB"/>
    <w:rsid w:val="7B0C4B43"/>
    <w:rsid w:val="7B134DA5"/>
    <w:rsid w:val="7B14138A"/>
    <w:rsid w:val="7B153247"/>
    <w:rsid w:val="7B1933F0"/>
    <w:rsid w:val="7B1D4174"/>
    <w:rsid w:val="7B2311B9"/>
    <w:rsid w:val="7B2E685F"/>
    <w:rsid w:val="7B2F7E63"/>
    <w:rsid w:val="7B312851"/>
    <w:rsid w:val="7B32696E"/>
    <w:rsid w:val="7B3505EA"/>
    <w:rsid w:val="7B380021"/>
    <w:rsid w:val="7B3C5AE9"/>
    <w:rsid w:val="7B3F6659"/>
    <w:rsid w:val="7B42141C"/>
    <w:rsid w:val="7B426291"/>
    <w:rsid w:val="7B4B7DEB"/>
    <w:rsid w:val="7B4C7303"/>
    <w:rsid w:val="7B4D4123"/>
    <w:rsid w:val="7B4E05C1"/>
    <w:rsid w:val="7B4E753F"/>
    <w:rsid w:val="7B51165F"/>
    <w:rsid w:val="7B541A9B"/>
    <w:rsid w:val="7B54643D"/>
    <w:rsid w:val="7B686D42"/>
    <w:rsid w:val="7B6A7C4E"/>
    <w:rsid w:val="7B6D32E4"/>
    <w:rsid w:val="7B6F2AD0"/>
    <w:rsid w:val="7B7C1A4D"/>
    <w:rsid w:val="7B831133"/>
    <w:rsid w:val="7B8377DE"/>
    <w:rsid w:val="7B841746"/>
    <w:rsid w:val="7B865E6E"/>
    <w:rsid w:val="7B8A3807"/>
    <w:rsid w:val="7B8E28EF"/>
    <w:rsid w:val="7BA20DE7"/>
    <w:rsid w:val="7BA55C3B"/>
    <w:rsid w:val="7BA80374"/>
    <w:rsid w:val="7BAE2941"/>
    <w:rsid w:val="7BAE3211"/>
    <w:rsid w:val="7BAE3F8B"/>
    <w:rsid w:val="7BB66553"/>
    <w:rsid w:val="7BB93BB5"/>
    <w:rsid w:val="7BBD4E86"/>
    <w:rsid w:val="7BBF04DC"/>
    <w:rsid w:val="7BC178D4"/>
    <w:rsid w:val="7BC6204D"/>
    <w:rsid w:val="7BC657A0"/>
    <w:rsid w:val="7BCE0105"/>
    <w:rsid w:val="7BD227A0"/>
    <w:rsid w:val="7BD42C39"/>
    <w:rsid w:val="7BD5566F"/>
    <w:rsid w:val="7BD62E62"/>
    <w:rsid w:val="7BD80882"/>
    <w:rsid w:val="7BDA78A7"/>
    <w:rsid w:val="7BE313FF"/>
    <w:rsid w:val="7BE64859"/>
    <w:rsid w:val="7BEA0DAF"/>
    <w:rsid w:val="7BEE5100"/>
    <w:rsid w:val="7BEF37D7"/>
    <w:rsid w:val="7BF26BC3"/>
    <w:rsid w:val="7BF5023D"/>
    <w:rsid w:val="7BF664BA"/>
    <w:rsid w:val="7BFB15A1"/>
    <w:rsid w:val="7BFC3105"/>
    <w:rsid w:val="7BFC5A6F"/>
    <w:rsid w:val="7BFD4F61"/>
    <w:rsid w:val="7C003530"/>
    <w:rsid w:val="7C012D11"/>
    <w:rsid w:val="7C0526B8"/>
    <w:rsid w:val="7C0B1B77"/>
    <w:rsid w:val="7C1007CE"/>
    <w:rsid w:val="7C135A31"/>
    <w:rsid w:val="7C1B40A2"/>
    <w:rsid w:val="7C203ED7"/>
    <w:rsid w:val="7C2149CA"/>
    <w:rsid w:val="7C285F42"/>
    <w:rsid w:val="7C295E2D"/>
    <w:rsid w:val="7C2B091F"/>
    <w:rsid w:val="7C2D6F76"/>
    <w:rsid w:val="7C2E377B"/>
    <w:rsid w:val="7C300578"/>
    <w:rsid w:val="7C325380"/>
    <w:rsid w:val="7C330F03"/>
    <w:rsid w:val="7C340D9D"/>
    <w:rsid w:val="7C356D43"/>
    <w:rsid w:val="7C3A72AC"/>
    <w:rsid w:val="7C3B7F06"/>
    <w:rsid w:val="7C3C479C"/>
    <w:rsid w:val="7C4E28B2"/>
    <w:rsid w:val="7C510EC0"/>
    <w:rsid w:val="7C534B24"/>
    <w:rsid w:val="7C5807CC"/>
    <w:rsid w:val="7C656439"/>
    <w:rsid w:val="7C6C5AC7"/>
    <w:rsid w:val="7C6D57A1"/>
    <w:rsid w:val="7C730FD3"/>
    <w:rsid w:val="7C747595"/>
    <w:rsid w:val="7C7B0924"/>
    <w:rsid w:val="7C7B135B"/>
    <w:rsid w:val="7C7C6FF4"/>
    <w:rsid w:val="7C816A4F"/>
    <w:rsid w:val="7C816F1A"/>
    <w:rsid w:val="7C8C5107"/>
    <w:rsid w:val="7C8D4D01"/>
    <w:rsid w:val="7C912864"/>
    <w:rsid w:val="7C915598"/>
    <w:rsid w:val="7C9550C6"/>
    <w:rsid w:val="7C96571F"/>
    <w:rsid w:val="7C9E122C"/>
    <w:rsid w:val="7CA04DA9"/>
    <w:rsid w:val="7CA316D4"/>
    <w:rsid w:val="7CA73244"/>
    <w:rsid w:val="7CAF5E31"/>
    <w:rsid w:val="7CB4654F"/>
    <w:rsid w:val="7CC34DD2"/>
    <w:rsid w:val="7CC51642"/>
    <w:rsid w:val="7CC6544B"/>
    <w:rsid w:val="7CC86C1D"/>
    <w:rsid w:val="7CCB494A"/>
    <w:rsid w:val="7CCD2078"/>
    <w:rsid w:val="7CD05EDE"/>
    <w:rsid w:val="7CD64443"/>
    <w:rsid w:val="7CE54755"/>
    <w:rsid w:val="7CE9046C"/>
    <w:rsid w:val="7CEF09E5"/>
    <w:rsid w:val="7CF35EEB"/>
    <w:rsid w:val="7CF36423"/>
    <w:rsid w:val="7CF442A0"/>
    <w:rsid w:val="7D0239FF"/>
    <w:rsid w:val="7D080E57"/>
    <w:rsid w:val="7D0A522F"/>
    <w:rsid w:val="7D0F57A0"/>
    <w:rsid w:val="7D1566CC"/>
    <w:rsid w:val="7D226FA0"/>
    <w:rsid w:val="7D292894"/>
    <w:rsid w:val="7D295CFB"/>
    <w:rsid w:val="7D2A7970"/>
    <w:rsid w:val="7D2E6CD1"/>
    <w:rsid w:val="7D356C6D"/>
    <w:rsid w:val="7D3F2497"/>
    <w:rsid w:val="7D420B46"/>
    <w:rsid w:val="7D425704"/>
    <w:rsid w:val="7D474B14"/>
    <w:rsid w:val="7D5157F4"/>
    <w:rsid w:val="7D592786"/>
    <w:rsid w:val="7D5E1E12"/>
    <w:rsid w:val="7D5E40CD"/>
    <w:rsid w:val="7D5E4AE0"/>
    <w:rsid w:val="7D5F1693"/>
    <w:rsid w:val="7D607E29"/>
    <w:rsid w:val="7D6149A9"/>
    <w:rsid w:val="7D657825"/>
    <w:rsid w:val="7D667A6E"/>
    <w:rsid w:val="7D6E5332"/>
    <w:rsid w:val="7D6E5CA7"/>
    <w:rsid w:val="7D6F2236"/>
    <w:rsid w:val="7D724B3A"/>
    <w:rsid w:val="7D7736EB"/>
    <w:rsid w:val="7D7F37B5"/>
    <w:rsid w:val="7D8212EB"/>
    <w:rsid w:val="7D852ABA"/>
    <w:rsid w:val="7D8A0C9E"/>
    <w:rsid w:val="7D8D47D5"/>
    <w:rsid w:val="7D8E4EAF"/>
    <w:rsid w:val="7D9A0E46"/>
    <w:rsid w:val="7D9C6C8E"/>
    <w:rsid w:val="7DA60448"/>
    <w:rsid w:val="7DA62504"/>
    <w:rsid w:val="7DA81C34"/>
    <w:rsid w:val="7DA924C1"/>
    <w:rsid w:val="7DB264F5"/>
    <w:rsid w:val="7DB37EF7"/>
    <w:rsid w:val="7DB50AB9"/>
    <w:rsid w:val="7DB9444A"/>
    <w:rsid w:val="7DBD5411"/>
    <w:rsid w:val="7DBE187F"/>
    <w:rsid w:val="7DBE3D05"/>
    <w:rsid w:val="7DC25B1A"/>
    <w:rsid w:val="7DC95D22"/>
    <w:rsid w:val="7DCD56F2"/>
    <w:rsid w:val="7DD37DFE"/>
    <w:rsid w:val="7DDC4980"/>
    <w:rsid w:val="7DDE2FF4"/>
    <w:rsid w:val="7DE978F1"/>
    <w:rsid w:val="7DED6273"/>
    <w:rsid w:val="7DEE127D"/>
    <w:rsid w:val="7DF22C25"/>
    <w:rsid w:val="7DFB1926"/>
    <w:rsid w:val="7E0253E1"/>
    <w:rsid w:val="7E0255E1"/>
    <w:rsid w:val="7E041B23"/>
    <w:rsid w:val="7E066B17"/>
    <w:rsid w:val="7E0D2BA6"/>
    <w:rsid w:val="7E1040B2"/>
    <w:rsid w:val="7E127DC9"/>
    <w:rsid w:val="7E1E5D49"/>
    <w:rsid w:val="7E1E637D"/>
    <w:rsid w:val="7E1F6A77"/>
    <w:rsid w:val="7E265C6F"/>
    <w:rsid w:val="7E3641FA"/>
    <w:rsid w:val="7E382407"/>
    <w:rsid w:val="7E3B3B9A"/>
    <w:rsid w:val="7E3C4D43"/>
    <w:rsid w:val="7E436B2C"/>
    <w:rsid w:val="7E45601C"/>
    <w:rsid w:val="7E461224"/>
    <w:rsid w:val="7E4B7138"/>
    <w:rsid w:val="7E530BD2"/>
    <w:rsid w:val="7E632B6C"/>
    <w:rsid w:val="7E661277"/>
    <w:rsid w:val="7E6A5FD9"/>
    <w:rsid w:val="7E6E2683"/>
    <w:rsid w:val="7E7126D4"/>
    <w:rsid w:val="7E747BB1"/>
    <w:rsid w:val="7E760FA1"/>
    <w:rsid w:val="7E7767BA"/>
    <w:rsid w:val="7E7801E5"/>
    <w:rsid w:val="7E797F46"/>
    <w:rsid w:val="7E8147E1"/>
    <w:rsid w:val="7E8173CA"/>
    <w:rsid w:val="7E835FD4"/>
    <w:rsid w:val="7E863D5B"/>
    <w:rsid w:val="7E8A106E"/>
    <w:rsid w:val="7E8B0A29"/>
    <w:rsid w:val="7E8F66F6"/>
    <w:rsid w:val="7E924469"/>
    <w:rsid w:val="7E935188"/>
    <w:rsid w:val="7E94162E"/>
    <w:rsid w:val="7E974795"/>
    <w:rsid w:val="7E9D25B5"/>
    <w:rsid w:val="7EA41C96"/>
    <w:rsid w:val="7EA433CF"/>
    <w:rsid w:val="7EA54DF6"/>
    <w:rsid w:val="7EA808BB"/>
    <w:rsid w:val="7EAB2A0B"/>
    <w:rsid w:val="7EAC48C4"/>
    <w:rsid w:val="7EBE1BFD"/>
    <w:rsid w:val="7EBF2EF6"/>
    <w:rsid w:val="7EC24EB9"/>
    <w:rsid w:val="7EC957C0"/>
    <w:rsid w:val="7ED03398"/>
    <w:rsid w:val="7ED66B24"/>
    <w:rsid w:val="7ED83BF1"/>
    <w:rsid w:val="7EDA6C34"/>
    <w:rsid w:val="7EE03B19"/>
    <w:rsid w:val="7EE22605"/>
    <w:rsid w:val="7EE27202"/>
    <w:rsid w:val="7EE46AA6"/>
    <w:rsid w:val="7EE55250"/>
    <w:rsid w:val="7EE71E5E"/>
    <w:rsid w:val="7EE85F28"/>
    <w:rsid w:val="7EEB79E8"/>
    <w:rsid w:val="7EEC1B71"/>
    <w:rsid w:val="7EEC2E25"/>
    <w:rsid w:val="7EED7296"/>
    <w:rsid w:val="7F001CE7"/>
    <w:rsid w:val="7F00639B"/>
    <w:rsid w:val="7F02038B"/>
    <w:rsid w:val="7F0236C9"/>
    <w:rsid w:val="7F072972"/>
    <w:rsid w:val="7F083AEC"/>
    <w:rsid w:val="7F141322"/>
    <w:rsid w:val="7F155E96"/>
    <w:rsid w:val="7F185355"/>
    <w:rsid w:val="7F1D3449"/>
    <w:rsid w:val="7F2201DA"/>
    <w:rsid w:val="7F22181A"/>
    <w:rsid w:val="7F253B74"/>
    <w:rsid w:val="7F256F5F"/>
    <w:rsid w:val="7F265558"/>
    <w:rsid w:val="7F30717B"/>
    <w:rsid w:val="7F313615"/>
    <w:rsid w:val="7F3A4901"/>
    <w:rsid w:val="7F3D1F10"/>
    <w:rsid w:val="7F3D3B64"/>
    <w:rsid w:val="7F441A33"/>
    <w:rsid w:val="7F4644E9"/>
    <w:rsid w:val="7F4F4108"/>
    <w:rsid w:val="7F510723"/>
    <w:rsid w:val="7F563359"/>
    <w:rsid w:val="7F5C11A2"/>
    <w:rsid w:val="7F5D3C12"/>
    <w:rsid w:val="7F620D42"/>
    <w:rsid w:val="7F666490"/>
    <w:rsid w:val="7F6701AC"/>
    <w:rsid w:val="7F6846AF"/>
    <w:rsid w:val="7F691473"/>
    <w:rsid w:val="7F6A5B33"/>
    <w:rsid w:val="7F6B658E"/>
    <w:rsid w:val="7F6C6A68"/>
    <w:rsid w:val="7F74590B"/>
    <w:rsid w:val="7F7A3897"/>
    <w:rsid w:val="7F7A638B"/>
    <w:rsid w:val="7F810B04"/>
    <w:rsid w:val="7F825DDA"/>
    <w:rsid w:val="7F92108D"/>
    <w:rsid w:val="7F9E0398"/>
    <w:rsid w:val="7F9F6708"/>
    <w:rsid w:val="7FA02BB5"/>
    <w:rsid w:val="7FA34850"/>
    <w:rsid w:val="7FA42F04"/>
    <w:rsid w:val="7FA51388"/>
    <w:rsid w:val="7FA83875"/>
    <w:rsid w:val="7FAC0508"/>
    <w:rsid w:val="7FAD431B"/>
    <w:rsid w:val="7FB516B3"/>
    <w:rsid w:val="7FB875D9"/>
    <w:rsid w:val="7FBA28ED"/>
    <w:rsid w:val="7FBB1BD1"/>
    <w:rsid w:val="7FBB22C9"/>
    <w:rsid w:val="7FC01828"/>
    <w:rsid w:val="7FC479C0"/>
    <w:rsid w:val="7FC55FEB"/>
    <w:rsid w:val="7FC73204"/>
    <w:rsid w:val="7FC87BF2"/>
    <w:rsid w:val="7FC96514"/>
    <w:rsid w:val="7FCF5F39"/>
    <w:rsid w:val="7FD127FF"/>
    <w:rsid w:val="7FD4460D"/>
    <w:rsid w:val="7FD47C81"/>
    <w:rsid w:val="7FD60385"/>
    <w:rsid w:val="7FD8389E"/>
    <w:rsid w:val="7FD84174"/>
    <w:rsid w:val="7FDA1B30"/>
    <w:rsid w:val="7FDE6FFC"/>
    <w:rsid w:val="7FDF6BD9"/>
    <w:rsid w:val="7FE35ACE"/>
    <w:rsid w:val="7FE47E50"/>
    <w:rsid w:val="7FE923DA"/>
    <w:rsid w:val="7FE94C3B"/>
    <w:rsid w:val="7FEF5503"/>
    <w:rsid w:val="7FF36624"/>
    <w:rsid w:val="7FF47630"/>
    <w:rsid w:val="7FF506C9"/>
    <w:rsid w:val="7FFA22C6"/>
    <w:rsid w:val="7FFA7CFB"/>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nhideWhenUsed="0" w:uiPriority="0" w:semiHidden="0" w:name="heading 5" w:locked="1"/>
    <w:lsdException w:qFormat="1" w:unhideWhenUsed="0" w:uiPriority="0" w:semiHidden="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1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iPriority="99"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qFormat="1" w:unhideWhenUsed="0" w:uiPriority="0" w:semiHidden="0" w:name="Document Map" w:locked="1"/>
    <w:lsdException w:qFormat="1" w:unhideWhenUsed="0" w:uiPriority="99"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qFormat/>
    <w:locked/>
    <w:uiPriority w:val="0"/>
    <w:pPr>
      <w:outlineLvl w:val="1"/>
    </w:pPr>
    <w:rPr>
      <w:b/>
      <w:bCs/>
      <w:sz w:val="28"/>
      <w:szCs w:val="32"/>
    </w:rPr>
  </w:style>
  <w:style w:type="paragraph" w:styleId="4">
    <w:name w:val="heading 3"/>
    <w:basedOn w:val="3"/>
    <w:next w:val="1"/>
    <w:link w:val="33"/>
    <w:qFormat/>
    <w:locked/>
    <w:uiPriority w:val="0"/>
    <w:pPr>
      <w:keepNext/>
      <w:keepLines/>
      <w:spacing w:before="260" w:after="260" w:line="416" w:lineRule="auto"/>
      <w:outlineLvl w:val="2"/>
    </w:pPr>
    <w:rPr>
      <w:b w:val="0"/>
      <w:bCs w:val="0"/>
      <w:sz w:val="32"/>
      <w:szCs w:val="32"/>
    </w:rPr>
  </w:style>
  <w:style w:type="paragraph" w:styleId="5">
    <w:name w:val="heading 4"/>
    <w:basedOn w:val="1"/>
    <w:next w:val="1"/>
    <w:link w:val="34"/>
    <w:qFormat/>
    <w:locked/>
    <w:uiPriority w:val="0"/>
    <w:pPr>
      <w:keepNext/>
      <w:keepLines/>
      <w:spacing w:before="280" w:after="290" w:line="376" w:lineRule="auto"/>
      <w:outlineLvl w:val="3"/>
    </w:pPr>
    <w:rPr>
      <w:rFonts w:ascii="Cambria" w:hAnsi="Cambria" w:eastAsia="宋体" w:cs="Times New Roman"/>
      <w:b/>
      <w:bCs/>
      <w:sz w:val="28"/>
      <w:szCs w:val="28"/>
    </w:rPr>
  </w:style>
  <w:style w:type="paragraph" w:styleId="6">
    <w:name w:val="heading 5"/>
    <w:basedOn w:val="1"/>
    <w:next w:val="1"/>
    <w:qFormat/>
    <w:locked/>
    <w:uiPriority w:val="0"/>
    <w:pPr>
      <w:keepNext/>
      <w:keepLines/>
      <w:numPr>
        <w:ilvl w:val="4"/>
        <w:numId w:val="1"/>
      </w:numPr>
      <w:spacing w:line="240" w:lineRule="auto"/>
      <w:ind w:left="0" w:firstLine="402" w:firstLineChars="0"/>
      <w:jc w:val="center"/>
      <w:outlineLvl w:val="4"/>
    </w:pPr>
    <w:rPr>
      <w:rFonts w:cs="Times New Roman"/>
      <w:b/>
      <w:kern w:val="0"/>
      <w:sz w:val="21"/>
      <w:szCs w:val="20"/>
    </w:rPr>
  </w:style>
  <w:style w:type="paragraph" w:styleId="7">
    <w:name w:val="heading 6"/>
    <w:basedOn w:val="1"/>
    <w:next w:val="1"/>
    <w:qFormat/>
    <w:locked/>
    <w:uiPriority w:val="0"/>
    <w:pPr>
      <w:keepNext/>
      <w:keepLines/>
      <w:numPr>
        <w:ilvl w:val="5"/>
        <w:numId w:val="1"/>
      </w:numPr>
      <w:tabs>
        <w:tab w:val="left" w:pos="0"/>
      </w:tabs>
      <w:spacing w:line="240" w:lineRule="auto"/>
      <w:ind w:left="0" w:firstLine="0" w:firstLineChars="0"/>
      <w:jc w:val="center"/>
      <w:outlineLvl w:val="5"/>
    </w:pPr>
    <w:rPr>
      <w:rFonts w:cs="Times New Roman"/>
      <w:b/>
      <w:kern w:val="0"/>
      <w:sz w:val="21"/>
      <w:szCs w:val="20"/>
    </w:rPr>
  </w:style>
  <w:style w:type="character" w:default="1" w:styleId="26">
    <w:name w:val="Default Paragraph Font"/>
    <w:semiHidden/>
    <w:qFormat/>
    <w:uiPriority w:val="0"/>
  </w:style>
  <w:style w:type="table" w:default="1" w:styleId="24">
    <w:name w:val="Normal Table"/>
    <w:semiHidden/>
    <w:qFormat/>
    <w:uiPriority w:val="0"/>
    <w:tblPr>
      <w:tblCellMar>
        <w:top w:w="0" w:type="dxa"/>
        <w:left w:w="108" w:type="dxa"/>
        <w:bottom w:w="0" w:type="dxa"/>
        <w:right w:w="108" w:type="dxa"/>
      </w:tblCellMar>
    </w:tblPr>
  </w:style>
  <w:style w:type="paragraph" w:styleId="8">
    <w:name w:val="Normal Indent"/>
    <w:basedOn w:val="1"/>
    <w:next w:val="9"/>
    <w:link w:val="32"/>
    <w:qFormat/>
    <w:locked/>
    <w:uiPriority w:val="0"/>
    <w:pPr>
      <w:ind w:firstLine="420"/>
    </w:pPr>
    <w:rPr>
      <w:sz w:val="24"/>
    </w:rPr>
  </w:style>
  <w:style w:type="paragraph" w:styleId="9">
    <w:name w:val="Body Text First Indent 2"/>
    <w:basedOn w:val="10"/>
    <w:next w:val="1"/>
    <w:unhideWhenUsed/>
    <w:qFormat/>
    <w:locked/>
    <w:uiPriority w:val="99"/>
    <w:pPr>
      <w:spacing w:after="120"/>
      <w:ind w:left="420" w:leftChars="200" w:firstLine="420"/>
    </w:pPr>
  </w:style>
  <w:style w:type="paragraph" w:styleId="10">
    <w:name w:val="Body Text Indent"/>
    <w:basedOn w:val="1"/>
    <w:next w:val="1"/>
    <w:link w:val="38"/>
    <w:qFormat/>
    <w:uiPriority w:val="0"/>
    <w:pPr>
      <w:spacing w:after="120"/>
      <w:ind w:left="420" w:leftChars="200"/>
    </w:pPr>
    <w:rPr>
      <w:rFonts w:ascii="Times New Roman" w:hAnsi="Times New Roman"/>
      <w:kern w:val="0"/>
      <w:sz w:val="24"/>
      <w:szCs w:val="20"/>
    </w:rPr>
  </w:style>
  <w:style w:type="paragraph" w:styleId="11">
    <w:name w:val="Document Map"/>
    <w:basedOn w:val="1"/>
    <w:link w:val="35"/>
    <w:qFormat/>
    <w:locked/>
    <w:uiPriority w:val="0"/>
    <w:rPr>
      <w:rFonts w:ascii="宋体"/>
      <w:sz w:val="18"/>
      <w:szCs w:val="18"/>
    </w:rPr>
  </w:style>
  <w:style w:type="paragraph" w:styleId="12">
    <w:name w:val="annotation text"/>
    <w:basedOn w:val="1"/>
    <w:link w:val="36"/>
    <w:qFormat/>
    <w:uiPriority w:val="0"/>
    <w:pPr>
      <w:jc w:val="left"/>
    </w:pPr>
    <w:rPr>
      <w:rFonts w:ascii="Times New Roman" w:hAnsi="Times New Roman"/>
      <w:kern w:val="0"/>
      <w:sz w:val="24"/>
      <w:szCs w:val="20"/>
    </w:rPr>
  </w:style>
  <w:style w:type="paragraph" w:styleId="13">
    <w:name w:val="Body Text"/>
    <w:basedOn w:val="1"/>
    <w:link w:val="37"/>
    <w:qFormat/>
    <w:uiPriority w:val="0"/>
    <w:pPr>
      <w:widowControl/>
      <w:snapToGrid w:val="0"/>
      <w:spacing w:before="60" w:after="160" w:line="259" w:lineRule="auto"/>
      <w:ind w:right="113"/>
    </w:pPr>
    <w:rPr>
      <w:kern w:val="0"/>
      <w:sz w:val="18"/>
      <w:szCs w:val="20"/>
    </w:rPr>
  </w:style>
  <w:style w:type="paragraph" w:styleId="14">
    <w:name w:val="Plain Text"/>
    <w:basedOn w:val="1"/>
    <w:link w:val="39"/>
    <w:qFormat/>
    <w:locked/>
    <w:uiPriority w:val="99"/>
    <w:rPr>
      <w:rFonts w:ascii="宋体" w:hAnsi="Courier New"/>
      <w:szCs w:val="21"/>
    </w:rPr>
  </w:style>
  <w:style w:type="paragraph" w:styleId="15">
    <w:name w:val="Date"/>
    <w:basedOn w:val="1"/>
    <w:next w:val="1"/>
    <w:link w:val="40"/>
    <w:qFormat/>
    <w:uiPriority w:val="0"/>
    <w:pPr>
      <w:ind w:left="100" w:leftChars="2500"/>
    </w:pPr>
    <w:rPr>
      <w:rFonts w:ascii="Times New Roman" w:hAnsi="Times New Roman"/>
      <w:kern w:val="0"/>
      <w:sz w:val="24"/>
      <w:szCs w:val="20"/>
    </w:rPr>
  </w:style>
  <w:style w:type="paragraph" w:styleId="16">
    <w:name w:val="Body Text Indent 2"/>
    <w:basedOn w:val="1"/>
    <w:qFormat/>
    <w:locked/>
    <w:uiPriority w:val="0"/>
    <w:pPr>
      <w:spacing w:line="600" w:lineRule="exact"/>
      <w:ind w:firstLine="640" w:firstLineChars="200"/>
      <w:jc w:val="left"/>
    </w:pPr>
    <w:rPr>
      <w:sz w:val="32"/>
    </w:rPr>
  </w:style>
  <w:style w:type="paragraph" w:styleId="17">
    <w:name w:val="Balloon Text"/>
    <w:basedOn w:val="1"/>
    <w:link w:val="41"/>
    <w:semiHidden/>
    <w:qFormat/>
    <w:uiPriority w:val="0"/>
    <w:rPr>
      <w:rFonts w:ascii="Times New Roman" w:hAnsi="Times New Roman"/>
      <w:kern w:val="0"/>
      <w:sz w:val="18"/>
      <w:szCs w:val="20"/>
    </w:rPr>
  </w:style>
  <w:style w:type="paragraph" w:styleId="18">
    <w:name w:val="footer"/>
    <w:basedOn w:val="1"/>
    <w:link w:val="42"/>
    <w:qFormat/>
    <w:uiPriority w:val="99"/>
    <w:pPr>
      <w:tabs>
        <w:tab w:val="center" w:pos="4153"/>
        <w:tab w:val="right" w:pos="8306"/>
      </w:tabs>
      <w:snapToGrid w:val="0"/>
      <w:jc w:val="left"/>
    </w:pPr>
    <w:rPr>
      <w:kern w:val="0"/>
      <w:sz w:val="18"/>
      <w:szCs w:val="20"/>
    </w:rPr>
  </w:style>
  <w:style w:type="paragraph" w:styleId="19">
    <w:name w:val="header"/>
    <w:basedOn w:val="1"/>
    <w:link w:val="43"/>
    <w:qFormat/>
    <w:uiPriority w:val="0"/>
    <w:pPr>
      <w:pBdr>
        <w:bottom w:val="single" w:color="auto" w:sz="6" w:space="1"/>
      </w:pBdr>
      <w:tabs>
        <w:tab w:val="center" w:pos="4153"/>
        <w:tab w:val="right" w:pos="8306"/>
      </w:tabs>
      <w:snapToGrid w:val="0"/>
      <w:jc w:val="center"/>
    </w:pPr>
    <w:rPr>
      <w:kern w:val="0"/>
      <w:sz w:val="18"/>
      <w:szCs w:val="20"/>
    </w:rPr>
  </w:style>
  <w:style w:type="paragraph" w:styleId="20">
    <w:name w:val="Normal (Web)"/>
    <w:basedOn w:val="1"/>
    <w:link w:val="44"/>
    <w:qFormat/>
    <w:uiPriority w:val="0"/>
    <w:pPr>
      <w:widowControl/>
      <w:spacing w:before="100" w:beforeAutospacing="1" w:after="100" w:afterAutospacing="1"/>
      <w:jc w:val="left"/>
    </w:pPr>
    <w:rPr>
      <w:rFonts w:ascii="宋体" w:hAnsi="宋体"/>
      <w:kern w:val="0"/>
      <w:sz w:val="24"/>
      <w:szCs w:val="20"/>
    </w:rPr>
  </w:style>
  <w:style w:type="paragraph" w:styleId="21">
    <w:name w:val="Title"/>
    <w:basedOn w:val="1"/>
    <w:next w:val="10"/>
    <w:qFormat/>
    <w:locked/>
    <w:uiPriority w:val="10"/>
    <w:pPr>
      <w:spacing w:before="240" w:after="60"/>
      <w:jc w:val="center"/>
      <w:outlineLvl w:val="0"/>
    </w:pPr>
    <w:rPr>
      <w:rFonts w:ascii="Cambria" w:hAnsi="Cambria" w:cs="Times New Roman"/>
      <w:bCs/>
      <w:sz w:val="32"/>
      <w:szCs w:val="32"/>
    </w:rPr>
  </w:style>
  <w:style w:type="paragraph" w:styleId="22">
    <w:name w:val="annotation subject"/>
    <w:basedOn w:val="12"/>
    <w:next w:val="12"/>
    <w:link w:val="45"/>
    <w:semiHidden/>
    <w:qFormat/>
    <w:uiPriority w:val="0"/>
    <w:rPr>
      <w:b/>
      <w:kern w:val="2"/>
    </w:rPr>
  </w:style>
  <w:style w:type="paragraph" w:styleId="23">
    <w:name w:val="Body Text First Indent"/>
    <w:basedOn w:val="13"/>
    <w:next w:val="1"/>
    <w:link w:val="46"/>
    <w:qFormat/>
    <w:locked/>
    <w:uiPriority w:val="0"/>
    <w:pPr>
      <w:widowControl w:val="0"/>
      <w:snapToGrid/>
      <w:spacing w:before="0" w:after="120" w:line="240" w:lineRule="auto"/>
      <w:ind w:right="0" w:firstLine="420" w:firstLineChars="100"/>
    </w:pPr>
    <w:rPr>
      <w:kern w:val="2"/>
      <w:sz w:val="21"/>
      <w:szCs w:val="24"/>
      <w:lang w:val="en-US" w:eastAsia="zh-CN"/>
    </w:rPr>
  </w:style>
  <w:style w:type="table" w:styleId="25">
    <w:name w:val="Table Grid"/>
    <w:basedOn w:val="24"/>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Strong"/>
    <w:basedOn w:val="26"/>
    <w:qFormat/>
    <w:locked/>
    <w:uiPriority w:val="0"/>
    <w:rPr>
      <w:rFonts w:cs="Times New Roman"/>
      <w:b/>
      <w:bCs/>
    </w:rPr>
  </w:style>
  <w:style w:type="character" w:styleId="28">
    <w:name w:val="page number"/>
    <w:qFormat/>
    <w:locked/>
    <w:uiPriority w:val="0"/>
  </w:style>
  <w:style w:type="character" w:styleId="29">
    <w:name w:val="Hyperlink"/>
    <w:basedOn w:val="26"/>
    <w:qFormat/>
    <w:locked/>
    <w:uiPriority w:val="0"/>
    <w:rPr>
      <w:color w:val="0000FF"/>
      <w:u w:val="single"/>
    </w:rPr>
  </w:style>
  <w:style w:type="character" w:styleId="30">
    <w:name w:val="annotation reference"/>
    <w:qFormat/>
    <w:uiPriority w:val="0"/>
    <w:rPr>
      <w:sz w:val="21"/>
    </w:rPr>
  </w:style>
  <w:style w:type="paragraph" w:customStyle="1" w:styleId="31">
    <w:name w:val="表格"/>
    <w:basedOn w:val="8"/>
    <w:next w:val="1"/>
    <w:link w:val="47"/>
    <w:qFormat/>
    <w:uiPriority w:val="0"/>
    <w:pPr>
      <w:adjustRightInd w:val="0"/>
      <w:snapToGrid w:val="0"/>
      <w:spacing w:beforeLines="10" w:afterLines="10" w:line="259" w:lineRule="auto"/>
      <w:jc w:val="center"/>
    </w:pPr>
    <w:rPr>
      <w:rFonts w:ascii="宋体"/>
      <w:kern w:val="0"/>
      <w:szCs w:val="20"/>
    </w:rPr>
  </w:style>
  <w:style w:type="character" w:customStyle="1" w:styleId="32">
    <w:name w:val="正文缩进 字符"/>
    <w:link w:val="8"/>
    <w:qFormat/>
    <w:uiPriority w:val="0"/>
    <w:rPr>
      <w:kern w:val="2"/>
      <w:sz w:val="24"/>
      <w:szCs w:val="24"/>
    </w:rPr>
  </w:style>
  <w:style w:type="character" w:customStyle="1" w:styleId="33">
    <w:name w:val="标题 3 字符"/>
    <w:link w:val="4"/>
    <w:qFormat/>
    <w:uiPriority w:val="0"/>
    <w:rPr>
      <w:b/>
      <w:bCs/>
      <w:kern w:val="2"/>
      <w:sz w:val="32"/>
      <w:szCs w:val="32"/>
    </w:rPr>
  </w:style>
  <w:style w:type="character" w:customStyle="1" w:styleId="34">
    <w:name w:val="标题 4 字符"/>
    <w:link w:val="5"/>
    <w:qFormat/>
    <w:uiPriority w:val="0"/>
    <w:rPr>
      <w:rFonts w:ascii="Cambria" w:hAnsi="Cambria" w:eastAsia="宋体" w:cs="Times New Roman"/>
      <w:b/>
      <w:bCs/>
      <w:kern w:val="2"/>
      <w:sz w:val="28"/>
      <w:szCs w:val="28"/>
    </w:rPr>
  </w:style>
  <w:style w:type="character" w:customStyle="1" w:styleId="35">
    <w:name w:val="文档结构图 字符"/>
    <w:link w:val="11"/>
    <w:qFormat/>
    <w:uiPriority w:val="0"/>
    <w:rPr>
      <w:rFonts w:ascii="宋体"/>
      <w:kern w:val="2"/>
      <w:sz w:val="18"/>
      <w:szCs w:val="18"/>
    </w:rPr>
  </w:style>
  <w:style w:type="character" w:customStyle="1" w:styleId="36">
    <w:name w:val="批注文字 字符"/>
    <w:link w:val="12"/>
    <w:qFormat/>
    <w:locked/>
    <w:uiPriority w:val="0"/>
    <w:rPr>
      <w:rFonts w:ascii="Times New Roman" w:hAnsi="Times New Roman" w:eastAsia="宋体"/>
      <w:sz w:val="24"/>
    </w:rPr>
  </w:style>
  <w:style w:type="character" w:customStyle="1" w:styleId="37">
    <w:name w:val="正文文本 字符"/>
    <w:link w:val="13"/>
    <w:qFormat/>
    <w:locked/>
    <w:uiPriority w:val="0"/>
    <w:rPr>
      <w:sz w:val="18"/>
    </w:rPr>
  </w:style>
  <w:style w:type="character" w:customStyle="1" w:styleId="38">
    <w:name w:val="正文文本缩进 字符"/>
    <w:link w:val="10"/>
    <w:semiHidden/>
    <w:qFormat/>
    <w:locked/>
    <w:uiPriority w:val="0"/>
    <w:rPr>
      <w:rFonts w:ascii="Times New Roman" w:hAnsi="Times New Roman" w:eastAsia="宋体"/>
      <w:sz w:val="24"/>
    </w:rPr>
  </w:style>
  <w:style w:type="character" w:customStyle="1" w:styleId="39">
    <w:name w:val="纯文本 字符"/>
    <w:link w:val="14"/>
    <w:qFormat/>
    <w:uiPriority w:val="99"/>
    <w:rPr>
      <w:rFonts w:ascii="宋体" w:hAnsi="Courier New" w:cs="Courier New"/>
      <w:kern w:val="2"/>
      <w:sz w:val="21"/>
      <w:szCs w:val="21"/>
    </w:rPr>
  </w:style>
  <w:style w:type="character" w:customStyle="1" w:styleId="40">
    <w:name w:val="日期 字符1"/>
    <w:link w:val="15"/>
    <w:qFormat/>
    <w:locked/>
    <w:uiPriority w:val="0"/>
    <w:rPr>
      <w:rFonts w:ascii="Times New Roman" w:hAnsi="Times New Roman" w:eastAsia="宋体"/>
      <w:sz w:val="24"/>
    </w:rPr>
  </w:style>
  <w:style w:type="character" w:customStyle="1" w:styleId="41">
    <w:name w:val="批注框文本 字符"/>
    <w:link w:val="17"/>
    <w:semiHidden/>
    <w:qFormat/>
    <w:locked/>
    <w:uiPriority w:val="0"/>
    <w:rPr>
      <w:rFonts w:ascii="Times New Roman" w:hAnsi="Times New Roman" w:eastAsia="宋体"/>
      <w:sz w:val="18"/>
    </w:rPr>
  </w:style>
  <w:style w:type="character" w:customStyle="1" w:styleId="42">
    <w:name w:val="页脚 字符1"/>
    <w:link w:val="18"/>
    <w:qFormat/>
    <w:locked/>
    <w:uiPriority w:val="99"/>
    <w:rPr>
      <w:sz w:val="18"/>
    </w:rPr>
  </w:style>
  <w:style w:type="character" w:customStyle="1" w:styleId="43">
    <w:name w:val="页眉 字符"/>
    <w:link w:val="19"/>
    <w:qFormat/>
    <w:locked/>
    <w:uiPriority w:val="0"/>
    <w:rPr>
      <w:sz w:val="18"/>
    </w:rPr>
  </w:style>
  <w:style w:type="character" w:customStyle="1" w:styleId="44">
    <w:name w:val="普通(网站) 字符"/>
    <w:link w:val="20"/>
    <w:qFormat/>
    <w:locked/>
    <w:uiPriority w:val="0"/>
    <w:rPr>
      <w:rFonts w:ascii="宋体" w:hAnsi="宋体" w:eastAsia="宋体"/>
      <w:sz w:val="24"/>
    </w:rPr>
  </w:style>
  <w:style w:type="character" w:customStyle="1" w:styleId="45">
    <w:name w:val="批注主题 字符"/>
    <w:link w:val="22"/>
    <w:semiHidden/>
    <w:qFormat/>
    <w:locked/>
    <w:uiPriority w:val="0"/>
    <w:rPr>
      <w:rFonts w:ascii="Times New Roman" w:hAnsi="Times New Roman" w:eastAsia="宋体"/>
      <w:b/>
      <w:kern w:val="2"/>
      <w:sz w:val="24"/>
    </w:rPr>
  </w:style>
  <w:style w:type="character" w:customStyle="1" w:styleId="46">
    <w:name w:val="正文首行缩进 字符"/>
    <w:link w:val="23"/>
    <w:qFormat/>
    <w:uiPriority w:val="0"/>
    <w:rPr>
      <w:kern w:val="2"/>
      <w:sz w:val="21"/>
      <w:szCs w:val="24"/>
    </w:rPr>
  </w:style>
  <w:style w:type="character" w:customStyle="1" w:styleId="47">
    <w:name w:val="表格 Char"/>
    <w:link w:val="31"/>
    <w:qFormat/>
    <w:locked/>
    <w:uiPriority w:val="0"/>
    <w:rPr>
      <w:rFonts w:ascii="宋体"/>
      <w:sz w:val="21"/>
    </w:rPr>
  </w:style>
  <w:style w:type="paragraph" w:customStyle="1" w:styleId="48">
    <w:name w:val="正文（缩进）"/>
    <w:basedOn w:val="49"/>
    <w:next w:val="1"/>
    <w:qFormat/>
    <w:uiPriority w:val="99"/>
    <w:pPr>
      <w:spacing w:line="360" w:lineRule="auto"/>
      <w:ind w:firstLine="480" w:firstLineChars="200"/>
    </w:pPr>
    <w:rPr>
      <w:rFonts w:ascii="Times New Roman" w:hAnsi="Times New Roman"/>
      <w:color w:val="auto"/>
      <w:szCs w:val="20"/>
    </w:rPr>
  </w:style>
  <w:style w:type="paragraph" w:customStyle="1" w:styleId="49">
    <w:name w:val="正文(首行缩进)"/>
    <w:basedOn w:val="1"/>
    <w:qFormat/>
    <w:uiPriority w:val="0"/>
    <w:pPr>
      <w:widowControl w:val="0"/>
      <w:jc w:val="both"/>
    </w:pPr>
    <w:rPr>
      <w:rFonts w:ascii="Times New Roman" w:hAnsi="Times New Roman" w:cs="Times New Roman"/>
      <w:kern w:val="0"/>
      <w:sz w:val="24"/>
      <w:szCs w:val="24"/>
    </w:rPr>
  </w:style>
  <w:style w:type="paragraph" w:customStyle="1" w:styleId="50">
    <w:name w:val="Date1"/>
    <w:basedOn w:val="1"/>
    <w:next w:val="1"/>
    <w:qFormat/>
    <w:uiPriority w:val="0"/>
    <w:pPr>
      <w:tabs>
        <w:tab w:val="left" w:pos="510"/>
      </w:tabs>
      <w:adjustRightInd w:val="0"/>
      <w:spacing w:line="430" w:lineRule="atLeast"/>
      <w:jc w:val="right"/>
    </w:pPr>
    <w:rPr>
      <w:spacing w:val="16"/>
      <w:kern w:val="0"/>
      <w:sz w:val="24"/>
    </w:rPr>
  </w:style>
  <w:style w:type="character" w:customStyle="1" w:styleId="51">
    <w:name w:val="正文文本 Char"/>
    <w:qFormat/>
    <w:locked/>
    <w:uiPriority w:val="0"/>
    <w:rPr>
      <w:sz w:val="18"/>
    </w:rPr>
  </w:style>
  <w:style w:type="character" w:customStyle="1" w:styleId="52">
    <w:name w:val="15"/>
    <w:qFormat/>
    <w:uiPriority w:val="0"/>
    <w:rPr>
      <w:rFonts w:hint="eastAsia" w:ascii="宋体" w:hAnsi="宋体" w:eastAsia="宋体"/>
      <w:b/>
      <w:bCs/>
      <w:color w:val="000000"/>
      <w:spacing w:val="0"/>
      <w:kern w:val="2"/>
      <w:sz w:val="24"/>
      <w:szCs w:val="24"/>
      <w:u w:val="none" w:color="000000"/>
    </w:rPr>
  </w:style>
  <w:style w:type="character" w:customStyle="1" w:styleId="53">
    <w:name w:val="zhang正文 Char"/>
    <w:link w:val="54"/>
    <w:qFormat/>
    <w:uiPriority w:val="0"/>
    <w:rPr>
      <w:rFonts w:eastAsia="楷体_GB2312"/>
      <w:sz w:val="28"/>
    </w:rPr>
  </w:style>
  <w:style w:type="paragraph" w:customStyle="1" w:styleId="54">
    <w:name w:val="zhang正文"/>
    <w:basedOn w:val="10"/>
    <w:link w:val="53"/>
    <w:qFormat/>
    <w:uiPriority w:val="0"/>
    <w:pPr>
      <w:autoSpaceDE w:val="0"/>
      <w:autoSpaceDN w:val="0"/>
      <w:adjustRightInd w:val="0"/>
      <w:snapToGrid w:val="0"/>
      <w:spacing w:after="0" w:line="500" w:lineRule="exact"/>
      <w:ind w:left="0" w:leftChars="0" w:firstLine="539"/>
      <w:textAlignment w:val="baseline"/>
    </w:pPr>
    <w:rPr>
      <w:rFonts w:ascii="Calibri" w:hAnsi="Calibri" w:eastAsia="楷体_GB2312"/>
      <w:sz w:val="28"/>
    </w:rPr>
  </w:style>
  <w:style w:type="character" w:customStyle="1" w:styleId="55">
    <w:name w:val="文章正文 Char Char Char"/>
    <w:link w:val="56"/>
    <w:qFormat/>
    <w:uiPriority w:val="0"/>
    <w:rPr>
      <w:sz w:val="24"/>
    </w:rPr>
  </w:style>
  <w:style w:type="paragraph" w:customStyle="1" w:styleId="56">
    <w:name w:val="文章正文"/>
    <w:basedOn w:val="1"/>
    <w:link w:val="55"/>
    <w:qFormat/>
    <w:uiPriority w:val="0"/>
    <w:pPr>
      <w:spacing w:line="440" w:lineRule="exact"/>
      <w:ind w:firstLine="600" w:firstLineChars="200"/>
    </w:pPr>
    <w:rPr>
      <w:kern w:val="0"/>
      <w:sz w:val="24"/>
      <w:szCs w:val="20"/>
    </w:rPr>
  </w:style>
  <w:style w:type="character" w:customStyle="1" w:styleId="57">
    <w:name w:val="表格文字 Char1"/>
    <w:link w:val="58"/>
    <w:qFormat/>
    <w:uiPriority w:val="0"/>
    <w:rPr>
      <w:color w:val="000000"/>
      <w:sz w:val="21"/>
      <w:szCs w:val="21"/>
    </w:rPr>
  </w:style>
  <w:style w:type="paragraph" w:customStyle="1" w:styleId="58">
    <w:name w:val="表格文字"/>
    <w:basedOn w:val="14"/>
    <w:next w:val="1"/>
    <w:link w:val="57"/>
    <w:qFormat/>
    <w:uiPriority w:val="0"/>
    <w:pPr>
      <w:jc w:val="center"/>
    </w:pPr>
    <w:rPr>
      <w:color w:val="000000"/>
      <w:kern w:val="0"/>
      <w:szCs w:val="21"/>
    </w:rPr>
  </w:style>
  <w:style w:type="character" w:customStyle="1" w:styleId="59">
    <w:name w:val="正文文本缩进 3 Char Char"/>
    <w:qFormat/>
    <w:uiPriority w:val="0"/>
    <w:rPr>
      <w:rFonts w:ascii="宋体" w:hAnsi="宋体" w:eastAsia="宋体"/>
      <w:b/>
      <w:bCs/>
      <w:color w:val="000000"/>
      <w:spacing w:val="0"/>
      <w:w w:val="100"/>
      <w:kern w:val="2"/>
      <w:sz w:val="24"/>
      <w:u w:val="none" w:color="000000"/>
      <w:vertAlign w:val="baseline"/>
      <w:lang w:val="en-US" w:eastAsia="zh-CN" w:bidi="ar-SA"/>
    </w:rPr>
  </w:style>
  <w:style w:type="character" w:customStyle="1" w:styleId="60">
    <w:name w:val="页脚 字符"/>
    <w:qFormat/>
    <w:uiPriority w:val="99"/>
  </w:style>
  <w:style w:type="character" w:customStyle="1" w:styleId="61">
    <w:name w:val="文章正文 Char Char"/>
    <w:qFormat/>
    <w:uiPriority w:val="0"/>
    <w:rPr>
      <w:rFonts w:ascii="Times New Roman" w:hAnsi="Times New Roman" w:eastAsia="宋体"/>
      <w:sz w:val="24"/>
    </w:rPr>
  </w:style>
  <w:style w:type="character" w:customStyle="1" w:styleId="62">
    <w:name w:val="正文文本 字符1"/>
    <w:semiHidden/>
    <w:qFormat/>
    <w:uiPriority w:val="0"/>
    <w:rPr>
      <w:rFonts w:ascii="Times New Roman" w:hAnsi="Times New Roman" w:eastAsia="宋体"/>
      <w:sz w:val="24"/>
    </w:rPr>
  </w:style>
  <w:style w:type="character" w:customStyle="1" w:styleId="63">
    <w:name w:val="行距 Char"/>
    <w:link w:val="64"/>
    <w:qFormat/>
    <w:uiPriority w:val="0"/>
    <w:rPr>
      <w:rFonts w:ascii="宋体" w:hAnsi="宋体"/>
      <w:kern w:val="2"/>
      <w:sz w:val="24"/>
      <w:szCs w:val="24"/>
    </w:rPr>
  </w:style>
  <w:style w:type="paragraph" w:customStyle="1" w:styleId="64">
    <w:name w:val="行距"/>
    <w:basedOn w:val="1"/>
    <w:link w:val="63"/>
    <w:qFormat/>
    <w:uiPriority w:val="0"/>
    <w:rPr>
      <w:rFonts w:ascii="宋体" w:hAnsi="宋体"/>
      <w:sz w:val="24"/>
    </w:rPr>
  </w:style>
  <w:style w:type="character" w:customStyle="1" w:styleId="65">
    <w:name w:val="批注文字 字符1"/>
    <w:semiHidden/>
    <w:qFormat/>
    <w:uiPriority w:val="0"/>
    <w:rPr>
      <w:rFonts w:ascii="Times New Roman" w:hAnsi="Times New Roman" w:eastAsia="宋体"/>
      <w:sz w:val="24"/>
    </w:rPr>
  </w:style>
  <w:style w:type="character" w:customStyle="1" w:styleId="66">
    <w:name w:val="正文 Char"/>
    <w:link w:val="67"/>
    <w:qFormat/>
    <w:uiPriority w:val="0"/>
    <w:rPr>
      <w:kern w:val="2"/>
      <w:sz w:val="28"/>
    </w:rPr>
  </w:style>
  <w:style w:type="paragraph" w:customStyle="1" w:styleId="67">
    <w:name w:val="正文1"/>
    <w:basedOn w:val="1"/>
    <w:link w:val="66"/>
    <w:qFormat/>
    <w:uiPriority w:val="0"/>
    <w:pPr>
      <w:adjustRightInd w:val="0"/>
      <w:snapToGrid w:val="0"/>
      <w:spacing w:line="500" w:lineRule="atLeast"/>
      <w:ind w:firstLine="567"/>
    </w:pPr>
    <w:rPr>
      <w:sz w:val="28"/>
      <w:szCs w:val="20"/>
    </w:rPr>
  </w:style>
  <w:style w:type="character" w:customStyle="1" w:styleId="68">
    <w:name w:val="日期 字符"/>
    <w:semiHidden/>
    <w:qFormat/>
    <w:uiPriority w:val="0"/>
    <w:rPr>
      <w:rFonts w:ascii="Times New Roman" w:hAnsi="Times New Roman" w:eastAsia="宋体"/>
      <w:sz w:val="24"/>
    </w:rPr>
  </w:style>
  <w:style w:type="character" w:customStyle="1" w:styleId="69">
    <w:name w:val="正文格式 Char Char"/>
    <w:link w:val="70"/>
    <w:qFormat/>
    <w:locked/>
    <w:uiPriority w:val="99"/>
    <w:rPr>
      <w:sz w:val="24"/>
    </w:rPr>
  </w:style>
  <w:style w:type="paragraph" w:customStyle="1" w:styleId="70">
    <w:name w:val="正文格式"/>
    <w:basedOn w:val="1"/>
    <w:link w:val="69"/>
    <w:qFormat/>
    <w:uiPriority w:val="99"/>
    <w:pPr>
      <w:spacing w:line="360" w:lineRule="auto"/>
      <w:ind w:firstLine="544" w:firstLineChars="200"/>
    </w:pPr>
    <w:rPr>
      <w:kern w:val="0"/>
      <w:sz w:val="24"/>
      <w:szCs w:val="20"/>
    </w:rPr>
  </w:style>
  <w:style w:type="paragraph" w:customStyle="1" w:styleId="71">
    <w:name w:val="0正文中9.8新"/>
    <w:basedOn w:val="72"/>
    <w:qFormat/>
    <w:uiPriority w:val="30"/>
    <w:pPr>
      <w:jc w:val="both"/>
    </w:pPr>
  </w:style>
  <w:style w:type="paragraph" w:customStyle="1" w:styleId="72">
    <w:name w:val="正文中"/>
    <w:basedOn w:val="73"/>
    <w:qFormat/>
    <w:uiPriority w:val="0"/>
    <w:pPr>
      <w:jc w:val="center"/>
    </w:pPr>
  </w:style>
  <w:style w:type="paragraph" w:customStyle="1" w:styleId="73">
    <w:name w:val="0正文缩进"/>
    <w:basedOn w:val="8"/>
    <w:qFormat/>
    <w:uiPriority w:val="0"/>
    <w:pPr>
      <w:spacing w:line="360" w:lineRule="auto"/>
    </w:pPr>
    <w:rPr>
      <w:rFonts w:ascii="宋体" w:hAnsi="宋体" w:eastAsia="仿宋_GB2312"/>
      <w:szCs w:val="24"/>
    </w:rPr>
  </w:style>
  <w:style w:type="paragraph" w:customStyle="1" w:styleId="74">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75">
    <w:name w:val="正文曹"/>
    <w:basedOn w:val="10"/>
    <w:qFormat/>
    <w:uiPriority w:val="0"/>
    <w:pPr>
      <w:spacing w:after="0" w:line="320" w:lineRule="exact"/>
      <w:ind w:left="0" w:leftChars="0"/>
      <w:jc w:val="center"/>
    </w:pPr>
    <w:rPr>
      <w:rFonts w:ascii="宋体" w:hAnsi="宋体"/>
      <w:kern w:val="2"/>
      <w:szCs w:val="24"/>
    </w:rPr>
  </w:style>
  <w:style w:type="paragraph" w:customStyle="1" w:styleId="76">
    <w:name w:val="表格文字（居中）"/>
    <w:basedOn w:val="1"/>
    <w:qFormat/>
    <w:uiPriority w:val="0"/>
    <w:pPr>
      <w:jc w:val="center"/>
    </w:pPr>
    <w:rPr>
      <w:rFonts w:eastAsia="宋体" w:cs="Times New Roman"/>
      <w:szCs w:val="21"/>
    </w:rPr>
  </w:style>
  <w:style w:type="paragraph" w:customStyle="1" w:styleId="77">
    <w:name w:val="M表格竖"/>
    <w:basedOn w:val="1"/>
    <w:qFormat/>
    <w:uiPriority w:val="99"/>
    <w:pPr>
      <w:jc w:val="center"/>
    </w:pPr>
    <w:rPr>
      <w:sz w:val="18"/>
      <w:szCs w:val="18"/>
    </w:rPr>
  </w:style>
  <w:style w:type="paragraph" w:customStyle="1" w:styleId="78">
    <w:name w:val="中文报告书"/>
    <w:basedOn w:val="1"/>
    <w:qFormat/>
    <w:uiPriority w:val="0"/>
    <w:pPr>
      <w:adjustRightInd w:val="0"/>
      <w:spacing w:after="80" w:line="420" w:lineRule="atLeast"/>
      <w:jc w:val="left"/>
      <w:textAlignment w:val="baseline"/>
    </w:pPr>
    <w:rPr>
      <w:kern w:val="0"/>
      <w:sz w:val="24"/>
      <w:szCs w:val="20"/>
    </w:rPr>
  </w:style>
  <w:style w:type="paragraph" w:customStyle="1" w:styleId="79">
    <w:name w:val="yatong正文"/>
    <w:basedOn w:val="1"/>
    <w:qFormat/>
    <w:uiPriority w:val="0"/>
    <w:pPr>
      <w:spacing w:line="360" w:lineRule="auto"/>
      <w:ind w:left="50" w:leftChars="50" w:firstLine="200" w:firstLineChars="200"/>
    </w:pPr>
    <w:rPr>
      <w:rFonts w:ascii="宋体" w:hAnsi="宋体" w:cs="宋体"/>
      <w:sz w:val="28"/>
    </w:rPr>
  </w:style>
  <w:style w:type="paragraph" w:customStyle="1" w:styleId="80">
    <w:name w:val="可研正文"/>
    <w:basedOn w:val="1"/>
    <w:qFormat/>
    <w:uiPriority w:val="0"/>
    <w:pPr>
      <w:tabs>
        <w:tab w:val="right" w:leader="middleDot" w:pos="7920"/>
      </w:tabs>
      <w:spacing w:line="360" w:lineRule="auto"/>
      <w:ind w:firstLine="480" w:firstLineChars="200"/>
      <w:jc w:val="left"/>
    </w:pPr>
    <w:rPr>
      <w:rFonts w:hAnsi="宋体"/>
      <w:bCs/>
      <w:color w:val="000000"/>
      <w:sz w:val="24"/>
    </w:rPr>
  </w:style>
  <w:style w:type="paragraph" w:customStyle="1" w:styleId="81">
    <w:name w:val="样式 首行缩进:  2 字符"/>
    <w:basedOn w:val="1"/>
    <w:qFormat/>
    <w:uiPriority w:val="0"/>
    <w:pPr>
      <w:spacing w:line="440" w:lineRule="exact"/>
      <w:ind w:firstLine="200" w:firstLineChars="200"/>
    </w:pPr>
    <w:rPr>
      <w:rFonts w:ascii="Calibri" w:hAnsi="Calibri" w:cs="宋体"/>
      <w:sz w:val="24"/>
      <w:szCs w:val="20"/>
    </w:rPr>
  </w:style>
  <w:style w:type="paragraph" w:customStyle="1" w:styleId="82">
    <w:name w:val="M表头"/>
    <w:basedOn w:val="1"/>
    <w:next w:val="1"/>
    <w:qFormat/>
    <w:uiPriority w:val="0"/>
    <w:pPr>
      <w:spacing w:before="218" w:beforeLines="70" w:line="360" w:lineRule="auto"/>
      <w:ind w:firstLine="200" w:firstLineChars="200"/>
    </w:pPr>
    <w:rPr>
      <w:rFonts w:eastAsia="黑体"/>
      <w:bCs/>
      <w:sz w:val="24"/>
      <w:szCs w:val="21"/>
    </w:rPr>
  </w:style>
  <w:style w:type="paragraph" w:customStyle="1" w:styleId="83">
    <w:name w:val="表格正文"/>
    <w:basedOn w:val="1"/>
    <w:semiHidden/>
    <w:qFormat/>
    <w:uiPriority w:val="0"/>
    <w:pPr>
      <w:widowControl/>
      <w:spacing w:before="60" w:after="60"/>
      <w:ind w:left="32"/>
      <w:jc w:val="center"/>
    </w:pPr>
    <w:rPr>
      <w:rFonts w:ascii="宋体" w:hAnsi="宋体" w:cs="宋体"/>
      <w:kern w:val="0"/>
      <w:szCs w:val="21"/>
    </w:rPr>
  </w:style>
  <w:style w:type="paragraph" w:customStyle="1" w:styleId="84">
    <w:name w:val="表头"/>
    <w:basedOn w:val="1"/>
    <w:next w:val="1"/>
    <w:qFormat/>
    <w:uiPriority w:val="0"/>
    <w:pPr>
      <w:spacing w:line="500" w:lineRule="exact"/>
      <w:jc w:val="center"/>
    </w:pPr>
    <w:rPr>
      <w:rFonts w:cs="宋体"/>
      <w:b/>
      <w:bCs/>
      <w:sz w:val="21"/>
      <w:szCs w:val="21"/>
    </w:rPr>
  </w:style>
  <w:style w:type="paragraph" w:customStyle="1" w:styleId="85">
    <w:name w:val="Table Paragraph"/>
    <w:basedOn w:val="1"/>
    <w:qFormat/>
    <w:uiPriority w:val="1"/>
    <w:pPr>
      <w:autoSpaceDE w:val="0"/>
      <w:autoSpaceDN w:val="0"/>
      <w:adjustRightInd/>
      <w:snapToGrid/>
      <w:spacing w:line="240" w:lineRule="auto"/>
      <w:ind w:firstLine="0" w:firstLineChars="0"/>
      <w:jc w:val="center"/>
    </w:pPr>
    <w:rPr>
      <w:rFonts w:ascii="宋体" w:hAnsi="宋体" w:cs="宋体"/>
      <w:kern w:val="0"/>
      <w:sz w:val="22"/>
      <w:szCs w:val="22"/>
      <w:lang w:eastAsia="en-US"/>
    </w:rPr>
  </w:style>
  <w:style w:type="paragraph" w:customStyle="1" w:styleId="86">
    <w:name w:val="表字1"/>
    <w:basedOn w:val="1"/>
    <w:qFormat/>
    <w:uiPriority w:val="0"/>
    <w:pPr>
      <w:adjustRightInd w:val="0"/>
      <w:spacing w:line="360" w:lineRule="auto"/>
      <w:jc w:val="center"/>
      <w:textAlignment w:val="baseline"/>
    </w:pPr>
    <w:rPr>
      <w:rFonts w:ascii="宋体" w:hAnsi="Times New Roman"/>
      <w:kern w:val="0"/>
      <w:szCs w:val="21"/>
    </w:rPr>
  </w:style>
  <w:style w:type="paragraph" w:customStyle="1" w:styleId="87">
    <w:name w:val="a表内"/>
    <w:qFormat/>
    <w:uiPriority w:val="0"/>
    <w:pPr>
      <w:jc w:val="center"/>
    </w:pPr>
    <w:rPr>
      <w:rFonts w:ascii="Times New Roman" w:hAnsi="Times New Roman" w:eastAsia="宋体" w:cs="Times New Roman"/>
      <w:sz w:val="21"/>
      <w:szCs w:val="24"/>
      <w:lang w:val="en-US" w:eastAsia="zh-CN" w:bidi="ar-SA"/>
    </w:rPr>
  </w:style>
  <w:style w:type="paragraph" w:customStyle="1" w:styleId="88">
    <w:name w:val="中文报告书样式"/>
    <w:basedOn w:val="1"/>
    <w:qFormat/>
    <w:uiPriority w:val="0"/>
    <w:pPr>
      <w:adjustRightInd w:val="0"/>
      <w:spacing w:line="480" w:lineRule="atLeast"/>
      <w:ind w:firstLine="482"/>
      <w:textAlignment w:val="baseline"/>
    </w:pPr>
    <w:rPr>
      <w:kern w:val="24"/>
      <w:sz w:val="24"/>
      <w:szCs w:val="20"/>
    </w:rPr>
  </w:style>
  <w:style w:type="paragraph" w:customStyle="1" w:styleId="89">
    <w:name w:val="环评正文"/>
    <w:basedOn w:val="1"/>
    <w:next w:val="1"/>
    <w:qFormat/>
    <w:uiPriority w:val="0"/>
    <w:pPr>
      <w:spacing w:line="360" w:lineRule="auto"/>
      <w:ind w:firstLine="480" w:firstLineChars="200"/>
    </w:pPr>
    <w:rPr>
      <w:rFonts w:ascii="仿宋_GB2312" w:hAnsi="仿宋_GB2312" w:eastAsia="仿宋_GB2312"/>
      <w:sz w:val="24"/>
      <w:szCs w:val="20"/>
    </w:rPr>
  </w:style>
  <w:style w:type="paragraph" w:customStyle="1" w:styleId="90">
    <w:name w:val="Default"/>
    <w:basedOn w:val="91"/>
    <w:qFormat/>
    <w:uiPriority w:val="0"/>
    <w:pPr>
      <w:widowControl w:val="0"/>
      <w:autoSpaceDE w:val="0"/>
      <w:autoSpaceDN w:val="0"/>
      <w:adjustRightInd w:val="0"/>
    </w:pPr>
    <w:rPr>
      <w:rFonts w:ascii="仿宋_GB2312" w:eastAsia="仿宋_GB2312"/>
      <w:color w:val="000000"/>
      <w:sz w:val="24"/>
      <w:szCs w:val="22"/>
      <w:lang w:val="en-US" w:eastAsia="zh-CN" w:bidi="ar-SA"/>
    </w:rPr>
  </w:style>
  <w:style w:type="paragraph" w:customStyle="1" w:styleId="91">
    <w:name w:val="表格17"/>
    <w:qFormat/>
    <w:uiPriority w:val="0"/>
    <w:pPr>
      <w:widowControl w:val="0"/>
      <w:adjustRightInd w:val="0"/>
      <w:jc w:val="center"/>
    </w:pPr>
    <w:rPr>
      <w:rFonts w:ascii="Times New Roman" w:hAnsi="Times New Roman" w:eastAsia="宋体" w:cs="Times New Roman"/>
      <w:kern w:val="28"/>
      <w:sz w:val="28"/>
      <w:lang w:val="en-US" w:eastAsia="zh-CN" w:bidi="ar-SA"/>
    </w:rPr>
  </w:style>
  <w:style w:type="paragraph" w:customStyle="1" w:styleId="92">
    <w:name w:val="样式 正文wjh + 首行缩进:  0.99 厘米 段前: 18 磅"/>
    <w:basedOn w:val="1"/>
    <w:qFormat/>
    <w:uiPriority w:val="0"/>
    <w:pPr>
      <w:spacing w:line="360" w:lineRule="auto"/>
      <w:ind w:firstLine="561"/>
      <w:jc w:val="left"/>
    </w:pPr>
    <w:rPr>
      <w:rFonts w:ascii="Calibri" w:hAnsi="Calibri" w:cs="宋体"/>
      <w:sz w:val="24"/>
    </w:rPr>
  </w:style>
  <w:style w:type="paragraph" w:customStyle="1" w:styleId="93">
    <w:name w:val="LP正"/>
    <w:basedOn w:val="1"/>
    <w:qFormat/>
    <w:uiPriority w:val="0"/>
    <w:pPr>
      <w:spacing w:line="480" w:lineRule="exact"/>
      <w:ind w:firstLine="480" w:firstLineChars="200"/>
    </w:pPr>
    <w:rPr>
      <w:rFonts w:ascii="Calibri" w:hAnsi="Calibri"/>
      <w:sz w:val="24"/>
    </w:rPr>
  </w:style>
  <w:style w:type="paragraph" w:customStyle="1" w:styleId="94">
    <w:name w:val="李发荣个人正文"/>
    <w:basedOn w:val="1"/>
    <w:next w:val="1"/>
    <w:qFormat/>
    <w:uiPriority w:val="0"/>
    <w:pPr>
      <w:spacing w:line="360" w:lineRule="auto"/>
      <w:ind w:firstLine="504" w:firstLineChars="200"/>
    </w:pPr>
    <w:rPr>
      <w:rFonts w:ascii="宋体" w:hAnsi="宋体" w:cs="宋体"/>
      <w:kern w:val="0"/>
      <w:sz w:val="24"/>
    </w:rPr>
  </w:style>
  <w:style w:type="paragraph" w:customStyle="1" w:styleId="95">
    <w:name w:val="环保正文"/>
    <w:basedOn w:val="1"/>
    <w:qFormat/>
    <w:uiPriority w:val="0"/>
    <w:pPr>
      <w:tabs>
        <w:tab w:val="left" w:pos="0"/>
        <w:tab w:val="left" w:pos="7012"/>
      </w:tabs>
      <w:autoSpaceDE w:val="0"/>
      <w:autoSpaceDN w:val="0"/>
      <w:spacing w:line="360" w:lineRule="auto"/>
      <w:ind w:firstLine="200" w:firstLineChars="200"/>
    </w:pPr>
    <w:rPr>
      <w:rFonts w:ascii="宋体" w:hAnsi="宋体" w:cs="宋体"/>
      <w:sz w:val="24"/>
    </w:rPr>
  </w:style>
  <w:style w:type="paragraph" w:customStyle="1" w:styleId="96">
    <w:name w:val="表格内文字格式"/>
    <w:basedOn w:val="1"/>
    <w:qFormat/>
    <w:uiPriority w:val="99"/>
    <w:pPr>
      <w:spacing w:line="240" w:lineRule="auto"/>
      <w:ind w:firstLine="0" w:firstLineChars="0"/>
      <w:jc w:val="center"/>
    </w:pPr>
    <w:rPr>
      <w:rFonts w:cs="Arial"/>
      <w:bCs/>
      <w:kern w:val="10"/>
      <w:sz w:val="21"/>
      <w:szCs w:val="21"/>
    </w:rPr>
  </w:style>
  <w:style w:type="paragraph" w:customStyle="1" w:styleId="97">
    <w:name w:val="环评正文编号"/>
    <w:basedOn w:val="1"/>
    <w:qFormat/>
    <w:uiPriority w:val="0"/>
    <w:pPr>
      <w:spacing w:before="100" w:beforeAutospacing="1" w:after="100" w:afterAutospacing="1" w:line="360" w:lineRule="auto"/>
      <w:ind w:left="425" w:firstLine="442"/>
    </w:pPr>
    <w:rPr>
      <w:rFonts w:ascii="仿宋_GB2312" w:hAnsi="宋体" w:eastAsia="仿宋_GB2312"/>
      <w:sz w:val="24"/>
    </w:rPr>
  </w:style>
  <w:style w:type="paragraph" w:customStyle="1" w:styleId="98">
    <w:name w:val="样式 正文缩进正文缩进2正文缩进 Char Char正文缩进 Char Char Char Char正文缩进 Char ..."/>
    <w:basedOn w:val="8"/>
    <w:qFormat/>
    <w:uiPriority w:val="0"/>
    <w:pPr>
      <w:spacing w:line="360" w:lineRule="auto"/>
      <w:ind w:firstLine="200"/>
    </w:pPr>
    <w:rPr>
      <w:rFonts w:cs="宋体"/>
      <w:sz w:val="24"/>
    </w:rPr>
  </w:style>
  <w:style w:type="paragraph" w:customStyle="1" w:styleId="99">
    <w:name w:val="正文文本缩进-1"/>
    <w:qFormat/>
    <w:uiPriority w:val="0"/>
    <w:pPr>
      <w:adjustRightInd w:val="0"/>
      <w:snapToGrid w:val="0"/>
      <w:spacing w:line="560" w:lineRule="exact"/>
      <w:ind w:firstLine="480"/>
    </w:pPr>
    <w:rPr>
      <w:rFonts w:ascii="Times New Roman" w:hAnsi="Times New Roman" w:eastAsia="宋体" w:cs="Times New Roman"/>
      <w:sz w:val="24"/>
      <w:szCs w:val="24"/>
      <w:lang w:val="en-US" w:eastAsia="zh-CN" w:bidi="ar-SA"/>
    </w:rPr>
  </w:style>
  <w:style w:type="paragraph" w:customStyle="1" w:styleId="100">
    <w:name w:val="样式5"/>
    <w:basedOn w:val="1"/>
    <w:qFormat/>
    <w:uiPriority w:val="0"/>
    <w:pPr>
      <w:snapToGrid w:val="0"/>
      <w:spacing w:line="360" w:lineRule="auto"/>
      <w:ind w:firstLine="510"/>
    </w:pPr>
    <w:rPr>
      <w:sz w:val="24"/>
    </w:rPr>
  </w:style>
  <w:style w:type="paragraph" w:customStyle="1" w:styleId="101">
    <w:name w:val="正式表格"/>
    <w:basedOn w:val="1"/>
    <w:qFormat/>
    <w:uiPriority w:val="0"/>
    <w:pPr>
      <w:widowControl/>
      <w:contextualSpacing/>
      <w:jc w:val="center"/>
    </w:pPr>
    <w:rPr>
      <w:rFonts w:ascii="Times New Roman" w:hAnsi="Times New Roman"/>
      <w:kern w:val="0"/>
      <w:sz w:val="20"/>
      <w:szCs w:val="20"/>
    </w:rPr>
  </w:style>
  <w:style w:type="paragraph" w:customStyle="1" w:styleId="102">
    <w:name w:val="表头  样式18"/>
    <w:basedOn w:val="1"/>
    <w:qFormat/>
    <w:uiPriority w:val="99"/>
    <w:pPr>
      <w:spacing w:line="240" w:lineRule="auto"/>
      <w:ind w:firstLine="0" w:firstLineChars="0"/>
      <w:jc w:val="center"/>
    </w:pPr>
    <w:rPr>
      <w:kern w:val="0"/>
      <w:szCs w:val="20"/>
    </w:rPr>
  </w:style>
  <w:style w:type="paragraph" w:styleId="103">
    <w:name w:val="No Spacing"/>
    <w:qFormat/>
    <w:uiPriority w:val="1"/>
    <w:pPr>
      <w:jc w:val="center"/>
    </w:pPr>
    <w:rPr>
      <w:rFonts w:ascii="Times New Roman" w:hAnsi="Times New Roman" w:eastAsia="宋体" w:cs="Times New Roman"/>
      <w:kern w:val="2"/>
      <w:sz w:val="24"/>
      <w:szCs w:val="22"/>
      <w:lang w:val="en-US" w:eastAsia="zh-CN" w:bidi="ar-SA"/>
    </w:rPr>
  </w:style>
  <w:style w:type="paragraph" w:customStyle="1" w:styleId="104">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105">
    <w:name w:val="正文样式"/>
    <w:basedOn w:val="1"/>
    <w:qFormat/>
    <w:uiPriority w:val="0"/>
    <w:pPr>
      <w:spacing w:line="360" w:lineRule="auto"/>
      <w:ind w:firstLine="480" w:firstLineChars="200"/>
    </w:pPr>
    <w:rPr>
      <w:rFonts w:hAnsi="宋体"/>
      <w:color w:val="000000"/>
      <w:kern w:val="2"/>
      <w:szCs w:val="24"/>
    </w:rPr>
  </w:style>
  <w:style w:type="paragraph" w:customStyle="1" w:styleId="106">
    <w:name w:val="1正文"/>
    <w:basedOn w:val="1"/>
    <w:qFormat/>
    <w:uiPriority w:val="0"/>
    <w:pPr>
      <w:spacing w:line="360" w:lineRule="auto"/>
      <w:ind w:firstLine="200" w:firstLineChars="200"/>
      <w:jc w:val="left"/>
    </w:pPr>
    <w:rPr>
      <w:kern w:val="0"/>
      <w:sz w:val="20"/>
      <w:szCs w:val="20"/>
    </w:rPr>
  </w:style>
  <w:style w:type="paragraph" w:customStyle="1" w:styleId="107">
    <w:name w:val="正文_6"/>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08">
    <w:name w:val="表ge"/>
    <w:basedOn w:val="1"/>
    <w:qFormat/>
    <w:uiPriority w:val="0"/>
    <w:pPr>
      <w:widowControl/>
      <w:jc w:val="center"/>
    </w:pPr>
    <w:rPr>
      <w:kern w:val="28"/>
      <w:szCs w:val="21"/>
    </w:rPr>
  </w:style>
  <w:style w:type="paragraph" w:customStyle="1" w:styleId="109">
    <w:name w:val="HP表格标题"/>
    <w:qFormat/>
    <w:uiPriority w:val="0"/>
    <w:pPr>
      <w:spacing w:line="440" w:lineRule="exact"/>
      <w:jc w:val="center"/>
    </w:pPr>
    <w:rPr>
      <w:rFonts w:ascii="Calibri" w:hAnsi="Calibri" w:eastAsia="宋体" w:cs="Times New Roman"/>
      <w:b/>
      <w:sz w:val="24"/>
      <w:szCs w:val="24"/>
      <w:lang w:val="en-US" w:eastAsia="zh-CN" w:bidi="ar-SA"/>
    </w:rPr>
  </w:style>
  <w:style w:type="paragraph" w:customStyle="1" w:styleId="110">
    <w:name w:val="HP表格内容"/>
    <w:qFormat/>
    <w:uiPriority w:val="0"/>
    <w:pPr>
      <w:jc w:val="center"/>
    </w:pPr>
    <w:rPr>
      <w:rFonts w:ascii="Calibri" w:hAnsi="Calibri" w:eastAsia="宋体" w:cs="Times New Roman"/>
      <w:sz w:val="24"/>
      <w:szCs w:val="24"/>
      <w:lang w:val="en-US" w:eastAsia="zh-CN" w:bidi="ar-SA"/>
    </w:rPr>
  </w:style>
  <w:style w:type="paragraph" w:customStyle="1" w:styleId="111">
    <w:name w:val="Body Text First Indent 2"/>
    <w:basedOn w:val="112"/>
    <w:qFormat/>
    <w:uiPriority w:val="0"/>
    <w:pPr>
      <w:ind w:firstLine="420" w:firstLineChars="200"/>
    </w:pPr>
    <w:rPr>
      <w:rFonts w:cs="Calibri"/>
      <w:kern w:val="0"/>
      <w:sz w:val="20"/>
      <w:szCs w:val="20"/>
    </w:rPr>
  </w:style>
  <w:style w:type="paragraph" w:customStyle="1" w:styleId="112">
    <w:name w:val="Body Text Indent"/>
    <w:basedOn w:val="1"/>
    <w:qFormat/>
    <w:uiPriority w:val="0"/>
    <w:pPr>
      <w:spacing w:after="120" w:afterLines="0"/>
      <w:ind w:left="420" w:leftChars="200"/>
    </w:pPr>
    <w:rPr>
      <w:rFonts w:cs="Calibri"/>
      <w:kern w:val="0"/>
      <w:sz w:val="20"/>
      <w:szCs w:val="20"/>
    </w:rPr>
  </w:style>
  <w:style w:type="paragraph" w:customStyle="1" w:styleId="113">
    <w:name w:val="Body text|1"/>
    <w:basedOn w:val="1"/>
    <w:qFormat/>
    <w:uiPriority w:val="0"/>
    <w:pPr>
      <w:widowControl w:val="0"/>
      <w:shd w:val="clear" w:color="auto" w:fill="auto"/>
      <w:spacing w:after="240" w:line="480" w:lineRule="auto"/>
      <w:ind w:firstLine="400"/>
    </w:pPr>
    <w:rPr>
      <w:rFonts w:ascii="宋体" w:hAnsi="宋体" w:eastAsia="宋体" w:cs="宋体"/>
      <w:sz w:val="22"/>
      <w:szCs w:val="22"/>
      <w:u w:val="none"/>
      <w:shd w:val="clear" w:color="auto" w:fill="auto"/>
      <w:lang w:val="zh-TW" w:eastAsia="zh-TW" w:bidi="zh-TW"/>
    </w:rPr>
  </w:style>
  <w:style w:type="paragraph" w:customStyle="1" w:styleId="114">
    <w:name w:val="报告表正文"/>
    <w:basedOn w:val="1"/>
    <w:qFormat/>
    <w:uiPriority w:val="0"/>
    <w:pPr>
      <w:overflowPunct w:val="0"/>
      <w:adjustRightInd w:val="0"/>
      <w:snapToGrid w:val="0"/>
      <w:spacing w:line="360" w:lineRule="auto"/>
      <w:ind w:firstLine="200" w:firstLineChars="200"/>
    </w:pPr>
    <w:rPr>
      <w:rFonts w:ascii="Times New Roman" w:hAnsi="Times New Roman" w:eastAsia="仿宋_GB2312"/>
      <w:color w:val="000000"/>
      <w:kern w:val="16"/>
      <w:sz w:val="24"/>
      <w:szCs w:val="24"/>
    </w:rPr>
  </w:style>
  <w:style w:type="paragraph" w:customStyle="1" w:styleId="115">
    <w:name w:val="TB表格内容"/>
    <w:basedOn w:val="1"/>
    <w:qFormat/>
    <w:uiPriority w:val="0"/>
    <w:pPr>
      <w:spacing w:line="320" w:lineRule="exact"/>
      <w:jc w:val="center"/>
    </w:pPr>
    <w:rPr>
      <w:szCs w:val="22"/>
    </w:rPr>
  </w:style>
  <w:style w:type="paragraph" w:customStyle="1" w:styleId="116">
    <w:name w:val="Table Text"/>
    <w:basedOn w:val="1"/>
    <w:semiHidden/>
    <w:qFormat/>
    <w:uiPriority w:val="0"/>
    <w:rPr>
      <w:rFonts w:ascii="宋体" w:hAnsi="宋体" w:eastAsia="宋体" w:cs="宋体"/>
      <w:sz w:val="21"/>
      <w:szCs w:val="21"/>
      <w:lang w:val="en-US" w:eastAsia="en-US" w:bidi="ar-SA"/>
    </w:rPr>
  </w:style>
  <w:style w:type="table" w:customStyle="1" w:styleId="117">
    <w:name w:val="Table Normal"/>
    <w:unhideWhenUsed/>
    <w:qFormat/>
    <w:uiPriority w:val="0"/>
    <w:tblPr>
      <w:tblCellMar>
        <w:top w:w="0" w:type="dxa"/>
        <w:left w:w="0" w:type="dxa"/>
        <w:bottom w:w="0" w:type="dxa"/>
        <w:right w:w="0" w:type="dxa"/>
      </w:tblCellMar>
    </w:tblPr>
  </w:style>
  <w:style w:type="paragraph" w:customStyle="1" w:styleId="118">
    <w:name w:val="表内容"/>
    <w:basedOn w:val="1"/>
    <w:qFormat/>
    <w:uiPriority w:val="0"/>
    <w:pPr>
      <w:spacing w:line="240" w:lineRule="auto"/>
      <w:ind w:firstLine="0" w:firstLineChars="0"/>
      <w:jc w:val="center"/>
    </w:pPr>
    <w:rPr>
      <w:sz w:val="21"/>
    </w:rPr>
  </w:style>
  <w:style w:type="paragraph" w:customStyle="1" w:styleId="119">
    <w:name w:val="WPS Plain"/>
    <w:qFormat/>
    <w:uiPriority w:val="0"/>
    <w:rPr>
      <w:rFonts w:ascii="Times New Roman" w:hAnsi="Times New Roman" w:eastAsia="宋体" w:cs="Times New Roman"/>
      <w:lang w:val="en-US" w:eastAsia="zh-CN" w:bidi="ar-SA"/>
    </w:rPr>
  </w:style>
  <w:style w:type="paragraph" w:customStyle="1" w:styleId="120">
    <w:name w:val="晓丹"/>
    <w:basedOn w:val="23"/>
    <w:qFormat/>
    <w:uiPriority w:val="0"/>
    <w:pPr>
      <w:adjustRightInd w:val="0"/>
      <w:snapToGrid w:val="0"/>
      <w:spacing w:after="0" w:line="360" w:lineRule="auto"/>
      <w:ind w:firstLine="200" w:firstLineChars="200"/>
      <w:textAlignment w:val="baseline"/>
    </w:pPr>
    <w:rPr>
      <w:rFonts w:ascii="宋体" w:hAnsi="宋体"/>
      <w:color w:val="000000"/>
      <w:spacing w:val="6"/>
      <w:kern w:val="0"/>
      <w:sz w:val="24"/>
    </w:rPr>
  </w:style>
  <w:style w:type="paragraph" w:customStyle="1" w:styleId="121">
    <w:name w:val="啊啊"/>
    <w:basedOn w:val="1"/>
    <w:qFormat/>
    <w:uiPriority w:val="0"/>
    <w:pPr>
      <w:spacing w:line="360" w:lineRule="auto"/>
      <w:ind w:firstLine="200" w:firstLineChars="200"/>
    </w:pPr>
    <w:rPr>
      <w:sz w:val="28"/>
      <w:szCs w:val="28"/>
    </w:rPr>
  </w:style>
  <w:style w:type="character" w:customStyle="1" w:styleId="122">
    <w:name w:val="font51"/>
    <w:basedOn w:val="26"/>
    <w:qFormat/>
    <w:uiPriority w:val="0"/>
    <w:rPr>
      <w:rFonts w:ascii="宋体" w:hAnsi="宋体" w:eastAsia="宋体" w:cs="宋体"/>
      <w:b/>
      <w:bCs/>
      <w:color w:val="000000"/>
      <w:sz w:val="28"/>
      <w:szCs w:val="28"/>
      <w:u w:val="none"/>
    </w:rPr>
  </w:style>
  <w:style w:type="character" w:customStyle="1" w:styleId="123">
    <w:name w:val="font61"/>
    <w:basedOn w:val="26"/>
    <w:qFormat/>
    <w:uiPriority w:val="0"/>
    <w:rPr>
      <w:rFonts w:ascii="宋体" w:hAnsi="宋体" w:eastAsia="宋体" w:cs="宋体"/>
      <w:color w:val="000000"/>
      <w:sz w:val="28"/>
      <w:szCs w:val="28"/>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9" Type="http://schemas.openxmlformats.org/officeDocument/2006/relationships/fontTable" Target="fontTable.xml"/><Relationship Id="rId88" Type="http://schemas.openxmlformats.org/officeDocument/2006/relationships/customXml" Target="../customXml/item2.xml"/><Relationship Id="rId87" Type="http://schemas.openxmlformats.org/officeDocument/2006/relationships/numbering" Target="numbering.xml"/><Relationship Id="rId86" Type="http://schemas.openxmlformats.org/officeDocument/2006/relationships/customXml" Target="../customXml/item1.xml"/><Relationship Id="rId85" Type="http://schemas.openxmlformats.org/officeDocument/2006/relationships/image" Target="media/image78.jpeg"/><Relationship Id="rId84" Type="http://schemas.openxmlformats.org/officeDocument/2006/relationships/image" Target="media/image77.jpeg"/><Relationship Id="rId83" Type="http://schemas.openxmlformats.org/officeDocument/2006/relationships/image" Target="media/image76.png"/><Relationship Id="rId82" Type="http://schemas.openxmlformats.org/officeDocument/2006/relationships/image" Target="media/image75.jpe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image" Target="media/image1.pn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png"/><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4.xml"/><Relationship Id="rId59" Type="http://schemas.openxmlformats.org/officeDocument/2006/relationships/image" Target="media/image52.jpeg"/><Relationship Id="rId58" Type="http://schemas.openxmlformats.org/officeDocument/2006/relationships/image" Target="media/image51.jpe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footer" Target="footer3.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jpeg"/><Relationship Id="rId40" Type="http://schemas.openxmlformats.org/officeDocument/2006/relationships/image" Target="media/image33.png"/><Relationship Id="rId4" Type="http://schemas.openxmlformats.org/officeDocument/2006/relationships/footer" Target="footer2.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jpe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a7501a78-43cf-4525-a8f6-ce16dba9157e</errorID>
      <errorWord>鄂尔多斯准格尔经济开发区准格尔产业园内的伊东循环经济产业园</errorWord>
      <group>L1_Other</group>
      <groupName>其他问题</groupName>
      <ability>L2_Consistency</ability>
      <abilityName>一致性检查</abilityName>
      <candidateList>
        <item>鄂尔多斯市准格尔旗准格尔产业园伊东循环经济产业园</item>
      </candidateList>
      <explain>实体一致性：前后表述不一致，应统一为‘鄂尔多斯市准格尔旗准格尔产业园伊东循环经济产业园’</explain>
      <paraID>69B1DB6A</paraID>
      <start>0</start>
      <end>24</end>
      <status>modified</status>
      <modifiedWord>鄂尔多斯市准格尔旗准格尔产业园伊东循环经济产业园</modifiedWord>
      <trackRevisions>false</trackRevisions>
    </reviewItem>
    <reviewItem>
      <errorID>d3421454-eef3-4294-b9a7-b62126ed2401</errorID>
      <errorWord>准格尔旗</errorWord>
      <group>L1_Punc</group>
      <groupName>标点问题</groupName>
      <ability>L2_Punc</ability>
      <abilityName>标点符号检查</abilityName>
      <candidateList>
        <item>，准格尔旗</item>
      </candidateList>
      <explain/>
      <paraID>1E7193F3</paraID>
      <start>9</start>
      <end>14</end>
      <status>modified</status>
      <modifiedWord>，准格尔旗</modifiedWord>
      <trackRevisions>false</trackRevisions>
    </reviewItem>
    <reviewItem>
      <errorID>9d9fc937-e720-475e-a228-c1649be6c22a</errorID>
      <errorWord>【2023】352号</errorWord>
      <group>L1_Knowledge</group>
      <groupName>知识性问题</groupName>
      <ability>L2_Knowledge</ability>
      <abilityName>其他知识</abilityName>
      <candidateList>
        <item>〔2023〕352号</item>
      </candidateList>
      <explain>发文字号格式错误。</explain>
      <paraID>1E7193F3</paraID>
      <start>52</start>
      <end>62</end>
      <status>modified</status>
      <modifiedWord>〔2023〕352号</modifiedWord>
      <trackRevisions>false</trackRevisions>
    </reviewItem>
    <reviewItem>
      <errorID>fa654b7d-573c-4071-ba72-233d8511df73</errorID>
      <errorWord>两</errorWord>
      <group>L1_Punc</group>
      <groupName>标点问题</groupName>
      <ability>L2_Punc</ability>
      <abilityName>标点符号检查</abilityName>
      <candidateList>
        <item>”两</item>
      </candidateList>
      <explain/>
      <paraID>3374A927</paraID>
      <start>76</start>
      <end>78</end>
      <status>modified</status>
      <modifiedWord>”两</modifiedWord>
      <trackRevisions>false</trackRevisions>
    </reviewItem>
    <reviewItem>
      <errorID>3d13d2f0-d593-47ee-bb7d-dfab34d866d4</errorID>
      <errorWord>。</errorWord>
      <group>L1_Punc</group>
      <groupName>标点问题</groupName>
      <ability>L2_Punc</ability>
      <abilityName>标点符号检查</abilityName>
      <candidateList>
        <item>，</item>
      </candidateList>
      <explain/>
      <paraID>3374A927</paraID>
      <start>116</start>
      <end>117</end>
      <status>modified</status>
      <modifiedWord>，</modifiedWord>
      <trackRevisions>false</trackRevisions>
    </reviewItem>
    <reviewItem>
      <errorID>e0bcf67b-c6e5-40b4-bc72-dbb6f1456061</errorID>
      <errorWord>”</errorWord>
      <group>L1_Punc</group>
      <groupName>标点问题</groupName>
      <ability>L2_Punc</ability>
      <abilityName>标点符号检查</abilityName>
      <candidateList>
        <item/>
      </candidateList>
      <explain/>
      <paraID>3374A927</paraID>
      <start>145</start>
      <end>146</end>
      <status>ignored</status>
      <modifiedWord/>
      <trackRevisions>false</trackRevisions>
    </reviewItem>
    <reviewItem>
      <errorID>55711183-a314-4032-9895-c11531e5b8bf</errorID>
      <errorWord>：</errorWord>
      <group>L1_Punc</group>
      <groupName>标点问题</groupName>
      <ability>L2_Punc</ability>
      <abilityName>标点符号检查</abilityName>
      <candidateList>
        <item>。</item>
      </candidateList>
      <explain/>
      <paraID>7AF457F4</paraID>
      <start>129</start>
      <end>130</end>
      <status>modified</status>
      <modifiedWord>。</modifiedWord>
      <trackRevisions>false</trackRevisions>
    </reviewItem>
    <reviewItem>
      <errorID>cefe4b4e-89ad-4e9e-b4be-4cf3a5cb85b5</errorID>
      <errorWord>，</errorWord>
      <group>L1_Punc</group>
      <groupName>标点问题</groupName>
      <ability>L2_Punc</ability>
      <abilityName>标点符号检查</abilityName>
      <candidateList>
        <item>。</item>
      </candidateList>
      <explain/>
      <paraID>5F088F38</paraID>
      <start>116</start>
      <end>117</end>
      <status>modified</status>
      <modifiedWord>。</modifiedWord>
      <trackRevisions>false</trackRevisions>
    </reviewItem>
    <reviewItem>
      <errorID>052c7a5a-8a99-4fc9-b43e-99ea6e918126</errorID>
      <errorWord>：</errorWord>
      <group>L1_Punc</group>
      <groupName>标点问题</groupName>
      <ability>L2_Punc</ability>
      <abilityName>标点符号检查</abilityName>
      <candidateList>
        <item>，</item>
      </candidateList>
      <explain/>
      <paraID>3CB62AF3</paraID>
      <start>39</start>
      <end>40</end>
      <status>modified</status>
      <modifiedWord>，</modifiedWord>
      <trackRevisions>false</trackRevisions>
    </reviewItem>
    <reviewItem>
      <errorID>b3787dce-0aa2-436b-89ca-5d32e0621303</errorID>
      <errorWord>及</errorWord>
      <group>L1_Word</group>
      <groupName>字词问题</groupName>
      <ability>L2_Typo</ability>
      <abilityName>字词错误</abilityName>
      <candidateList>
        <item>，</item>
      </candidateList>
      <explain/>
      <paraID>3CB62AF3</paraID>
      <start>63</start>
      <end>64</end>
      <status>modified</status>
      <modifiedWord>，</modifiedWord>
      <trackRevisions>false</trackRevisions>
    </reviewItem>
    <reviewItem>
      <errorID>75e95ba5-3baf-495c-aa06-4f60f7d0a6d1</errorID>
      <errorWord>烟（粉）尘</errorWord>
      <group>L1_Other</group>
      <groupName>其他问题</groupName>
      <ability>L2_Consistency</ability>
      <abilityName>一致性检查</abilityName>
      <candidateList>
        <item>PM10</item>
      </candidateList>
      <explain>术语一致性：在描述大气污染物排放时，‘烟（粉）尘’与其他表述的‘PM10’不一致，应统一为‘PM10’</explain>
      <paraID>12F77D0C</paraID>
      <start>31</start>
      <end>36</end>
      <status>ignored</status>
      <modifiedWord/>
      <trackRevisions>false</trackRevisions>
    </reviewItem>
    <reviewItem>
      <errorID>f8a91bd9-e3f8-44a2-96fc-7da984e3f0df</errorID>
      <errorWord>。</errorWord>
      <group>L1_Grammar</group>
      <groupName>语法问题</groupName>
      <ability>L2_Grammar</ability>
      <abilityName>语法错误</abilityName>
      <candidateList>
        <item>相关手续。</item>
      </candidateList>
      <explain/>
      <paraID>567B63C5</paraID>
      <start>16</start>
      <end>21</end>
      <status>modified</status>
      <modifiedWord>相关手续。</modifiedWord>
      <trackRevisions>false</trackRevisions>
    </reviewItem>
    <reviewItem>
      <errorID>3e99d142-4619-4624-91d9-09da92121950</errorID>
      <errorWord>计算</errorWord>
      <group>L1_Word</group>
      <groupName>字词问题</groupName>
      <ability>L2_Typo</ability>
      <abilityName>字词错误</abilityName>
      <candidateList>
        <item>和计算</item>
      </candidateList>
      <explain/>
      <paraID>567B63C5</paraID>
      <start>36</start>
      <end>39</end>
      <status>modified</status>
      <modifiedWord>和计算</modifiedWord>
      <trackRevisions>false</trackRevisions>
    </reviewItem>
    <reviewItem>
      <errorID>7c1abc61-4041-48d4-8675-96f1f3423498</errorID>
      <errorWord>本</errorWord>
      <group>L1_Word</group>
      <groupName>字词问题</groupName>
      <ability>L2_Typo</ability>
      <abilityName>字词错误</abilityName>
      <candidateList>
        <item>若本</item>
      </candidateList>
      <explain/>
      <paraID>567B63C5</paraID>
      <start>59</start>
      <end>61</end>
      <status>modified</status>
      <modifiedWord>若本</modifiedWord>
      <trackRevisions>false</trackRevisions>
    </reviewItem>
    <reviewItem>
      <errorID>25da1860-31cd-4c1c-8acb-0ec267a68cd2</errorID>
      <errorWord>小于排放量</errorWord>
      <group>L1_Grammar</group>
      <groupName>语法问题</groupName>
      <ability>L2_Grammar</ability>
      <abilityName>语法错误</abilityName>
      <candidateList>
        <item>排放量小于园区容量，</item>
      </candidateList>
      <explain/>
      <paraID>567B63C5</paraID>
      <start>63</start>
      <end>73</end>
      <status>modified</status>
      <modifiedWord>排放量小于园区容量，</modifiedWord>
      <trackRevisions>false</trackRevisions>
    </reviewItem>
    <reviewItem>
      <errorID>aa1e9b0c-2fec-4d54-bc0d-ca316bc7858d</errorID>
      <errorWord>最大</errorWord>
      <group>L1_Punc</group>
      <groupName>标点问题</groupName>
      <ability>L2_Punc</ability>
      <abilityName>标点符号检查</abilityName>
      <candidateList>
        <item>，最大</item>
      </candidateList>
      <explain/>
      <paraID>6342A801</paraID>
      <start>77</start>
      <end>80</end>
      <status>modified</status>
      <modifiedWord>，最大</modifiedWord>
      <trackRevisions>false</trackRevisions>
    </reviewItem>
    <reviewItem>
      <errorID>90dfc6de-0165-46a6-9e66-5806f6bd9198</errorID>
      <errorWord>足够</errorWord>
      <group>L1_Grammar</group>
      <groupName>语法问题</groupName>
      <ability>L2_Grammar</ability>
      <abilityName>语法错误</abilityName>
      <candidateList>
        <item>具有足够</item>
      </candidateList>
      <explain/>
      <paraID>6342A801</paraID>
      <start>96</start>
      <end>100</end>
      <status>modified</status>
      <modifiedWord>具有足够</modifiedWord>
      <trackRevisions>false</trackRevisions>
    </reviewItem>
    <reviewItem>
      <errorID>344f3491-8fa0-42f5-b1ec-271d2b195afe</errorID>
      <errorWord>因地制宜</errorWord>
      <group>L1_Political</group>
      <groupName>政治性问题</groupName>
      <ability>L2_Keyword</ability>
      <abilityName>固定表述</abilityName>
      <candidateList>
        <item>。因地制宜</item>
      </candidateList>
      <explain>此处内容疑似含有固定表述相关错误，建议核查。</explain>
      <paraID>6342A801</paraID>
      <start>146</start>
      <end>151</end>
      <status>modified</status>
      <modifiedWord>。因地制宜</modifiedWord>
      <trackRevisions>false</trackRevisions>
    </reviewItem>
    <reviewItem>
      <errorID>ca591fa2-4e25-4cae-a9b8-fee6cfb7697a</errorID>
      <errorWord>使用的要求</errorWord>
      <group>L1_Grammar</group>
      <groupName>语法问题</groupName>
      <ability>L2_Grammar</ability>
      <abilityName>语法错误</abilityName>
      <candidateList>
        <item>使用</item>
      </candidateList>
      <explain/>
      <paraID>78A7772C</paraID>
      <start>7</start>
      <end>9</end>
      <status>modified</status>
      <modifiedWord>使用</modifiedWord>
      <trackRevisions>false</trackRevisions>
    </reviewItem>
    <reviewItem>
      <errorID>dc0ed68d-4b55-422a-b1c0-f7f68b68fb72</errorID>
      <errorWord>项目</errorWord>
      <group>L1_Punc</group>
      <groupName>标点问题</groupName>
      <ability>L2_Punc</ability>
      <abilityName>标点符号检查</abilityName>
      <candidateList>
        <item>，项目</item>
      </candidateList>
      <explain/>
      <paraID>49549CA4</paraID>
      <start>42</start>
      <end>45</end>
      <status>modified</status>
      <modifiedWord>，项目</modifiedWord>
      <trackRevisions>false</trackRevisions>
    </reviewItem>
    <reviewItem>
      <errorID>7eef6685-ef4e-4365-9cf4-6bc9eaa815b2</errorID>
      <errorWord>，</errorWord>
      <group>L1_Grammar</group>
      <groupName>语法问题</groupName>
      <ability>L2_Grammar</ability>
      <abilityName>语法错误</abilityName>
      <candidateList>
        <item>的原则，</item>
      </candidateList>
      <explain/>
      <paraID>16C8D00B</paraID>
      <start>22</start>
      <end>26</end>
      <status>modified</status>
      <modifiedWord>的原则，</modifiedWord>
      <trackRevisions>false</trackRevisions>
    </reviewItem>
    <reviewItem>
      <errorID>c07a3219-7310-45df-a640-a87267c0ada5</errorID>
      <errorWord>，</errorWord>
      <group>L1_Punc</group>
      <groupName>标点问题</groupName>
      <ability>L2_Punc</ability>
      <abilityName>标点符号检查</abilityName>
      <candidateList>
        <item>。</item>
      </candidateList>
      <explain/>
      <paraID>16C8D00B</paraID>
      <start>32</start>
      <end>33</end>
      <status>modified</status>
      <modifiedWord>。</modifiedWord>
      <trackRevisions>false</trackRevisions>
    </reviewItem>
    <reviewItem>
      <errorID>ab0fbfb3-3a24-4e1a-9c27-5f6cd821faa4</errorID>
      <errorWord>用水</errorWord>
      <group>L1_Word</group>
      <groupName>字词问题</groupName>
      <ability>L2_Typo</ability>
      <abilityName>字词错误</abilityName>
      <candidateList>
        <item>相关</item>
      </candidateList>
      <explain/>
      <paraID>16C8D00B</paraID>
      <start>76</start>
      <end>78</end>
      <status>modified</status>
      <modifiedWord>相关</modifiedWord>
      <trackRevisions>false</trackRevisions>
    </reviewItem>
    <reviewItem>
      <errorID>0a289420-6cee-4f29-93ca-9753998c0f5e</errorID>
      <errorWord>回转窑执行根据</errorWord>
      <group>L1_Grammar</group>
      <groupName>语法问题</groupName>
      <ability>L2_Grammar</ability>
      <abilityName>语法错误</abilityName>
      <candidateList>
        <item>回转窑</item>
      </candidateList>
      <explain/>
      <paraID>64A28140</paraID>
      <start>15</start>
      <end>18</end>
      <status>modified</status>
      <modifiedWord>回转窑</modifiedWord>
      <trackRevisions>false</trackRevisions>
    </reviewItem>
    <reviewItem>
      <errorID>732c0052-6152-4043-a143-a1c1911046ee</errorID>
      <errorWord>（</errorWord>
      <group>L1_Punc</group>
      <groupName>标点问题</groupName>
      <ability>L2_Punc</ability>
      <abilityName>标点符号检查</abilityName>
      <candidateList/>
      <explain>此处标点可能未正确匹配，请检查句子中是否存在标点冗余、缺失或使用错误的情况。</explain>
      <paraID> 7764592</paraID>
      <start>15</start>
      <end>16</end>
      <status>ignored</status>
      <modifiedWord/>
      <trackRevisions>false</trackRevisions>
    </reviewItem>
    <reviewItem>
      <errorID>638ac1a4-c5c7-46c5-bbd1-c4bdfa5de247</errorID>
      <errorWord>）</errorWord>
      <group>L1_Punc</group>
      <groupName>标点问题</groupName>
      <ability>L2_Punc</ability>
      <abilityName>标点符号检查</abilityName>
      <candidateList>
        <item/>
      </candidateList>
      <explain/>
      <paraID> E37C498</paraID>
      <start>26</start>
      <end>26</end>
      <status>modified</status>
      <modifiedWord/>
      <trackRevisions>false</trackRevisions>
    </reviewItem>
    <reviewItem>
      <errorID>0284c217-fff2-4f08-b7eb-80aed3a79717</errorID>
      <errorWord>胶粘剂</errorWord>
      <group>L1_Word</group>
      <groupName>字词问题</groupName>
      <ability>L2_Typo</ability>
      <abilityName>字词错误</abilityName>
      <candidateList>
        <item>胶黏剂</item>
      </candidateList>
      <explain/>
      <paraID> E37C498</paraID>
      <start>254</start>
      <end>257</end>
      <status>modified</status>
      <modifiedWord>胶黏剂</modifiedWord>
      <trackRevisions>false</trackRevisions>
    </reviewItem>
    <reviewItem>
      <errorID>ed4258d6-c36d-4872-9a0c-a7161571d694</errorID>
      <errorWord>全封闭</errorWord>
      <group>L1_Grammar</group>
      <groupName>语法问题</groupName>
      <ability>L2_Grammar</ability>
      <abilityName>语法错误</abilityName>
      <candidateList>
        <item>建设全封闭</item>
      </candidateList>
      <explain/>
      <paraID> E37C498</paraID>
      <start>364</start>
      <end>369</end>
      <status>modified</status>
      <modifiedWord>建设全封闭</modifiedWord>
      <trackRevisions>false</trackRevisions>
    </reviewItem>
    <reviewItem>
      <errorID>958f5dda-b999-4a53-af02-806ba638a40e</errorID>
      <errorWord>要求目标</errorWord>
      <group>L1_Grammar</group>
      <groupName>语法问题</groupName>
      <ability>L2_Grammar</ability>
      <abilityName>语法错误</abilityName>
      <candidateList>
        <item>要求</item>
      </candidateList>
      <explain/>
      <paraID>52EF6A06</paraID>
      <start>25</start>
      <end>27</end>
      <status>modified</status>
      <modifiedWord>要求</modifiedWord>
      <trackRevisions>false</trackRevisions>
    </reviewItem>
    <reviewItem>
      <errorID>3a8f3a76-94b8-41c4-8af4-2cad0ccbafba</errorID>
      <errorWord>9+N+X</errorWord>
      <group>L1_Other</group>
      <groupName>其他问题</groupName>
      <ability>L2_Consistency</ability>
      <abilityName>一致性检查</abilityName>
      <candidateList>
        <item>1+N+X</item>
      </candidateList>
      <explain>术语一致性：‘9+N+X’与前文提到的‘1+N+X’不一致，应统一为‘1+N+X’</explain>
      <paraID>28F7D961</paraID>
      <start>35</start>
      <end>40</end>
      <status>ignored</status>
      <modifiedWord/>
      <trackRevisions>false</trackRevisions>
    </reviewItem>
    <reviewItem>
      <errorID>cbf0da8f-3871-46b8-94e4-71bafc66a551</errorID>
      <errorWord>城市规划</errorWord>
      <group>L1_Grammar</group>
      <groupName>语法问题</groupName>
      <ability>L2_Grammar</ability>
      <abilityName>语法错误</abilityName>
      <candidateList>
        <item>的项目，确保城市规划</item>
      </candidateList>
      <explain/>
      <paraID>263C02A3</paraID>
      <start>25</start>
      <end>29</end>
      <status>ignored</status>
      <modifiedWord/>
      <trackRevisions>false</trackRevisions>
    </reviewItem>
    <reviewItem>
      <errorID>56e23a3c-b5cc-42ac-9a27-96989ce28b5f</errorID>
      <errorWord>项目为</errorWord>
      <group>L1_Word</group>
      <groupName>字词问题</groupName>
      <ability>L2_Typo</ability>
      <abilityName>字词错误</abilityName>
      <candidateList>
        <item>项目</item>
      </candidateList>
      <explain>〈名〉事物分成的门类：服务～｜体育～｜建设～。</explain>
      <paraID>79EDFDF7</paraID>
      <start>3</start>
      <end>5</end>
      <status>modified</status>
      <modifiedWord>项目</modifiedWord>
      <trackRevisions>false</trackRevisions>
    </reviewItem>
    <reviewItem>
      <errorID>97f7270a-6efd-4e5d-97ed-63b1ddd08ff0</errorID>
      <errorWord>回转窑执行</errorWord>
      <group>L1_Grammar</group>
      <groupName>语法问题</groupName>
      <ability>L2_Grammar</ability>
      <abilityName>语法错误</abilityName>
      <candidateList>
        <item>回转窑</item>
      </candidateList>
      <explain/>
      <paraID>2D194252</paraID>
      <start>15</start>
      <end>18</end>
      <status>modified</status>
      <modifiedWord>回转窑</modifiedWord>
      <trackRevisions>false</trackRevisions>
    </reviewItem>
    <reviewItem>
      <errorID>7fd08c27-80b3-4b39-9b82-7ada873d115f</errorID>
      <errorWord>，</errorWord>
      <group>L1_Word</group>
      <groupName>字词问题</groupName>
      <ability>L2_Typo</ability>
      <abilityName>字词错误</abilityName>
      <candidateList>
        <item>的</item>
      </candidateList>
      <explain/>
      <paraID>47A6E4A4</paraID>
      <start>24</start>
      <end>25</end>
      <status>modified</status>
      <modifiedWord>的</modifiedWord>
      <trackRevisions>false</trackRevisions>
    </reviewItem>
    <reviewItem>
      <errorID>377dbbbb-944a-4ad2-81c4-e15a21026471</errorID>
      <errorWord>，</errorWord>
      <group>L1_Punc</group>
      <groupName>标点问题</groupName>
      <ability>L2_Punc</ability>
      <abilityName>标点符号检查</abilityName>
      <candidateList>
        <item>。</item>
      </candidateList>
      <explain/>
      <paraID> 6D018E7</paraID>
      <start>7</start>
      <end>8</end>
      <status>modified</status>
      <modifiedWord>。</modifiedWord>
      <trackRevisions>false</trackRevisions>
    </reviewItem>
    <reviewItem>
      <errorID>29e28a3c-2778-49fb-8a42-2c961fa33da7</errorID>
      <errorWord>还有</errorWord>
      <group>L1_Word</group>
      <groupName>字词问题</groupName>
      <ability>L2_Typo</ability>
      <abilityName>字词错误</abilityName>
      <candidateList>
        <item>范围</item>
      </candidateList>
      <explain/>
      <paraID>21C3837F</paraID>
      <start>10</start>
      <end>12</end>
      <status>modified</status>
      <modifiedWord>范围</modifiedWord>
      <trackRevisions>false</trackRevisions>
    </reviewItem>
    <reviewItem>
      <errorID>59b850c8-cc59-4d82-9713-19fce6bfc188</errorID>
      <errorWord>生活废</errorWord>
      <group>L1_Word</group>
      <groupName>字词问题</groupName>
      <ability>L2_Typo</ability>
      <abilityName>字词错误</abilityName>
      <candidateList>
        <item>生活</item>
      </candidateList>
      <explain/>
      <paraID>3BB4C54D</paraID>
      <start>58</start>
      <end>60</end>
      <status>modified</status>
      <modifiedWord>生活</modifiedWord>
      <trackRevisions>false</trackRevisions>
    </reviewItem>
    <reviewItem>
      <errorID>4fd74299-606c-4365-b5e9-06cc5b80cb52</errorID>
      <errorWord>；</errorWord>
      <group>L1_Punc</group>
      <groupName>标点问题</groupName>
      <ability>L2_Punc</ability>
      <abilityName>标点符号检查</abilityName>
      <candidateList>
        <item>。</item>
      </candidateList>
      <explain/>
      <paraID> 9457407</paraID>
      <start>287</start>
      <end>288</end>
      <status>modified</status>
      <modifiedWord>。</modifiedWord>
      <trackRevisions>false</trackRevisions>
    </reviewItem>
    <reviewItem>
      <errorID>bc05d073-0444-41eb-89b1-394e90f53d09</errorID>
      <errorWord>下表</errorWord>
      <group>L1_Grammar</group>
      <groupName>语法问题</groupName>
      <ability>L2_Grammar</ability>
      <abilityName>语法错误</abilityName>
      <candidateList>
        <item>表1-2</item>
      </candidateList>
      <explain/>
      <paraID>77FD2A78</paraID>
      <start>126</start>
      <end>128</end>
      <status>ignored</status>
      <modifiedWord/>
      <trackRevisions>false</trackRevisions>
    </reviewItem>
    <reviewItem>
      <errorID>8563f2e8-8699-459b-9c29-f5a38ffabdcd</errorID>
      <errorWord>本项目本项目</errorWord>
      <group>L1_Word</group>
      <groupName>字词问题</groupName>
      <ability>L2_Typo</ability>
      <abilityName>字词错误</abilityName>
      <candidateList>
        <item>本项目</item>
      </candidateList>
      <explain/>
      <paraID>440E9638</paraID>
      <start>45</start>
      <end>48</end>
      <status>modified</status>
      <modifiedWord>本项目</modifiedWord>
      <trackRevisions>false</trackRevisions>
    </reviewItem>
    <reviewItem>
      <errorID>e819f604-911d-4116-ba16-8a1638816560</errorID>
      <errorWord>有效利用</errorWord>
      <group>L1_Grammar</group>
      <groupName>语法问题</groupName>
      <ability>L2_Grammar</ability>
      <abilityName>语法错误</abilityName>
      <candidateList>
        <item>节约</item>
      </candidateList>
      <explain/>
      <paraID> E6DB710</paraID>
      <start>52</start>
      <end>56</end>
      <status>ignored</status>
      <modifiedWord/>
      <trackRevisions>false</trackRevisions>
    </reviewItem>
    <reviewItem>
      <errorID>a72e4947-5128-4883-9d26-7ac8d5eab7ef</errorID>
      <errorWord>节约</errorWord>
      <group>L1_Word</group>
      <groupName>字词问题</groupName>
      <ability>L2_Typo</ability>
      <abilityName>字词错误</abilityName>
      <candidateList>
        <item>保护</item>
      </candidateList>
      <explain/>
      <paraID> E6DB710</paraID>
      <start>57</start>
      <end>59</end>
      <status>ignored</status>
      <modifiedWord/>
      <trackRevisions>false</trackRevisions>
    </reviewItem>
    <reviewItem>
      <errorID>ded10626-9947-4fd8-990d-f48ec05c828f</errorID>
      <errorWord>保护</errorWord>
      <group>L1_Grammar</group>
      <groupName>语法问题</groupName>
      <ability>L2_Grammar</ability>
      <abilityName>语法错误</abilityName>
      <candidateList>
        <item>有效利用</item>
      </candidateList>
      <explain/>
      <paraID> E6DB710</paraID>
      <start>60</start>
      <end>62</end>
      <status>ignored</status>
      <modifiedWord/>
      <trackRevisions>false</trackRevisions>
    </reviewItem>
    <reviewItem>
      <errorID>b8d3b188-4883-484f-9ed1-90384b89efa5</errorID>
      <errorWord>，</errorWord>
      <group>L1_Grammar</group>
      <groupName>语法问题</groupName>
      <ability>L2_Grammar</ability>
      <abilityName>语法错误</abilityName>
      <candidateList>
        <item>设施，</item>
      </candidateList>
      <explain/>
      <paraID>124FBB73</paraID>
      <start>16</start>
      <end>19</end>
      <status>modified</status>
      <modifiedWord>设施，</modifiedWord>
      <trackRevisions>false</trackRevisions>
    </reviewItem>
    <reviewItem>
      <errorID>f7c84dac-8b69-4887-a10c-dba9e0ae1a98</errorID>
      <errorWord>第三十条</errorWord>
      <group>L1_Word</group>
      <groupName>字词问题</groupName>
      <ability>L2_Typo</ability>
      <abilityName>字词错误</abilityName>
      <candidateList>
        <item>第三十三条</item>
      </candidateList>
      <explain/>
      <paraID>451BF4D5</paraID>
      <start>0</start>
      <end>5</end>
      <status>modified</status>
      <modifiedWord>第三十三条</modifiedWord>
      <trackRevisions>false</trackRevisions>
    </reviewItem>
    <reviewItem>
      <errorID>a0282632-aa11-4c09-8ea0-e15e2ac60cc1</errorID>
      <errorWord>第三十条</errorWord>
      <group>L1_Word</group>
      <groupName>字词问题</groupName>
      <ability>L2_Typo</ability>
      <abilityName>字词错误</abilityName>
      <candidateList>
        <item>第三十四条</item>
      </candidateList>
      <explain/>
      <paraID>2B3D0D9C</paraID>
      <start>0</start>
      <end>5</end>
      <status>modified</status>
      <modifiedWord>第三十四条</modifiedWord>
      <trackRevisions>false</trackRevisions>
    </reviewItem>
    <reviewItem>
      <errorID>a8703d13-be93-4d83-959a-5e36241052e9</errorID>
      <errorWord>本项目本项目</errorWord>
      <group>L1_Word</group>
      <groupName>字词问题</groupName>
      <ability>L2_Typo</ability>
      <abilityName>字词错误</abilityName>
      <candidateList>
        <item>本项目</item>
      </candidateList>
      <explain/>
      <paraID>480E9B76</paraID>
      <start>39</start>
      <end>42</end>
      <status>modified</status>
      <modifiedWord>本项目</modifiedWord>
      <trackRevisions>false</trackRevisions>
    </reviewItem>
    <reviewItem>
      <errorID>5b8afbe4-66d7-4772-b971-ce9e7f4a2079</errorID>
      <errorWord>有限公司购买的产品</errorWord>
      <group>L1_Grammar</group>
      <groupName>语法问题</groupName>
      <ability>L2_Grammar</ability>
      <abilityName>语法错误</abilityName>
      <candidateList>
        <item>有限公司</item>
      </candidateList>
      <explain/>
      <paraID>3BE1613C</paraID>
      <start>16</start>
      <end>20</end>
      <status>modified</status>
      <modifiedWord>有限公司</modifiedWord>
      <trackRevisions>false</trackRevisions>
    </reviewItem>
    <reviewItem>
      <errorID>444de41e-540b-497a-8491-1cdd6c277b61</errorID>
      <errorWord>高岭土</errorWord>
      <group>L1_Punc</group>
      <groupName>标点问题</groupName>
      <ability>L2_Punc</ability>
      <abilityName>标点符号检查</abilityName>
      <candidateList>
        <item>高岭土。</item>
      </candidateList>
      <explain/>
      <paraID>3BE1613C</paraID>
      <start>59</start>
      <end>63</end>
      <status>modified</status>
      <modifiedWord>高岭土。</modifiedWord>
      <trackRevisions>false</trackRevisions>
    </reviewItem>
    <reviewItem>
      <errorID>41d87771-58d9-48ec-b7f8-f75c3bfb8b19</errorID>
      <errorWord>内蒙古自治区环境保护条例</errorWord>
      <group>L1_Knowledge</group>
      <groupName>知识性问题</groupName>
      <ability>L2_Knowledge</ability>
      <abilityName>其他知识</abilityName>
      <candidateList/>
      <explain>该法规已废止，请注意检查引用是否正确。</explain>
      <paraID>71D30173</paraID>
      <start>122</start>
      <end>134</end>
      <status>ignored</status>
      <modifiedWord/>
      <trackRevisions>false</trackRevisions>
    </reviewItem>
    <reviewItem>
      <errorID>e7e14f58-6f4b-465b-8f38-bd42a89959d2</errorID>
      <errorWord>生产工艺分</errorWord>
      <group>L1_Grammar</group>
      <groupName>语法问题</groupName>
      <ability>L2_Grammar</ability>
      <abilityName>语法错误</abilityName>
      <candidateList>
        <item>的生产工艺，分</item>
      </candidateList>
      <explain/>
      <paraID> 401A314</paraID>
      <start>171</start>
      <end>178</end>
      <status>modified</status>
      <modifiedWord>的生产工艺，分</modifiedWord>
      <trackRevisions>false</trackRevisions>
    </reviewItem>
    <reviewItem>
      <errorID>86c5e325-6bd3-4587-9e86-36a0a7b4006f</errorID>
      <errorWord>，</errorWord>
      <group>L1_Punc</group>
      <groupName>标点问题</groupName>
      <ability>L2_Punc</ability>
      <abilityName>标点符号检查</abilityName>
      <candidateList>
        <item>、</item>
      </candidateList>
      <explain/>
      <paraID>37599DA1</paraID>
      <start>216</start>
      <end>217</end>
      <status>modified</status>
      <modifiedWord>、</modifiedWord>
      <trackRevisions>false</trackRevisions>
    </reviewItem>
    <reviewItem>
      <errorID>fd457f79-e182-494a-a2d9-750a2478293f</errorID>
      <errorWord>四级预热器+悬浮炉＋回转窑焙烧＋高温粉体对流式急冷换热装置</errorWord>
      <group>L1_Punc</group>
      <groupName>标点问题</groupName>
      <ability>L2_Punc</ability>
      <abilityName>标点符号检查</abilityName>
      <candidateList>
        <item>“四级预热器+悬浮炉＋回转窑焙烧＋高温粉体对流式急冷换热装置”</item>
      </candidateList>
      <explain/>
      <paraID> 1C3F313</paraID>
      <start>44</start>
      <end>75</end>
      <status>modified</status>
      <modifiedWord>“四级预热器+悬浮炉＋回转窑焙烧＋高温粉体对流式急冷换热装置”</modifiedWord>
      <trackRevisions>false</trackRevisions>
    </reviewItem>
    <reviewItem>
      <errorID>b62931fd-7b5e-451c-a301-9bc1a90b35c3</errorID>
      <errorWord>生产工艺实现</errorWord>
      <group>L1_Grammar</group>
      <groupName>语法问题</groupName>
      <ability>L2_Grammar</ability>
      <abilityName>语法错误</abilityName>
      <candidateList>
        <item>的生产工艺，实现</item>
      </candidateList>
      <explain/>
      <paraID> 1C3F313</paraID>
      <start>92</start>
      <end>100</end>
      <status>modified</status>
      <modifiedWord>的生产工艺，实现</modifiedWord>
      <trackRevisions>false</trackRevisions>
    </reviewItem>
    <reviewItem>
      <errorID>f7efdc93-a0ff-42c5-832e-204eaba96cf9</errorID>
      <errorWord>实现对</errorWord>
      <group>L1_Word</group>
      <groupName>字词问题</groupName>
      <ability>L2_Typo</ability>
      <abilityName>字词错误</abilityName>
      <candidateList>
        <item>实现</item>
      </candidateList>
      <explain/>
      <paraID> 1C3F313</paraID>
      <start>134</start>
      <end>136</end>
      <status>modified</status>
      <modifiedWord>实现</modifiedWord>
      <trackRevisions>false</trackRevisions>
    </reviewItem>
    <reviewItem>
      <errorID>bf667211-9537-44dc-abd3-b9d15e3c358c</errorID>
      <errorWord>，</errorWord>
      <group>L1_Grammar</group>
      <groupName>语法问题</groupName>
      <ability>L2_Grammar</ability>
      <abilityName>语法错误</abilityName>
      <candidateList>
        <item>的发展，</item>
      </candidateList>
      <explain/>
      <paraID> 1C3F313</paraID>
      <start>147</start>
      <end>151</end>
      <status>modified</status>
      <modifiedWord>的发展，</modifiedWord>
      <trackRevisions>false</trackRevisions>
    </reviewItem>
    <reviewItem>
      <errorID>2c37f4ef-42cf-4afa-9e1e-43a66d9f8934</errorID>
      <errorWord>关于</errorWord>
      <group>L1_Punc</group>
      <groupName>标点问题</groupName>
      <ability>L2_Punc</ability>
      <abilityName>标点符号检查</abilityName>
      <candidateList>
        <item>《关于</item>
      </candidateList>
      <explain/>
      <paraID>5DAFD39C</paraID>
      <start>24</start>
      <end>27</end>
      <status>modified</status>
      <modifiedWord>《关于</modifiedWord>
      <trackRevisions>false</trackRevisions>
    </reviewItem>
    <reviewItem>
      <errorID>5d5d6a71-4b12-47fe-be91-3c48e47fc070</errorID>
      <errorWord>《</errorWord>
      <group>L1_Punc</group>
      <groupName>标点问题</groupName>
      <ability>L2_Punc</ability>
      <abilityName>标点符号检查</abilityName>
      <candidateList>
        <item>〈</item>
      </candidateList>
      <explain/>
      <paraID>5DAFD39C</paraID>
      <start>29</start>
      <end>30</end>
      <status>modified</status>
      <modifiedWord>〈</modifiedWord>
      <trackRevisions>false</trackRevisions>
    </reviewItem>
    <reviewItem>
      <errorID>ba0c8150-7967-49ef-b0db-958ac5cc8221</errorID>
      <errorWord>》</errorWord>
      <group>L1_Punc</group>
      <groupName>标点问题</groupName>
      <ability>L2_Punc</ability>
      <abilityName>标点符号检查</abilityName>
      <candidateList>
        <item>〉</item>
      </candidateList>
      <explain/>
      <paraID>5DAFD39C</paraID>
      <start>49</start>
      <end>50</end>
      <status>modified</status>
      <modifiedWord>〉</modifiedWord>
      <trackRevisions>false</trackRevisions>
    </reviewItem>
    <reviewItem>
      <errorID>8a1d354e-828d-452a-a4c2-4744daa0e94e</errorID>
      <errorWord>：</errorWord>
      <group>L1_Punc</group>
      <groupName>标点问题</groupName>
      <ability>L2_Punc</ability>
      <abilityName>标点符号检查</abilityName>
      <candidateList>
        <item>》。</item>
      </candidateList>
      <explain/>
      <paraID>5DAFD39C</paraID>
      <start>53</start>
      <end>55</end>
      <status>modified</status>
      <modifiedWord>》。</modifiedWord>
      <trackRevisions>false</trackRevisions>
    </reviewItem>
    <reviewItem>
      <errorID>b9fb1dc3-31df-4753-9def-b9c8b7bc1930</errorID>
      <errorWord>市、鄂尔多斯市</errorWord>
      <group>L1_Grammar</group>
      <groupName>语法问题</groupName>
      <ability>L2_Grammar</ability>
      <abilityName>语法错误</abilityName>
      <candidateList>
        <item>市</item>
      </candidateList>
      <explain/>
      <paraID>5DAFD39C</paraID>
      <start>97</start>
      <end>98</end>
      <status>modified</status>
      <modifiedWord>市</modifiedWord>
      <trackRevisions>false</trackRevisions>
    </reviewItem>
    <reviewItem>
      <errorID>571a2e7b-f8e8-45c4-a700-798eed382045</errorID>
      <errorWord>处置一定量的</errorWord>
      <group>L1_Grammar</group>
      <groupName>语法问题</groupName>
      <ability>L2_Grammar</ability>
      <abilityName>语法错误</abilityName>
      <candidateList>
        <item>实现</item>
      </candidateList>
      <explain/>
      <paraID>611426AD</paraID>
      <start>8</start>
      <end>10</end>
      <status>modified</status>
      <modifiedWord>实现</modifiedWord>
      <trackRevisions>false</trackRevisions>
    </reviewItem>
    <reviewItem>
      <errorID>7ab31ea0-5b62-42b5-8379-199c74549b88</errorID>
      <errorWord>它</errorWord>
      <group>L1_Word</group>
      <groupName>字词问题</groupName>
      <ability>L2_Typo</ability>
      <abilityName>字词错误</abilityName>
      <candidateList>
        <item>他</item>
      </candidateList>
      <explain/>
      <paraID>4D08A362</paraID>
      <start>93</start>
      <end>94</end>
      <status>modified</status>
      <modifiedWord>他</modifiedWord>
      <trackRevisions>false</trackRevisions>
    </reviewItem>
    <reviewItem>
      <errorID>10ddd7dc-8085-4dcd-8140-0a6b64384e20</errorID>
      <errorWord>）文件</errorWord>
      <group>L1_Grammar</group>
      <groupName>语法问题</groupName>
      <ability>L2_Grammar</ability>
      <abilityName>语法错误</abilityName>
      <candidateList>
        <item>）</item>
      </candidateList>
      <explain/>
      <paraID>4D08A362</paraID>
      <start>185</start>
      <end>186</end>
      <status>modified</status>
      <modifiedWord>）</modifiedWord>
      <trackRevisions>false</trackRevisions>
    </reviewItem>
    <reviewItem>
      <errorID>ee8a7d52-2595-4986-b61f-cca4cfa22b78</errorID>
      <errorWord>包头市、鄂尔多斯市</errorWord>
      <group>L1_Grammar</group>
      <groupName>语法问题</groupName>
      <ability>L2_Grammar</ability>
      <abilityName>语法错误</abilityName>
      <candidateList>
        <item>包头市</item>
      </candidateList>
      <explain/>
      <paraID> 8A98682</paraID>
      <start>237</start>
      <end>240</end>
      <status>modified</status>
      <modifiedWord>包头市</modifiedWord>
      <trackRevisions>false</trackRevisions>
    </reviewItem>
    <reviewItem>
      <errorID>7665bff5-9b00-4b45-a821-c62c76214d51</errorID>
      <errorWord>（</errorWord>
      <group>L1_Punc</group>
      <groupName>标点问题</groupName>
      <ability>L2_Punc</ability>
      <abilityName>标点符号检查</abilityName>
      <candidateList/>
      <explain>此处标点可能未正确匹配，请检查句子中是否存在标点冗余、缺失或使用错误的情况。</explain>
      <paraID>7EEBDA37</paraID>
      <start>36</start>
      <end>37</end>
      <status>ignored</status>
      <modifiedWord/>
      <trackRevisions>false</trackRevisions>
    </reviewItem>
    <reviewItem>
      <errorID>1728c023-8a99-4b90-9b93-04e2f51b00aa</errorID>
      <errorWord>，</errorWord>
      <group>L1_Punc</group>
      <groupName>标点问题</groupName>
      <ability>L2_Punc</ability>
      <abilityName>标点符号检查</abilityName>
      <candidateList>
        <item>；</item>
      </candidateList>
      <explain/>
      <paraID>37BB05E4</paraID>
      <start>19</start>
      <end>20</end>
      <status>modified</status>
      <modifiedWord>；</modifiedWord>
      <trackRevisions>false</trackRevisions>
    </reviewItem>
    <reviewItem>
      <errorID>873bf320-1e31-4528-b880-5f6f090d535e</errorID>
      <errorWord>是</errorWord>
      <group>L1_Word</group>
      <groupName>字词问题</groupName>
      <ability>L2_Typo</ability>
      <abilityName>字词错误</abilityName>
      <candidateList>
        <item>进行</item>
      </candidateList>
      <explain/>
      <paraID>37BB05E4</paraID>
      <start>22</start>
      <end>24</end>
      <status>modified</status>
      <modifiedWord>进行</modifiedWord>
      <trackRevisions>false</trackRevisions>
    </reviewItem>
    <reviewItem>
      <errorID>1a81b341-447d-41a5-92b1-8e206521396c</errorID>
      <errorWord>，</errorWord>
      <group>L1_Punc</group>
      <groupName>标点问题</groupName>
      <ability>L2_Punc</ability>
      <abilityName>标点符号检查</abilityName>
      <candidateList>
        <item>；</item>
      </candidateList>
      <explain/>
      <paraID>37BB05E4</paraID>
      <start>30</start>
      <end>31</end>
      <status>modified</status>
      <modifiedWord>；</modifiedWord>
      <trackRevisions>false</trackRevisions>
    </reviewItem>
    <reviewItem>
      <errorID>00c68fa6-e5f1-469f-888f-e3c824a11fc9</errorID>
      <errorWord>煅烧</errorWord>
      <group>L1_Grammar</group>
      <groupName>语法问题</groupName>
      <ability>L2_Grammar</ability>
      <abilityName>语法错误</abilityName>
      <candidateList>
        <item>进行煅烧</item>
      </candidateList>
      <explain/>
      <paraID>37BB05E4</paraID>
      <start>33</start>
      <end>37</end>
      <status>modified</status>
      <modifiedWord>进行煅烧</modifiedWord>
      <trackRevisions>false</trackRevisions>
    </reviewItem>
    <reviewItem>
      <errorID>63a3c461-4a0e-40c6-a0e9-4648a2d13ead</errorID>
      <errorWord>；</errorWord>
      <group>L1_Punc</group>
      <groupName>标点问题</groupName>
      <ability>L2_Punc</ability>
      <abilityName>标点符号检查</abilityName>
      <candidateList>
        <item>。</item>
      </candidateList>
      <explain/>
      <paraID>3C34F9DF</paraID>
      <start>33</start>
      <end>34</end>
      <status>modified</status>
      <modifiedWord>。</modifiedWord>
      <trackRevisions>false</trackRevisions>
    </reviewItem>
    <reviewItem>
      <errorID>45ff8563-5a88-441b-9e67-0d824297dcfc</errorID>
      <errorWord>，生产后</errorWord>
      <group>L1_Grammar</group>
      <groupName>语法问题</groupName>
      <ability>L2_Grammar</ability>
      <abilityName>语法错误</abilityName>
      <candidateList>
        <item>，</item>
      </candidateList>
      <explain/>
      <paraID>3C34F9DF</paraID>
      <start>50</start>
      <end>51</end>
      <status>modified</status>
      <modifiedWord>，</modifiedWord>
      <trackRevisions>false</trackRevisions>
    </reviewItem>
    <reviewItem>
      <errorID>f5b66dae-e82c-4cc1-9791-841609cc5706</errorID>
      <errorWord>的一台</errorWord>
      <group>L1_Grammar</group>
      <groupName>语法问题</groupName>
      <ability>L2_Grammar</ability>
      <abilityName>语法错误</abilityName>
      <candidateList>
        <item>的</item>
      </candidateList>
      <explain/>
      <paraID>7C06A4FA</paraID>
      <start>34</start>
      <end>35</end>
      <status>modified</status>
      <modifiedWord>的</modifiedWord>
      <trackRevisions>false</trackRevisions>
    </reviewItem>
    <reviewItem>
      <errorID>923e10df-c7d7-46cd-ac58-179a3b4f947e</errorID>
      <errorWord>）包装机</errorWord>
      <group>L1_Grammar</group>
      <groupName>语法问题</groupName>
      <ability>L2_Grammar</ability>
      <abilityName>语法错误</abilityName>
      <candidateList>
        <item>）</item>
      </candidateList>
      <explain/>
      <paraID>7C06A4FA</paraID>
      <start>51</start>
      <end>52</end>
      <status>modified</status>
      <modifiedWord>）</modifiedWord>
      <trackRevisions>false</trackRevisions>
    </reviewItem>
    <reviewItem>
      <errorID>6e89f851-55ca-4245-895d-91ade3a1cadc</errorID>
      <errorWord>1</errorWord>
      <group>L1_Word</group>
      <groupName>字词问题</groupName>
      <ability>L2_Typo</ability>
      <abilityName>字词错误</abilityName>
      <candidateList>
        <item>为1</item>
      </candidateList>
      <explain/>
      <paraID>7C06A4FA</paraID>
      <start>58</start>
      <end>60</end>
      <status>modified</status>
      <modifiedWord>为1</modifiedWord>
      <trackRevisions>false</trackRevisions>
    </reviewItem>
    <reviewItem>
      <errorID>ad19c897-ca78-4c27-b8f3-0c076d5ae531</errorID>
      <errorWord>经</errorWord>
      <group>L1_Word</group>
      <groupName>字词问题</groupName>
      <ability>L2_Typo</ability>
      <abilityName>字词错误</abilityName>
      <candidateList>
        <item>的</item>
      </candidateList>
      <explain/>
      <paraID>31459650</paraID>
      <start>69</start>
      <end>70</end>
      <status>modified</status>
      <modifiedWord>的</modifiedWord>
      <trackRevisions>false</trackRevisions>
    </reviewItem>
    <reviewItem>
      <errorID>9a6d0764-489a-4f97-bb60-1752a6d1e24b</errorID>
      <errorWord>生活污水1座</errorWord>
      <group>L1_Word</group>
      <groupName>字词问题</groupName>
      <ability>L2_Typo</ability>
      <abilityName>字词错误</abilityName>
      <candidateList>
        <item>1座生活污水</item>
      </candidateList>
      <explain/>
      <paraID> BED107E</paraID>
      <start>5</start>
      <end>11</end>
      <status>modified</status>
      <modifiedWord>1座生活污水</modifiedWord>
      <trackRevisions>false</trackRevisions>
    </reviewItem>
    <reviewItem>
      <errorID>fa9806bf-cf86-47c6-906b-18e2bc57db83</errorID>
      <errorWord>收集</errorWord>
      <group>L1_Punc</group>
      <groupName>标点问题</groupName>
      <ability>L2_Punc</ability>
      <abilityName>标点符号检查</abilityName>
      <candidateList>
        <item>，收集</item>
      </candidateList>
      <explain/>
      <paraID> BED107E</paraID>
      <start>16</start>
      <end>19</end>
      <status>modified</status>
      <modifiedWord>，收集</modifiedWord>
      <trackRevisions>false</trackRevisions>
    </reviewItem>
    <reviewItem>
      <errorID>27ac2b4f-1fa3-41a9-a840-3c2cbc2e4d12</errorID>
      <errorWord>(</errorWord>
      <group>L1_Format</group>
      <groupName>格式问题</groupName>
      <ability>L2_HalfPunc</ability>
      <abilityName>全半角检查</abilityName>
      <candidateList>
        <item>（</item>
      </candidateList>
      <explain>文本全半角错误。</explain>
      <paraID>3C275E06</paraID>
      <start>103</start>
      <end>104</end>
      <status>modified</status>
      <modifiedWord>（</modifiedWord>
      <trackRevisions>false</trackRevisions>
    </reviewItem>
    <reviewItem>
      <errorID>284f08a9-29d9-4af0-add7-4ca36ba4fd23</errorID>
      <errorWord>)</errorWord>
      <group>L1_Format</group>
      <groupName>格式问题</groupName>
      <ability>L2_HalfPunc</ability>
      <abilityName>全半角检查</abilityName>
      <candidateList>
        <item>）</item>
      </candidateList>
      <explain>文本全半角错误。</explain>
      <paraID>3C275E06</paraID>
      <start>119</start>
      <end>120</end>
      <status>modified</status>
      <modifiedWord>）</modifiedWord>
      <trackRevisions>false</trackRevisions>
    </reviewItem>
    <reviewItem>
      <errorID>50c0f15f-c87d-4ab5-8b1b-1e1060e523cb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3E16536C</paraID>
      <start>241</start>
      <end>242</end>
      <status>modified</status>
      <modifiedWord>—</modifiedWord>
      <trackRevisions>false</trackRevisions>
    </reviewItem>
    <reviewItem>
      <errorID>b48e5838-e43b-4ce7-925e-966a6d8e414f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3E16536C</paraID>
      <start>280</start>
      <end>281</end>
      <status>modified</status>
      <modifiedWord>—</modifiedWord>
      <trackRevisions>false</trackRevisions>
    </reviewItem>
    <reviewItem>
      <errorID>997336b5-493c-48e6-a02e-fc649df3b763</errorID>
      <errorWord>&gt;</errorWord>
      <group>L1_Punc</group>
      <groupName>标点问题</groupName>
      <ability>L2_Punc</ability>
      <abilityName>标点符号检查</abilityName>
      <candidateList/>
      <explain/>
      <paraID>5E69F704</paraID>
      <start>0</start>
      <end>1</end>
      <status>ignored</status>
      <modifiedWord/>
      <trackRevisions>false</trackRevisions>
    </reviewItem>
    <reviewItem>
      <errorID>21c8c088-e505-4928-ba83-22494feaf3ea</errorID>
      <errorWord>，</errorWord>
      <group>L1_Format</group>
      <groupName>格式问题</groupName>
      <ability>L2_HalfPunc</ability>
      <abilityName>全半角检查</abilityName>
      <candidateList>
        <item>,</item>
      </candidateList>
      <explain>文本全半角错误。</explain>
      <paraID>7F5D5FAC</paraID>
      <start>2</start>
      <end>3</end>
      <status>modified</status>
      <modifiedWord>,</modifiedWord>
      <trackRevisions>false</trackRevisions>
    </reviewItem>
    <reviewItem>
      <errorID>5702e541-a50e-47c7-8bc8-5b298108bf5c</errorID>
      <errorWord>）</errorWord>
      <group>L1_Punc</group>
      <groupName>标点问题</groupName>
      <ability>L2_Punc</ability>
      <abilityName>标点符号检查</abilityName>
      <candidateList/>
      <explain>此处标点可能未正确匹配，请检查句子中是否存在标点冗余、缺失或使用错误的情况。</explain>
      <paraID>672EB599</paraID>
      <start>127</start>
      <end>127</end>
      <status>modified</status>
      <modifiedWord/>
      <trackRevisions>false</trackRevisions>
    </reviewItem>
    <reviewItem>
      <errorID>37ed3772-4bc1-4841-b760-6a5781bd70f1</errorID>
      <errorWord>）</errorWord>
      <group>L1_Punc</group>
      <groupName>标点问题</groupName>
      <ability>L2_Punc</ability>
      <abilityName>标点符号检查</abilityName>
      <candidateList/>
      <explain>此处标点可能未正确匹配，请检查句子中是否存在标点冗余、缺失或使用错误的情况。</explain>
      <paraID>672EB599</paraID>
      <start>189</start>
      <end>189</end>
      <status>modified</status>
      <modifiedWord/>
      <trackRevisions>false</trackRevisions>
    </reviewItem>
    <reviewItem>
      <errorID>f94b6dd4-2a9d-465a-b282-6b50fe9fb675</errorID>
      <errorWord>）</errorWord>
      <group>L1_Punc</group>
      <groupName>标点问题</groupName>
      <ability>L2_Punc</ability>
      <abilityName>标点符号检查</abilityName>
      <candidateList/>
      <explain>此处标点可能未正确匹配，请检查句子中是否存在标点冗余、缺失或使用错误的情况。</explain>
      <paraID>672EB599</paraID>
      <start>189</start>
      <end>189</end>
      <status>modified</status>
      <modifiedWord/>
      <trackRevisions>false</trackRevisions>
    </reviewItem>
    <reviewItem>
      <errorID>4e772d93-1955-4918-8c27-ca688b53a3ec</errorID>
      <errorWord>，</errorWord>
      <group>L1_Format</group>
      <groupName>格式问题</groupName>
      <ability>L2_HalfPunc</ability>
      <abilityName>全半角检查</abilityName>
      <candidateList>
        <item>, </item>
      </candidateList>
      <explain>文本全半角错误。</explain>
      <paraID>7088FFE6</paraID>
      <start>3</start>
      <end>4</end>
      <status>ignored</status>
      <modifiedWord/>
      <trackRevisions>false</trackRevisions>
    </reviewItem>
    <reviewItem>
      <errorID>1d0061c5-23f9-4270-a9ce-2c6dd833fd60</errorID>
      <errorWord>，</errorWord>
      <group>L1_Format</group>
      <groupName>格式问题</groupName>
      <ability>L2_HalfPunc</ability>
      <abilityName>全半角检查</abilityName>
      <candidateList>
        <item>,</item>
      </candidateList>
      <explain>文本全半角错误。</explain>
      <paraID>53D64457</paraID>
      <start>11</start>
      <end>12</end>
      <status>modified</status>
      <modifiedWord>,</modifiedWord>
      <trackRevisions>false</trackRevisions>
    </reviewItem>
    <reviewItem>
      <errorID>a78c403c-d3ec-496e-8bf3-d10c3c664f6c</errorID>
      <errorWord>给于</errorWord>
      <group>L1_Word</group>
      <groupName>字词问题</groupName>
      <ability>L2_Typo</ability>
      <abilityName>字词错误</abilityName>
      <candidateList>
        <item>给予</item>
      </candidateList>
      <explain>〈书〉〈动〉给（ɡěi）：～帮助｜～同情｜～亲切的关怀。也作给与。</explain>
      <paraID>2B23D5FE</paraID>
      <start>104</start>
      <end>106</end>
      <status>modified</status>
      <modifiedWord>给予</modifiedWord>
      <trackRevisions>false</trackRevisions>
    </reviewItem>
    <reviewItem>
      <errorID>60f65e84-f7aa-4d00-a4fe-6a777033f482</errorID>
      <errorWord>）</errorWord>
      <group>L1_Punc</group>
      <groupName>标点问题</groupName>
      <ability>L2_Punc</ability>
      <abilityName>标点符号检查</abilityName>
      <candidateList/>
      <explain>此处标点可能未正确匹配，请检查句子中是否存在标点冗余、缺失或使用错误的情况。</explain>
      <paraID>30115BBB</paraID>
      <start>283</start>
      <end>283</end>
      <status>modified</status>
      <modifiedWord/>
      <trackRevisions>false</trackRevisions>
    </reviewItem>
    <reviewItem>
      <errorID>fc2812e6-a3fd-44f1-b648-ab58c9d43b9f</errorID>
      <errorWord>于</errorWord>
      <group>L1_Word</group>
      <groupName>字词问题</groupName>
      <ability>L2_Typo</ability>
      <abilityName>字词错误</abilityName>
      <candidateList>
        <item>与</item>
      </candidateList>
      <explain>存在发音相同字词的误用。</explain>
      <paraID>30115BBB</paraID>
      <start>494</start>
      <end>495</end>
      <status>modified</status>
      <modifiedWord>与</modifiedWord>
      <trackRevisions>false</trackRevisions>
    </reviewItem>
    <reviewItem>
      <errorID>35a46e95-ecd1-414e-aab8-c7cd731d744b</errorID>
      <errorWord>污水厂</errorWord>
      <group>L1_Word</group>
      <groupName>字词问题</groupName>
      <ability>L2_Typo</ability>
      <abilityName>字词错误</abilityName>
      <candidateList>
        <item>污水处理厂</item>
      </candidateList>
      <explain/>
      <paraID> 6161007</paraID>
      <start>25</start>
      <end>30</end>
      <status>modified</status>
      <modifiedWord>污水处理厂</modifiedWord>
      <trackRevisions>false</trackRevisions>
    </reviewItem>
    <reviewItem>
      <errorID>b54318a8-d44d-45ee-b308-55279511605c</errorID>
      <errorWord>如</errorWord>
      <group>L1_Word</group>
      <groupName>字词问题</groupName>
      <ability>L2_Typo</ability>
      <abilityName>字词错误</abilityName>
      <candidateList>
        <item>如下</item>
      </candidateList>
      <explain>〈动〉如同下面所叙述或列举的：列举～｜现将应注意的事情说明～。</explain>
      <paraID> 6161007</paraID>
      <start>34</start>
      <end>36</end>
      <status>modified</status>
      <modifiedWord>如下</modifiedWord>
      <trackRevisions>false</trackRevisions>
    </reviewItem>
    <reviewItem>
      <errorID>19618aa2-bc79-461e-99dd-2dfe8aea94e5</errorID>
      <errorWord>污水厂</errorWord>
      <group>L1_Word</group>
      <groupName>字词问题</groupName>
      <ability>L2_Typo</ability>
      <abilityName>字词错误</abilityName>
      <candidateList>
        <item>污水处理厂</item>
      </candidateList>
      <explain/>
      <paraID> 95119D3</paraID>
      <start>13</start>
      <end>18</end>
      <status>modified</status>
      <modifiedWord>污水处理厂</modifiedWord>
      <trackRevisions>false</trackRevisions>
    </reviewItem>
    <reviewItem>
      <errorID>81f2487a-4f3a-481c-950f-65b24ea57723</errorID>
      <errorWord>(</errorWord>
      <group>L1_Format</group>
      <groupName>格式问题</groupName>
      <ability>L2_HalfPunc</ability>
      <abilityName>全半角检查</abilityName>
      <candidateList>
        <item>（</item>
      </candidateList>
      <explain>文本全半角错误。</explain>
      <paraID>339BC2BB</paraID>
      <start>5</start>
      <end>6</end>
      <status>modified</status>
      <modifiedWord>（</modifiedWord>
      <trackRevisions>false</trackRevisions>
    </reviewItem>
    <reviewItem>
      <errorID>d51bcbdb-d26f-45ea-b59c-d211f7ec0ca4</errorID>
      <errorWord>)</errorWord>
      <group>L1_Format</group>
      <groupName>格式问题</groupName>
      <ability>L2_HalfPunc</ability>
      <abilityName>全半角检查</abilityName>
      <candidateList>
        <item>）</item>
      </candidateList>
      <explain>文本全半角错误。</explain>
      <paraID>339BC2BB</paraID>
      <start>9</start>
      <end>10</end>
      <status>modified</status>
      <modifiedWord>）</modifiedWord>
      <trackRevisions>false</trackRevisions>
    </reviewItem>
    <reviewItem>
      <errorID>46a3f544-98b8-4771-a82f-d20be2aa4fda</errorID>
      <errorWord>)</errorWord>
      <group>L1_Format</group>
      <groupName>格式问题</groupName>
      <ability>L2_HalfPunc</ability>
      <abilityName>全半角检查</abilityName>
      <candidateList>
        <item>）</item>
      </candidateList>
      <explain>文本全半角错误。</explain>
      <paraID>3AFB9FC5</paraID>
      <start>8</start>
      <end>9</end>
      <status>modified</status>
      <modifiedWord>）</modifiedWord>
      <trackRevisions>false</trackRevisions>
    </reviewItem>
    <reviewItem>
      <errorID>c7351bae-e17b-450d-ade4-94a8fc343ae4</errorID>
      <errorWord>＜</errorWord>
      <group>L1_Format</group>
      <groupName>格式问题</groupName>
      <ability>L2_HalfPunc</ability>
      <abilityName>全半角检查</abilityName>
      <candidateList>
        <item>&lt;</item>
      </candidateList>
      <explain>文本全半角错误。</explain>
      <paraID>55578F7E</paraID>
      <start>0</start>
      <end>1</end>
      <status>modified</status>
      <modifiedWord>&lt;</modifiedWord>
      <trackRevisions>false</trackRevisions>
    </reviewItem>
    <reviewItem>
      <errorID>d2563bb2-3055-4e39-90af-7c4d77b0801d</errorID>
      <errorWord>排除</errorWord>
      <group>L1_Word</group>
      <groupName>字词问题</groupName>
      <ability>L2_Typo</ability>
      <abilityName>字词错误</abilityName>
      <candidateList>
        <item>排出</item>
      </candidateList>
      <explain/>
      <paraID>14ACF029</paraID>
      <start>92</start>
      <end>94</end>
      <status>modified</status>
      <modifiedWord>排出</modifiedWord>
      <trackRevisions>false</trackRevisions>
    </reviewItem>
    <reviewItem>
      <errorID>df0767d1-683c-4482-8988-51e70c2a903d</errorID>
      <errorWord>；和</errorWord>
      <group>L1_Word</group>
      <groupName>字词问题</groupName>
      <ability>L2_Typo</ability>
      <abilityName>字词错误</abilityName>
      <candidateList>
        <item>；</item>
      </candidateList>
      <explain/>
      <paraID>17CEB371</paraID>
      <start>51</start>
      <end>52</end>
      <status>modified</status>
      <modifiedWord>；</modifiedWord>
      <trackRevisions>false</trackRevisions>
    </reviewItem>
    <reviewItem>
      <errorID>364edaee-9254-4275-9798-9479e3c70b95</errorID>
      <errorWord>热风炉燃烧器采热风炉燃烧器采</errorWord>
      <group>L1_Word</group>
      <groupName>字词问题</groupName>
      <ability>L2_Typo</ability>
      <abilityName>字词错误</abilityName>
      <candidateList>
        <item>热风炉燃烧器采</item>
      </candidateList>
      <explain/>
      <paraID>5CF17A83</paraID>
      <start>64</start>
      <end>71</end>
      <status>modified</status>
      <modifiedWord>热风炉燃烧器采</modifiedWord>
      <trackRevisions>false</trackRevisions>
    </reviewItem>
    <reviewItem>
      <errorID>37fc0be6-68ea-4218-8930-edc721ae13eb</errorID>
      <errorWord>（</errorWord>
      <group>L1_Punc</group>
      <groupName>标点问题</groupName>
      <ability>L2_Punc</ability>
      <abilityName>标点符号检查</abilityName>
      <candidateList/>
      <explain>同一形式括号套用。</explain>
      <paraID>33AF618E</paraID>
      <start>21</start>
      <end>22</end>
      <status>ignored</status>
      <modifiedWord/>
      <trackRevisions>false</trackRevisions>
    </reviewItem>
    <reviewItem>
      <errorID>711226ab-b131-4bf9-b501-e645939b63de</errorID>
      <errorWord>）</errorWord>
      <group>L1_Punc</group>
      <groupName>标点问题</groupName>
      <ability>L2_Punc</ability>
      <abilityName>标点符号检查</abilityName>
      <candidateList/>
      <explain>同一形式括号套用。</explain>
      <paraID>33AF618E</paraID>
      <start>25</start>
      <end>25</end>
      <status>modified</status>
      <modifiedWord/>
      <trackRevisions>false</trackRevisions>
    </reviewItem>
    <reviewItem>
      <errorID>a0977938-5018-41ba-ae02-655efe40f300</errorID>
      <errorWord>，</errorWord>
      <group>L1_Format</group>
      <groupName>格式问题</groupName>
      <ability>L2_HalfPunc</ability>
      <abilityName>全半角检查</abilityName>
      <candidateList>
        <item>, </item>
      </candidateList>
      <explain>文本全半角错误。</explain>
      <paraID> 2A858F9</paraID>
      <start>14</start>
      <end>16</end>
      <status>modified</status>
      <modifiedWord>, </modifiedWord>
      <trackRevisions>false</trackRevisions>
    </reviewItem>
    <reviewItem>
      <errorID>c38d495e-173b-4a43-b54c-7dac417658aa</errorID>
      <errorWord>，。</errorWord>
      <group>L1_Punc</group>
      <groupName>标点问题</groupName>
      <ability>L2_Punc</ability>
      <abilityName>标点符号检查</abilityName>
      <candidateList>
        <item>，</item>
      </candidateList>
      <explain/>
      <paraID>146051F1</paraID>
      <start>124</start>
      <end>125</end>
      <status>modified</status>
      <modifiedWord>，</modifiedWord>
      <trackRevisions>false</trackRevisions>
    </reviewItem>
    <reviewItem>
      <errorID>35a3b16a-4944-4a73-b8d0-8ef53c12d21f</errorID>
      <errorWord>(</errorWord>
      <group>L1_Format</group>
      <groupName>格式问题</groupName>
      <ability>L2_HalfPunc</ability>
      <abilityName>全半角检查</abilityName>
      <candidateList>
        <item>（</item>
      </candidateList>
      <explain>文本全半角错误。</explain>
      <paraID>4E294D62</paraID>
      <start>5</start>
      <end>6</end>
      <status>modified</status>
      <modifiedWord>（</modifiedWord>
      <trackRevisions>false</trackRevisions>
    </reviewItem>
    <reviewItem>
      <errorID>7da0a484-dc2a-4604-a702-c3a9ebb36199</errorID>
      <errorWord>)</errorWord>
      <group>L1_Format</group>
      <groupName>格式问题</groupName>
      <ability>L2_HalfPunc</ability>
      <abilityName>全半角检查</abilityName>
      <candidateList>
        <item>）</item>
      </candidateList>
      <explain>文本全半角错误。</explain>
      <paraID>4E294D62</paraID>
      <start>9</start>
      <end>10</end>
      <status>modified</status>
      <modifiedWord>）</modifiedWord>
      <trackRevisions>false</trackRevisions>
    </reviewItem>
    <reviewItem>
      <errorID>95c49fcd-6c51-4c4f-bd44-fc545c4427db</errorID>
      <errorWord>)</errorWord>
      <group>L1_Format</group>
      <groupName>格式问题</groupName>
      <ability>L2_HalfPunc</ability>
      <abilityName>全半角检查</abilityName>
      <candidateList>
        <item>）</item>
      </candidateList>
      <explain>文本全半角错误。</explain>
      <paraID>78EF9FA1</paraID>
      <start>8</start>
      <end>9</end>
      <status>modified</status>
      <modifiedWord>）</modifiedWord>
      <trackRevisions>false</trackRevisions>
    </reviewItem>
    <reviewItem>
      <errorID>5ff0fa39-038e-4745-9c44-9ec33f5c36c1</errorID>
      <errorWord>＜</errorWord>
      <group>L1_Format</group>
      <groupName>格式问题</groupName>
      <ability>L2_HalfPunc</ability>
      <abilityName>全半角检查</abilityName>
      <candidateList>
        <item>&lt;</item>
      </candidateList>
      <explain>文本全半角错误。</explain>
      <paraID>7331A6CD</paraID>
      <start>0</start>
      <end>1</end>
      <status>modified</status>
      <modifiedWord>&lt;</modifiedWord>
      <trackRevisions>false</trackRevisions>
    </reviewItem>
    <reviewItem>
      <errorID>72932209-5511-4cc5-8a38-7932166d345d</errorID>
      <errorWord>（</errorWord>
      <group>L1_Punc</group>
      <groupName>标点问题</groupName>
      <ability>L2_Punc</ability>
      <abilityName>标点符号检查</abilityName>
      <candidateList/>
      <explain>同一形式括号套用。</explain>
      <paraID>19023124</paraID>
      <start>140</start>
      <end>141</end>
      <status>ignored</status>
      <modifiedWord/>
      <trackRevisions>false</trackRevisions>
    </reviewItem>
    <reviewItem>
      <errorID>0871ea28-6db3-4445-b98e-472e3bee37b5</errorID>
      <errorWord>）</errorWord>
      <group>L1_Punc</group>
      <groupName>标点问题</groupName>
      <ability>L2_Punc</ability>
      <abilityName>标点符号检查</abilityName>
      <candidateList/>
      <explain>同一形式括号套用。</explain>
      <paraID>19023124</paraID>
      <start>157</start>
      <end>157</end>
      <status>modified</status>
      <modifiedWord/>
      <trackRevisions>false</trackRevisions>
    </reviewItem>
    <reviewItem>
      <errorID>20023759-b7d1-4cb2-9ef3-a19621108851</errorID>
      <errorWord>（</errorWord>
      <group>L1_Punc</group>
      <groupName>标点问题</groupName>
      <ability>L2_Punc</ability>
      <abilityName>标点符号检查</abilityName>
      <candidateList/>
      <explain>同一形式括号套用。</explain>
      <paraID>19023124</paraID>
      <start>168</start>
      <end>169</end>
      <status>ignored</status>
      <modifiedWord/>
      <trackRevisions>false</trackRevisions>
    </reviewItem>
    <reviewItem>
      <errorID>e1d800ad-d8d4-4ee7-a420-bdd9b4339c03</errorID>
      <errorWord>）</errorWord>
      <group>L1_Punc</group>
      <groupName>标点问题</groupName>
      <ability>L2_Punc</ability>
      <abilityName>标点符号检查</abilityName>
      <candidateList/>
      <explain>同一形式括号套用。</explain>
      <paraID>19023124</paraID>
      <start>184</start>
      <end>184</end>
      <status>modified</status>
      <modifiedWord/>
      <trackRevisions>false</trackRevisions>
    </reviewItem>
    <reviewItem>
      <errorID>4d3405c0-07e6-43e7-b9d3-16e88de0abb1</errorID>
      <errorWord>（</errorWord>
      <group>L1_Punc</group>
      <groupName>标点问题</groupName>
      <ability>L2_Punc</ability>
      <abilityName>标点符号检查</abilityName>
      <candidateList/>
      <explain>同一形式括号套用。</explain>
      <paraID>19023124</paraID>
      <start>210</start>
      <end>211</end>
      <status>ignored</status>
      <modifiedWord/>
      <trackRevisions>false</trackRevisions>
    </reviewItem>
    <reviewItem>
      <errorID>af737ded-e8eb-4f44-94d0-6949ee609ba7</errorID>
      <errorWord>（</errorWord>
      <group>L1_Punc</group>
      <groupName>标点问题</groupName>
      <ability>L2_Punc</ability>
      <abilityName>标点符号检查</abilityName>
      <candidateList/>
      <explain>同一形式括号套用。</explain>
      <paraID>19023124</paraID>
      <start>214</start>
      <end>215</end>
      <status>ignored</status>
      <modifiedWord/>
      <trackRevisions>false</trackRevisions>
    </reviewItem>
    <reviewItem>
      <errorID>a6d1c16e-2835-4abe-854d-3f3b790f728e</errorID>
      <errorWord>）</errorWord>
      <group>L1_Punc</group>
      <groupName>标点问题</groupName>
      <ability>L2_Punc</ability>
      <abilityName>标点符号检查</abilityName>
      <candidateList/>
      <explain>同一形式括号套用。</explain>
      <paraID>19023124</paraID>
      <start>216</start>
      <end>216</end>
      <status>modified</status>
      <modifiedWord/>
      <trackRevisions>false</trackRevisions>
    </reviewItem>
    <reviewItem>
      <errorID>feddedab-45da-4d19-9876-339b16dc3fe1</errorID>
      <errorWord>（</errorWord>
      <group>L1_Format</group>
      <groupName>格式问题</groupName>
      <ability>L2_HalfPunc</ability>
      <abilityName>全半角检查</abilityName>
      <candidateList>
        <item>(</item>
      </candidateList>
      <explain>文本全半角错误。</explain>
      <paraID>1AB7014F</paraID>
      <start>0</start>
      <end>1</end>
      <status>modified</status>
      <modifiedWord>(</modifiedWord>
      <trackRevisions>false</trackRevisions>
    </reviewItem>
    <reviewItem>
      <errorID>d82241ac-0790-4cb6-85aa-e693f8ac1796</errorID>
      <errorWord>）</errorWord>
      <group>L1_Format</group>
      <groupName>格式问题</groupName>
      <ability>L2_HalfPunc</ability>
      <abilityName>全半角检查</abilityName>
      <candidateList>
        <item>)</item>
      </candidateList>
      <explain>文本全半角错误。</explain>
      <paraID>1AB7014F</paraID>
      <start>2</start>
      <end>3</end>
      <status>modified</status>
      <modifiedWord>)</modifiedWord>
      <trackRevisions>false</trackRevisions>
    </reviewItem>
    <reviewItem>
      <errorID>a3107eeb-b704-46bd-afd3-9ea43e3ee3aa</errorID>
      <errorWord>(</errorWord>
      <group>L1_Format</group>
      <groupName>格式问题</groupName>
      <ability>L2_HalfPunc</ability>
      <abilityName>全半角检查</abilityName>
      <candidateList>
        <item>（</item>
      </candidateList>
      <explain>文本全半角错误。</explain>
      <paraID>1A0EADCC</paraID>
      <start>5</start>
      <end>6</end>
      <status>modified</status>
      <modifiedWord>（</modifiedWord>
      <trackRevisions>false</trackRevisions>
    </reviewItem>
    <reviewItem>
      <errorID>4722322c-4ac8-47a6-924e-ed3eeb70e8d5</errorID>
      <errorWord>)</errorWord>
      <group>L1_Format</group>
      <groupName>格式问题</groupName>
      <ability>L2_HalfPunc</ability>
      <abilityName>全半角检查</abilityName>
      <candidateList>
        <item>）</item>
      </candidateList>
      <explain>文本全半角错误。</explain>
      <paraID>1A0EADCC</paraID>
      <start>7</start>
      <end>8</end>
      <status>modified</status>
      <modifiedWord>）</modifiedWord>
      <trackRevisions>false</trackRevisions>
    </reviewItem>
    <reviewItem>
      <errorID>f087cdbd-5ae5-4522-8e2e-4a564d57d84a</errorID>
      <errorWord>（</errorWord>
      <group>L1_Format</group>
      <groupName>格式问题</groupName>
      <ability>L2_HalfPunc</ability>
      <abilityName>全半角检查</abilityName>
      <candidateList>
        <item>(</item>
      </candidateList>
      <explain>文本全半角错误。</explain>
      <paraID>71A670B1</paraID>
      <start>0</start>
      <end>1</end>
      <status>modified</status>
      <modifiedWord>(</modifiedWord>
      <trackRevisions>false</trackRevisions>
    </reviewItem>
    <reviewItem>
      <errorID>987483e3-d6f6-4d74-a4f3-ebb89ebc3f27</errorID>
      <errorWord>）</errorWord>
      <group>L1_Format</group>
      <groupName>格式问题</groupName>
      <ability>L2_HalfPunc</ability>
      <abilityName>全半角检查</abilityName>
      <candidateList>
        <item>)</item>
      </candidateList>
      <explain>文本全半角错误。</explain>
      <paraID>71A670B1</paraID>
      <start>2</start>
      <end>3</end>
      <status>modified</status>
      <modifiedWord>)</modifiedWord>
      <trackRevisions>false</trackRevisions>
    </reviewItem>
    <reviewItem>
      <errorID>54deaa0b-122a-47b1-b85e-65ae15cce5a1</errorID>
      <errorWord>(</errorWord>
      <group>L1_Format</group>
      <groupName>格式问题</groupName>
      <ability>L2_HalfPunc</ability>
      <abilityName>全半角检查</abilityName>
      <candidateList>
        <item>（</item>
      </candidateList>
      <explain>文本全半角错误。</explain>
      <paraID>4B3CEDD0</paraID>
      <start>66</start>
      <end>67</end>
      <status>modified</status>
      <modifiedWord>（</modifiedWord>
      <trackRevisions>false</trackRevisions>
    </reviewItem>
    <reviewItem>
      <errorID>96d839a9-04de-445f-b7a3-6b896d9591e3</errorID>
      <errorWord>)</errorWord>
      <group>L1_Format</group>
      <groupName>格式问题</groupName>
      <ability>L2_HalfPunc</ability>
      <abilityName>全半角检查</abilityName>
      <candidateList>
        <item>）</item>
      </candidateList>
      <explain>文本全半角错误。</explain>
      <paraID>4B3CEDD0</paraID>
      <start>69</start>
      <end>70</end>
      <status>modified</status>
      <modifiedWord>）</modifiedWord>
      <trackRevisions>false</trackRevisions>
    </reviewItem>
    <reviewItem>
      <errorID>f038c049-b993-4d6b-8264-d9700ab2dd7b</errorID>
      <errorWord>(</errorWord>
      <group>L1_Format</group>
      <groupName>格式问题</groupName>
      <ability>L2_HalfPunc</ability>
      <abilityName>全半角检查</abilityName>
      <candidateList>
        <item>（</item>
      </candidateList>
      <explain>文本全半角错误。</explain>
      <paraID> 19184E3</paraID>
      <start>66</start>
      <end>67</end>
      <status>modified</status>
      <modifiedWord>（</modifiedWord>
      <trackRevisions>false</trackRevisions>
    </reviewItem>
    <reviewItem>
      <errorID>1027c9b8-1848-4ad2-b46f-52d8a353d51e</errorID>
      <errorWord>)</errorWord>
      <group>L1_Format</group>
      <groupName>格式问题</groupName>
      <ability>L2_HalfPunc</ability>
      <abilityName>全半角检查</abilityName>
      <candidateList>
        <item>）</item>
      </candidateList>
      <explain>文本全半角错误。</explain>
      <paraID> 19184E3</paraID>
      <start>69</start>
      <end>70</end>
      <status>modified</status>
      <modifiedWord>）</modifiedWord>
      <trackRevisions>false</trackRevisions>
    </reviewItem>
    <reviewItem>
      <errorID>2c7b4dd5-e4e8-40ac-a0d4-c583e42a64bc</errorID>
      <errorWord>-</errorWord>
      <group>L1_Format</group>
      <groupName>格式问题</groupName>
      <ability>L2_HalfPunc</ability>
      <abilityName>全半角检查</abilityName>
      <candidateList>
        <item>－</item>
      </candidateList>
      <explain>文本全半角错误。</explain>
      <paraID> 19184E3</paraID>
      <start>86</start>
      <end>87</end>
      <status>modified</status>
      <modifiedWord>－</modifiedWord>
      <trackRevisions>false</trackRevisions>
    </reviewItem>
    <reviewItem>
      <errorID>f7d33a8a-bd7d-4e1e-a31e-ca2c656530dc</errorID>
      <errorWord>-</errorWord>
      <group>L1_Format</group>
      <groupName>格式问题</groupName>
      <ability>L2_HalfPunc</ability>
      <abilityName>全半角检查</abilityName>
      <candidateList>
        <item>－</item>
      </candidateList>
      <explain>文本全半角错误。</explain>
      <paraID>21ACC062</paraID>
      <start>12</start>
      <end>13</end>
      <status>modified</status>
      <modifiedWord>－</modifiedWord>
      <trackRevisions>false</trackRevisions>
    </reviewItem>
    <reviewItem>
      <errorID>40eec9b5-9cb0-48f5-bfdb-e736592c0728</errorID>
      <errorWord>(</errorWord>
      <group>L1_Format</group>
      <groupName>格式问题</groupName>
      <ability>L2_HalfPunc</ability>
      <abilityName>全半角检查</abilityName>
      <candidateList>
        <item>（</item>
      </candidateList>
      <explain>文本全半角错误。</explain>
      <paraID>194F6921</paraID>
      <start>76</start>
      <end>77</end>
      <status>modified</status>
      <modifiedWord>（</modifiedWord>
      <trackRevisions>false</trackRevisions>
    </reviewItem>
    <reviewItem>
      <errorID>0ee91790-2a8b-4950-9f4d-4720e7acf0cc</errorID>
      <errorWord>)</errorWord>
      <group>L1_Format</group>
      <groupName>格式问题</groupName>
      <ability>L2_HalfPunc</ability>
      <abilityName>全半角检查</abilityName>
      <candidateList>
        <item>）</item>
      </candidateList>
      <explain>文本全半角错误。</explain>
      <paraID>194F6921</paraID>
      <start>84</start>
      <end>85</end>
      <status>modified</status>
      <modifiedWord>）</modifiedWord>
      <trackRevisions>false</trackRevisions>
    </reviewItem>
    <reviewItem>
      <errorID>c2d4fd26-8e62-46ee-804a-e1954fccff58</errorID>
      <errorWord>40%~60%</errorWord>
      <group>L1_Knowledge</group>
      <groupName>知识性问题</groupName>
      <ability>L2_Knowledge</ability>
      <abilityName>其他知识</abilityName>
      <candidateList>
        <item>40%～60%</item>
      </candidateList>
      <explain>1. “40%~60%”中的单位“%”仅出现在后一个数字上，容易引起歧义；根据《现代汉语标点符号数字用法规范手册》，数字表示范围两边需要使用统一的格式。2. 根据标点国标 4.13 中的规则，数字、时间或地域连接符应使用（视觉上更长的）“—”或“～”。</explain>
      <paraID> B1DECA2</paraID>
      <start>40</start>
      <end>47</end>
      <status>modified</status>
      <modifiedWord>40%～60%</modifiedWord>
      <trackRevisions>false</trackRevisions>
    </reviewItem>
    <reviewItem>
      <errorID>eeab51fe-acc5-48c0-8788-3c135f459651</errorID>
      <errorWord>(</errorWord>
      <group>L1_Format</group>
      <groupName>格式问题</groupName>
      <ability>L2_HalfPunc</ability>
      <abilityName>全半角检查</abilityName>
      <candidateList>
        <item>（</item>
      </candidateList>
      <explain>文本全半角错误。</explain>
      <paraID> 3118B7C</paraID>
      <start>2</start>
      <end>3</end>
      <status>modified</status>
      <modifiedWord>（</modifiedWord>
      <trackRevisions>false</trackRevisions>
    </reviewItem>
    <reviewItem>
      <errorID>c3415042-f177-469f-b124-b04639759e82</errorID>
      <errorWord>)</errorWord>
      <group>L1_Format</group>
      <groupName>格式问题</groupName>
      <ability>L2_HalfPunc</ability>
      <abilityName>全半角检查</abilityName>
      <candidateList>
        <item>）</item>
      </candidateList>
      <explain>文本全半角错误。</explain>
      <paraID> 3118B7C</paraID>
      <start>4</start>
      <end>5</end>
      <status>modified</status>
      <modifiedWord>）</modifiedWord>
      <trackRevisions>false</trackRevisions>
    </reviewItem>
    <reviewItem>
      <errorID>5e5c56bf-e7dc-4b4b-9b72-bad6b063fcf1</errorID>
      <errorWord>（</errorWord>
      <group>L1_Format</group>
      <groupName>格式问题</groupName>
      <ability>L2_HalfPunc</ability>
      <abilityName>全半角检查</abilityName>
      <candidateList>
        <item>(</item>
      </candidateList>
      <explain>文本全半角错误。</explain>
      <paraID>1CC598D1</paraID>
      <start>0</start>
      <end>1</end>
      <status>modified</status>
      <modifiedWord>(</modifiedWord>
      <trackRevisions>false</trackRevisions>
    </reviewItem>
    <reviewItem>
      <errorID>d7a4d213-c180-4950-9f72-4e29691c70c5</errorID>
      <errorWord>）</errorWord>
      <group>L1_Format</group>
      <groupName>格式问题</groupName>
      <ability>L2_HalfPunc</ability>
      <abilityName>全半角检查</abilityName>
      <candidateList>
        <item>)</item>
      </candidateList>
      <explain>文本全半角错误。</explain>
      <paraID>1CC598D1</paraID>
      <start>2</start>
      <end>3</end>
      <status>modified</status>
      <modifiedWord>)</modifiedWord>
      <trackRevisions>false</trackRevisions>
    </reviewItem>
    <reviewItem>
      <errorID>b30a2fb7-4d52-449d-9986-1b69618813d7</errorID>
      <errorWord>(</errorWord>
      <group>L1_Format</group>
      <groupName>格式问题</groupName>
      <ability>L2_HalfPunc</ability>
      <abilityName>全半角检查</abilityName>
      <candidateList>
        <item>（</item>
      </candidateList>
      <explain>文本全半角错误。</explain>
      <paraID>1E30F080</paraID>
      <start>3</start>
      <end>4</end>
      <status>modified</status>
      <modifiedWord>（</modifiedWord>
      <trackRevisions>false</trackRevisions>
    </reviewItem>
    <reviewItem>
      <errorID>99943026-39b7-4fba-8c51-1f32321559b7</errorID>
      <errorWord>)</errorWord>
      <group>L1_Format</group>
      <groupName>格式问题</groupName>
      <ability>L2_HalfPunc</ability>
      <abilityName>全半角检查</abilityName>
      <candidateList>
        <item>）</item>
      </candidateList>
      <explain>文本全半角错误。</explain>
      <paraID>1E30F080</paraID>
      <start>7</start>
      <end>8</end>
      <status>modified</status>
      <modifiedWord>）</modifiedWord>
      <trackRevisions>false</trackRevisions>
    </reviewItem>
    <reviewItem>
      <errorID>e009c259-32b5-47df-ac8d-a86bbe340f93</errorID>
      <errorWord>原料原料</errorWord>
      <group>L1_Word</group>
      <groupName>字词问题</groupName>
      <ability>L2_Typo</ability>
      <abilityName>字词错误</abilityName>
      <candidateList>
        <item>原料</item>
      </candidateList>
      <explain/>
      <paraID>4AAA5532</paraID>
      <start>15</start>
      <end>17</end>
      <status>modified</status>
      <modifiedWord>原料</modifiedWord>
      <trackRevisions>false</trackRevisions>
    </reviewItem>
    <reviewItem>
      <errorID>2b391b43-f4d0-415e-82de-bdf7b8d32428</errorID>
      <errorWord>18%~19%</errorWord>
      <group>L1_Knowledge</group>
      <groupName>知识性问题</groupName>
      <ability>L2_Knowledge</ability>
      <abilityName>其他知识</abilityName>
      <candidateList>
        <item>18%～19%</item>
      </candidateList>
      <explain>1. “18%~19%”中的单位“%”仅出现在后一个数字上，容易引起歧义；根据《现代汉语标点符号数字用法规范手册》，数字表示范围两边需要使用统一的格式。2. 根据标点国标 4.13 中的规则，数字、时间或地域连接符应使用（视觉上更长的）“—”或“～”。</explain>
      <paraID>479D1A03</paraID>
      <start>64</start>
      <end>71</end>
      <status>modified</status>
      <modifiedWord>18%～19%</modifiedWord>
      <trackRevisions>false</trackRevisions>
    </reviewItem>
    <reviewItem>
      <errorID>05c62171-9071-468d-aa19-084172a507aa</errorID>
      <errorWord>30%~40%</errorWord>
      <group>L1_Knowledge</group>
      <groupName>知识性问题</groupName>
      <ability>L2_Knowledge</ability>
      <abilityName>其他知识</abilityName>
      <candidateList>
        <item>30%～40%</item>
      </candidateList>
      <explain>1. “30%~40%”中的单位“%”仅出现在后一个数字上，容易引起歧义；根据《现代汉语标点符号数字用法规范手册》，数字表示范围两边需要使用统一的格式。2. 根据标点国标 4.13 中的规则，数字、时间或地域连接符应使用（视觉上更长的）“—”或“～”。</explain>
      <paraID>479D1A03</paraID>
      <start>88</start>
      <end>95</end>
      <status>modified</status>
      <modifiedWord>30%～40%</modifiedWord>
      <trackRevisions>false</trackRevisions>
    </reviewItem>
    <reviewItem>
      <errorID>c9e17ac2-b13e-43f2-b47e-bd7a40c1134f</errorID>
      <errorWord>、</errorWord>
      <group>L1_Punc</group>
      <groupName>标点问题</groupName>
      <ability>L2_Punc</ability>
      <abilityName>标点符号检查</abilityName>
      <candidateList>
        <item>.</item>
      </candidateList>
      <explain/>
      <paraID>4C5C88EF</paraID>
      <start>1</start>
      <end>2</end>
      <status>modified</status>
      <modifiedWord>.</modifiedWord>
      <trackRevisions>false</trackRevisions>
    </reviewItem>
    <reviewItem>
      <errorID>15a4a84f-2d42-48e5-afdf-3862800d5d47</errorID>
      <errorWord>40%~60%</errorWord>
      <group>L1_Knowledge</group>
      <groupName>知识性问题</groupName>
      <ability>L2_Knowledge</ability>
      <abilityName>其他知识</abilityName>
      <candidateList>
        <item>40%～60%</item>
      </candidateList>
      <explain>1. “40%~60%”中的单位“%”仅出现在后一个数字上，容易引起歧义；根据《现代汉语标点符号数字用法规范手册》，数字表示范围两边需要使用统一的格式。2. 根据标点国标 4.13 中的规则，数字、时间或地域连接符应使用（视觉上更长的）“—”或“～”。</explain>
      <paraID>5858FE8E</paraID>
      <start>274</start>
      <end>281</end>
      <status>modified</status>
      <modifiedWord>40%～60%</modifiedWord>
      <trackRevisions>false</trackRevisions>
    </reviewItem>
    <reviewItem>
      <errorID>eda12f51-ede6-4123-a66b-f878d1cc7b77</errorID>
      <errorWord>运</errorWord>
      <group>L1_Word</group>
      <groupName>字词问题</groupName>
      <ability>L2_Typo</ability>
      <abilityName>字词错误</abilityName>
      <candidateList>
        <item>运到</item>
      </candidateList>
      <explain/>
      <paraID> 23BFA5C</paraID>
      <start>80</start>
      <end>82</end>
      <status>modified</status>
      <modifiedWord>运到</modifiedWord>
      <trackRevisions>false</trackRevisions>
    </reviewItem>
    <reviewItem>
      <errorID>ee6dcd5f-a5b7-465e-9321-eb6b5b9388de</errorID>
      <errorWord>(</errorWord>
      <group>L1_Format</group>
      <groupName>格式问题</groupName>
      <ability>L2_HalfPunc</ability>
      <abilityName>全半角检查</abilityName>
      <candidateList>
        <item>（</item>
      </candidateList>
      <explain>文本全半角错误。</explain>
      <paraID>46561681</paraID>
      <start>70</start>
      <end>71</end>
      <status>modified</status>
      <modifiedWord>（</modifiedWord>
      <trackRevisions>false</trackRevisions>
    </reviewItem>
    <reviewItem>
      <errorID>b1319c80-4393-4766-b910-797013c3e814</errorID>
      <errorWord>)</errorWord>
      <group>L1_Format</group>
      <groupName>格式问题</groupName>
      <ability>L2_HalfPunc</ability>
      <abilityName>全半角检查</abilityName>
      <candidateList>
        <item>）</item>
      </candidateList>
      <explain>文本全半角错误。</explain>
      <paraID>46561681</paraID>
      <start>83</start>
      <end>84</end>
      <status>modified</status>
      <modifiedWord>）</modifiedWord>
      <trackRevisions>false</trackRevisions>
    </reviewItem>
    <reviewItem>
      <errorID>170230d4-dda0-4431-b136-78c88ecceb71</errorID>
      <errorWord>（</errorWord>
      <group>L1_Format</group>
      <groupName>格式问题</groupName>
      <ability>L2_HalfPunc</ability>
      <abilityName>全半角检查</abilityName>
      <candidateList>
        <item>(</item>
      </candidateList>
      <explain>文本全半角错误。</explain>
      <paraID>4D7F3FF4</paraID>
      <start>0</start>
      <end>1</end>
      <status>modified</status>
      <modifiedWord>(</modifiedWord>
      <trackRevisions>false</trackRevisions>
    </reviewItem>
    <reviewItem>
      <errorID>a9ebfa4c-780b-4dc9-8de7-906f4f7afb4b</errorID>
      <errorWord>）</errorWord>
      <group>L1_Format</group>
      <groupName>格式问题</groupName>
      <ability>L2_HalfPunc</ability>
      <abilityName>全半角检查</abilityName>
      <candidateList>
        <item>)</item>
      </candidateList>
      <explain>文本全半角错误。</explain>
      <paraID>4D7F3FF4</paraID>
      <start>3</start>
      <end>4</end>
      <status>modified</status>
      <modifiedWord>)</modifiedWord>
      <trackRevisions>false</trackRevisions>
    </reviewItem>
    <reviewItem>
      <errorID>4fcc5bab-62f6-49c9-aa2d-f06c9e3e67a1</errorID>
      <errorWord>卫生部</errorWord>
      <group>L1_Knowledge</group>
      <groupName>知识性问题</groupName>
      <ability>L2_Organization</ability>
      <abilityName>机构检查</abilityName>
      <candidateList/>
      <explain>2013年3月，根据《国务院关于提请审议国务院机构改革和职能转变方案》的议案，组建国家卫生和计划生育委员会，不再保留卫生部。2018年3月，中共中央印发了《深化党和国家机构改革方案》，组建国家卫生健康委员会，不再保留国家卫生和计划生育委员会。</explain>
      <paraID>5D00243F</paraID>
      <start>49</start>
      <end>52</end>
      <status>ignored</status>
      <modifiedWord/>
      <trackRevisions>false</trackRevisions>
    </reviewItem>
    <reviewItem>
      <errorID>05b2d853-1804-47f7-8234-dcf82ea27b59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6B9DA7D</paraID>
      <start>155</start>
      <end>156</end>
      <status>modified</status>
      <modifiedWord>—</modifiedWord>
      <trackRevisions>false</trackRevisions>
    </reviewItem>
    <reviewItem>
      <errorID>907b1aaa-159c-4305-af37-f274dd774214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6B9DA7D</paraID>
      <start>194</start>
      <end>195</end>
      <status>modified</status>
      <modifiedWord>—</modifiedWord>
      <trackRevisions>false</trackRevisions>
    </reviewItem>
    <reviewItem>
      <errorID>a2e37a59-2c9e-476b-a800-6553cf358d29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64398414</paraID>
      <start>241</start>
      <end>242</end>
      <status>modified</status>
      <modifiedWord>—</modifiedWord>
      <trackRevisions>false</trackRevisions>
    </reviewItem>
    <reviewItem>
      <errorID>f02ccd79-fa14-4227-add6-a8a7967d859a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64398414</paraID>
      <start>280</start>
      <end>281</end>
      <status>modified</status>
      <modifiedWord>—</modifiedWord>
      <trackRevisions>false</trackRevisions>
    </reviewItem>
    <reviewItem>
      <errorID>1584dcdf-a796-46a2-9dda-2ac1a432df5e</errorID>
      <errorWord>（</errorWord>
      <group>L1_Punc</group>
      <groupName>标点问题</groupName>
      <ability>L2_Punc</ability>
      <abilityName>标点符号检查</abilityName>
      <candidateList/>
      <explain>同一形式括号套用。</explain>
      <paraID>5559495B</paraID>
      <start>21</start>
      <end>22</end>
      <status>ignored</status>
      <modifiedWord/>
      <trackRevisions>false</trackRevisions>
    </reviewItem>
    <reviewItem>
      <errorID>57864c11-fcff-4a32-ac59-b4af07a30077</errorID>
      <errorWord>）</errorWord>
      <group>L1_Punc</group>
      <groupName>标点问题</groupName>
      <ability>L2_Punc</ability>
      <abilityName>标点符号检查</abilityName>
      <candidateList/>
      <explain>同一形式括号套用。</explain>
      <paraID>5559495B</paraID>
      <start>25</start>
      <end>25</end>
      <status>modified</status>
      <modifiedWord/>
      <trackRevisions>false</trackRevisions>
    </reviewItem>
    <reviewItem>
      <errorID>c9e7282b-f092-4b4b-9b4a-aafe07da1681</errorID>
      <errorWord>(</errorWord>
      <group>L1_Format</group>
      <groupName>格式问题</groupName>
      <ability>L2_HalfPunc</ability>
      <abilityName>全半角检查</abilityName>
      <candidateList>
        <item>（</item>
      </candidateList>
      <explain>文本全半角错误。</explain>
      <paraID>5559495B</paraID>
      <start>99</start>
      <end>100</end>
      <status>modified</status>
      <modifiedWord>（</modifiedWord>
      <trackRevisions>false</trackRevisions>
    </reviewItem>
    <reviewItem>
      <errorID>86e5d094-cf9b-44e4-b6fa-813c68e01f7d</errorID>
      <errorWord>)</errorWord>
      <group>L1_Format</group>
      <groupName>格式问题</groupName>
      <ability>L2_HalfPunc</ability>
      <abilityName>全半角检查</abilityName>
      <candidateList>
        <item>）</item>
      </candidateList>
      <explain>文本全半角错误。</explain>
      <paraID>5559495B</paraID>
      <start>115</start>
      <end>116</end>
      <status>modified</status>
      <modifiedWord>）</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3e0d18d-9b1a-4984-ae51-132cd186eb04}">
  <ds:schemaRefs/>
</ds:datastoreItem>
</file>

<file path=docProps/app.xml><?xml version="1.0" encoding="utf-8"?>
<Properties xmlns="http://schemas.openxmlformats.org/officeDocument/2006/extended-properties" xmlns:vt="http://schemas.openxmlformats.org/officeDocument/2006/docPropsVTypes">
  <Template>wdzx97</Template>
  <Pages>173</Pages>
  <Words>5172</Words>
  <Characters>6082</Characters>
  <Lines>153</Lines>
  <Paragraphs>43</Paragraphs>
  <TotalTime>4</TotalTime>
  <ScaleCrop>false</ScaleCrop>
  <LinksUpToDate>false</LinksUpToDate>
  <CharactersWithSpaces>6082</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他山之石</cp:lastModifiedBy>
  <cp:lastPrinted>2026-06-05T07:00:00Z</cp:lastPrinted>
  <dcterms:modified xsi:type="dcterms:W3CDTF">2026-06-10T01:24:17Z</dcterms:modified>
  <dc:title>附件2</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E75B7654A0E54437BEEA54193EAD5298_13</vt:lpwstr>
  </property>
  <property fmtid="{D5CDD505-2E9C-101B-9397-08002B2CF9AE}" pid="4" name="KSOTemplateDocerSaveRecord">
    <vt:lpwstr>eyJoZGlkIjoiOGU0YWYzZDI2YTcwZDgxM2I1NzUzNDAyMmE3ZGRiZWQiLCJ1c2VySWQiOiIyMjgyNzEzMTAifQ==</vt:lpwstr>
  </property>
</Properties>
</file>