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81C19">
      <w:pPr>
        <w:ind w:left="6300" w:firstLine="420"/>
        <w:rPr>
          <w:rFonts w:hint="eastAsia" w:ascii="仿宋_GB2312" w:hAnsi="仿宋_GB2312" w:eastAsia="仿宋_GB2312" w:cs="仿宋_GB2312"/>
          <w:sz w:val="36"/>
          <w:szCs w:val="36"/>
        </w:rPr>
      </w:pPr>
    </w:p>
    <w:p w14:paraId="6B0AB7BB">
      <w:pPr>
        <w:rPr>
          <w:rFonts w:hint="eastAsia" w:ascii="仿宋_GB2312" w:hAnsi="仿宋_GB2312" w:eastAsia="仿宋_GB2312" w:cs="仿宋_GB2312"/>
          <w:sz w:val="36"/>
          <w:szCs w:val="36"/>
        </w:rPr>
      </w:pPr>
    </w:p>
    <w:p w14:paraId="15377A2C">
      <w:pPr>
        <w:rPr>
          <w:rFonts w:hint="eastAsia" w:ascii="仿宋_GB2312" w:hAnsi="仿宋_GB2312" w:eastAsia="仿宋_GB2312" w:cs="仿宋_GB2312"/>
          <w:sz w:val="36"/>
          <w:szCs w:val="36"/>
        </w:rPr>
      </w:pPr>
    </w:p>
    <w:p w14:paraId="0C569991">
      <w:pPr>
        <w:rPr>
          <w:rFonts w:hint="eastAsia" w:ascii="仿宋_GB2312" w:hAnsi="仿宋_GB2312" w:eastAsia="仿宋_GB2312" w:cs="仿宋_GB2312"/>
          <w:sz w:val="36"/>
          <w:szCs w:val="36"/>
        </w:rPr>
      </w:pPr>
    </w:p>
    <w:p w14:paraId="714E1043">
      <w:pPr>
        <w:adjustRightInd w:val="0"/>
        <w:snapToGrid w:val="0"/>
        <w:jc w:val="center"/>
        <w:outlineLvl w:val="0"/>
        <w:rPr>
          <w:rFonts w:ascii="方正小标宋_GBK" w:eastAsia="方正小标宋_GBK"/>
          <w:bCs/>
          <w:sz w:val="72"/>
          <w:szCs w:val="72"/>
        </w:rPr>
      </w:pPr>
      <w:bookmarkStart w:id="0" w:name="_Toc11170"/>
      <w:r>
        <w:rPr>
          <w:rFonts w:hint="eastAsia" w:ascii="方正小标宋_GBK" w:eastAsia="方正小标宋_GBK"/>
          <w:bCs/>
          <w:sz w:val="72"/>
          <w:szCs w:val="72"/>
        </w:rPr>
        <w:t>建设项目环境影响报告表</w:t>
      </w:r>
      <w:bookmarkEnd w:id="0"/>
    </w:p>
    <w:p w14:paraId="5AD2CA35">
      <w:pPr>
        <w:adjustRightInd w:val="0"/>
        <w:snapToGrid w:val="0"/>
        <w:spacing w:before="192" w:beforeLines="80"/>
        <w:jc w:val="center"/>
        <w:rPr>
          <w:rFonts w:ascii="楷体_GB2312" w:eastAsia="楷体_GB2312"/>
          <w:bCs/>
          <w:sz w:val="48"/>
          <w:szCs w:val="48"/>
        </w:rPr>
      </w:pPr>
      <w:r>
        <w:rPr>
          <w:rFonts w:hint="eastAsia" w:ascii="楷体_GB2312" w:eastAsia="楷体_GB2312"/>
          <w:bCs/>
          <w:sz w:val="48"/>
          <w:szCs w:val="48"/>
        </w:rPr>
        <w:t>（污染影响类）</w:t>
      </w:r>
    </w:p>
    <w:p w14:paraId="63A4346F">
      <w:pPr>
        <w:adjustRightInd w:val="0"/>
        <w:snapToGrid w:val="0"/>
        <w:spacing w:line="288" w:lineRule="auto"/>
        <w:jc w:val="center"/>
        <w:rPr>
          <w:rFonts w:hint="eastAsia" w:ascii="华文仿宋" w:hAnsi="华文仿宋" w:eastAsia="华文仿宋" w:cs="华文仿宋"/>
          <w:color w:val="000000"/>
          <w:kern w:val="44"/>
          <w:sz w:val="44"/>
          <w:szCs w:val="44"/>
        </w:rPr>
      </w:pPr>
    </w:p>
    <w:p w14:paraId="2D7C76B8">
      <w:pPr>
        <w:jc w:val="center"/>
        <w:rPr>
          <w:rFonts w:eastAsia="仿宋"/>
          <w:sz w:val="52"/>
          <w:szCs w:val="52"/>
        </w:rPr>
      </w:pPr>
    </w:p>
    <w:p w14:paraId="1AE33601">
      <w:pPr>
        <w:ind w:firstLine="1040"/>
        <w:rPr>
          <w:rFonts w:eastAsia="仿宋"/>
          <w:sz w:val="44"/>
          <w:szCs w:val="44"/>
        </w:rPr>
      </w:pPr>
    </w:p>
    <w:p w14:paraId="199B90F1">
      <w:pPr>
        <w:ind w:firstLine="1040"/>
        <w:rPr>
          <w:rFonts w:eastAsia="仿宋"/>
          <w:sz w:val="44"/>
          <w:szCs w:val="44"/>
        </w:rPr>
      </w:pPr>
    </w:p>
    <w:p w14:paraId="00143975">
      <w:pPr>
        <w:ind w:firstLine="1040"/>
        <w:rPr>
          <w:rFonts w:eastAsia="仿宋"/>
          <w:sz w:val="44"/>
          <w:szCs w:val="44"/>
        </w:rPr>
      </w:pPr>
    </w:p>
    <w:p w14:paraId="22ECF10F">
      <w:pPr>
        <w:spacing w:line="360" w:lineRule="auto"/>
        <w:rPr>
          <w:rFonts w:eastAsia="仿宋"/>
          <w:sz w:val="44"/>
          <w:szCs w:val="44"/>
        </w:rPr>
      </w:pPr>
    </w:p>
    <w:p w14:paraId="76E87EB9">
      <w:pPr>
        <w:adjustRightInd w:val="0"/>
        <w:snapToGrid w:val="0"/>
        <w:spacing w:line="360" w:lineRule="auto"/>
        <w:ind w:firstLine="640" w:firstLineChars="200"/>
        <w:jc w:val="left"/>
        <w:rPr>
          <w:rFonts w:ascii="仿宋_GB2312" w:eastAsia="仿宋_GB2312"/>
          <w:sz w:val="32"/>
          <w:szCs w:val="32"/>
          <w:u w:val="single"/>
        </w:rPr>
      </w:pPr>
      <w:r>
        <w:rPr>
          <w:rFonts w:hint="eastAsia" w:ascii="仿宋_GB2312" w:eastAsia="仿宋_GB2312"/>
          <w:sz w:val="32"/>
          <w:szCs w:val="32"/>
        </w:rPr>
        <w:t>项目名称：</w:t>
      </w:r>
      <w:r>
        <w:rPr>
          <w:rFonts w:hint="eastAsia" w:ascii="仿宋_GB2312" w:eastAsia="仿宋_GB2312"/>
          <w:sz w:val="32"/>
          <w:szCs w:val="32"/>
          <w:u w:val="single"/>
        </w:rPr>
        <w:t>鄂托克旗新航焦化有限公司45万吨/年</w:t>
      </w:r>
    </w:p>
    <w:p w14:paraId="5052887A">
      <w:pPr>
        <w:adjustRightInd w:val="0"/>
        <w:snapToGrid w:val="0"/>
        <w:spacing w:line="360" w:lineRule="auto"/>
        <w:ind w:firstLine="2240" w:firstLineChars="700"/>
        <w:jc w:val="left"/>
        <w:rPr>
          <w:rFonts w:ascii="仿宋_GB2312" w:eastAsia="仿宋_GB2312"/>
          <w:sz w:val="32"/>
          <w:szCs w:val="32"/>
          <w:u w:val="single"/>
        </w:rPr>
      </w:pPr>
      <w:r>
        <w:rPr>
          <w:rFonts w:hint="eastAsia" w:ascii="仿宋_GB2312" w:eastAsia="仿宋_GB2312"/>
          <w:sz w:val="32"/>
          <w:szCs w:val="32"/>
          <w:u w:val="single"/>
        </w:rPr>
        <w:t>含碳固废综合利用项目</w:t>
      </w:r>
    </w:p>
    <w:p w14:paraId="094A812C">
      <w:pPr>
        <w:adjustRightInd w:val="0"/>
        <w:snapToGrid w:val="0"/>
        <w:spacing w:line="360" w:lineRule="auto"/>
        <w:ind w:left="2318" w:leftChars="342" w:hanging="1600" w:hangingChars="500"/>
        <w:rPr>
          <w:rFonts w:ascii="仿宋_GB2312" w:eastAsia="仿宋_GB2312"/>
          <w:sz w:val="32"/>
          <w:szCs w:val="32"/>
        </w:rPr>
      </w:pPr>
      <w:r>
        <w:rPr>
          <w:rFonts w:hint="eastAsia" w:ascii="仿宋_GB2312" w:eastAsia="仿宋_GB2312"/>
          <w:sz w:val="32"/>
          <w:szCs w:val="32"/>
        </w:rPr>
        <w:t>建设单位（盖章）：</w:t>
      </w:r>
      <w:r>
        <w:rPr>
          <w:rFonts w:hint="eastAsia" w:ascii="仿宋_GB2312" w:eastAsia="仿宋_GB2312"/>
          <w:sz w:val="32"/>
          <w:szCs w:val="32"/>
          <w:u w:val="single"/>
        </w:rPr>
        <w:t>鄂托克</w:t>
      </w:r>
      <w:r>
        <w:rPr>
          <w:rFonts w:hint="eastAsia" w:ascii="仿宋_GB2312" w:eastAsia="仿宋_GB2312"/>
          <w:sz w:val="32"/>
          <w:szCs w:val="32"/>
          <w:u w:val="single"/>
          <w:lang w:val="en-US" w:eastAsia="zh-CN"/>
        </w:rPr>
        <w:t>旗</w:t>
      </w:r>
      <w:r>
        <w:rPr>
          <w:rFonts w:hint="eastAsia" w:ascii="仿宋_GB2312" w:eastAsia="仿宋_GB2312"/>
          <w:sz w:val="32"/>
          <w:szCs w:val="32"/>
          <w:u w:val="single"/>
        </w:rPr>
        <w:t>新航焦化有限公司</w:t>
      </w:r>
    </w:p>
    <w:p w14:paraId="0A4A2817">
      <w:pPr>
        <w:adjustRightInd w:val="0"/>
        <w:snapToGrid w:val="0"/>
        <w:spacing w:line="360" w:lineRule="auto"/>
        <w:ind w:left="2318" w:leftChars="342" w:hanging="1600" w:hangingChars="500"/>
        <w:rPr>
          <w:rFonts w:ascii="仿宋_GB2312" w:eastAsia="仿宋_GB2312"/>
          <w:sz w:val="32"/>
          <w:szCs w:val="32"/>
        </w:rPr>
      </w:pPr>
      <w:r>
        <w:rPr>
          <w:rFonts w:hint="eastAsia" w:ascii="仿宋_GB2312" w:eastAsia="仿宋_GB2312"/>
          <w:sz w:val="32"/>
          <w:szCs w:val="32"/>
        </w:rPr>
        <w:t>编制</w:t>
      </w:r>
      <w:r>
        <w:rPr>
          <w:rFonts w:eastAsia="仿宋_GB2312"/>
          <w:sz w:val="32"/>
          <w:szCs w:val="32"/>
        </w:rPr>
        <w:t>日期：</w:t>
      </w:r>
      <w:r>
        <w:rPr>
          <w:rFonts w:hint="eastAsia" w:eastAsia="仿宋_GB2312"/>
          <w:sz w:val="32"/>
          <w:szCs w:val="32"/>
          <w:u w:val="single"/>
        </w:rPr>
        <w:t>2026</w:t>
      </w:r>
      <w:r>
        <w:rPr>
          <w:rFonts w:eastAsia="仿宋_GB2312"/>
          <w:sz w:val="32"/>
          <w:szCs w:val="32"/>
          <w:u w:val="single"/>
        </w:rPr>
        <w:t>年</w:t>
      </w:r>
      <w:r>
        <w:rPr>
          <w:rFonts w:hint="eastAsia" w:eastAsia="仿宋_GB2312"/>
          <w:sz w:val="32"/>
          <w:szCs w:val="32"/>
          <w:u w:val="single"/>
          <w:lang w:val="en-US" w:eastAsia="zh-CN"/>
        </w:rPr>
        <w:t>4</w:t>
      </w:r>
      <w:r>
        <w:rPr>
          <w:rFonts w:eastAsia="仿宋_GB2312"/>
          <w:sz w:val="32"/>
          <w:szCs w:val="32"/>
          <w:u w:val="single"/>
        </w:rPr>
        <w:t>月</w:t>
      </w:r>
    </w:p>
    <w:p w14:paraId="59F0A92F">
      <w:pPr>
        <w:adjustRightInd w:val="0"/>
        <w:snapToGrid w:val="0"/>
        <w:spacing w:line="288" w:lineRule="auto"/>
        <w:ind w:firstLine="1040"/>
        <w:rPr>
          <w:rFonts w:ascii="仿宋_GB2312" w:eastAsia="仿宋_GB2312"/>
          <w:sz w:val="36"/>
          <w:szCs w:val="36"/>
          <w:u w:val="single"/>
        </w:rPr>
      </w:pPr>
      <w:bookmarkStart w:id="1" w:name="_Hlk57884087"/>
    </w:p>
    <w:p w14:paraId="00975E13">
      <w:pPr>
        <w:adjustRightInd w:val="0"/>
        <w:snapToGrid w:val="0"/>
        <w:spacing w:line="288" w:lineRule="auto"/>
        <w:ind w:firstLine="1040"/>
        <w:rPr>
          <w:rFonts w:ascii="仿宋_GB2312" w:eastAsia="仿宋_GB2312"/>
          <w:sz w:val="36"/>
          <w:szCs w:val="36"/>
        </w:rPr>
      </w:pPr>
    </w:p>
    <w:p w14:paraId="4A00A4E4">
      <w:pPr>
        <w:adjustRightInd w:val="0"/>
        <w:snapToGrid w:val="0"/>
        <w:spacing w:line="288" w:lineRule="auto"/>
        <w:ind w:firstLine="1040"/>
        <w:rPr>
          <w:rFonts w:ascii="仿宋_GB2312" w:eastAsia="仿宋_GB2312"/>
          <w:sz w:val="36"/>
          <w:szCs w:val="36"/>
        </w:rPr>
      </w:pPr>
    </w:p>
    <w:bookmarkEnd w:id="1"/>
    <w:p w14:paraId="15C29C31">
      <w:pPr>
        <w:adjustRightInd w:val="0"/>
        <w:snapToGrid w:val="0"/>
        <w:spacing w:line="288" w:lineRule="auto"/>
        <w:jc w:val="center"/>
        <w:rPr>
          <w:rFonts w:ascii="楷体_GB2312" w:eastAsia="楷体_GB2312"/>
          <w:sz w:val="36"/>
          <w:szCs w:val="36"/>
        </w:rPr>
      </w:pPr>
      <w:r>
        <w:rPr>
          <w:rFonts w:hint="eastAsia" w:ascii="楷体_GB2312" w:eastAsia="楷体_GB2312"/>
          <w:sz w:val="36"/>
          <w:szCs w:val="36"/>
        </w:rPr>
        <w:t>中华人民共和国生态环境部制</w:t>
      </w:r>
    </w:p>
    <w:p w14:paraId="65EECF2D">
      <w:pPr>
        <w:adjustRightInd w:val="0"/>
        <w:snapToGrid w:val="0"/>
        <w:spacing w:line="288" w:lineRule="auto"/>
        <w:ind w:firstLine="1040"/>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14:paraId="6D411417">
      <w:pPr>
        <w:pStyle w:val="19"/>
        <w:spacing w:before="0" w:beforeAutospacing="0" w:after="0" w:afterAutospacing="0"/>
        <w:jc w:val="center"/>
        <w:outlineLvl w:val="0"/>
        <w:rPr>
          <w:rFonts w:ascii="Times New Roman" w:hAnsi="Times New Roman"/>
          <w:b/>
          <w:bCs/>
          <w:snapToGrid w:val="0"/>
          <w:sz w:val="30"/>
          <w:szCs w:val="30"/>
        </w:rPr>
      </w:pPr>
      <w:bookmarkStart w:id="2" w:name="_Toc8000"/>
      <w:bookmarkStart w:id="3" w:name="_Toc16803"/>
      <w:r>
        <w:rPr>
          <w:rFonts w:ascii="Times New Roman" w:hAnsi="Times New Roman"/>
          <w:b/>
          <w:bCs/>
          <w:snapToGrid w:val="0"/>
          <w:sz w:val="30"/>
          <w:szCs w:val="30"/>
        </w:rPr>
        <w:t>一、建设项目基本情况</w:t>
      </w:r>
    </w:p>
    <w:tbl>
      <w:tblPr>
        <w:tblStyle w:val="22"/>
        <w:tblW w:w="89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731"/>
        <w:gridCol w:w="2377"/>
        <w:gridCol w:w="2212"/>
        <w:gridCol w:w="2639"/>
      </w:tblGrid>
      <w:tr w14:paraId="381F81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1" w:type="dxa"/>
            <w:tcMar>
              <w:top w:w="16" w:type="dxa"/>
              <w:left w:w="16" w:type="dxa"/>
              <w:right w:w="16" w:type="dxa"/>
            </w:tcMar>
            <w:vAlign w:val="center"/>
          </w:tcPr>
          <w:p w14:paraId="376EA8DA">
            <w:pPr>
              <w:adjustRightInd w:val="0"/>
              <w:snapToGrid w:val="0"/>
              <w:jc w:val="center"/>
              <w:rPr>
                <w:sz w:val="24"/>
              </w:rPr>
            </w:pPr>
            <w:r>
              <w:rPr>
                <w:sz w:val="24"/>
              </w:rPr>
              <w:t>建设项目名称</w:t>
            </w:r>
          </w:p>
        </w:tc>
        <w:tc>
          <w:tcPr>
            <w:tcW w:w="7228" w:type="dxa"/>
            <w:gridSpan w:val="3"/>
            <w:vAlign w:val="center"/>
          </w:tcPr>
          <w:p w14:paraId="195B7935">
            <w:pPr>
              <w:adjustRightInd w:val="0"/>
              <w:snapToGrid w:val="0"/>
              <w:jc w:val="center"/>
              <w:rPr>
                <w:sz w:val="24"/>
              </w:rPr>
            </w:pPr>
            <w:r>
              <w:rPr>
                <w:rFonts w:hint="eastAsia"/>
                <w:sz w:val="24"/>
              </w:rPr>
              <w:t>鄂托克旗新航焦化有限公司45万吨/年</w:t>
            </w:r>
            <w:bookmarkStart w:id="4" w:name="OLE_LINK1"/>
            <w:r>
              <w:rPr>
                <w:rFonts w:hint="eastAsia"/>
                <w:sz w:val="24"/>
              </w:rPr>
              <w:t>含碳固废综合利用项目</w:t>
            </w:r>
            <w:bookmarkEnd w:id="4"/>
          </w:p>
        </w:tc>
      </w:tr>
      <w:tr w14:paraId="5D4308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1" w:type="dxa"/>
            <w:tcMar>
              <w:top w:w="16" w:type="dxa"/>
              <w:left w:w="16" w:type="dxa"/>
              <w:right w:w="16" w:type="dxa"/>
            </w:tcMar>
            <w:vAlign w:val="center"/>
          </w:tcPr>
          <w:p w14:paraId="08E7189A">
            <w:pPr>
              <w:adjustRightInd w:val="0"/>
              <w:snapToGrid w:val="0"/>
              <w:jc w:val="center"/>
              <w:rPr>
                <w:sz w:val="24"/>
              </w:rPr>
            </w:pPr>
            <w:r>
              <w:rPr>
                <w:sz w:val="24"/>
              </w:rPr>
              <w:t>项目代码</w:t>
            </w:r>
          </w:p>
        </w:tc>
        <w:tc>
          <w:tcPr>
            <w:tcW w:w="7228" w:type="dxa"/>
            <w:gridSpan w:val="3"/>
            <w:vAlign w:val="center"/>
          </w:tcPr>
          <w:p w14:paraId="57338223">
            <w:pPr>
              <w:adjustRightInd w:val="0"/>
              <w:snapToGrid w:val="0"/>
              <w:jc w:val="center"/>
              <w:rPr>
                <w:sz w:val="24"/>
              </w:rPr>
            </w:pPr>
            <w:r>
              <w:rPr>
                <w:rFonts w:hint="eastAsia"/>
                <w:sz w:val="24"/>
              </w:rPr>
              <w:t>2509-150624-04-01-560092</w:t>
            </w:r>
          </w:p>
        </w:tc>
      </w:tr>
      <w:tr w14:paraId="7B9A2A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1" w:type="dxa"/>
            <w:tcMar>
              <w:top w:w="16" w:type="dxa"/>
              <w:left w:w="16" w:type="dxa"/>
              <w:right w:w="16" w:type="dxa"/>
            </w:tcMar>
            <w:vAlign w:val="center"/>
          </w:tcPr>
          <w:p w14:paraId="0A261733">
            <w:pPr>
              <w:adjustRightInd w:val="0"/>
              <w:snapToGrid w:val="0"/>
              <w:jc w:val="center"/>
              <w:rPr>
                <w:sz w:val="24"/>
              </w:rPr>
            </w:pPr>
            <w:r>
              <w:rPr>
                <w:sz w:val="24"/>
              </w:rPr>
              <w:t>建设单位联系人</w:t>
            </w:r>
          </w:p>
        </w:tc>
        <w:tc>
          <w:tcPr>
            <w:tcW w:w="2377" w:type="dxa"/>
            <w:vAlign w:val="center"/>
          </w:tcPr>
          <w:p w14:paraId="5DEEE34D">
            <w:pPr>
              <w:adjustRightInd w:val="0"/>
              <w:snapToGrid w:val="0"/>
              <w:jc w:val="center"/>
              <w:rPr>
                <w:sz w:val="24"/>
              </w:rPr>
            </w:pPr>
            <w:r>
              <w:rPr>
                <w:rFonts w:hint="eastAsia"/>
                <w:sz w:val="24"/>
              </w:rPr>
              <w:t>段立甲</w:t>
            </w:r>
          </w:p>
        </w:tc>
        <w:tc>
          <w:tcPr>
            <w:tcW w:w="2212" w:type="dxa"/>
            <w:vAlign w:val="center"/>
          </w:tcPr>
          <w:p w14:paraId="7FC71531">
            <w:pPr>
              <w:adjustRightInd w:val="0"/>
              <w:snapToGrid w:val="0"/>
              <w:jc w:val="center"/>
              <w:rPr>
                <w:sz w:val="24"/>
              </w:rPr>
            </w:pPr>
            <w:r>
              <w:rPr>
                <w:sz w:val="24"/>
              </w:rPr>
              <w:t>联系方式</w:t>
            </w:r>
          </w:p>
        </w:tc>
        <w:tc>
          <w:tcPr>
            <w:tcW w:w="2639" w:type="dxa"/>
            <w:vAlign w:val="center"/>
          </w:tcPr>
          <w:p w14:paraId="0E0AF092">
            <w:pPr>
              <w:adjustRightInd w:val="0"/>
              <w:snapToGrid w:val="0"/>
              <w:jc w:val="center"/>
              <w:rPr>
                <w:sz w:val="24"/>
              </w:rPr>
            </w:pPr>
            <w:r>
              <w:rPr>
                <w:rFonts w:hint="eastAsia"/>
                <w:sz w:val="24"/>
              </w:rPr>
              <w:t>15825313099</w:t>
            </w:r>
          </w:p>
        </w:tc>
      </w:tr>
      <w:tr w14:paraId="40DC61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1" w:type="dxa"/>
            <w:tcMar>
              <w:top w:w="16" w:type="dxa"/>
              <w:left w:w="16" w:type="dxa"/>
              <w:right w:w="16" w:type="dxa"/>
            </w:tcMar>
            <w:vAlign w:val="center"/>
          </w:tcPr>
          <w:p w14:paraId="3BA5AE8F">
            <w:pPr>
              <w:adjustRightInd w:val="0"/>
              <w:snapToGrid w:val="0"/>
              <w:jc w:val="center"/>
              <w:rPr>
                <w:sz w:val="24"/>
              </w:rPr>
            </w:pPr>
            <w:r>
              <w:rPr>
                <w:sz w:val="24"/>
              </w:rPr>
              <w:t>建设地点</w:t>
            </w:r>
          </w:p>
        </w:tc>
        <w:tc>
          <w:tcPr>
            <w:tcW w:w="7228" w:type="dxa"/>
            <w:gridSpan w:val="3"/>
            <w:vAlign w:val="center"/>
          </w:tcPr>
          <w:p w14:paraId="371259BD">
            <w:pPr>
              <w:adjustRightInd w:val="0"/>
              <w:snapToGrid w:val="0"/>
              <w:jc w:val="center"/>
              <w:rPr>
                <w:sz w:val="24"/>
              </w:rPr>
            </w:pPr>
            <w:r>
              <w:rPr>
                <w:rFonts w:hint="eastAsia"/>
                <w:sz w:val="24"/>
              </w:rPr>
              <w:t>内蒙古鄂尔多斯市</w:t>
            </w:r>
            <w:r>
              <w:rPr>
                <w:rFonts w:hint="eastAsia"/>
                <w:sz w:val="24"/>
                <w:lang w:val="en-US" w:eastAsia="zh-CN"/>
              </w:rPr>
              <w:t>鄂托克经济开发区棋东项目区</w:t>
            </w:r>
          </w:p>
        </w:tc>
      </w:tr>
      <w:tr w14:paraId="7DBCC7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1" w:type="dxa"/>
            <w:tcMar>
              <w:top w:w="16" w:type="dxa"/>
              <w:left w:w="16" w:type="dxa"/>
              <w:right w:w="16" w:type="dxa"/>
            </w:tcMar>
            <w:vAlign w:val="center"/>
          </w:tcPr>
          <w:p w14:paraId="2168B560">
            <w:pPr>
              <w:adjustRightInd w:val="0"/>
              <w:snapToGrid w:val="0"/>
              <w:jc w:val="center"/>
              <w:rPr>
                <w:sz w:val="24"/>
              </w:rPr>
            </w:pPr>
            <w:r>
              <w:rPr>
                <w:sz w:val="24"/>
              </w:rPr>
              <w:t>地理坐标</w:t>
            </w:r>
          </w:p>
        </w:tc>
        <w:tc>
          <w:tcPr>
            <w:tcW w:w="7228" w:type="dxa"/>
            <w:gridSpan w:val="3"/>
            <w:vAlign w:val="center"/>
          </w:tcPr>
          <w:p w14:paraId="42164A86">
            <w:pPr>
              <w:jc w:val="center"/>
              <w:rPr>
                <w:color w:val="1D41D5"/>
                <w:sz w:val="24"/>
              </w:rPr>
            </w:pPr>
            <w:r>
              <w:rPr>
                <w:sz w:val="24"/>
              </w:rPr>
              <w:t>（</w:t>
            </w:r>
            <w:r>
              <w:rPr>
                <w:sz w:val="24"/>
                <w:u w:val="single"/>
              </w:rPr>
              <w:t xml:space="preserve"> 1</w:t>
            </w:r>
            <w:r>
              <w:rPr>
                <w:rFonts w:hint="eastAsia"/>
                <w:sz w:val="24"/>
                <w:u w:val="single"/>
              </w:rPr>
              <w:t>0</w:t>
            </w:r>
            <w:r>
              <w:rPr>
                <w:sz w:val="24"/>
                <w:u w:val="single"/>
              </w:rPr>
              <w:t xml:space="preserve">7 </w:t>
            </w:r>
            <w:r>
              <w:rPr>
                <w:sz w:val="24"/>
              </w:rPr>
              <w:t>度</w:t>
            </w:r>
            <w:r>
              <w:rPr>
                <w:sz w:val="24"/>
                <w:u w:val="single"/>
              </w:rPr>
              <w:t xml:space="preserve"> </w:t>
            </w:r>
            <w:r>
              <w:rPr>
                <w:rFonts w:hint="eastAsia"/>
                <w:sz w:val="24"/>
                <w:u w:val="single"/>
              </w:rPr>
              <w:t>7</w:t>
            </w:r>
            <w:r>
              <w:rPr>
                <w:sz w:val="24"/>
                <w:u w:val="single"/>
              </w:rPr>
              <w:t xml:space="preserve"> </w:t>
            </w:r>
            <w:r>
              <w:rPr>
                <w:sz w:val="24"/>
              </w:rPr>
              <w:t>分</w:t>
            </w:r>
            <w:r>
              <w:rPr>
                <w:rFonts w:hint="eastAsia"/>
                <w:sz w:val="24"/>
                <w:u w:val="single"/>
              </w:rPr>
              <w:t>33.818</w:t>
            </w:r>
            <w:r>
              <w:rPr>
                <w:sz w:val="24"/>
              </w:rPr>
              <w:t>秒，</w:t>
            </w:r>
            <w:r>
              <w:rPr>
                <w:rFonts w:hint="eastAsia"/>
                <w:sz w:val="24"/>
                <w:u w:val="single"/>
              </w:rPr>
              <w:t xml:space="preserve"> 39</w:t>
            </w:r>
            <w:r>
              <w:rPr>
                <w:sz w:val="24"/>
                <w:u w:val="single"/>
              </w:rPr>
              <w:t xml:space="preserve"> </w:t>
            </w:r>
            <w:r>
              <w:rPr>
                <w:sz w:val="24"/>
              </w:rPr>
              <w:t>度</w:t>
            </w:r>
            <w:r>
              <w:rPr>
                <w:sz w:val="24"/>
                <w:u w:val="single"/>
              </w:rPr>
              <w:t xml:space="preserve"> </w:t>
            </w:r>
            <w:r>
              <w:rPr>
                <w:rFonts w:hint="eastAsia"/>
                <w:sz w:val="24"/>
                <w:u w:val="single"/>
              </w:rPr>
              <w:t>27</w:t>
            </w:r>
            <w:r>
              <w:rPr>
                <w:sz w:val="24"/>
                <w:u w:val="single"/>
              </w:rPr>
              <w:t xml:space="preserve"> </w:t>
            </w:r>
            <w:r>
              <w:rPr>
                <w:sz w:val="24"/>
              </w:rPr>
              <w:t>分</w:t>
            </w:r>
            <w:r>
              <w:rPr>
                <w:rFonts w:hint="eastAsia"/>
                <w:sz w:val="24"/>
                <w:u w:val="single"/>
              </w:rPr>
              <w:t>43.868</w:t>
            </w:r>
            <w:r>
              <w:rPr>
                <w:sz w:val="24"/>
                <w:u w:val="single"/>
              </w:rPr>
              <w:t xml:space="preserve"> </w:t>
            </w:r>
            <w:r>
              <w:rPr>
                <w:sz w:val="24"/>
              </w:rPr>
              <w:t>秒）</w:t>
            </w:r>
          </w:p>
        </w:tc>
      </w:tr>
      <w:tr w14:paraId="47BB73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25" w:hRule="atLeast"/>
          <w:jc w:val="center"/>
        </w:trPr>
        <w:tc>
          <w:tcPr>
            <w:tcW w:w="1731" w:type="dxa"/>
            <w:tcMar>
              <w:top w:w="16" w:type="dxa"/>
              <w:left w:w="16" w:type="dxa"/>
              <w:right w:w="16" w:type="dxa"/>
            </w:tcMar>
            <w:vAlign w:val="center"/>
          </w:tcPr>
          <w:p w14:paraId="612B2AC1">
            <w:pPr>
              <w:adjustRightInd w:val="0"/>
              <w:snapToGrid w:val="0"/>
              <w:jc w:val="center"/>
              <w:rPr>
                <w:sz w:val="24"/>
              </w:rPr>
            </w:pPr>
            <w:r>
              <w:rPr>
                <w:sz w:val="24"/>
              </w:rPr>
              <w:t>国民经济</w:t>
            </w:r>
          </w:p>
          <w:p w14:paraId="3ED75BB7">
            <w:pPr>
              <w:adjustRightInd w:val="0"/>
              <w:snapToGrid w:val="0"/>
              <w:jc w:val="center"/>
              <w:rPr>
                <w:sz w:val="24"/>
              </w:rPr>
            </w:pPr>
            <w:r>
              <w:rPr>
                <w:sz w:val="24"/>
              </w:rPr>
              <w:t>行业类别</w:t>
            </w:r>
          </w:p>
        </w:tc>
        <w:tc>
          <w:tcPr>
            <w:tcW w:w="2377" w:type="dxa"/>
            <w:vAlign w:val="center"/>
          </w:tcPr>
          <w:p w14:paraId="0DF40966">
            <w:pPr>
              <w:adjustRightInd w:val="0"/>
              <w:snapToGrid w:val="0"/>
              <w:jc w:val="center"/>
              <w:rPr>
                <w:sz w:val="24"/>
              </w:rPr>
            </w:pPr>
            <w:r>
              <w:rPr>
                <w:rFonts w:hint="eastAsia"/>
                <w:sz w:val="24"/>
              </w:rPr>
              <w:t>N77 生态保护和</w:t>
            </w:r>
          </w:p>
          <w:p w14:paraId="057EDA55">
            <w:pPr>
              <w:adjustRightInd w:val="0"/>
              <w:snapToGrid w:val="0"/>
              <w:jc w:val="center"/>
              <w:rPr>
                <w:sz w:val="24"/>
              </w:rPr>
            </w:pPr>
            <w:r>
              <w:rPr>
                <w:rFonts w:hint="eastAsia"/>
                <w:sz w:val="24"/>
              </w:rPr>
              <w:t>环境治理业-7723</w:t>
            </w:r>
          </w:p>
          <w:p w14:paraId="07B142D9">
            <w:pPr>
              <w:adjustRightInd w:val="0"/>
              <w:snapToGrid w:val="0"/>
              <w:jc w:val="center"/>
              <w:rPr>
                <w:sz w:val="24"/>
              </w:rPr>
            </w:pPr>
            <w:r>
              <w:rPr>
                <w:rFonts w:hint="eastAsia"/>
                <w:sz w:val="24"/>
              </w:rPr>
              <w:t>固体废物治理</w:t>
            </w:r>
          </w:p>
        </w:tc>
        <w:tc>
          <w:tcPr>
            <w:tcW w:w="2212" w:type="dxa"/>
            <w:vAlign w:val="center"/>
          </w:tcPr>
          <w:p w14:paraId="114B55AB">
            <w:pPr>
              <w:adjustRightInd w:val="0"/>
              <w:snapToGrid w:val="0"/>
              <w:jc w:val="center"/>
              <w:rPr>
                <w:sz w:val="24"/>
              </w:rPr>
            </w:pPr>
            <w:bookmarkStart w:id="5" w:name="_Hlk49843745"/>
            <w:r>
              <w:rPr>
                <w:sz w:val="24"/>
              </w:rPr>
              <w:t>建设项目</w:t>
            </w:r>
          </w:p>
          <w:p w14:paraId="72AF65A3">
            <w:pPr>
              <w:adjustRightInd w:val="0"/>
              <w:snapToGrid w:val="0"/>
              <w:jc w:val="center"/>
              <w:rPr>
                <w:sz w:val="24"/>
              </w:rPr>
            </w:pPr>
            <w:r>
              <w:rPr>
                <w:sz w:val="24"/>
              </w:rPr>
              <w:t>行业类别</w:t>
            </w:r>
            <w:bookmarkEnd w:id="5"/>
          </w:p>
        </w:tc>
        <w:tc>
          <w:tcPr>
            <w:tcW w:w="2639" w:type="dxa"/>
            <w:vAlign w:val="center"/>
          </w:tcPr>
          <w:p w14:paraId="365E363B">
            <w:pPr>
              <w:widowControl/>
              <w:jc w:val="left"/>
            </w:pPr>
            <w:r>
              <w:rPr>
                <w:rFonts w:hint="eastAsia" w:ascii="宋体" w:hAnsi="宋体" w:cs="宋体"/>
                <w:color w:val="000000"/>
                <w:kern w:val="0"/>
                <w:sz w:val="24"/>
                <w:lang w:bidi="ar"/>
              </w:rPr>
              <w:t xml:space="preserve">四十七、生态环保和环境 </w:t>
            </w:r>
          </w:p>
          <w:p w14:paraId="2B6D151C">
            <w:pPr>
              <w:widowControl/>
              <w:jc w:val="left"/>
            </w:pPr>
            <w:r>
              <w:rPr>
                <w:rFonts w:hint="eastAsia" w:ascii="宋体" w:hAnsi="宋体" w:cs="宋体"/>
                <w:color w:val="000000"/>
                <w:kern w:val="0"/>
                <w:sz w:val="24"/>
                <w:lang w:bidi="ar"/>
              </w:rPr>
              <w:t xml:space="preserve">治理业 </w:t>
            </w:r>
            <w:r>
              <w:rPr>
                <w:color w:val="000000"/>
                <w:kern w:val="0"/>
                <w:sz w:val="24"/>
                <w:lang w:bidi="ar"/>
              </w:rPr>
              <w:t>103.</w:t>
            </w:r>
            <w:r>
              <w:rPr>
                <w:rFonts w:hint="eastAsia" w:ascii="宋体" w:hAnsi="宋体" w:cs="宋体"/>
                <w:color w:val="000000"/>
                <w:kern w:val="0"/>
                <w:sz w:val="24"/>
                <w:lang w:bidi="ar"/>
              </w:rPr>
              <w:t>一般工业固体废物（含污水处理污泥）、建筑施工废弃物处置及综合利用-其他</w:t>
            </w:r>
          </w:p>
        </w:tc>
      </w:tr>
      <w:tr w14:paraId="35EA20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731" w:type="dxa"/>
            <w:tcMar>
              <w:top w:w="16" w:type="dxa"/>
              <w:left w:w="16" w:type="dxa"/>
              <w:right w:w="16" w:type="dxa"/>
            </w:tcMar>
            <w:vAlign w:val="center"/>
          </w:tcPr>
          <w:p w14:paraId="6FD4CAD1">
            <w:pPr>
              <w:adjustRightInd w:val="0"/>
              <w:snapToGrid w:val="0"/>
              <w:jc w:val="center"/>
              <w:rPr>
                <w:sz w:val="24"/>
              </w:rPr>
            </w:pPr>
            <w:r>
              <w:rPr>
                <w:sz w:val="24"/>
              </w:rPr>
              <w:t>建设性质</w:t>
            </w:r>
          </w:p>
        </w:tc>
        <w:tc>
          <w:tcPr>
            <w:tcW w:w="2377" w:type="dxa"/>
            <w:vAlign w:val="center"/>
          </w:tcPr>
          <w:p w14:paraId="1A364F7F">
            <w:pPr>
              <w:jc w:val="left"/>
              <w:rPr>
                <w:sz w:val="24"/>
              </w:rPr>
            </w:pPr>
            <w:r>
              <w:rPr>
                <w:rFonts w:hint="eastAsia"/>
                <w:sz w:val="24"/>
                <w:lang w:eastAsia="zh-CN"/>
              </w:rPr>
              <w:t>□</w:t>
            </w:r>
            <w:r>
              <w:rPr>
                <w:sz w:val="24"/>
              </w:rPr>
              <w:t>新建（迁建）</w:t>
            </w:r>
          </w:p>
          <w:p w14:paraId="346C9756">
            <w:pPr>
              <w:jc w:val="left"/>
              <w:rPr>
                <w:sz w:val="24"/>
              </w:rPr>
            </w:pPr>
            <w:r>
              <w:rPr>
                <w:rFonts w:hint="eastAsia"/>
                <w:sz w:val="24"/>
                <w:lang w:eastAsia="zh-CN"/>
              </w:rPr>
              <w:t>□</w:t>
            </w:r>
            <w:r>
              <w:rPr>
                <w:sz w:val="24"/>
              </w:rPr>
              <w:t>改建</w:t>
            </w:r>
          </w:p>
          <w:p w14:paraId="1ECAAB96">
            <w:pPr>
              <w:jc w:val="left"/>
              <w:rPr>
                <w:sz w:val="24"/>
              </w:rPr>
            </w:pPr>
            <w:r>
              <w:rPr>
                <w:rFonts w:hint="eastAsia"/>
                <w:sz w:val="24"/>
                <w:lang w:eastAsia="zh-CN"/>
              </w:rPr>
              <w:t>☑</w:t>
            </w:r>
            <w:r>
              <w:rPr>
                <w:sz w:val="24"/>
              </w:rPr>
              <w:t>扩建</w:t>
            </w:r>
          </w:p>
          <w:p w14:paraId="43748555">
            <w:pPr>
              <w:jc w:val="left"/>
              <w:rPr>
                <w:sz w:val="24"/>
              </w:rPr>
            </w:pPr>
            <w:r>
              <w:rPr>
                <w:rFonts w:hint="eastAsia"/>
                <w:sz w:val="24"/>
                <w:lang w:eastAsia="zh-CN"/>
              </w:rPr>
              <w:t>□</w:t>
            </w:r>
            <w:r>
              <w:rPr>
                <w:sz w:val="24"/>
              </w:rPr>
              <w:t>技术改造</w:t>
            </w:r>
          </w:p>
        </w:tc>
        <w:tc>
          <w:tcPr>
            <w:tcW w:w="2212" w:type="dxa"/>
            <w:vAlign w:val="center"/>
          </w:tcPr>
          <w:p w14:paraId="6D82CE8F">
            <w:pPr>
              <w:adjustRightInd w:val="0"/>
              <w:snapToGrid w:val="0"/>
              <w:jc w:val="center"/>
              <w:rPr>
                <w:sz w:val="24"/>
              </w:rPr>
            </w:pPr>
            <w:r>
              <w:rPr>
                <w:sz w:val="24"/>
              </w:rPr>
              <w:t>建设项目</w:t>
            </w:r>
          </w:p>
          <w:p w14:paraId="373773A5">
            <w:pPr>
              <w:adjustRightInd w:val="0"/>
              <w:snapToGrid w:val="0"/>
              <w:jc w:val="center"/>
              <w:rPr>
                <w:sz w:val="24"/>
              </w:rPr>
            </w:pPr>
            <w:r>
              <w:rPr>
                <w:sz w:val="24"/>
              </w:rPr>
              <w:t>申报情形</w:t>
            </w:r>
          </w:p>
        </w:tc>
        <w:tc>
          <w:tcPr>
            <w:tcW w:w="2639" w:type="dxa"/>
            <w:vAlign w:val="center"/>
          </w:tcPr>
          <w:p w14:paraId="659D2384">
            <w:pPr>
              <w:jc w:val="left"/>
              <w:rPr>
                <w:sz w:val="24"/>
              </w:rPr>
            </w:pPr>
            <w:r>
              <w:rPr>
                <w:sz w:val="24"/>
              </w:rPr>
              <w:sym w:font="Wingdings 2" w:char="0052"/>
            </w:r>
            <w:r>
              <w:rPr>
                <w:sz w:val="24"/>
              </w:rPr>
              <w:t xml:space="preserve">首次申报项目             </w:t>
            </w:r>
          </w:p>
          <w:p w14:paraId="6247340F">
            <w:pPr>
              <w:jc w:val="left"/>
              <w:rPr>
                <w:sz w:val="24"/>
              </w:rPr>
            </w:pPr>
            <w:r>
              <w:rPr>
                <w:sz w:val="24"/>
              </w:rPr>
              <w:t>□不予批准后再次申报项目</w:t>
            </w:r>
          </w:p>
          <w:p w14:paraId="6B299341">
            <w:pPr>
              <w:jc w:val="left"/>
              <w:rPr>
                <w:sz w:val="24"/>
              </w:rPr>
            </w:pPr>
            <w:r>
              <w:rPr>
                <w:sz w:val="24"/>
              </w:rPr>
              <w:t xml:space="preserve">□超五年重新审核项目     </w:t>
            </w:r>
          </w:p>
          <w:p w14:paraId="7B8064C3">
            <w:pPr>
              <w:jc w:val="left"/>
              <w:rPr>
                <w:sz w:val="24"/>
              </w:rPr>
            </w:pPr>
            <w:r>
              <w:rPr>
                <w:sz w:val="24"/>
              </w:rPr>
              <w:t>□重大变动重新报批项目</w:t>
            </w:r>
          </w:p>
        </w:tc>
      </w:tr>
      <w:tr w14:paraId="41603D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731" w:type="dxa"/>
            <w:tcMar>
              <w:top w:w="16" w:type="dxa"/>
              <w:left w:w="16" w:type="dxa"/>
              <w:right w:w="16" w:type="dxa"/>
            </w:tcMar>
            <w:vAlign w:val="center"/>
          </w:tcPr>
          <w:p w14:paraId="1B9B766A">
            <w:pPr>
              <w:adjustRightInd w:val="0"/>
              <w:snapToGrid w:val="0"/>
              <w:jc w:val="center"/>
              <w:rPr>
                <w:sz w:val="24"/>
              </w:rPr>
            </w:pPr>
            <w:r>
              <w:rPr>
                <w:sz w:val="24"/>
              </w:rPr>
              <w:t>项目审批（核准/</w:t>
            </w:r>
          </w:p>
          <w:p w14:paraId="158D4076">
            <w:pPr>
              <w:adjustRightInd w:val="0"/>
              <w:snapToGrid w:val="0"/>
              <w:jc w:val="center"/>
              <w:rPr>
                <w:sz w:val="24"/>
              </w:rPr>
            </w:pPr>
            <w:r>
              <w:rPr>
                <w:sz w:val="24"/>
              </w:rPr>
              <w:t>备案）部门（选填）</w:t>
            </w:r>
          </w:p>
        </w:tc>
        <w:tc>
          <w:tcPr>
            <w:tcW w:w="2377" w:type="dxa"/>
            <w:vAlign w:val="center"/>
          </w:tcPr>
          <w:p w14:paraId="10D673A8">
            <w:pPr>
              <w:adjustRightInd w:val="0"/>
              <w:snapToGrid w:val="0"/>
              <w:jc w:val="center"/>
              <w:rPr>
                <w:sz w:val="24"/>
              </w:rPr>
            </w:pPr>
            <w:r>
              <w:rPr>
                <w:rFonts w:hint="eastAsia"/>
                <w:sz w:val="24"/>
              </w:rPr>
              <w:t>鄂托克旗发展和改革委员会</w:t>
            </w:r>
          </w:p>
        </w:tc>
        <w:tc>
          <w:tcPr>
            <w:tcW w:w="2212" w:type="dxa"/>
            <w:vAlign w:val="center"/>
          </w:tcPr>
          <w:p w14:paraId="39055CE1">
            <w:pPr>
              <w:adjustRightInd w:val="0"/>
              <w:snapToGrid w:val="0"/>
              <w:jc w:val="center"/>
              <w:rPr>
                <w:sz w:val="24"/>
              </w:rPr>
            </w:pPr>
            <w:r>
              <w:rPr>
                <w:sz w:val="24"/>
              </w:rPr>
              <w:t>项目审批（核准/</w:t>
            </w:r>
          </w:p>
          <w:p w14:paraId="58D865BC">
            <w:pPr>
              <w:adjustRightInd w:val="0"/>
              <w:snapToGrid w:val="0"/>
              <w:jc w:val="center"/>
              <w:rPr>
                <w:sz w:val="24"/>
              </w:rPr>
            </w:pPr>
            <w:r>
              <w:rPr>
                <w:sz w:val="24"/>
              </w:rPr>
              <w:t>备案）文号（选填）</w:t>
            </w:r>
          </w:p>
        </w:tc>
        <w:tc>
          <w:tcPr>
            <w:tcW w:w="2639" w:type="dxa"/>
            <w:vAlign w:val="center"/>
          </w:tcPr>
          <w:p w14:paraId="1F812952">
            <w:pPr>
              <w:adjustRightInd w:val="0"/>
              <w:snapToGrid w:val="0"/>
              <w:jc w:val="center"/>
              <w:rPr>
                <w:sz w:val="24"/>
              </w:rPr>
            </w:pPr>
            <w:r>
              <w:rPr>
                <w:rFonts w:hint="eastAsia"/>
                <w:sz w:val="24"/>
              </w:rPr>
              <w:t>/</w:t>
            </w:r>
          </w:p>
        </w:tc>
      </w:tr>
      <w:tr w14:paraId="09557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1" w:type="dxa"/>
            <w:tcMar>
              <w:top w:w="16" w:type="dxa"/>
              <w:left w:w="16" w:type="dxa"/>
              <w:right w:w="16" w:type="dxa"/>
            </w:tcMar>
            <w:vAlign w:val="center"/>
          </w:tcPr>
          <w:p w14:paraId="3CB487D2">
            <w:pPr>
              <w:adjustRightInd w:val="0"/>
              <w:snapToGrid w:val="0"/>
              <w:jc w:val="center"/>
              <w:rPr>
                <w:sz w:val="24"/>
              </w:rPr>
            </w:pPr>
            <w:r>
              <w:rPr>
                <w:sz w:val="24"/>
              </w:rPr>
              <w:t>总投资（万元）</w:t>
            </w:r>
          </w:p>
        </w:tc>
        <w:tc>
          <w:tcPr>
            <w:tcW w:w="2377" w:type="dxa"/>
            <w:vAlign w:val="center"/>
          </w:tcPr>
          <w:p w14:paraId="455F8ECC">
            <w:pPr>
              <w:adjustRightInd w:val="0"/>
              <w:snapToGrid w:val="0"/>
              <w:jc w:val="center"/>
              <w:rPr>
                <w:sz w:val="24"/>
              </w:rPr>
            </w:pPr>
            <w:r>
              <w:rPr>
                <w:rFonts w:hint="eastAsia"/>
                <w:sz w:val="24"/>
              </w:rPr>
              <w:t>28500</w:t>
            </w:r>
          </w:p>
        </w:tc>
        <w:tc>
          <w:tcPr>
            <w:tcW w:w="2212" w:type="dxa"/>
            <w:tcMar>
              <w:top w:w="16" w:type="dxa"/>
              <w:left w:w="16" w:type="dxa"/>
              <w:right w:w="16" w:type="dxa"/>
            </w:tcMar>
            <w:vAlign w:val="center"/>
          </w:tcPr>
          <w:p w14:paraId="358E03C7">
            <w:pPr>
              <w:adjustRightInd w:val="0"/>
              <w:snapToGrid w:val="0"/>
              <w:jc w:val="center"/>
              <w:rPr>
                <w:sz w:val="24"/>
              </w:rPr>
            </w:pPr>
            <w:r>
              <w:rPr>
                <w:sz w:val="24"/>
              </w:rPr>
              <w:t>环保投资（万元）</w:t>
            </w:r>
          </w:p>
        </w:tc>
        <w:tc>
          <w:tcPr>
            <w:tcW w:w="2639" w:type="dxa"/>
            <w:vAlign w:val="center"/>
          </w:tcPr>
          <w:p w14:paraId="60016A9B">
            <w:pPr>
              <w:adjustRightInd w:val="0"/>
              <w:snapToGrid w:val="0"/>
              <w:jc w:val="center"/>
              <w:rPr>
                <w:sz w:val="24"/>
              </w:rPr>
            </w:pPr>
            <w:r>
              <w:rPr>
                <w:rFonts w:hint="eastAsia"/>
                <w:sz w:val="24"/>
              </w:rPr>
              <w:t>270</w:t>
            </w:r>
          </w:p>
        </w:tc>
      </w:tr>
      <w:tr w14:paraId="70372B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1" w:type="dxa"/>
            <w:tcMar>
              <w:top w:w="16" w:type="dxa"/>
              <w:left w:w="16" w:type="dxa"/>
              <w:right w:w="16" w:type="dxa"/>
            </w:tcMar>
            <w:vAlign w:val="center"/>
          </w:tcPr>
          <w:p w14:paraId="4510C25B">
            <w:pPr>
              <w:adjustRightInd w:val="0"/>
              <w:snapToGrid w:val="0"/>
              <w:jc w:val="center"/>
              <w:rPr>
                <w:sz w:val="24"/>
              </w:rPr>
            </w:pPr>
            <w:r>
              <w:rPr>
                <w:sz w:val="24"/>
              </w:rPr>
              <w:t>环保投资占比（%）</w:t>
            </w:r>
          </w:p>
        </w:tc>
        <w:tc>
          <w:tcPr>
            <w:tcW w:w="2377" w:type="dxa"/>
            <w:vAlign w:val="center"/>
          </w:tcPr>
          <w:p w14:paraId="1C91E5F3">
            <w:pPr>
              <w:adjustRightInd w:val="0"/>
              <w:snapToGrid w:val="0"/>
              <w:jc w:val="center"/>
              <w:rPr>
                <w:sz w:val="24"/>
              </w:rPr>
            </w:pPr>
            <w:r>
              <w:rPr>
                <w:rFonts w:hint="eastAsia"/>
                <w:sz w:val="24"/>
              </w:rPr>
              <w:t>0.95</w:t>
            </w:r>
          </w:p>
        </w:tc>
        <w:tc>
          <w:tcPr>
            <w:tcW w:w="2212" w:type="dxa"/>
            <w:tcMar>
              <w:top w:w="16" w:type="dxa"/>
              <w:left w:w="16" w:type="dxa"/>
              <w:right w:w="16" w:type="dxa"/>
            </w:tcMar>
            <w:vAlign w:val="center"/>
          </w:tcPr>
          <w:p w14:paraId="4C4D6981">
            <w:pPr>
              <w:adjustRightInd w:val="0"/>
              <w:snapToGrid w:val="0"/>
              <w:jc w:val="center"/>
              <w:rPr>
                <w:sz w:val="24"/>
              </w:rPr>
            </w:pPr>
            <w:r>
              <w:rPr>
                <w:sz w:val="24"/>
              </w:rPr>
              <w:t>施工工期</w:t>
            </w:r>
          </w:p>
        </w:tc>
        <w:tc>
          <w:tcPr>
            <w:tcW w:w="2639" w:type="dxa"/>
            <w:vAlign w:val="center"/>
          </w:tcPr>
          <w:p w14:paraId="3B2610A6">
            <w:pPr>
              <w:widowControl/>
              <w:jc w:val="center"/>
              <w:rPr>
                <w:rStyle w:val="27"/>
                <w:rFonts w:hint="default"/>
                <w:kern w:val="0"/>
                <w:szCs w:val="20"/>
                <w:lang w:val="en-US" w:eastAsia="zh-CN"/>
              </w:rPr>
            </w:pPr>
            <w:r>
              <w:rPr>
                <w:rFonts w:hint="default" w:ascii="Times New Roman" w:hAnsi="Times New Roman" w:cs="Times New Roman"/>
                <w:color w:val="000000"/>
                <w:kern w:val="0"/>
                <w:sz w:val="24"/>
                <w:lang w:val="en-US" w:eastAsia="zh-CN" w:bidi="ar"/>
              </w:rPr>
              <w:t>3个月</w:t>
            </w:r>
          </w:p>
        </w:tc>
      </w:tr>
      <w:tr w14:paraId="2676F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31" w:type="dxa"/>
            <w:tcMar>
              <w:top w:w="16" w:type="dxa"/>
              <w:left w:w="16" w:type="dxa"/>
              <w:right w:w="16" w:type="dxa"/>
            </w:tcMar>
            <w:vAlign w:val="center"/>
          </w:tcPr>
          <w:p w14:paraId="7CB6249A">
            <w:pPr>
              <w:adjustRightInd w:val="0"/>
              <w:snapToGrid w:val="0"/>
              <w:jc w:val="center"/>
              <w:rPr>
                <w:sz w:val="24"/>
              </w:rPr>
            </w:pPr>
            <w:r>
              <w:rPr>
                <w:sz w:val="24"/>
              </w:rPr>
              <w:t>是否开工建设</w:t>
            </w:r>
          </w:p>
        </w:tc>
        <w:tc>
          <w:tcPr>
            <w:tcW w:w="2377" w:type="dxa"/>
            <w:vAlign w:val="center"/>
          </w:tcPr>
          <w:p w14:paraId="71C5D47D">
            <w:pPr>
              <w:adjustRightInd w:val="0"/>
              <w:snapToGrid w:val="0"/>
              <w:rPr>
                <w:sz w:val="24"/>
              </w:rPr>
            </w:pPr>
            <w:r>
              <w:rPr>
                <w:sz w:val="24"/>
              </w:rPr>
              <w:sym w:font="Wingdings 2" w:char="0052"/>
            </w:r>
            <w:r>
              <w:rPr>
                <w:sz w:val="24"/>
              </w:rPr>
              <w:t>否</w:t>
            </w:r>
          </w:p>
          <w:p w14:paraId="2871896B">
            <w:pPr>
              <w:adjustRightInd w:val="0"/>
              <w:snapToGrid w:val="0"/>
              <w:rPr>
                <w:sz w:val="24"/>
              </w:rPr>
            </w:pPr>
            <w:r>
              <w:rPr>
                <w:sz w:val="24"/>
              </w:rPr>
              <w:sym w:font="Wingdings 2" w:char="00A3"/>
            </w:r>
            <w:r>
              <w:rPr>
                <w:sz w:val="24"/>
              </w:rPr>
              <w:t>是：</w:t>
            </w:r>
            <w:r>
              <w:rPr>
                <w:sz w:val="24"/>
                <w:u w:val="single"/>
              </w:rPr>
              <w:t xml:space="preserve">             </w:t>
            </w:r>
          </w:p>
        </w:tc>
        <w:tc>
          <w:tcPr>
            <w:tcW w:w="2212" w:type="dxa"/>
            <w:tcMar>
              <w:top w:w="16" w:type="dxa"/>
              <w:left w:w="16" w:type="dxa"/>
              <w:right w:w="16" w:type="dxa"/>
            </w:tcMar>
            <w:vAlign w:val="center"/>
          </w:tcPr>
          <w:p w14:paraId="4CDEC991">
            <w:pPr>
              <w:adjustRightInd w:val="0"/>
              <w:snapToGrid w:val="0"/>
              <w:jc w:val="center"/>
              <w:rPr>
                <w:spacing w:val="-6"/>
                <w:sz w:val="24"/>
              </w:rPr>
            </w:pPr>
            <w:r>
              <w:rPr>
                <w:spacing w:val="-6"/>
                <w:sz w:val="24"/>
              </w:rPr>
              <w:t>用地（用海）</w:t>
            </w:r>
          </w:p>
          <w:p w14:paraId="2408A6B8">
            <w:pPr>
              <w:adjustRightInd w:val="0"/>
              <w:snapToGrid w:val="0"/>
              <w:jc w:val="center"/>
              <w:rPr>
                <w:sz w:val="24"/>
              </w:rPr>
            </w:pPr>
            <w:r>
              <w:rPr>
                <w:spacing w:val="-6"/>
                <w:sz w:val="24"/>
              </w:rPr>
              <w:t>面积（m</w:t>
            </w:r>
            <w:r>
              <w:rPr>
                <w:spacing w:val="-6"/>
                <w:sz w:val="24"/>
                <w:vertAlign w:val="superscript"/>
              </w:rPr>
              <w:t>2</w:t>
            </w:r>
            <w:r>
              <w:rPr>
                <w:spacing w:val="-6"/>
                <w:sz w:val="24"/>
              </w:rPr>
              <w:t>）</w:t>
            </w:r>
          </w:p>
        </w:tc>
        <w:tc>
          <w:tcPr>
            <w:tcW w:w="2639" w:type="dxa"/>
            <w:vAlign w:val="center"/>
          </w:tcPr>
          <w:p w14:paraId="7C1A6D6E">
            <w:pPr>
              <w:adjustRightInd w:val="0"/>
              <w:snapToGrid w:val="0"/>
              <w:jc w:val="center"/>
              <w:rPr>
                <w:sz w:val="24"/>
              </w:rPr>
            </w:pPr>
            <w:r>
              <w:rPr>
                <w:rFonts w:hint="eastAsia"/>
                <w:sz w:val="24"/>
              </w:rPr>
              <w:t>75333</w:t>
            </w:r>
          </w:p>
        </w:tc>
      </w:tr>
      <w:tr w14:paraId="017778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21" w:hRule="atLeast"/>
          <w:jc w:val="center"/>
        </w:trPr>
        <w:tc>
          <w:tcPr>
            <w:tcW w:w="1731" w:type="dxa"/>
            <w:vAlign w:val="center"/>
          </w:tcPr>
          <w:p w14:paraId="52F087D4">
            <w:pPr>
              <w:autoSpaceDE w:val="0"/>
              <w:autoSpaceDN w:val="0"/>
              <w:adjustRightInd w:val="0"/>
              <w:snapToGrid w:val="0"/>
              <w:jc w:val="center"/>
              <w:rPr>
                <w:kern w:val="0"/>
                <w:sz w:val="24"/>
              </w:rPr>
            </w:pPr>
            <w:r>
              <w:rPr>
                <w:kern w:val="0"/>
                <w:sz w:val="24"/>
              </w:rPr>
              <w:t>专项评价设置情况</w:t>
            </w:r>
          </w:p>
        </w:tc>
        <w:tc>
          <w:tcPr>
            <w:tcW w:w="7228" w:type="dxa"/>
            <w:gridSpan w:val="3"/>
            <w:vAlign w:val="center"/>
          </w:tcPr>
          <w:p w14:paraId="1E62E594">
            <w:pPr>
              <w:autoSpaceDE w:val="0"/>
              <w:autoSpaceDN w:val="0"/>
              <w:adjustRightInd w:val="0"/>
              <w:snapToGrid w:val="0"/>
              <w:spacing w:line="360" w:lineRule="auto"/>
              <w:ind w:firstLine="480" w:firstLineChars="200"/>
              <w:jc w:val="left"/>
              <w:rPr>
                <w:kern w:val="0"/>
                <w:sz w:val="24"/>
                <w:szCs w:val="21"/>
              </w:rPr>
            </w:pPr>
            <w:r>
              <w:rPr>
                <w:rFonts w:hint="eastAsia"/>
                <w:kern w:val="0"/>
                <w:sz w:val="24"/>
                <w:szCs w:val="21"/>
              </w:rPr>
              <w:t>对照《建设项目环境影响报告表编制技术指南（污染影响类）》（试行）中专项评价设置原则表，本项目不需要开展专项评价工作，具体见表1-1。</w:t>
            </w:r>
          </w:p>
          <w:p w14:paraId="44692807">
            <w:pPr>
              <w:pStyle w:val="56"/>
              <w:rPr>
                <w:kern w:val="0"/>
                <w:sz w:val="24"/>
                <w:szCs w:val="21"/>
              </w:rPr>
            </w:pPr>
            <w:r>
              <w:rPr>
                <w:rFonts w:hint="eastAsia"/>
                <w:kern w:val="0"/>
                <w:sz w:val="24"/>
                <w:szCs w:val="21"/>
              </w:rPr>
              <w:t>表1-1    专项评价设置原则说明表</w:t>
            </w:r>
          </w:p>
          <w:tbl>
            <w:tblPr>
              <w:tblStyle w:val="23"/>
              <w:tblW w:w="6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77"/>
              <w:gridCol w:w="2871"/>
            </w:tblGrid>
            <w:tr w14:paraId="491A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859" w:type="dxa"/>
                  <w:vAlign w:val="center"/>
                </w:tcPr>
                <w:p w14:paraId="331B631E">
                  <w:pPr>
                    <w:widowControl/>
                    <w:jc w:val="center"/>
                    <w:textAlignment w:val="center"/>
                    <w:rPr>
                      <w:kern w:val="0"/>
                      <w:szCs w:val="21"/>
                      <w:lang w:bidi="ar"/>
                    </w:rPr>
                  </w:pPr>
                  <w:r>
                    <w:rPr>
                      <w:kern w:val="0"/>
                      <w:szCs w:val="21"/>
                      <w:lang w:bidi="ar"/>
                    </w:rPr>
                    <w:t>专项评</w:t>
                  </w:r>
                </w:p>
                <w:p w14:paraId="1DB135AD">
                  <w:pPr>
                    <w:widowControl/>
                    <w:jc w:val="center"/>
                    <w:textAlignment w:val="center"/>
                    <w:rPr>
                      <w:kern w:val="0"/>
                      <w:szCs w:val="21"/>
                      <w:lang w:bidi="ar"/>
                    </w:rPr>
                  </w:pPr>
                  <w:r>
                    <w:rPr>
                      <w:kern w:val="0"/>
                      <w:szCs w:val="21"/>
                      <w:lang w:bidi="ar"/>
                    </w:rPr>
                    <w:t>价类别</w:t>
                  </w:r>
                </w:p>
              </w:tc>
              <w:tc>
                <w:tcPr>
                  <w:tcW w:w="3177" w:type="dxa"/>
                  <w:vAlign w:val="center"/>
                </w:tcPr>
                <w:p w14:paraId="0C0D2F4F">
                  <w:pPr>
                    <w:widowControl/>
                    <w:jc w:val="center"/>
                    <w:rPr>
                      <w:kern w:val="0"/>
                      <w:szCs w:val="21"/>
                      <w:lang w:bidi="ar"/>
                    </w:rPr>
                  </w:pPr>
                  <w:r>
                    <w:rPr>
                      <w:color w:val="000000"/>
                      <w:kern w:val="0"/>
                      <w:szCs w:val="21"/>
                      <w:lang w:bidi="ar"/>
                    </w:rPr>
                    <w:t>设置原则</w:t>
                  </w:r>
                </w:p>
              </w:tc>
              <w:tc>
                <w:tcPr>
                  <w:tcW w:w="2871" w:type="dxa"/>
                  <w:vAlign w:val="center"/>
                </w:tcPr>
                <w:p w14:paraId="1FAA412B">
                  <w:pPr>
                    <w:widowControl/>
                    <w:jc w:val="center"/>
                    <w:rPr>
                      <w:b/>
                      <w:bCs/>
                      <w:kern w:val="0"/>
                      <w:szCs w:val="21"/>
                    </w:rPr>
                  </w:pPr>
                  <w:r>
                    <w:rPr>
                      <w:color w:val="000000"/>
                      <w:kern w:val="0"/>
                      <w:szCs w:val="21"/>
                      <w:lang w:bidi="ar"/>
                    </w:rPr>
                    <w:t>项目判断情况</w:t>
                  </w:r>
                </w:p>
              </w:tc>
            </w:tr>
            <w:tr w14:paraId="22EB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859" w:type="dxa"/>
                  <w:vAlign w:val="center"/>
                </w:tcPr>
                <w:p w14:paraId="3C5C0DC3">
                  <w:pPr>
                    <w:widowControl/>
                    <w:jc w:val="center"/>
                    <w:rPr>
                      <w:kern w:val="0"/>
                      <w:szCs w:val="21"/>
                      <w:lang w:bidi="ar"/>
                    </w:rPr>
                  </w:pPr>
                  <w:r>
                    <w:rPr>
                      <w:color w:val="000000"/>
                      <w:kern w:val="0"/>
                      <w:szCs w:val="21"/>
                      <w:lang w:bidi="ar"/>
                    </w:rPr>
                    <w:t>大气</w:t>
                  </w:r>
                </w:p>
              </w:tc>
              <w:tc>
                <w:tcPr>
                  <w:tcW w:w="3177" w:type="dxa"/>
                  <w:vAlign w:val="center"/>
                </w:tcPr>
                <w:p w14:paraId="33363C3E">
                  <w:pPr>
                    <w:widowControl/>
                    <w:jc w:val="center"/>
                    <w:rPr>
                      <w:kern w:val="0"/>
                      <w:szCs w:val="21"/>
                      <w:lang w:bidi="ar"/>
                    </w:rPr>
                  </w:pPr>
                  <w:r>
                    <w:rPr>
                      <w:color w:val="000000"/>
                      <w:kern w:val="0"/>
                      <w:szCs w:val="21"/>
                      <w:lang w:bidi="ar"/>
                    </w:rPr>
                    <w:t>排放废气含有毒有害污染物</w:t>
                  </w:r>
                  <w:r>
                    <w:rPr>
                      <w:color w:val="000000"/>
                      <w:kern w:val="0"/>
                      <w:szCs w:val="21"/>
                      <w:vertAlign w:val="superscript"/>
                      <w:lang w:bidi="ar"/>
                    </w:rPr>
                    <w:t>1</w:t>
                  </w:r>
                  <w:r>
                    <w:rPr>
                      <w:color w:val="000000"/>
                      <w:kern w:val="0"/>
                      <w:szCs w:val="21"/>
                      <w:lang w:bidi="ar"/>
                    </w:rPr>
                    <w:t>、二噁英、苯并[a]芘、氰化物、氯气且厂界外500米范围内有环境空气保护目标</w:t>
                  </w:r>
                  <w:r>
                    <w:rPr>
                      <w:color w:val="000000"/>
                      <w:kern w:val="0"/>
                      <w:szCs w:val="21"/>
                      <w:vertAlign w:val="superscript"/>
                      <w:lang w:bidi="ar"/>
                    </w:rPr>
                    <w:t>2</w:t>
                  </w:r>
                  <w:r>
                    <w:rPr>
                      <w:color w:val="000000"/>
                      <w:kern w:val="0"/>
                      <w:szCs w:val="21"/>
                      <w:lang w:bidi="ar"/>
                    </w:rPr>
                    <w:t>的建设项目</w:t>
                  </w:r>
                </w:p>
              </w:tc>
              <w:tc>
                <w:tcPr>
                  <w:tcW w:w="2871" w:type="dxa"/>
                  <w:vAlign w:val="center"/>
                </w:tcPr>
                <w:p w14:paraId="49D3F299">
                  <w:pPr>
                    <w:widowControl/>
                    <w:jc w:val="center"/>
                    <w:rPr>
                      <w:b/>
                      <w:bCs/>
                      <w:kern w:val="0"/>
                      <w:szCs w:val="21"/>
                    </w:rPr>
                  </w:pPr>
                  <w:r>
                    <w:t>本项目厂界</w:t>
                  </w:r>
                  <w:r>
                    <w:rPr>
                      <w:rFonts w:hint="eastAsia"/>
                    </w:rPr>
                    <w:t>外</w:t>
                  </w:r>
                  <w:r>
                    <w:t>500m范围内无环境空气保护目标，无需设置大气专项</w:t>
                  </w:r>
                  <w:r>
                    <w:rPr>
                      <w:rFonts w:hint="eastAsia"/>
                    </w:rPr>
                    <w:t>。</w:t>
                  </w:r>
                </w:p>
              </w:tc>
            </w:tr>
            <w:tr w14:paraId="1070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59" w:type="dxa"/>
                  <w:vAlign w:val="center"/>
                </w:tcPr>
                <w:p w14:paraId="5B17E7D5">
                  <w:pPr>
                    <w:widowControl/>
                    <w:jc w:val="center"/>
                    <w:rPr>
                      <w:b/>
                      <w:bCs/>
                      <w:kern w:val="0"/>
                      <w:szCs w:val="21"/>
                    </w:rPr>
                  </w:pPr>
                  <w:r>
                    <w:rPr>
                      <w:color w:val="000000"/>
                      <w:kern w:val="0"/>
                      <w:szCs w:val="21"/>
                      <w:lang w:bidi="ar"/>
                    </w:rPr>
                    <w:t>地表水</w:t>
                  </w:r>
                </w:p>
              </w:tc>
              <w:tc>
                <w:tcPr>
                  <w:tcW w:w="3177" w:type="dxa"/>
                  <w:vAlign w:val="center"/>
                </w:tcPr>
                <w:p w14:paraId="00F444D0">
                  <w:pPr>
                    <w:widowControl/>
                    <w:jc w:val="center"/>
                    <w:rPr>
                      <w:szCs w:val="21"/>
                    </w:rPr>
                  </w:pPr>
                  <w:r>
                    <w:rPr>
                      <w:color w:val="000000"/>
                      <w:kern w:val="0"/>
                      <w:szCs w:val="21"/>
                      <w:lang w:bidi="ar"/>
                    </w:rPr>
                    <w:t>新增工业废水直排建设项目（槽罐车外送污水处理厂的除外）；新增废水</w:t>
                  </w:r>
                </w:p>
                <w:p w14:paraId="0602E525">
                  <w:pPr>
                    <w:widowControl/>
                    <w:jc w:val="center"/>
                    <w:rPr>
                      <w:b/>
                      <w:bCs/>
                      <w:kern w:val="0"/>
                      <w:szCs w:val="21"/>
                    </w:rPr>
                  </w:pPr>
                  <w:r>
                    <w:rPr>
                      <w:color w:val="000000"/>
                      <w:kern w:val="0"/>
                      <w:szCs w:val="21"/>
                      <w:lang w:bidi="ar"/>
                    </w:rPr>
                    <w:t>直排的污水集中处理厂</w:t>
                  </w:r>
                </w:p>
              </w:tc>
              <w:tc>
                <w:tcPr>
                  <w:tcW w:w="2871" w:type="dxa"/>
                  <w:vAlign w:val="center"/>
                </w:tcPr>
                <w:p w14:paraId="7DA024E5">
                  <w:pPr>
                    <w:widowControl/>
                    <w:jc w:val="center"/>
                    <w:rPr>
                      <w:b/>
                      <w:bCs/>
                      <w:kern w:val="0"/>
                      <w:szCs w:val="21"/>
                    </w:rPr>
                  </w:pPr>
                  <w:r>
                    <w:t>本项目运营期无生产废水产生；新增生活废水产生</w:t>
                  </w:r>
                  <w:r>
                    <w:rPr>
                      <w:rFonts w:hint="eastAsia"/>
                    </w:rPr>
                    <w:t>，不外排</w:t>
                  </w:r>
                  <w:r>
                    <w:t>。</w:t>
                  </w:r>
                </w:p>
              </w:tc>
            </w:tr>
            <w:tr w14:paraId="26E1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859" w:type="dxa"/>
                  <w:vAlign w:val="center"/>
                </w:tcPr>
                <w:p w14:paraId="141D47B3">
                  <w:pPr>
                    <w:widowControl/>
                    <w:jc w:val="center"/>
                    <w:rPr>
                      <w:szCs w:val="21"/>
                    </w:rPr>
                  </w:pPr>
                  <w:r>
                    <w:rPr>
                      <w:color w:val="000000"/>
                      <w:kern w:val="0"/>
                      <w:szCs w:val="21"/>
                      <w:lang w:bidi="ar"/>
                    </w:rPr>
                    <w:t>环境</w:t>
                  </w:r>
                </w:p>
                <w:p w14:paraId="2BEAB11E">
                  <w:pPr>
                    <w:widowControl/>
                    <w:jc w:val="center"/>
                    <w:rPr>
                      <w:b/>
                      <w:bCs/>
                      <w:kern w:val="0"/>
                      <w:szCs w:val="21"/>
                    </w:rPr>
                  </w:pPr>
                  <w:r>
                    <w:rPr>
                      <w:color w:val="000000"/>
                      <w:kern w:val="0"/>
                      <w:szCs w:val="21"/>
                      <w:lang w:bidi="ar"/>
                    </w:rPr>
                    <w:t>风险</w:t>
                  </w:r>
                </w:p>
              </w:tc>
              <w:tc>
                <w:tcPr>
                  <w:tcW w:w="3177" w:type="dxa"/>
                  <w:vAlign w:val="center"/>
                </w:tcPr>
                <w:p w14:paraId="7BF841CA">
                  <w:pPr>
                    <w:widowControl/>
                    <w:jc w:val="center"/>
                    <w:rPr>
                      <w:b/>
                      <w:bCs/>
                      <w:kern w:val="0"/>
                      <w:szCs w:val="21"/>
                    </w:rPr>
                  </w:pPr>
                  <w:r>
                    <w:rPr>
                      <w:color w:val="000000"/>
                      <w:kern w:val="0"/>
                      <w:szCs w:val="21"/>
                      <w:lang w:bidi="ar"/>
                    </w:rPr>
                    <w:t>有毒有害和易燃易爆危险物质存储量超过临界量</w:t>
                  </w:r>
                  <w:r>
                    <w:rPr>
                      <w:color w:val="000000"/>
                      <w:kern w:val="0"/>
                      <w:szCs w:val="21"/>
                      <w:vertAlign w:val="superscript"/>
                      <w:lang w:bidi="ar"/>
                    </w:rPr>
                    <w:t>3</w:t>
                  </w:r>
                  <w:r>
                    <w:rPr>
                      <w:color w:val="000000"/>
                      <w:kern w:val="0"/>
                      <w:szCs w:val="21"/>
                      <w:lang w:bidi="ar"/>
                    </w:rPr>
                    <w:t>的建设项目</w:t>
                  </w:r>
                </w:p>
              </w:tc>
              <w:tc>
                <w:tcPr>
                  <w:tcW w:w="2871" w:type="dxa"/>
                  <w:vAlign w:val="center"/>
                </w:tcPr>
                <w:p w14:paraId="62F4E525">
                  <w:pPr>
                    <w:widowControl/>
                    <w:jc w:val="center"/>
                    <w:rPr>
                      <w:b/>
                      <w:bCs/>
                      <w:kern w:val="0"/>
                      <w:szCs w:val="21"/>
                    </w:rPr>
                  </w:pPr>
                  <w:r>
                    <w:rPr>
                      <w:rFonts w:hint="eastAsia"/>
                      <w:color w:val="000000"/>
                      <w:kern w:val="0"/>
                      <w:szCs w:val="21"/>
                      <w:lang w:bidi="ar"/>
                    </w:rPr>
                    <w:t>本项目危险物质存储量不超过临界量。</w:t>
                  </w:r>
                </w:p>
              </w:tc>
            </w:tr>
            <w:tr w14:paraId="62DD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859" w:type="dxa"/>
                  <w:vAlign w:val="center"/>
                </w:tcPr>
                <w:p w14:paraId="31683247">
                  <w:pPr>
                    <w:widowControl/>
                    <w:jc w:val="center"/>
                    <w:rPr>
                      <w:b/>
                      <w:bCs/>
                      <w:kern w:val="0"/>
                      <w:szCs w:val="21"/>
                    </w:rPr>
                  </w:pPr>
                  <w:r>
                    <w:rPr>
                      <w:color w:val="000000"/>
                      <w:kern w:val="0"/>
                      <w:szCs w:val="21"/>
                      <w:lang w:bidi="ar"/>
                    </w:rPr>
                    <w:t>生态</w:t>
                  </w:r>
                </w:p>
              </w:tc>
              <w:tc>
                <w:tcPr>
                  <w:tcW w:w="3177" w:type="dxa"/>
                  <w:vAlign w:val="center"/>
                </w:tcPr>
                <w:p w14:paraId="33F40580">
                  <w:pPr>
                    <w:widowControl/>
                    <w:jc w:val="center"/>
                    <w:rPr>
                      <w:b/>
                      <w:bCs/>
                      <w:kern w:val="0"/>
                      <w:szCs w:val="21"/>
                    </w:rPr>
                  </w:pPr>
                  <w:r>
                    <w:rPr>
                      <w:color w:val="000000"/>
                      <w:kern w:val="0"/>
                      <w:szCs w:val="21"/>
                      <w:lang w:bidi="ar"/>
                    </w:rPr>
                    <w:t>取水口下游500米范围内有重要水生生物的自然产卵场、索饵场、越冬场和洄游通道的新增河道取水的污染类建设项目</w:t>
                  </w:r>
                </w:p>
              </w:tc>
              <w:tc>
                <w:tcPr>
                  <w:tcW w:w="2871" w:type="dxa"/>
                  <w:vAlign w:val="center"/>
                </w:tcPr>
                <w:p w14:paraId="6AB649F4">
                  <w:pPr>
                    <w:widowControl/>
                    <w:jc w:val="center"/>
                    <w:rPr>
                      <w:b/>
                      <w:bCs/>
                      <w:kern w:val="0"/>
                      <w:szCs w:val="21"/>
                    </w:rPr>
                  </w:pPr>
                  <w:r>
                    <w:rPr>
                      <w:rFonts w:hint="eastAsia"/>
                    </w:rPr>
                    <w:t>本项目不涉及河道取水，无需设置生态专项</w:t>
                  </w:r>
                </w:p>
              </w:tc>
            </w:tr>
            <w:tr w14:paraId="2F14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9" w:type="dxa"/>
                  <w:vAlign w:val="center"/>
                </w:tcPr>
                <w:p w14:paraId="4DAB3D3D">
                  <w:pPr>
                    <w:widowControl/>
                    <w:jc w:val="center"/>
                    <w:rPr>
                      <w:b/>
                      <w:bCs/>
                      <w:kern w:val="0"/>
                      <w:szCs w:val="21"/>
                    </w:rPr>
                  </w:pPr>
                  <w:r>
                    <w:rPr>
                      <w:color w:val="000000"/>
                      <w:kern w:val="0"/>
                      <w:szCs w:val="21"/>
                      <w:lang w:bidi="ar"/>
                    </w:rPr>
                    <w:t>海洋</w:t>
                  </w:r>
                </w:p>
              </w:tc>
              <w:tc>
                <w:tcPr>
                  <w:tcW w:w="3177" w:type="dxa"/>
                  <w:vAlign w:val="center"/>
                </w:tcPr>
                <w:p w14:paraId="2DCA687E">
                  <w:pPr>
                    <w:widowControl/>
                    <w:jc w:val="center"/>
                    <w:rPr>
                      <w:b/>
                      <w:bCs/>
                      <w:kern w:val="0"/>
                      <w:szCs w:val="21"/>
                    </w:rPr>
                  </w:pPr>
                  <w:r>
                    <w:rPr>
                      <w:color w:val="000000"/>
                      <w:kern w:val="0"/>
                      <w:szCs w:val="21"/>
                      <w:lang w:bidi="ar"/>
                    </w:rPr>
                    <w:t>直接向海排放污染物的海洋工程建设项目</w:t>
                  </w:r>
                </w:p>
              </w:tc>
              <w:tc>
                <w:tcPr>
                  <w:tcW w:w="2871" w:type="dxa"/>
                  <w:vAlign w:val="center"/>
                </w:tcPr>
                <w:p w14:paraId="6E17216E">
                  <w:pPr>
                    <w:widowControl/>
                    <w:jc w:val="center"/>
                    <w:rPr>
                      <w:b/>
                      <w:bCs/>
                      <w:kern w:val="0"/>
                      <w:szCs w:val="21"/>
                    </w:rPr>
                  </w:pPr>
                  <w:r>
                    <w:rPr>
                      <w:rFonts w:hint="eastAsia"/>
                    </w:rPr>
                    <w:t>本项目不涉及海洋，无需设置海洋专项。</w:t>
                  </w:r>
                </w:p>
              </w:tc>
            </w:tr>
            <w:tr w14:paraId="2F6F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jc w:val="center"/>
              </w:trPr>
              <w:tc>
                <w:tcPr>
                  <w:tcW w:w="859" w:type="dxa"/>
                  <w:vAlign w:val="center"/>
                </w:tcPr>
                <w:p w14:paraId="7A2C11B4">
                  <w:pPr>
                    <w:widowControl/>
                    <w:jc w:val="center"/>
                    <w:rPr>
                      <w:b/>
                      <w:bCs/>
                      <w:kern w:val="0"/>
                      <w:szCs w:val="21"/>
                    </w:rPr>
                  </w:pPr>
                  <w:r>
                    <w:rPr>
                      <w:color w:val="000000"/>
                      <w:kern w:val="0"/>
                      <w:szCs w:val="21"/>
                      <w:lang w:bidi="ar"/>
                    </w:rPr>
                    <w:t>备注</w:t>
                  </w:r>
                </w:p>
              </w:tc>
              <w:tc>
                <w:tcPr>
                  <w:tcW w:w="6048" w:type="dxa"/>
                  <w:gridSpan w:val="2"/>
                  <w:vAlign w:val="center"/>
                </w:tcPr>
                <w:p w14:paraId="030FEE80">
                  <w:pPr>
                    <w:widowControl/>
                    <w:jc w:val="left"/>
                    <w:rPr>
                      <w:szCs w:val="21"/>
                    </w:rPr>
                  </w:pPr>
                  <w:r>
                    <w:rPr>
                      <w:color w:val="000000"/>
                      <w:kern w:val="0"/>
                      <w:szCs w:val="21"/>
                      <w:lang w:bidi="ar"/>
                    </w:rPr>
                    <w:t>1</w:t>
                  </w:r>
                  <w:r>
                    <w:rPr>
                      <w:rFonts w:hint="eastAsia"/>
                      <w:color w:val="000000"/>
                      <w:kern w:val="0"/>
                      <w:szCs w:val="21"/>
                      <w:lang w:bidi="ar"/>
                    </w:rPr>
                    <w:t>、</w:t>
                  </w:r>
                  <w:r>
                    <w:rPr>
                      <w:color w:val="000000"/>
                      <w:kern w:val="0"/>
                      <w:szCs w:val="21"/>
                      <w:lang w:bidi="ar"/>
                    </w:rPr>
                    <w:t>废气中有毒有害污染物指纳入《有毒有害大气污染物名录》的污染物（不包括无排放标准的污染物）。</w:t>
                  </w:r>
                </w:p>
                <w:p w14:paraId="2C825624">
                  <w:pPr>
                    <w:widowControl/>
                    <w:jc w:val="left"/>
                    <w:rPr>
                      <w:szCs w:val="21"/>
                    </w:rPr>
                  </w:pPr>
                  <w:r>
                    <w:rPr>
                      <w:color w:val="000000"/>
                      <w:kern w:val="0"/>
                      <w:szCs w:val="21"/>
                      <w:lang w:bidi="ar"/>
                    </w:rPr>
                    <w:t>2</w:t>
                  </w:r>
                  <w:r>
                    <w:rPr>
                      <w:rFonts w:hint="eastAsia"/>
                      <w:color w:val="000000"/>
                      <w:kern w:val="0"/>
                      <w:szCs w:val="21"/>
                      <w:lang w:bidi="ar"/>
                    </w:rPr>
                    <w:t>、</w:t>
                  </w:r>
                  <w:r>
                    <w:rPr>
                      <w:color w:val="000000"/>
                      <w:kern w:val="0"/>
                      <w:szCs w:val="21"/>
                      <w:lang w:bidi="ar"/>
                    </w:rPr>
                    <w:t>环境空气保护目标指自然保护区、风景名胜区、居住区、文化区和农村地区中人群较集中的区域。</w:t>
                  </w:r>
                </w:p>
                <w:p w14:paraId="0DE72B32">
                  <w:pPr>
                    <w:widowControl/>
                    <w:jc w:val="left"/>
                    <w:rPr>
                      <w:b/>
                      <w:bCs/>
                      <w:kern w:val="0"/>
                      <w:szCs w:val="21"/>
                    </w:rPr>
                  </w:pPr>
                  <w:r>
                    <w:rPr>
                      <w:color w:val="000000"/>
                      <w:kern w:val="0"/>
                      <w:szCs w:val="21"/>
                      <w:lang w:bidi="ar"/>
                    </w:rPr>
                    <w:t>3</w:t>
                  </w:r>
                  <w:r>
                    <w:rPr>
                      <w:rFonts w:hint="eastAsia"/>
                      <w:color w:val="000000"/>
                      <w:kern w:val="0"/>
                      <w:szCs w:val="21"/>
                      <w:lang w:bidi="ar"/>
                    </w:rPr>
                    <w:t>、</w:t>
                  </w:r>
                  <w:r>
                    <w:rPr>
                      <w:color w:val="000000"/>
                      <w:kern w:val="0"/>
                      <w:szCs w:val="21"/>
                      <w:lang w:bidi="ar"/>
                    </w:rPr>
                    <w:t>临界量及其计算方法可参考《建设项目环境风险评价技术导则》（HJ 169）附录 B、附录 C。</w:t>
                  </w:r>
                </w:p>
              </w:tc>
            </w:tr>
          </w:tbl>
          <w:p w14:paraId="3FA73832">
            <w:pPr>
              <w:spacing w:line="360" w:lineRule="auto"/>
              <w:ind w:firstLine="480" w:firstLineChars="200"/>
              <w:jc w:val="left"/>
              <w:rPr>
                <w:rFonts w:hint="eastAsia" w:eastAsia="宋体"/>
                <w:b/>
                <w:bCs/>
                <w:kern w:val="0"/>
                <w:sz w:val="24"/>
                <w:lang w:eastAsia="zh-CN"/>
              </w:rPr>
            </w:pPr>
            <w:r>
              <w:rPr>
                <w:rFonts w:hint="eastAsia"/>
                <w:sz w:val="24"/>
              </w:rPr>
              <w:t>根据《建设项目环境报告表编制技术指南（污染影响类）（试行）》表1专项评价设置原则表，本项目无需设置专项评价</w:t>
            </w:r>
            <w:r>
              <w:rPr>
                <w:rFonts w:hint="eastAsia"/>
                <w:sz w:val="24"/>
                <w:lang w:eastAsia="zh-CN"/>
              </w:rPr>
              <w:t>。</w:t>
            </w:r>
          </w:p>
        </w:tc>
      </w:tr>
      <w:tr w14:paraId="3D2528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731" w:type="dxa"/>
            <w:vAlign w:val="center"/>
          </w:tcPr>
          <w:p w14:paraId="114E0664">
            <w:pPr>
              <w:autoSpaceDE w:val="0"/>
              <w:autoSpaceDN w:val="0"/>
              <w:adjustRightInd w:val="0"/>
              <w:snapToGrid w:val="0"/>
              <w:jc w:val="center"/>
              <w:rPr>
                <w:kern w:val="0"/>
                <w:sz w:val="24"/>
              </w:rPr>
            </w:pPr>
            <w:r>
              <w:rPr>
                <w:sz w:val="24"/>
              </w:rPr>
              <w:t>规划情况</w:t>
            </w:r>
          </w:p>
        </w:tc>
        <w:tc>
          <w:tcPr>
            <w:tcW w:w="7228" w:type="dxa"/>
            <w:gridSpan w:val="3"/>
            <w:vAlign w:val="center"/>
          </w:tcPr>
          <w:p w14:paraId="470C9F0B">
            <w:pPr>
              <w:spacing w:line="360" w:lineRule="auto"/>
              <w:ind w:firstLine="480" w:firstLineChars="200"/>
              <w:jc w:val="left"/>
              <w:rPr>
                <w:rFonts w:hint="default"/>
                <w:sz w:val="24"/>
                <w:lang w:val="en-US" w:eastAsia="zh-CN"/>
              </w:rPr>
            </w:pPr>
            <w:r>
              <w:rPr>
                <w:rFonts w:hint="default" w:ascii="Times New Roman" w:hAnsi="Times New Roman" w:eastAsia="Segoe UI Emoji" w:cs="Times New Roman"/>
                <w:i w:val="0"/>
                <w:iCs w:val="0"/>
                <w:caps w:val="0"/>
                <w:color w:val="000000"/>
                <w:spacing w:val="0"/>
                <w:sz w:val="24"/>
                <w:szCs w:val="24"/>
                <w:lang w:eastAsia="zh-CN"/>
              </w:rPr>
              <w:t>《</w:t>
            </w:r>
            <w:r>
              <w:rPr>
                <w:rFonts w:hint="default" w:ascii="Times New Roman" w:hAnsi="Times New Roman" w:eastAsia="Segoe UI Emoji" w:cs="Times New Roman"/>
                <w:i w:val="0"/>
                <w:iCs w:val="0"/>
                <w:caps w:val="0"/>
                <w:color w:val="000000"/>
                <w:spacing w:val="0"/>
                <w:sz w:val="24"/>
                <w:szCs w:val="24"/>
              </w:rPr>
              <w:t>鄂尔多斯鄂托克高新技术产业开发区国土空间总体规划（2021-2035年）</w:t>
            </w:r>
            <w:r>
              <w:rPr>
                <w:rFonts w:hint="default" w:ascii="Times New Roman" w:hAnsi="Times New Roman" w:eastAsia="Segoe UI Emoji" w:cs="Times New Roman"/>
                <w:i w:val="0"/>
                <w:iCs w:val="0"/>
                <w:caps w:val="0"/>
                <w:color w:val="000000"/>
                <w:spacing w:val="0"/>
                <w:sz w:val="24"/>
                <w:szCs w:val="24"/>
                <w:lang w:eastAsia="zh-CN"/>
              </w:rPr>
              <w:t>》</w:t>
            </w:r>
            <w:r>
              <w:rPr>
                <w:rFonts w:hint="eastAsia" w:ascii="Times New Roman" w:hAnsi="Times New Roman" w:eastAsia="Segoe UI Emoji" w:cs="Times New Roman"/>
                <w:i w:val="0"/>
                <w:iCs w:val="0"/>
                <w:caps w:val="0"/>
                <w:color w:val="000000"/>
                <w:spacing w:val="0"/>
                <w:sz w:val="24"/>
                <w:szCs w:val="24"/>
                <w:lang w:val="en-US" w:eastAsia="zh-CN"/>
              </w:rPr>
              <w:t>已上报，还未审批。</w:t>
            </w:r>
          </w:p>
        </w:tc>
      </w:tr>
      <w:tr w14:paraId="55FEBC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85" w:hRule="atLeast"/>
          <w:jc w:val="center"/>
        </w:trPr>
        <w:tc>
          <w:tcPr>
            <w:tcW w:w="1731" w:type="dxa"/>
            <w:vAlign w:val="center"/>
          </w:tcPr>
          <w:p w14:paraId="553BA694">
            <w:pPr>
              <w:adjustRightInd w:val="0"/>
              <w:snapToGrid w:val="0"/>
              <w:jc w:val="center"/>
              <w:rPr>
                <w:sz w:val="24"/>
              </w:rPr>
            </w:pPr>
            <w:r>
              <w:rPr>
                <w:sz w:val="24"/>
              </w:rPr>
              <w:t>规划环境影响</w:t>
            </w:r>
          </w:p>
          <w:p w14:paraId="0A34369B">
            <w:pPr>
              <w:adjustRightInd w:val="0"/>
              <w:snapToGrid w:val="0"/>
              <w:jc w:val="center"/>
              <w:rPr>
                <w:kern w:val="0"/>
                <w:sz w:val="24"/>
              </w:rPr>
            </w:pPr>
            <w:r>
              <w:rPr>
                <w:sz w:val="24"/>
              </w:rPr>
              <w:t>评价情况</w:t>
            </w:r>
          </w:p>
        </w:tc>
        <w:tc>
          <w:tcPr>
            <w:tcW w:w="7228" w:type="dxa"/>
            <w:gridSpan w:val="3"/>
            <w:vAlign w:val="center"/>
          </w:tcPr>
          <w:p w14:paraId="4FAF18B4">
            <w:pPr>
              <w:spacing w:line="360" w:lineRule="auto"/>
              <w:ind w:firstLine="480" w:firstLineChars="200"/>
              <w:jc w:val="left"/>
              <w:rPr>
                <w:color w:val="auto"/>
                <w:kern w:val="0"/>
                <w:sz w:val="24"/>
              </w:rPr>
            </w:pPr>
            <w:r>
              <w:rPr>
                <w:rFonts w:hint="eastAsia"/>
                <w:color w:val="auto"/>
                <w:kern w:val="0"/>
                <w:sz w:val="24"/>
              </w:rPr>
              <w:t>《内蒙古鄂托克经济开发区国土空间总体规划（</w:t>
            </w:r>
            <w:r>
              <w:rPr>
                <w:color w:val="auto"/>
                <w:kern w:val="0"/>
                <w:sz w:val="24"/>
              </w:rPr>
              <w:t>2021-2035</w:t>
            </w:r>
            <w:r>
              <w:rPr>
                <w:rFonts w:hint="eastAsia"/>
                <w:color w:val="auto"/>
                <w:kern w:val="0"/>
                <w:sz w:val="24"/>
              </w:rPr>
              <w:t>）棋盘井产业园环境影响报告书》</w:t>
            </w:r>
          </w:p>
          <w:p w14:paraId="47F710F4">
            <w:pPr>
              <w:spacing w:line="360" w:lineRule="auto"/>
              <w:ind w:firstLine="480" w:firstLineChars="200"/>
              <w:jc w:val="left"/>
              <w:rPr>
                <w:color w:val="auto"/>
                <w:kern w:val="0"/>
                <w:sz w:val="24"/>
              </w:rPr>
            </w:pPr>
            <w:r>
              <w:rPr>
                <w:rFonts w:hint="eastAsia"/>
                <w:color w:val="auto"/>
                <w:kern w:val="0"/>
                <w:sz w:val="24"/>
              </w:rPr>
              <w:t>审查机关：内蒙古自治区生态环境厅</w:t>
            </w:r>
          </w:p>
          <w:p w14:paraId="45A93596">
            <w:pPr>
              <w:spacing w:line="360" w:lineRule="auto"/>
              <w:ind w:firstLine="480" w:firstLineChars="200"/>
              <w:jc w:val="left"/>
              <w:rPr>
                <w:color w:val="auto"/>
                <w:kern w:val="0"/>
                <w:sz w:val="24"/>
              </w:rPr>
            </w:pPr>
            <w:r>
              <w:rPr>
                <w:rFonts w:hint="eastAsia"/>
                <w:color w:val="auto"/>
                <w:kern w:val="0"/>
                <w:sz w:val="24"/>
              </w:rPr>
              <w:t>审查文件名称：关于《内蒙古鄂托克经济开发区国土空间总体规划（2021-2035）棋盘井产业园环境影响报告书》的审查意见（附件</w:t>
            </w:r>
            <w:r>
              <w:rPr>
                <w:rFonts w:hint="eastAsia"/>
                <w:color w:val="auto"/>
                <w:kern w:val="0"/>
                <w:sz w:val="24"/>
                <w:lang w:val="en-US" w:eastAsia="zh-CN"/>
              </w:rPr>
              <w:t>8</w:t>
            </w:r>
            <w:r>
              <w:rPr>
                <w:color w:val="auto"/>
                <w:kern w:val="0"/>
                <w:sz w:val="24"/>
              </w:rPr>
              <w:t>）</w:t>
            </w:r>
          </w:p>
          <w:p w14:paraId="340F4D61">
            <w:pPr>
              <w:spacing w:line="360" w:lineRule="auto"/>
              <w:ind w:firstLine="480" w:firstLineChars="200"/>
              <w:jc w:val="left"/>
              <w:rPr>
                <w:color w:val="auto"/>
                <w:kern w:val="0"/>
                <w:sz w:val="24"/>
              </w:rPr>
            </w:pPr>
            <w:r>
              <w:rPr>
                <w:rFonts w:hint="eastAsia"/>
                <w:color w:val="auto"/>
                <w:kern w:val="0"/>
                <w:sz w:val="24"/>
              </w:rPr>
              <w:t>审批时间：2023年9月18日</w:t>
            </w:r>
          </w:p>
          <w:p w14:paraId="0D8932BE">
            <w:pPr>
              <w:spacing w:line="360" w:lineRule="auto"/>
              <w:ind w:firstLine="480" w:firstLineChars="200"/>
              <w:jc w:val="left"/>
              <w:rPr>
                <w:color w:val="auto"/>
                <w:kern w:val="0"/>
                <w:sz w:val="24"/>
                <w:highlight w:val="yellow"/>
              </w:rPr>
            </w:pPr>
            <w:r>
              <w:rPr>
                <w:rFonts w:hint="eastAsia"/>
                <w:color w:val="auto"/>
                <w:kern w:val="0"/>
                <w:sz w:val="24"/>
              </w:rPr>
              <w:t>审批文号：内环审〔2023〕48号</w:t>
            </w:r>
          </w:p>
        </w:tc>
      </w:tr>
      <w:tr w14:paraId="4C713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731" w:type="dxa"/>
            <w:vAlign w:val="center"/>
          </w:tcPr>
          <w:p w14:paraId="38E1D8C6">
            <w:pPr>
              <w:adjustRightInd w:val="0"/>
              <w:snapToGrid w:val="0"/>
              <w:jc w:val="center"/>
              <w:rPr>
                <w:sz w:val="24"/>
              </w:rPr>
            </w:pPr>
          </w:p>
        </w:tc>
        <w:tc>
          <w:tcPr>
            <w:tcW w:w="7228" w:type="dxa"/>
            <w:gridSpan w:val="3"/>
            <w:vMerge w:val="restart"/>
            <w:vAlign w:val="center"/>
          </w:tcPr>
          <w:p w14:paraId="4CCC8BAA">
            <w:pPr>
              <w:numPr>
                <w:ilvl w:val="0"/>
                <w:numId w:val="1"/>
              </w:numPr>
              <w:autoSpaceDE w:val="0"/>
              <w:autoSpaceDN w:val="0"/>
              <w:adjustRightInd w:val="0"/>
              <w:snapToGrid w:val="0"/>
              <w:spacing w:line="360" w:lineRule="auto"/>
              <w:ind w:firstLine="482" w:firstLineChars="200"/>
              <w:rPr>
                <w:b/>
                <w:bCs/>
                <w:color w:val="auto"/>
                <w:kern w:val="0"/>
                <w:sz w:val="24"/>
              </w:rPr>
            </w:pPr>
            <w:r>
              <w:rPr>
                <w:rFonts w:hint="eastAsia"/>
                <w:b/>
                <w:bCs/>
                <w:color w:val="auto"/>
                <w:kern w:val="0"/>
                <w:sz w:val="24"/>
              </w:rPr>
              <w:t>与规划符合性分析</w:t>
            </w:r>
          </w:p>
          <w:p w14:paraId="2CBA63AE">
            <w:pPr>
              <w:pStyle w:val="46"/>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棋盘井园区近期规划主要产业规模为特色冶金产业600万 t/a ，焦化300万t/a 、电石130万t/a 、PVC40万t/a 、氯碱32万t/a，天然气化工产业250万t/a；远期规划主要产业规模特色冶金产业 750万t/a，焦化400万t/a、盐化产品200万t/a，天然气化工产业570 万t/a；跟踪评价指出，在符合国家产业政策的基础上，结合园 区现有及在建产业状况，控制现有产业规模，不再新增焦化、水泥、电石、铁合金等高耗能、高污染行业产能。重点打造四大支柱产业及配套产业：一是依托现有能源重化工产业基础优势，打造具有竞争力的能源化工产业；二是依托焦化、天然气化工和氯碱化工产业，集中发展下游精细化工产业；三是依托氯碱产业发展高附加值的新材料及塑料加工产业；四是实现资源的综合利用，利用硅渣、电石渣、煤矸石、粉煤灰等废弃物发展建材产业；五是打造与四大支柱产业配套的现代化物流、水务、环保等配套产业。</w:t>
            </w:r>
          </w:p>
          <w:p w14:paraId="042D0C4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本项目位于内蒙古鄂尔多斯市鄂托克经济开发区棋东项目区，</w:t>
            </w:r>
            <w:r>
              <w:rPr>
                <w:rFonts w:hint="eastAsia" w:cs="Times New Roman"/>
                <w:color w:val="auto"/>
                <w:kern w:val="0"/>
                <w:sz w:val="24"/>
                <w:szCs w:val="24"/>
                <w:lang w:val="en-US" w:eastAsia="zh-CN" w:bidi="ar-SA"/>
              </w:rPr>
              <w:t>位于绿色焦化板块，本项目</w:t>
            </w:r>
            <w:r>
              <w:rPr>
                <w:rFonts w:hint="eastAsia" w:ascii="Times New Roman" w:hAnsi="Times New Roman" w:eastAsia="宋体" w:cs="Times New Roman"/>
                <w:color w:val="auto"/>
                <w:kern w:val="0"/>
                <w:sz w:val="24"/>
                <w:szCs w:val="24"/>
                <w:lang w:val="en-US" w:eastAsia="zh-CN" w:bidi="ar-SA"/>
              </w:rPr>
              <w:t>属于焦化产业的配套资源回收利用项目</w:t>
            </w:r>
            <w:r>
              <w:rPr>
                <w:rFonts w:hint="eastAsia" w:cs="Times New Roman"/>
                <w:color w:val="auto"/>
                <w:kern w:val="0"/>
                <w:sz w:val="24"/>
                <w:szCs w:val="24"/>
                <w:lang w:val="en-US" w:eastAsia="zh-CN" w:bidi="ar-SA"/>
              </w:rPr>
              <w:t>。因此，本项目</w:t>
            </w:r>
            <w:r>
              <w:rPr>
                <w:rFonts w:hint="eastAsia" w:ascii="Times New Roman" w:hAnsi="Times New Roman" w:eastAsia="宋体" w:cs="Times New Roman"/>
                <w:color w:val="auto"/>
                <w:kern w:val="0"/>
                <w:sz w:val="24"/>
                <w:szCs w:val="24"/>
                <w:lang w:val="en-US" w:eastAsia="zh-CN" w:bidi="ar-SA"/>
              </w:rPr>
              <w:t>符合园区用地规划。</w:t>
            </w:r>
          </w:p>
          <w:p w14:paraId="205FD45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2" w:firstLineChars="200"/>
              <w:jc w:val="left"/>
              <w:textAlignment w:val="auto"/>
              <w:rPr>
                <w:b/>
                <w:bCs/>
                <w:color w:val="auto"/>
                <w:kern w:val="0"/>
                <w:sz w:val="24"/>
              </w:rPr>
            </w:pPr>
            <w:r>
              <w:rPr>
                <w:rFonts w:hint="eastAsia"/>
                <w:b/>
                <w:bCs/>
                <w:color w:val="auto"/>
                <w:kern w:val="0"/>
                <w:sz w:val="24"/>
                <w:lang w:val="en-US" w:eastAsia="zh-CN"/>
              </w:rPr>
              <w:t>2、</w:t>
            </w:r>
            <w:r>
              <w:rPr>
                <w:rFonts w:hint="eastAsia"/>
                <w:b/>
                <w:bCs/>
                <w:color w:val="auto"/>
                <w:kern w:val="0"/>
                <w:sz w:val="24"/>
              </w:rPr>
              <w:t>规划环评及审查意见的符合性分析</w:t>
            </w:r>
          </w:p>
          <w:p w14:paraId="58E5FE4C">
            <w:pPr>
              <w:autoSpaceDE w:val="0"/>
              <w:autoSpaceDN w:val="0"/>
              <w:adjustRightInd w:val="0"/>
              <w:snapToGrid w:val="0"/>
              <w:spacing w:line="360" w:lineRule="auto"/>
              <w:ind w:firstLine="480" w:firstLineChars="200"/>
              <w:jc w:val="left"/>
              <w:rPr>
                <w:rFonts w:hint="default"/>
                <w:color w:val="auto"/>
                <w:kern w:val="0"/>
                <w:sz w:val="24"/>
                <w:lang w:val="en-US"/>
              </w:rPr>
            </w:pPr>
            <w:r>
              <w:rPr>
                <w:rFonts w:hint="eastAsia"/>
                <w:color w:val="auto"/>
                <w:kern w:val="0"/>
                <w:sz w:val="24"/>
              </w:rPr>
              <w:t>本项目位于鄂尔多斯市鄂托克旗棋盘井工业园区，2023年内蒙古自治区生态环境厅出具了关于《内蒙古鄂托克经济开发区国土空间总体规划（2021-2035）棋盘井产业园环境影响报告书》的审查意见（内环审[2023]48 号）。本项目与规划环评及规划环评审查意见的相符性分析</w:t>
            </w:r>
            <w:r>
              <w:rPr>
                <w:rFonts w:hint="eastAsia"/>
                <w:color w:val="auto"/>
                <w:kern w:val="0"/>
                <w:sz w:val="24"/>
                <w:lang w:val="en-US" w:eastAsia="zh-CN"/>
              </w:rPr>
              <w:t>表1-1。</w:t>
            </w:r>
          </w:p>
          <w:p w14:paraId="1F93C144">
            <w:pPr>
              <w:jc w:val="center"/>
              <w:rPr>
                <w:b/>
                <w:color w:val="auto"/>
                <w:kern w:val="0"/>
                <w:sz w:val="24"/>
                <w:szCs w:val="21"/>
              </w:rPr>
            </w:pPr>
            <w:r>
              <w:rPr>
                <w:rFonts w:hint="eastAsia"/>
                <w:b/>
                <w:color w:val="auto"/>
                <w:kern w:val="0"/>
                <w:sz w:val="24"/>
                <w:szCs w:val="21"/>
              </w:rPr>
              <w:t>表1-</w:t>
            </w:r>
            <w:r>
              <w:rPr>
                <w:rFonts w:hint="eastAsia"/>
                <w:b/>
                <w:color w:val="auto"/>
                <w:kern w:val="0"/>
                <w:sz w:val="24"/>
                <w:szCs w:val="21"/>
                <w:lang w:val="en-US" w:eastAsia="zh-CN"/>
              </w:rPr>
              <w:t>1</w:t>
            </w:r>
            <w:r>
              <w:rPr>
                <w:rFonts w:hint="eastAsia"/>
                <w:b/>
                <w:color w:val="auto"/>
                <w:kern w:val="0"/>
                <w:sz w:val="24"/>
                <w:szCs w:val="21"/>
              </w:rPr>
              <w:t xml:space="preserve">   本项目与园区规划环评的相符性分析表</w:t>
            </w:r>
          </w:p>
          <w:tbl>
            <w:tblPr>
              <w:tblStyle w:val="23"/>
              <w:tblW w:w="7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3355"/>
              <w:gridCol w:w="2362"/>
              <w:gridCol w:w="690"/>
            </w:tblGrid>
            <w:tr w14:paraId="2FDE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624" w:type="dxa"/>
                  <w:vAlign w:val="center"/>
                </w:tcPr>
                <w:p w14:paraId="0DD18F8B">
                  <w:pPr>
                    <w:widowControl/>
                    <w:jc w:val="center"/>
                    <w:rPr>
                      <w:color w:val="auto"/>
                      <w:kern w:val="0"/>
                      <w:szCs w:val="21"/>
                      <w:lang w:bidi="ar"/>
                    </w:rPr>
                  </w:pPr>
                  <w:r>
                    <w:rPr>
                      <w:rFonts w:hint="eastAsia"/>
                      <w:color w:val="auto"/>
                      <w:kern w:val="0"/>
                      <w:szCs w:val="21"/>
                      <w:lang w:bidi="ar"/>
                    </w:rPr>
                    <w:t>项目</w:t>
                  </w:r>
                </w:p>
              </w:tc>
              <w:tc>
                <w:tcPr>
                  <w:tcW w:w="3355" w:type="dxa"/>
                  <w:vAlign w:val="center"/>
                </w:tcPr>
                <w:p w14:paraId="52ABC46C">
                  <w:pPr>
                    <w:widowControl/>
                    <w:jc w:val="center"/>
                    <w:rPr>
                      <w:color w:val="auto"/>
                      <w:kern w:val="0"/>
                      <w:szCs w:val="21"/>
                      <w:lang w:bidi="ar"/>
                    </w:rPr>
                  </w:pPr>
                  <w:r>
                    <w:rPr>
                      <w:rFonts w:hint="eastAsia"/>
                      <w:color w:val="auto"/>
                      <w:kern w:val="0"/>
                      <w:szCs w:val="21"/>
                      <w:lang w:bidi="ar"/>
                    </w:rPr>
                    <w:t>规划环评提出的主要环境保护措施</w:t>
                  </w:r>
                </w:p>
              </w:tc>
              <w:tc>
                <w:tcPr>
                  <w:tcW w:w="2362" w:type="dxa"/>
                  <w:vAlign w:val="center"/>
                </w:tcPr>
                <w:p w14:paraId="7B0A7502">
                  <w:pPr>
                    <w:widowControl/>
                    <w:jc w:val="center"/>
                    <w:rPr>
                      <w:color w:val="auto"/>
                      <w:kern w:val="0"/>
                      <w:szCs w:val="21"/>
                      <w:lang w:bidi="ar"/>
                    </w:rPr>
                  </w:pPr>
                  <w:r>
                    <w:rPr>
                      <w:rFonts w:hint="eastAsia"/>
                      <w:color w:val="auto"/>
                      <w:kern w:val="0"/>
                      <w:szCs w:val="21"/>
                      <w:lang w:bidi="ar"/>
                    </w:rPr>
                    <w:t>本项目情况</w:t>
                  </w:r>
                </w:p>
                <w:p w14:paraId="11C831E9">
                  <w:pPr>
                    <w:widowControl/>
                    <w:jc w:val="center"/>
                    <w:rPr>
                      <w:color w:val="auto"/>
                      <w:kern w:val="0"/>
                      <w:szCs w:val="21"/>
                      <w:lang w:bidi="ar"/>
                    </w:rPr>
                  </w:pPr>
                </w:p>
              </w:tc>
              <w:tc>
                <w:tcPr>
                  <w:tcW w:w="690" w:type="dxa"/>
                  <w:vAlign w:val="center"/>
                </w:tcPr>
                <w:p w14:paraId="2365901A">
                  <w:pPr>
                    <w:widowControl/>
                    <w:jc w:val="center"/>
                    <w:rPr>
                      <w:color w:val="auto"/>
                      <w:kern w:val="0"/>
                      <w:szCs w:val="21"/>
                      <w:lang w:bidi="ar"/>
                    </w:rPr>
                  </w:pPr>
                  <w:r>
                    <w:rPr>
                      <w:rFonts w:hint="eastAsia"/>
                      <w:color w:val="auto"/>
                      <w:kern w:val="0"/>
                      <w:szCs w:val="21"/>
                      <w:lang w:bidi="ar"/>
                    </w:rPr>
                    <w:t>符合性</w:t>
                  </w:r>
                </w:p>
              </w:tc>
            </w:tr>
            <w:tr w14:paraId="443B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624" w:type="dxa"/>
                  <w:vAlign w:val="center"/>
                </w:tcPr>
                <w:p w14:paraId="5FE93E47">
                  <w:pPr>
                    <w:widowControl/>
                    <w:jc w:val="center"/>
                    <w:rPr>
                      <w:color w:val="auto"/>
                      <w:szCs w:val="21"/>
                    </w:rPr>
                  </w:pPr>
                  <w:r>
                    <w:rPr>
                      <w:rFonts w:hint="eastAsia" w:ascii="宋体" w:hAnsi="宋体" w:cs="宋体"/>
                      <w:color w:val="auto"/>
                      <w:kern w:val="0"/>
                      <w:szCs w:val="21"/>
                      <w:lang w:bidi="ar"/>
                    </w:rPr>
                    <w:t>大气</w:t>
                  </w:r>
                </w:p>
                <w:p w14:paraId="3377C247">
                  <w:pPr>
                    <w:widowControl/>
                    <w:jc w:val="center"/>
                    <w:rPr>
                      <w:color w:val="auto"/>
                      <w:szCs w:val="21"/>
                    </w:rPr>
                  </w:pPr>
                  <w:r>
                    <w:rPr>
                      <w:rFonts w:hint="eastAsia" w:ascii="宋体" w:hAnsi="宋体" w:cs="宋体"/>
                      <w:color w:val="auto"/>
                      <w:kern w:val="0"/>
                      <w:szCs w:val="21"/>
                      <w:lang w:bidi="ar"/>
                    </w:rPr>
                    <w:t>污染</w:t>
                  </w:r>
                </w:p>
                <w:p w14:paraId="2895A9EA">
                  <w:pPr>
                    <w:widowControl/>
                    <w:jc w:val="center"/>
                    <w:rPr>
                      <w:color w:val="auto"/>
                      <w:szCs w:val="21"/>
                    </w:rPr>
                  </w:pPr>
                  <w:r>
                    <w:rPr>
                      <w:rFonts w:hint="eastAsia" w:ascii="宋体" w:hAnsi="宋体" w:cs="宋体"/>
                      <w:color w:val="auto"/>
                      <w:kern w:val="0"/>
                      <w:szCs w:val="21"/>
                      <w:lang w:bidi="ar"/>
                    </w:rPr>
                    <w:t>控制</w:t>
                  </w:r>
                </w:p>
                <w:p w14:paraId="61AE79B0">
                  <w:pPr>
                    <w:widowControl/>
                    <w:jc w:val="center"/>
                    <w:rPr>
                      <w:color w:val="auto"/>
                      <w:szCs w:val="21"/>
                    </w:rPr>
                  </w:pPr>
                  <w:r>
                    <w:rPr>
                      <w:rFonts w:hint="eastAsia" w:ascii="宋体" w:hAnsi="宋体" w:cs="宋体"/>
                      <w:color w:val="auto"/>
                      <w:kern w:val="0"/>
                      <w:szCs w:val="21"/>
                      <w:lang w:bidi="ar"/>
                    </w:rPr>
                    <w:t>措施</w:t>
                  </w:r>
                </w:p>
                <w:p w14:paraId="26EC0427">
                  <w:pPr>
                    <w:autoSpaceDE w:val="0"/>
                    <w:autoSpaceDN w:val="0"/>
                    <w:adjustRightInd w:val="0"/>
                    <w:snapToGrid w:val="0"/>
                    <w:jc w:val="center"/>
                    <w:rPr>
                      <w:b/>
                      <w:bCs/>
                      <w:color w:val="auto"/>
                      <w:kern w:val="0"/>
                      <w:szCs w:val="21"/>
                    </w:rPr>
                  </w:pPr>
                </w:p>
              </w:tc>
              <w:tc>
                <w:tcPr>
                  <w:tcW w:w="3355" w:type="dxa"/>
                  <w:vAlign w:val="center"/>
                </w:tcPr>
                <w:p w14:paraId="34226587">
                  <w:pPr>
                    <w:widowControl/>
                    <w:jc w:val="center"/>
                    <w:rPr>
                      <w:b/>
                      <w:bCs/>
                      <w:color w:val="auto"/>
                      <w:kern w:val="0"/>
                      <w:szCs w:val="21"/>
                    </w:rPr>
                  </w:pPr>
                  <w:r>
                    <w:rPr>
                      <w:rFonts w:hint="eastAsia" w:ascii="宋体" w:hAnsi="宋体" w:cs="宋体"/>
                      <w:color w:val="auto"/>
                      <w:kern w:val="0"/>
                      <w:szCs w:val="21"/>
                      <w:lang w:bidi="ar"/>
                    </w:rPr>
                    <w:t>①严格落实国家、自治区关于污染物排放总量控制制度，将污染物总量控制指标作为新上项目审批的前置条件，严控污染物排放总量，以总量确定项目。新建排放二氧化硫，氮氧化物、工业烟粉尘、挥发性有机物的项目，实行污染物排放等量替代。②严控“两高”项目新增产能，确需建设且符合相关准入要求的，新增主要污染物排放量实行区域削减。</w:t>
                  </w:r>
                </w:p>
              </w:tc>
              <w:tc>
                <w:tcPr>
                  <w:tcW w:w="2362" w:type="dxa"/>
                  <w:vAlign w:val="center"/>
                </w:tcPr>
                <w:p w14:paraId="1262E092">
                  <w:pPr>
                    <w:widowControl/>
                    <w:jc w:val="center"/>
                    <w:rPr>
                      <w:color w:val="auto"/>
                      <w:szCs w:val="21"/>
                    </w:rPr>
                  </w:pPr>
                  <w:r>
                    <w:rPr>
                      <w:rFonts w:hint="eastAsia" w:ascii="宋体" w:hAnsi="宋体" w:cs="宋体"/>
                      <w:color w:val="auto"/>
                      <w:kern w:val="0"/>
                      <w:szCs w:val="21"/>
                      <w:lang w:bidi="ar"/>
                    </w:rPr>
                    <w:t>①本项目为鄂托克旗新航焦化有限公司</w:t>
                  </w:r>
                  <w:r>
                    <w:rPr>
                      <w:color w:val="auto"/>
                      <w:kern w:val="0"/>
                      <w:szCs w:val="21"/>
                      <w:lang w:bidi="ar"/>
                    </w:rPr>
                    <w:t>45</w:t>
                  </w:r>
                  <w:r>
                    <w:rPr>
                      <w:rFonts w:hint="eastAsia" w:ascii="宋体" w:hAnsi="宋体" w:cs="宋体"/>
                      <w:color w:val="auto"/>
                      <w:kern w:val="0"/>
                      <w:szCs w:val="21"/>
                      <w:lang w:bidi="ar"/>
                    </w:rPr>
                    <w:t>万吨/年含碳固废综合利用项目，是资源回收再利用项目，所需干燥热源采用在新航焦化新设上升管余热回收装置产生的饱和蒸汽，因此本项目不新增排放二氧化硫、氮氧化物，不属于排放挥发性有机物的项目，粉尘经收集处理后达标排放。</w:t>
                  </w:r>
                </w:p>
                <w:p w14:paraId="4ACD9EA8">
                  <w:pPr>
                    <w:widowControl/>
                    <w:jc w:val="center"/>
                    <w:rPr>
                      <w:b/>
                      <w:bCs/>
                      <w:color w:val="auto"/>
                      <w:kern w:val="0"/>
                      <w:szCs w:val="21"/>
                    </w:rPr>
                  </w:pPr>
                  <w:r>
                    <w:rPr>
                      <w:rFonts w:hint="eastAsia" w:ascii="宋体" w:hAnsi="宋体" w:cs="宋体"/>
                      <w:color w:val="auto"/>
                      <w:kern w:val="0"/>
                      <w:szCs w:val="21"/>
                      <w:lang w:bidi="ar"/>
                    </w:rPr>
                    <w:t>②本项目不属于“两高”行业，项目建成运行后通过内部管理、设备选择、废物回收利用及污染治理等多方面采取可行的防治措施，以“节能、降耗、减污”为目标，提高资源利用效率。</w:t>
                  </w:r>
                </w:p>
              </w:tc>
              <w:tc>
                <w:tcPr>
                  <w:tcW w:w="690" w:type="dxa"/>
                  <w:vAlign w:val="center"/>
                </w:tcPr>
                <w:p w14:paraId="4BAC532C">
                  <w:pPr>
                    <w:widowControl/>
                    <w:jc w:val="center"/>
                    <w:rPr>
                      <w:b/>
                      <w:bCs/>
                      <w:color w:val="auto"/>
                      <w:kern w:val="0"/>
                      <w:szCs w:val="21"/>
                    </w:rPr>
                  </w:pPr>
                  <w:r>
                    <w:rPr>
                      <w:rFonts w:hint="eastAsia"/>
                      <w:color w:val="auto"/>
                      <w:kern w:val="0"/>
                      <w:szCs w:val="21"/>
                      <w:lang w:bidi="ar"/>
                    </w:rPr>
                    <w:t>符合</w:t>
                  </w:r>
                </w:p>
              </w:tc>
            </w:tr>
            <w:tr w14:paraId="6F9D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624" w:type="dxa"/>
                  <w:vAlign w:val="center"/>
                </w:tcPr>
                <w:p w14:paraId="43757D59">
                  <w:pPr>
                    <w:widowControl/>
                    <w:jc w:val="center"/>
                    <w:rPr>
                      <w:color w:val="auto"/>
                      <w:szCs w:val="21"/>
                    </w:rPr>
                  </w:pPr>
                  <w:r>
                    <w:rPr>
                      <w:rFonts w:hint="eastAsia" w:ascii="宋体" w:hAnsi="宋体" w:cs="宋体"/>
                      <w:color w:val="auto"/>
                      <w:kern w:val="0"/>
                      <w:szCs w:val="21"/>
                      <w:lang w:bidi="ar"/>
                    </w:rPr>
                    <w:t>废水</w:t>
                  </w:r>
                </w:p>
                <w:p w14:paraId="1E2F332F">
                  <w:pPr>
                    <w:widowControl/>
                    <w:jc w:val="center"/>
                    <w:rPr>
                      <w:color w:val="auto"/>
                      <w:szCs w:val="21"/>
                    </w:rPr>
                  </w:pPr>
                  <w:r>
                    <w:rPr>
                      <w:rFonts w:hint="eastAsia" w:ascii="宋体" w:hAnsi="宋体" w:cs="宋体"/>
                      <w:color w:val="auto"/>
                      <w:kern w:val="0"/>
                      <w:szCs w:val="21"/>
                      <w:lang w:bidi="ar"/>
                    </w:rPr>
                    <w:t>污染</w:t>
                  </w:r>
                </w:p>
                <w:p w14:paraId="2D3CE0AB">
                  <w:pPr>
                    <w:widowControl/>
                    <w:jc w:val="center"/>
                    <w:rPr>
                      <w:color w:val="auto"/>
                      <w:szCs w:val="21"/>
                    </w:rPr>
                  </w:pPr>
                  <w:r>
                    <w:rPr>
                      <w:rFonts w:hint="eastAsia" w:ascii="宋体" w:hAnsi="宋体" w:cs="宋体"/>
                      <w:color w:val="auto"/>
                      <w:kern w:val="0"/>
                      <w:szCs w:val="21"/>
                      <w:lang w:bidi="ar"/>
                    </w:rPr>
                    <w:t>影响</w:t>
                  </w:r>
                </w:p>
                <w:p w14:paraId="236154A3">
                  <w:pPr>
                    <w:widowControl/>
                    <w:jc w:val="center"/>
                    <w:rPr>
                      <w:color w:val="auto"/>
                      <w:szCs w:val="21"/>
                    </w:rPr>
                  </w:pPr>
                  <w:r>
                    <w:rPr>
                      <w:rFonts w:hint="eastAsia" w:ascii="宋体" w:hAnsi="宋体" w:cs="宋体"/>
                      <w:color w:val="auto"/>
                      <w:kern w:val="0"/>
                      <w:szCs w:val="21"/>
                      <w:lang w:bidi="ar"/>
                    </w:rPr>
                    <w:t>措施</w:t>
                  </w:r>
                </w:p>
                <w:p w14:paraId="589A5C79">
                  <w:pPr>
                    <w:autoSpaceDE w:val="0"/>
                    <w:autoSpaceDN w:val="0"/>
                    <w:adjustRightInd w:val="0"/>
                    <w:snapToGrid w:val="0"/>
                    <w:jc w:val="center"/>
                    <w:rPr>
                      <w:b/>
                      <w:bCs/>
                      <w:color w:val="auto"/>
                      <w:kern w:val="0"/>
                      <w:szCs w:val="21"/>
                    </w:rPr>
                  </w:pPr>
                </w:p>
              </w:tc>
              <w:tc>
                <w:tcPr>
                  <w:tcW w:w="3355" w:type="dxa"/>
                  <w:vAlign w:val="center"/>
                </w:tcPr>
                <w:p w14:paraId="41B9FA99">
                  <w:pPr>
                    <w:widowControl/>
                    <w:jc w:val="center"/>
                    <w:rPr>
                      <w:b/>
                      <w:bCs/>
                      <w:color w:val="auto"/>
                      <w:kern w:val="0"/>
                      <w:szCs w:val="21"/>
                    </w:rPr>
                  </w:pPr>
                  <w:r>
                    <w:rPr>
                      <w:rFonts w:hint="eastAsia" w:ascii="宋体" w:hAnsi="宋体" w:cs="宋体"/>
                      <w:color w:val="auto"/>
                      <w:kern w:val="0"/>
                      <w:szCs w:val="21"/>
                      <w:lang w:bidi="ar"/>
                    </w:rPr>
                    <w:t>①提高水的重复利用率，推动企业开展清洁生产审核、发展循环经济，进一步 提高企业的水资源综合利用水平，促进企业提高内部水循环利用率。②做好企业厂区及固废贮存场防渗，入区化工企业厂内装置区、贮罐区及危险废物临时堆放场所等必须做严格的防渗处理，防止工艺过程及产品装卸过程</w:t>
                  </w:r>
                  <w:r>
                    <w:rPr>
                      <w:color w:val="auto"/>
                      <w:kern w:val="0"/>
                      <w:szCs w:val="21"/>
                      <w:lang w:bidi="ar"/>
                    </w:rPr>
                    <w:t>“</w:t>
                  </w:r>
                  <w:r>
                    <w:rPr>
                      <w:rFonts w:hint="eastAsia" w:ascii="宋体" w:hAnsi="宋体" w:cs="宋体"/>
                      <w:color w:val="auto"/>
                      <w:kern w:val="0"/>
                      <w:szCs w:val="21"/>
                      <w:lang w:bidi="ar"/>
                    </w:rPr>
                    <w:t>跑、冒、滴、漏</w:t>
                  </w:r>
                  <w:r>
                    <w:rPr>
                      <w:color w:val="auto"/>
                      <w:kern w:val="0"/>
                      <w:szCs w:val="21"/>
                      <w:lang w:bidi="ar"/>
                    </w:rPr>
                    <w:t>”</w:t>
                  </w:r>
                  <w:r>
                    <w:rPr>
                      <w:rFonts w:hint="eastAsia" w:ascii="宋体" w:hAnsi="宋体" w:cs="宋体"/>
                      <w:color w:val="auto"/>
                      <w:kern w:val="0"/>
                      <w:szCs w:val="21"/>
                      <w:lang w:bidi="ar"/>
                    </w:rPr>
                    <w:t>的物料对地下水环境造成污染。厂内污水处理站事故污水贮存池及事故应急贮水池应做好防渗，防止污水下渗污染地下水。</w:t>
                  </w:r>
                </w:p>
              </w:tc>
              <w:tc>
                <w:tcPr>
                  <w:tcW w:w="2362" w:type="dxa"/>
                  <w:vAlign w:val="center"/>
                </w:tcPr>
                <w:p w14:paraId="6A0DD5D6">
                  <w:pPr>
                    <w:widowControl/>
                    <w:jc w:val="center"/>
                    <w:rPr>
                      <w:color w:val="auto"/>
                      <w:szCs w:val="21"/>
                    </w:rPr>
                  </w:pPr>
                  <w:r>
                    <w:rPr>
                      <w:rFonts w:hint="eastAsia" w:ascii="宋体" w:hAnsi="宋体" w:cs="宋体"/>
                      <w:color w:val="auto"/>
                      <w:kern w:val="0"/>
                      <w:szCs w:val="21"/>
                      <w:lang w:bidi="ar"/>
                    </w:rPr>
                    <w:t>①本工程不产生生产废水，生活污水经厂区现有生化污水处理站处理，出水送至污水深度处理系统进行深度处理后回用厂区。</w:t>
                  </w:r>
                </w:p>
                <w:p w14:paraId="15A9102C">
                  <w:pPr>
                    <w:widowControl/>
                    <w:jc w:val="center"/>
                    <w:textAlignment w:val="center"/>
                    <w:rPr>
                      <w:b/>
                      <w:bCs/>
                      <w:color w:val="auto"/>
                      <w:kern w:val="0"/>
                      <w:szCs w:val="21"/>
                    </w:rPr>
                  </w:pPr>
                  <w:r>
                    <w:rPr>
                      <w:rFonts w:hint="eastAsia" w:ascii="宋体" w:hAnsi="宋体" w:cs="宋体"/>
                      <w:color w:val="auto"/>
                      <w:kern w:val="0"/>
                      <w:szCs w:val="21"/>
                      <w:lang w:bidi="ar"/>
                    </w:rPr>
                    <w:t>②本项目</w:t>
                  </w:r>
                  <w:r>
                    <w:rPr>
                      <w:rFonts w:hint="eastAsia"/>
                      <w:color w:val="auto"/>
                      <w:kern w:val="0"/>
                      <w:szCs w:val="21"/>
                      <w:lang w:bidi="ar"/>
                    </w:rPr>
                    <w:t>型焦生产车间、</w:t>
                  </w:r>
                  <w:r>
                    <w:rPr>
                      <w:rFonts w:hint="eastAsia"/>
                      <w:color w:val="auto"/>
                      <w:spacing w:val="2"/>
                      <w:szCs w:val="21"/>
                    </w:rPr>
                    <w:t>原料仓库、成品仓库</w:t>
                  </w:r>
                  <w:r>
                    <w:rPr>
                      <w:rFonts w:hint="eastAsia"/>
                      <w:color w:val="auto"/>
                      <w:spacing w:val="2"/>
                      <w:szCs w:val="21"/>
                      <w:lang w:val="en-US" w:eastAsia="zh-CN"/>
                    </w:rPr>
                    <w:t>、</w:t>
                  </w:r>
                  <w:r>
                    <w:rPr>
                      <w:rFonts w:hint="eastAsia" w:ascii="宋体" w:hAnsi="宋体" w:cs="宋体"/>
                      <w:color w:val="auto"/>
                      <w:kern w:val="0"/>
                      <w:szCs w:val="21"/>
                      <w:lang w:bidi="ar"/>
                    </w:rPr>
                    <w:t>沉淀池</w:t>
                  </w:r>
                  <w:r>
                    <w:rPr>
                      <w:rFonts w:hint="eastAsia" w:ascii="宋体" w:hAnsi="宋体" w:cs="宋体"/>
                      <w:color w:val="auto"/>
                      <w:kern w:val="0"/>
                      <w:szCs w:val="21"/>
                      <w:lang w:eastAsia="zh-CN" w:bidi="ar"/>
                    </w:rPr>
                    <w:t>、</w:t>
                  </w:r>
                  <w:r>
                    <w:rPr>
                      <w:rFonts w:hint="eastAsia" w:ascii="宋体" w:hAnsi="宋体" w:cs="宋体"/>
                      <w:color w:val="auto"/>
                      <w:kern w:val="0"/>
                      <w:szCs w:val="21"/>
                      <w:lang w:bidi="ar"/>
                    </w:rPr>
                    <w:t>事故池为一般防渗区</w:t>
                  </w:r>
                  <w:r>
                    <w:rPr>
                      <w:rFonts w:hint="eastAsia" w:ascii="宋体" w:hAnsi="宋体" w:cs="宋体"/>
                      <w:color w:val="auto"/>
                      <w:kern w:val="0"/>
                      <w:szCs w:val="21"/>
                      <w:lang w:eastAsia="zh-CN" w:bidi="ar"/>
                    </w:rPr>
                    <w:t>；</w:t>
                  </w:r>
                  <w:r>
                    <w:rPr>
                      <w:rFonts w:hint="eastAsia" w:ascii="宋体" w:hAnsi="宋体" w:cs="宋体"/>
                      <w:color w:val="auto"/>
                      <w:kern w:val="0"/>
                      <w:szCs w:val="21"/>
                      <w:lang w:bidi="ar"/>
                    </w:rPr>
                    <w:t>污水处理站</w:t>
                  </w:r>
                  <w:r>
                    <w:rPr>
                      <w:rFonts w:hint="eastAsia" w:ascii="宋体" w:hAnsi="宋体" w:cs="宋体"/>
                      <w:color w:val="auto"/>
                      <w:kern w:val="0"/>
                      <w:szCs w:val="21"/>
                      <w:lang w:eastAsia="zh-CN" w:bidi="ar"/>
                    </w:rPr>
                    <w:t>、</w:t>
                  </w:r>
                  <w:r>
                    <w:rPr>
                      <w:rFonts w:hint="eastAsia" w:ascii="宋体" w:hAnsi="宋体" w:cs="宋体"/>
                      <w:color w:val="auto"/>
                      <w:kern w:val="0"/>
                      <w:szCs w:val="21"/>
                      <w:lang w:bidi="ar"/>
                    </w:rPr>
                    <w:t>危废间依托厂区现有设施为重点防渗区。</w:t>
                  </w:r>
                </w:p>
              </w:tc>
              <w:tc>
                <w:tcPr>
                  <w:tcW w:w="690" w:type="dxa"/>
                  <w:vAlign w:val="center"/>
                </w:tcPr>
                <w:p w14:paraId="3D0249CF">
                  <w:pPr>
                    <w:autoSpaceDE w:val="0"/>
                    <w:autoSpaceDN w:val="0"/>
                    <w:adjustRightInd w:val="0"/>
                    <w:snapToGrid w:val="0"/>
                    <w:jc w:val="center"/>
                    <w:rPr>
                      <w:b/>
                      <w:bCs/>
                      <w:color w:val="auto"/>
                      <w:kern w:val="0"/>
                      <w:szCs w:val="21"/>
                    </w:rPr>
                  </w:pPr>
                  <w:r>
                    <w:rPr>
                      <w:rFonts w:hint="eastAsia"/>
                      <w:color w:val="auto"/>
                      <w:kern w:val="0"/>
                      <w:szCs w:val="21"/>
                      <w:lang w:bidi="ar"/>
                    </w:rPr>
                    <w:t>符合</w:t>
                  </w:r>
                </w:p>
              </w:tc>
            </w:tr>
            <w:tr w14:paraId="557A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624" w:type="dxa"/>
                  <w:vAlign w:val="center"/>
                </w:tcPr>
                <w:p w14:paraId="453F0CDB">
                  <w:pPr>
                    <w:widowControl/>
                    <w:jc w:val="center"/>
                    <w:rPr>
                      <w:color w:val="auto"/>
                      <w:szCs w:val="21"/>
                    </w:rPr>
                  </w:pPr>
                  <w:r>
                    <w:rPr>
                      <w:rFonts w:hint="eastAsia" w:ascii="宋体" w:hAnsi="宋体" w:cs="宋体"/>
                      <w:color w:val="auto"/>
                      <w:kern w:val="0"/>
                      <w:szCs w:val="21"/>
                      <w:lang w:bidi="ar"/>
                    </w:rPr>
                    <w:t>固体</w:t>
                  </w:r>
                </w:p>
                <w:p w14:paraId="76C7BAFF">
                  <w:pPr>
                    <w:widowControl/>
                    <w:jc w:val="center"/>
                    <w:rPr>
                      <w:color w:val="auto"/>
                      <w:szCs w:val="21"/>
                    </w:rPr>
                  </w:pPr>
                  <w:r>
                    <w:rPr>
                      <w:rFonts w:hint="eastAsia" w:ascii="宋体" w:hAnsi="宋体" w:cs="宋体"/>
                      <w:color w:val="auto"/>
                      <w:kern w:val="0"/>
                      <w:szCs w:val="21"/>
                      <w:lang w:bidi="ar"/>
                    </w:rPr>
                    <w:t>废弃</w:t>
                  </w:r>
                </w:p>
                <w:p w14:paraId="1E486360">
                  <w:pPr>
                    <w:widowControl/>
                    <w:jc w:val="center"/>
                    <w:rPr>
                      <w:color w:val="auto"/>
                      <w:szCs w:val="21"/>
                    </w:rPr>
                  </w:pPr>
                  <w:r>
                    <w:rPr>
                      <w:rFonts w:hint="eastAsia" w:ascii="宋体" w:hAnsi="宋体" w:cs="宋体"/>
                      <w:color w:val="auto"/>
                      <w:kern w:val="0"/>
                      <w:szCs w:val="21"/>
                      <w:lang w:bidi="ar"/>
                    </w:rPr>
                    <w:t>物</w:t>
                  </w:r>
                </w:p>
                <w:p w14:paraId="05A9B244">
                  <w:pPr>
                    <w:autoSpaceDE w:val="0"/>
                    <w:autoSpaceDN w:val="0"/>
                    <w:adjustRightInd w:val="0"/>
                    <w:snapToGrid w:val="0"/>
                    <w:jc w:val="center"/>
                    <w:rPr>
                      <w:b/>
                      <w:bCs/>
                      <w:color w:val="auto"/>
                      <w:kern w:val="0"/>
                      <w:szCs w:val="21"/>
                    </w:rPr>
                  </w:pPr>
                </w:p>
              </w:tc>
              <w:tc>
                <w:tcPr>
                  <w:tcW w:w="3355" w:type="dxa"/>
                  <w:vAlign w:val="center"/>
                </w:tcPr>
                <w:p w14:paraId="3088C1F0">
                  <w:pPr>
                    <w:widowControl/>
                    <w:jc w:val="center"/>
                    <w:rPr>
                      <w:b/>
                      <w:bCs/>
                      <w:color w:val="auto"/>
                      <w:kern w:val="0"/>
                      <w:szCs w:val="21"/>
                    </w:rPr>
                  </w:pPr>
                  <w:r>
                    <w:rPr>
                      <w:rFonts w:hint="eastAsia" w:ascii="宋体" w:hAnsi="宋体" w:cs="宋体"/>
                      <w:color w:val="auto"/>
                      <w:kern w:val="0"/>
                      <w:szCs w:val="21"/>
                      <w:lang w:bidi="ar"/>
                    </w:rPr>
                    <w:t>①一般工业固废按不同的物化性质采用综合利用、回收或填埋的处置方式。对于暂时不能利用的灰渣必须按照《一般工业固体废物贮存和填埋污染控制标准》</w:t>
                  </w:r>
                  <w:r>
                    <w:rPr>
                      <w:color w:val="auto"/>
                      <w:kern w:val="0"/>
                      <w:szCs w:val="21"/>
                      <w:lang w:bidi="ar"/>
                    </w:rPr>
                    <w:t>(GB18599-2020)</w:t>
                  </w:r>
                  <w:r>
                    <w:rPr>
                      <w:rFonts w:hint="eastAsia" w:ascii="宋体" w:hAnsi="宋体" w:cs="宋体"/>
                      <w:color w:val="auto"/>
                      <w:kern w:val="0"/>
                      <w:szCs w:val="21"/>
                      <w:lang w:bidi="ar"/>
                    </w:rPr>
                    <w:t>要求，进行临时贮存。②各类不同性质的危险固废进行分列贮存，在贮存时不得混装。危险废物按相关规定收集、运输和贮存，托有资质的专业单位进行处理。加强危险废物的管理，全面推行危险废物排污申报以及排污收费制度，对废物的产生、利用、收集、运输、贮存处①一般工业固废按不同的物化性质采用综合利用、回收或填埋的处置方式。对于暂时不能利用的灰渣必须按照《一般工业固体废物贮存和填埋污染控制标准》</w:t>
                  </w:r>
                  <w:r>
                    <w:rPr>
                      <w:color w:val="auto"/>
                      <w:kern w:val="0"/>
                      <w:szCs w:val="21"/>
                      <w:lang w:bidi="ar"/>
                    </w:rPr>
                    <w:t>(GB18599-2020)</w:t>
                  </w:r>
                  <w:r>
                    <w:rPr>
                      <w:rFonts w:hint="eastAsia" w:ascii="宋体" w:hAnsi="宋体" w:cs="宋体"/>
                      <w:color w:val="auto"/>
                      <w:kern w:val="0"/>
                      <w:szCs w:val="21"/>
                      <w:lang w:bidi="ar"/>
                    </w:rPr>
                    <w:t>要求，进行临时贮存。②各类不同性质的危险固废进行分列贮存，在贮存时不得混装。危险废物按相关规定收集、运输和贮存，托有资质的专业单位进行处理。加强危险废物的管理，全面推行危险废物排污申报以及排污收费制度，对废物的产生、利用、收集、运输、贮存处置等环节都要有追踪性的账目和手续，并纳入相关生态环境部门的监督管理。</w:t>
                  </w:r>
                </w:p>
              </w:tc>
              <w:tc>
                <w:tcPr>
                  <w:tcW w:w="2362" w:type="dxa"/>
                  <w:vAlign w:val="center"/>
                </w:tcPr>
                <w:p w14:paraId="4787A166">
                  <w:pPr>
                    <w:adjustRightInd w:val="0"/>
                    <w:snapToGrid w:val="0"/>
                    <w:jc w:val="left"/>
                    <w:rPr>
                      <w:rFonts w:hint="eastAsia" w:ascii="宋体" w:hAnsi="宋体" w:cs="宋体"/>
                      <w:color w:val="auto"/>
                      <w:szCs w:val="21"/>
                    </w:rPr>
                  </w:pPr>
                  <w:r>
                    <w:rPr>
                      <w:rFonts w:hint="eastAsia" w:ascii="宋体" w:hAnsi="宋体" w:cs="宋体"/>
                      <w:color w:val="auto"/>
                      <w:kern w:val="0"/>
                      <w:szCs w:val="21"/>
                      <w:lang w:bidi="ar"/>
                    </w:rPr>
                    <w:t>①本项目为鄂托克旗新航焦化有限公司45万吨/年含碳固废综合利用项目，是资源回收再利用项目，项目建成后能有效提高资源利用效率，生产过程产生的一般固废是金属杂质，统一收集至型焦生产车间内，</w:t>
                  </w:r>
                  <w:r>
                    <w:rPr>
                      <w:rFonts w:hint="eastAsia" w:ascii="宋体" w:hAnsi="宋体" w:cs="宋体"/>
                      <w:color w:val="auto"/>
                      <w:kern w:val="0"/>
                      <w:szCs w:val="21"/>
                      <w:lang w:val="en-US" w:eastAsia="zh-CN" w:bidi="ar"/>
                    </w:rPr>
                    <w:t>外售处理</w:t>
                  </w:r>
                  <w:r>
                    <w:rPr>
                      <w:rFonts w:hint="eastAsia" w:ascii="宋体" w:hAnsi="宋体" w:cs="宋体"/>
                      <w:color w:val="auto"/>
                      <w:kern w:val="0"/>
                      <w:szCs w:val="21"/>
                      <w:lang w:bidi="ar"/>
                    </w:rPr>
                    <w:t>。职工生活垃圾依托办公生活区收集设施集中收集，生活垃圾由园区环卫部门统一处理。</w:t>
                  </w:r>
                </w:p>
                <w:p w14:paraId="44A8DCAA">
                  <w:pPr>
                    <w:widowControl/>
                    <w:jc w:val="center"/>
                    <w:rPr>
                      <w:b/>
                      <w:bCs/>
                      <w:color w:val="auto"/>
                      <w:kern w:val="0"/>
                      <w:szCs w:val="21"/>
                    </w:rPr>
                  </w:pPr>
                  <w:r>
                    <w:rPr>
                      <w:rFonts w:hint="eastAsia" w:ascii="宋体" w:hAnsi="宋体" w:cs="宋体"/>
                      <w:color w:val="auto"/>
                      <w:kern w:val="0"/>
                      <w:szCs w:val="21"/>
                      <w:lang w:bidi="ar"/>
                    </w:rPr>
                    <w:t>②本项目产生的危废为设备检修环节产生的废润滑油，暂存在</w:t>
                  </w:r>
                  <w:r>
                    <w:rPr>
                      <w:rFonts w:hint="eastAsia" w:ascii="宋体" w:hAnsi="宋体" w:cs="宋体"/>
                      <w:color w:val="auto"/>
                      <w:szCs w:val="21"/>
                    </w:rPr>
                    <w:t>新航焦化</w:t>
                  </w:r>
                  <w:r>
                    <w:rPr>
                      <w:rFonts w:hint="eastAsia" w:ascii="宋体" w:hAnsi="宋体" w:cs="宋体"/>
                      <w:color w:val="auto"/>
                      <w:kern w:val="0"/>
                      <w:szCs w:val="21"/>
                      <w:lang w:bidi="ar"/>
                    </w:rPr>
                    <w:t>厂区现有危废库内，定期委托有资质单位处理。</w:t>
                  </w:r>
                </w:p>
              </w:tc>
              <w:tc>
                <w:tcPr>
                  <w:tcW w:w="690" w:type="dxa"/>
                  <w:vAlign w:val="center"/>
                </w:tcPr>
                <w:p w14:paraId="01AD1AB9">
                  <w:pPr>
                    <w:autoSpaceDE w:val="0"/>
                    <w:autoSpaceDN w:val="0"/>
                    <w:adjustRightInd w:val="0"/>
                    <w:snapToGrid w:val="0"/>
                    <w:jc w:val="center"/>
                    <w:rPr>
                      <w:b/>
                      <w:bCs/>
                      <w:color w:val="auto"/>
                      <w:kern w:val="0"/>
                      <w:szCs w:val="21"/>
                    </w:rPr>
                  </w:pPr>
                  <w:r>
                    <w:rPr>
                      <w:rFonts w:hint="eastAsia"/>
                      <w:color w:val="auto"/>
                      <w:kern w:val="0"/>
                      <w:szCs w:val="21"/>
                      <w:lang w:bidi="ar"/>
                    </w:rPr>
                    <w:t>符合</w:t>
                  </w:r>
                </w:p>
              </w:tc>
            </w:tr>
          </w:tbl>
          <w:p w14:paraId="560FC1DA">
            <w:pPr>
              <w:autoSpaceDE w:val="0"/>
              <w:autoSpaceDN w:val="0"/>
              <w:adjustRightInd w:val="0"/>
              <w:snapToGrid w:val="0"/>
              <w:spacing w:line="360" w:lineRule="auto"/>
              <w:ind w:firstLine="480" w:firstLineChars="200"/>
              <w:jc w:val="left"/>
              <w:rPr>
                <w:color w:val="auto"/>
                <w:kern w:val="0"/>
                <w:sz w:val="24"/>
              </w:rPr>
            </w:pPr>
            <w:r>
              <w:rPr>
                <w:rFonts w:hint="eastAsia"/>
                <w:color w:val="auto"/>
                <w:kern w:val="0"/>
                <w:sz w:val="24"/>
              </w:rPr>
              <w:t xml:space="preserve">根据以上符合性分析可知，本项目各污染治理措施与园区规划环评中提出的污染防治要求相符。 </w:t>
            </w:r>
          </w:p>
          <w:p w14:paraId="44AA6C0B">
            <w:pPr>
              <w:autoSpaceDE w:val="0"/>
              <w:autoSpaceDN w:val="0"/>
              <w:adjustRightInd w:val="0"/>
              <w:snapToGrid w:val="0"/>
              <w:spacing w:line="360" w:lineRule="auto"/>
              <w:ind w:firstLine="480" w:firstLineChars="200"/>
              <w:jc w:val="left"/>
              <w:rPr>
                <w:color w:val="auto"/>
                <w:kern w:val="0"/>
                <w:sz w:val="24"/>
              </w:rPr>
            </w:pPr>
            <w:r>
              <w:rPr>
                <w:rFonts w:hint="eastAsia"/>
                <w:color w:val="auto"/>
                <w:kern w:val="0"/>
                <w:sz w:val="24"/>
              </w:rPr>
              <w:t>本项目与规划环评审查意见的符合性分析见表</w:t>
            </w:r>
            <w:r>
              <w:rPr>
                <w:color w:val="auto"/>
                <w:kern w:val="0"/>
                <w:sz w:val="24"/>
              </w:rPr>
              <w:t>1-</w:t>
            </w:r>
            <w:r>
              <w:rPr>
                <w:rFonts w:hint="eastAsia"/>
                <w:color w:val="auto"/>
                <w:kern w:val="0"/>
                <w:sz w:val="24"/>
                <w:lang w:val="en-US" w:eastAsia="zh-CN"/>
              </w:rPr>
              <w:t>2</w:t>
            </w:r>
            <w:r>
              <w:rPr>
                <w:rFonts w:hint="eastAsia"/>
                <w:color w:val="auto"/>
                <w:kern w:val="0"/>
                <w:sz w:val="24"/>
              </w:rPr>
              <w:t>：</w:t>
            </w:r>
          </w:p>
          <w:p w14:paraId="5EB0A256">
            <w:pPr>
              <w:pStyle w:val="56"/>
              <w:rPr>
                <w:color w:val="auto"/>
                <w:kern w:val="0"/>
                <w:sz w:val="24"/>
                <w:szCs w:val="21"/>
              </w:rPr>
            </w:pPr>
            <w:r>
              <w:rPr>
                <w:rFonts w:hint="eastAsia"/>
                <w:color w:val="auto"/>
                <w:kern w:val="0"/>
                <w:sz w:val="24"/>
                <w:szCs w:val="21"/>
              </w:rPr>
              <w:t xml:space="preserve">表 </w:t>
            </w:r>
            <w:r>
              <w:rPr>
                <w:color w:val="auto"/>
                <w:kern w:val="0"/>
                <w:sz w:val="24"/>
                <w:szCs w:val="21"/>
              </w:rPr>
              <w:t>1</w:t>
            </w:r>
            <w:r>
              <w:rPr>
                <w:rFonts w:hint="eastAsia"/>
                <w:color w:val="auto"/>
                <w:kern w:val="0"/>
                <w:sz w:val="24"/>
                <w:szCs w:val="21"/>
              </w:rPr>
              <w:t>-</w:t>
            </w:r>
            <w:r>
              <w:rPr>
                <w:rFonts w:hint="eastAsia"/>
                <w:color w:val="auto"/>
                <w:kern w:val="0"/>
                <w:sz w:val="24"/>
                <w:szCs w:val="21"/>
                <w:lang w:val="en-US" w:eastAsia="zh-CN"/>
              </w:rPr>
              <w:t>2</w:t>
            </w:r>
            <w:r>
              <w:rPr>
                <w:rFonts w:hint="eastAsia"/>
                <w:color w:val="auto"/>
                <w:kern w:val="0"/>
                <w:sz w:val="24"/>
                <w:szCs w:val="21"/>
              </w:rPr>
              <w:t xml:space="preserve">  </w:t>
            </w:r>
            <w:r>
              <w:rPr>
                <w:color w:val="auto"/>
                <w:kern w:val="0"/>
                <w:sz w:val="24"/>
                <w:szCs w:val="21"/>
              </w:rPr>
              <w:t xml:space="preserve"> </w:t>
            </w:r>
            <w:r>
              <w:rPr>
                <w:rFonts w:hint="eastAsia"/>
                <w:color w:val="auto"/>
                <w:kern w:val="0"/>
                <w:sz w:val="24"/>
                <w:szCs w:val="21"/>
              </w:rPr>
              <w:t>本项目与园区规划环评审查意见的相符性分析表</w:t>
            </w:r>
          </w:p>
          <w:tbl>
            <w:tblPr>
              <w:tblStyle w:val="23"/>
              <w:tblW w:w="7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0"/>
              <w:gridCol w:w="2230"/>
              <w:gridCol w:w="718"/>
            </w:tblGrid>
            <w:tr w14:paraId="084C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4120" w:type="dxa"/>
                  <w:vAlign w:val="center"/>
                </w:tcPr>
                <w:p w14:paraId="2C4909B6">
                  <w:pPr>
                    <w:widowControl/>
                    <w:jc w:val="center"/>
                    <w:rPr>
                      <w:color w:val="auto"/>
                      <w:kern w:val="0"/>
                      <w:szCs w:val="21"/>
                      <w:lang w:bidi="ar"/>
                    </w:rPr>
                  </w:pPr>
                  <w:r>
                    <w:rPr>
                      <w:rFonts w:hint="eastAsia"/>
                      <w:color w:val="auto"/>
                      <w:kern w:val="0"/>
                      <w:szCs w:val="21"/>
                      <w:lang w:bidi="ar"/>
                    </w:rPr>
                    <w:t>审查意见</w:t>
                  </w:r>
                </w:p>
              </w:tc>
              <w:tc>
                <w:tcPr>
                  <w:tcW w:w="2230" w:type="dxa"/>
                  <w:vAlign w:val="center"/>
                </w:tcPr>
                <w:p w14:paraId="3BD42128">
                  <w:pPr>
                    <w:widowControl/>
                    <w:jc w:val="center"/>
                    <w:rPr>
                      <w:color w:val="auto"/>
                      <w:kern w:val="0"/>
                      <w:szCs w:val="21"/>
                      <w:lang w:bidi="ar"/>
                    </w:rPr>
                  </w:pPr>
                  <w:r>
                    <w:rPr>
                      <w:rFonts w:hint="eastAsia"/>
                      <w:color w:val="auto"/>
                      <w:kern w:val="0"/>
                      <w:szCs w:val="21"/>
                      <w:lang w:bidi="ar"/>
                    </w:rPr>
                    <w:t>本项目</w:t>
                  </w:r>
                </w:p>
              </w:tc>
              <w:tc>
                <w:tcPr>
                  <w:tcW w:w="718" w:type="dxa"/>
                  <w:vAlign w:val="center"/>
                </w:tcPr>
                <w:p w14:paraId="587100A0">
                  <w:pPr>
                    <w:widowControl/>
                    <w:jc w:val="center"/>
                    <w:rPr>
                      <w:color w:val="auto"/>
                      <w:kern w:val="0"/>
                      <w:szCs w:val="21"/>
                      <w:lang w:bidi="ar"/>
                    </w:rPr>
                  </w:pPr>
                  <w:r>
                    <w:rPr>
                      <w:rFonts w:hint="eastAsia"/>
                      <w:color w:val="auto"/>
                      <w:kern w:val="0"/>
                      <w:szCs w:val="21"/>
                      <w:lang w:bidi="ar"/>
                    </w:rPr>
                    <w:t>符合性</w:t>
                  </w:r>
                </w:p>
              </w:tc>
            </w:tr>
            <w:tr w14:paraId="0AFC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trPr>
              <w:tc>
                <w:tcPr>
                  <w:tcW w:w="4120" w:type="dxa"/>
                  <w:vAlign w:val="center"/>
                </w:tcPr>
                <w:p w14:paraId="41C516EE">
                  <w:pPr>
                    <w:widowControl/>
                    <w:jc w:val="center"/>
                    <w:textAlignment w:val="center"/>
                    <w:rPr>
                      <w:color w:val="auto"/>
                      <w:kern w:val="0"/>
                      <w:szCs w:val="21"/>
                      <w:lang w:bidi="ar"/>
                    </w:rPr>
                  </w:pPr>
                  <w:r>
                    <w:rPr>
                      <w:rFonts w:hint="eastAsia"/>
                      <w:color w:val="auto"/>
                      <w:kern w:val="0"/>
                      <w:szCs w:val="21"/>
                      <w:lang w:bidi="ar"/>
                    </w:rPr>
                    <w:t>(一)坚持生态优先、绿色发展理念，加强规划引领。园区总体规划应做好与自治区、鄂尔多斯市国土空间总体规划及“三线一单”的协调衔接，并要与当地其它专项规划相协调。按照《内蒙古自治区人民政府关于促进工业园区高质量发展的若干意见》(内政发[2019]21号)、《内蒙古自治区人民政府办公厅关于进一步加强全区自治区级及以上工业园区环境保护工作的通知》(内政办发〔2018]88号)及自治区、鄂尔多斯市国民经济和社会发展第十四个五年规划和2035年远景目标纲要等要求，指导园区建设。</w:t>
                  </w:r>
                </w:p>
              </w:tc>
              <w:tc>
                <w:tcPr>
                  <w:tcW w:w="2230" w:type="dxa"/>
                  <w:vAlign w:val="center"/>
                </w:tcPr>
                <w:p w14:paraId="150BA71A">
                  <w:pPr>
                    <w:widowControl/>
                    <w:jc w:val="left"/>
                    <w:rPr>
                      <w:color w:val="auto"/>
                      <w:szCs w:val="21"/>
                    </w:rPr>
                  </w:pPr>
                  <w:r>
                    <w:rPr>
                      <w:rFonts w:hint="eastAsia" w:ascii="宋体" w:hAnsi="宋体" w:cs="宋体"/>
                      <w:color w:val="auto"/>
                      <w:kern w:val="0"/>
                      <w:szCs w:val="21"/>
                      <w:lang w:bidi="ar"/>
                    </w:rPr>
                    <w:t>本项目为鄂托克旗新航焦化有限公</w:t>
                  </w:r>
                  <w:r>
                    <w:rPr>
                      <w:color w:val="auto"/>
                      <w:kern w:val="0"/>
                      <w:szCs w:val="21"/>
                      <w:lang w:bidi="ar"/>
                    </w:rPr>
                    <w:t>司45万</w:t>
                  </w:r>
                  <w:r>
                    <w:rPr>
                      <w:rFonts w:hint="eastAsia" w:ascii="宋体" w:hAnsi="宋体" w:cs="宋体"/>
                      <w:color w:val="auto"/>
                      <w:kern w:val="0"/>
                      <w:szCs w:val="21"/>
                      <w:lang w:bidi="ar"/>
                    </w:rPr>
                    <w:t xml:space="preserve">吨/年含碳固废综合利用项目，属于规划中重点发展绿色焦化产业的配套资源回收利用 </w:t>
                  </w:r>
                </w:p>
                <w:p w14:paraId="409382D6">
                  <w:pPr>
                    <w:widowControl/>
                    <w:jc w:val="left"/>
                    <w:rPr>
                      <w:color w:val="auto"/>
                      <w:kern w:val="0"/>
                      <w:szCs w:val="21"/>
                      <w:lang w:bidi="ar"/>
                    </w:rPr>
                  </w:pPr>
                  <w:r>
                    <w:rPr>
                      <w:rFonts w:hint="eastAsia" w:ascii="宋体" w:hAnsi="宋体" w:cs="宋体"/>
                      <w:color w:val="auto"/>
                      <w:kern w:val="0"/>
                      <w:szCs w:val="21"/>
                      <w:lang w:bidi="ar"/>
                    </w:rPr>
                    <w:t>项目，符合“三线一单”要求，符合审查意见中提出的相关要求。</w:t>
                  </w:r>
                </w:p>
              </w:tc>
              <w:tc>
                <w:tcPr>
                  <w:tcW w:w="718" w:type="dxa"/>
                  <w:vAlign w:val="center"/>
                </w:tcPr>
                <w:p w14:paraId="42B34606">
                  <w:pPr>
                    <w:widowControl/>
                    <w:jc w:val="center"/>
                    <w:textAlignment w:val="center"/>
                    <w:rPr>
                      <w:color w:val="auto"/>
                      <w:kern w:val="0"/>
                      <w:szCs w:val="21"/>
                      <w:lang w:bidi="ar"/>
                    </w:rPr>
                  </w:pPr>
                  <w:r>
                    <w:rPr>
                      <w:rFonts w:hint="eastAsia"/>
                      <w:color w:val="auto"/>
                      <w:kern w:val="0"/>
                      <w:szCs w:val="21"/>
                      <w:lang w:bidi="ar"/>
                    </w:rPr>
                    <w:t>符合</w:t>
                  </w:r>
                </w:p>
              </w:tc>
            </w:tr>
            <w:tr w14:paraId="7AD4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20" w:type="dxa"/>
                  <w:vAlign w:val="center"/>
                </w:tcPr>
                <w:p w14:paraId="12F69B45">
                  <w:pPr>
                    <w:widowControl/>
                    <w:numPr>
                      <w:ilvl w:val="0"/>
                      <w:numId w:val="2"/>
                    </w:numPr>
                    <w:jc w:val="center"/>
                    <w:textAlignment w:val="center"/>
                    <w:rPr>
                      <w:color w:val="auto"/>
                      <w:kern w:val="0"/>
                      <w:szCs w:val="21"/>
                      <w:lang w:bidi="ar"/>
                    </w:rPr>
                  </w:pPr>
                  <w:r>
                    <w:rPr>
                      <w:rFonts w:hint="eastAsia"/>
                      <w:color w:val="auto"/>
                      <w:kern w:val="0"/>
                      <w:szCs w:val="21"/>
                      <w:lang w:bidi="ar"/>
                    </w:rPr>
                    <w:t>严格生态环境准入，推动高质量发展。园区应结合区域资源禀赋、生态敏感特征、生态功能保护、自治区及鄂尔多斯市“十四五”能耗双控、区域及行业碳达峰目标约束等要求，坚持循环经济和能源高效利用理念，严格按照《自治区开发区审核公告目录》、产业政策、“三线一单”生态环境分区管控、园区总体规划等要求及《报告书》产业发展推荐方案管理新入园项目，不得引进污染物排放量大、环境风险高的非主导产业项目。全面执行国家、自治区关于“两高”项目准入各项规定和乌海及周边地区生态环境综合整治相关要求，严控钢铁、铁合金、焦化、氯碱、电石、硅冶炼等涉“两高”行业规模，重点发展延链补链强链项目，推动园区绿色低碳高质量发展。全面落实“四水四定”要求，充分利用当地矿井水、中水等非常规水资源，最大程度减少生产用新鲜水取水量，审慎引进高耗水行业。</w:t>
                  </w:r>
                </w:p>
              </w:tc>
              <w:tc>
                <w:tcPr>
                  <w:tcW w:w="2230" w:type="dxa"/>
                  <w:vAlign w:val="center"/>
                </w:tcPr>
                <w:p w14:paraId="0AF2C037">
                  <w:pPr>
                    <w:widowControl/>
                    <w:jc w:val="left"/>
                    <w:rPr>
                      <w:color w:val="auto"/>
                      <w:kern w:val="0"/>
                      <w:szCs w:val="21"/>
                      <w:lang w:bidi="ar"/>
                    </w:rPr>
                  </w:pPr>
                  <w:r>
                    <w:rPr>
                      <w:rFonts w:hint="eastAsia" w:ascii="宋体" w:hAnsi="宋体" w:cs="宋体"/>
                      <w:color w:val="auto"/>
                      <w:kern w:val="0"/>
                      <w:szCs w:val="21"/>
                      <w:lang w:bidi="ar"/>
                    </w:rPr>
                    <w:t>本项目符合产业政策、“三线一单”，属于规划中重点发展绿色焦化产业的配套资源回收利用项目，符合规划产业定位，不属于污染物排放量大、环境风险高的非主导产业项目，不属于高耗水行业，符合入园项目条件。</w:t>
                  </w:r>
                </w:p>
              </w:tc>
              <w:tc>
                <w:tcPr>
                  <w:tcW w:w="718" w:type="dxa"/>
                  <w:vAlign w:val="center"/>
                </w:tcPr>
                <w:p w14:paraId="68677C8C">
                  <w:pPr>
                    <w:widowControl/>
                    <w:jc w:val="center"/>
                    <w:textAlignment w:val="center"/>
                    <w:rPr>
                      <w:color w:val="auto"/>
                      <w:kern w:val="0"/>
                      <w:szCs w:val="21"/>
                      <w:lang w:bidi="ar"/>
                    </w:rPr>
                  </w:pPr>
                  <w:r>
                    <w:rPr>
                      <w:rFonts w:hint="eastAsia"/>
                      <w:color w:val="auto"/>
                      <w:kern w:val="0"/>
                      <w:szCs w:val="21"/>
                      <w:lang w:bidi="ar"/>
                    </w:rPr>
                    <w:t>符合</w:t>
                  </w:r>
                </w:p>
              </w:tc>
            </w:tr>
            <w:tr w14:paraId="4B4C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20" w:type="dxa"/>
                  <w:vAlign w:val="center"/>
                </w:tcPr>
                <w:p w14:paraId="54562964">
                  <w:pPr>
                    <w:widowControl/>
                    <w:jc w:val="center"/>
                    <w:textAlignment w:val="center"/>
                    <w:rPr>
                      <w:color w:val="auto"/>
                      <w:kern w:val="0"/>
                      <w:szCs w:val="21"/>
                      <w:lang w:bidi="ar"/>
                    </w:rPr>
                  </w:pPr>
                  <w:r>
                    <w:rPr>
                      <w:rFonts w:hint="eastAsia"/>
                      <w:color w:val="auto"/>
                      <w:kern w:val="0"/>
                      <w:szCs w:val="21"/>
                      <w:lang w:bidi="ar"/>
                    </w:rPr>
                    <w:t>(三)严格空间管控，优化产业布局。园区与棋盘井镇区、西鄂尔多斯自然保护区、乌珠林沟等环境敏感区之间应设置一定的隔离带，环境风险较高区块应向外设置足够的规划控制区作为空间防护，确保园区产业发展与生态环境、人居环境相协调。配合鄂托克旗人民政府及其有关部门做好园区及周边区域的规划控制和优化调整，发现不符合管控要求的相关行为，应及时向鄂托克旗人民政府报告。</w:t>
                  </w:r>
                </w:p>
              </w:tc>
              <w:tc>
                <w:tcPr>
                  <w:tcW w:w="2230" w:type="dxa"/>
                  <w:vAlign w:val="center"/>
                </w:tcPr>
                <w:p w14:paraId="6541DFB9">
                  <w:pPr>
                    <w:keepNext w:val="0"/>
                    <w:keepLines w:val="0"/>
                    <w:widowControl/>
                    <w:suppressLineNumbers w:val="0"/>
                    <w:jc w:val="left"/>
                    <w:rPr>
                      <w:rFonts w:hint="eastAsia" w:eastAsia="宋体"/>
                      <w:color w:val="auto"/>
                      <w:kern w:val="0"/>
                      <w:szCs w:val="21"/>
                      <w:highlight w:val="yellow"/>
                      <w:lang w:eastAsia="zh-CN" w:bidi="ar"/>
                    </w:rPr>
                  </w:pPr>
                  <w:r>
                    <w:rPr>
                      <w:rFonts w:hint="eastAsia" w:ascii="宋体" w:hAnsi="宋体" w:cs="宋体"/>
                      <w:color w:val="auto"/>
                      <w:kern w:val="0"/>
                      <w:szCs w:val="21"/>
                      <w:highlight w:val="none"/>
                      <w:lang w:val="en-US" w:eastAsia="zh-CN" w:bidi="ar"/>
                    </w:rPr>
                    <w:t>本项目与</w:t>
                  </w:r>
                  <w:r>
                    <w:rPr>
                      <w:rFonts w:hint="eastAsia"/>
                      <w:color w:val="auto"/>
                      <w:kern w:val="0"/>
                      <w:szCs w:val="21"/>
                      <w:highlight w:val="none"/>
                      <w:lang w:bidi="ar"/>
                    </w:rPr>
                    <w:t>西鄂尔多斯自然保护区</w:t>
                  </w:r>
                  <w:r>
                    <w:rPr>
                      <w:rFonts w:hint="eastAsia"/>
                      <w:color w:val="auto"/>
                      <w:kern w:val="0"/>
                      <w:szCs w:val="21"/>
                      <w:highlight w:val="none"/>
                      <w:lang w:val="en-US" w:eastAsia="zh-CN" w:bidi="ar"/>
                    </w:rPr>
                    <w:t>距离为4579.5m；</w:t>
                  </w:r>
                  <w:r>
                    <w:rPr>
                      <w:rFonts w:hint="eastAsia" w:ascii="宋体" w:hAnsi="宋体" w:cs="宋体"/>
                      <w:color w:val="auto"/>
                      <w:kern w:val="0"/>
                      <w:szCs w:val="21"/>
                      <w:highlight w:val="none"/>
                      <w:lang w:bidi="ar"/>
                    </w:rPr>
                    <w:t>园区</w:t>
                  </w:r>
                  <w:r>
                    <w:rPr>
                      <w:rFonts w:hint="eastAsia" w:ascii="宋体" w:hAnsi="宋体" w:cs="宋体"/>
                      <w:color w:val="auto"/>
                      <w:kern w:val="0"/>
                      <w:szCs w:val="21"/>
                      <w:highlight w:val="none"/>
                      <w:lang w:val="en-US" w:eastAsia="zh-CN" w:bidi="ar"/>
                    </w:rPr>
                    <w:t>已</w:t>
                  </w:r>
                  <w:r>
                    <w:rPr>
                      <w:rFonts w:hint="eastAsia"/>
                      <w:color w:val="auto"/>
                      <w:kern w:val="0"/>
                      <w:szCs w:val="21"/>
                      <w:highlight w:val="none"/>
                      <w:lang w:bidi="ar"/>
                    </w:rPr>
                    <w:t>设置隔离带：</w:t>
                  </w:r>
                  <w:r>
                    <w:rPr>
                      <w:rFonts w:hint="eastAsia" w:ascii="宋体" w:hAnsi="宋体" w:cs="宋体"/>
                      <w:color w:val="auto"/>
                      <w:kern w:val="0"/>
                      <w:szCs w:val="21"/>
                      <w:highlight w:val="none"/>
                      <w:lang w:bidi="ar"/>
                    </w:rPr>
                    <w:t>规划</w:t>
                  </w:r>
                  <w:r>
                    <w:rPr>
                      <w:color w:val="auto"/>
                      <w:kern w:val="0"/>
                      <w:szCs w:val="21"/>
                      <w:highlight w:val="none"/>
                      <w:lang w:bidi="ar"/>
                    </w:rPr>
                    <w:t>10m</w:t>
                  </w:r>
                  <w:r>
                    <w:rPr>
                      <w:rFonts w:hint="eastAsia" w:ascii="宋体" w:hAnsi="宋体" w:cs="宋体"/>
                      <w:color w:val="auto"/>
                      <w:kern w:val="0"/>
                      <w:szCs w:val="21"/>
                      <w:highlight w:val="none"/>
                      <w:lang w:bidi="ar"/>
                    </w:rPr>
                    <w:t>宽绿化</w:t>
                  </w:r>
                  <w:r>
                    <w:rPr>
                      <w:rFonts w:hint="eastAsia" w:ascii="宋体" w:hAnsi="宋体" w:cs="宋体"/>
                      <w:color w:val="auto"/>
                      <w:kern w:val="0"/>
                      <w:sz w:val="21"/>
                      <w:szCs w:val="21"/>
                      <w:highlight w:val="none"/>
                      <w:lang w:bidi="ar"/>
                    </w:rPr>
                    <w:t>带、棋蒙公路。</w:t>
                  </w:r>
                  <w:r>
                    <w:rPr>
                      <w:rFonts w:hint="eastAsia" w:ascii="宋体" w:hAnsi="宋体" w:eastAsia="宋体" w:cs="宋体"/>
                      <w:color w:val="auto"/>
                      <w:kern w:val="0"/>
                      <w:sz w:val="21"/>
                      <w:szCs w:val="21"/>
                      <w:highlight w:val="none"/>
                      <w:lang w:val="en-US" w:eastAsia="zh-CN" w:bidi="ar"/>
                    </w:rPr>
                    <w:t>严守生态红线，禁止工业园区发展占用自然保护区范围。</w:t>
                  </w:r>
                  <w:r>
                    <w:rPr>
                      <w:rFonts w:hint="eastAsia"/>
                      <w:color w:val="auto"/>
                      <w:kern w:val="0"/>
                      <w:sz w:val="21"/>
                      <w:szCs w:val="21"/>
                      <w:highlight w:val="none"/>
                      <w:lang w:eastAsia="zh-CN" w:bidi="ar"/>
                    </w:rPr>
                    <w:t>（</w:t>
                  </w:r>
                  <w:r>
                    <w:rPr>
                      <w:rFonts w:hint="eastAsia"/>
                      <w:color w:val="auto"/>
                      <w:kern w:val="0"/>
                      <w:sz w:val="21"/>
                      <w:szCs w:val="21"/>
                      <w:highlight w:val="none"/>
                      <w:lang w:val="en-US" w:eastAsia="zh-CN" w:bidi="ar"/>
                    </w:rPr>
                    <w:t>本项目与</w:t>
                  </w:r>
                  <w:r>
                    <w:rPr>
                      <w:rFonts w:hint="eastAsia"/>
                      <w:color w:val="auto"/>
                      <w:kern w:val="0"/>
                      <w:sz w:val="21"/>
                      <w:szCs w:val="21"/>
                      <w:highlight w:val="none"/>
                      <w:lang w:bidi="ar"/>
                    </w:rPr>
                    <w:t>西鄂尔多斯自然保护区</w:t>
                  </w:r>
                  <w:r>
                    <w:rPr>
                      <w:rFonts w:hint="eastAsia"/>
                      <w:color w:val="auto"/>
                      <w:kern w:val="0"/>
                      <w:sz w:val="21"/>
                      <w:szCs w:val="21"/>
                      <w:highlight w:val="none"/>
                      <w:lang w:val="en-US" w:eastAsia="zh-CN" w:bidi="ar"/>
                    </w:rPr>
                    <w:t>位置关系图见附图8</w:t>
                  </w:r>
                  <w:r>
                    <w:rPr>
                      <w:rFonts w:hint="eastAsia"/>
                      <w:color w:val="auto"/>
                      <w:kern w:val="0"/>
                      <w:sz w:val="21"/>
                      <w:szCs w:val="21"/>
                      <w:highlight w:val="none"/>
                      <w:lang w:eastAsia="zh-CN" w:bidi="ar"/>
                    </w:rPr>
                    <w:t>）</w:t>
                  </w:r>
                </w:p>
              </w:tc>
              <w:tc>
                <w:tcPr>
                  <w:tcW w:w="718" w:type="dxa"/>
                  <w:vAlign w:val="center"/>
                </w:tcPr>
                <w:p w14:paraId="05AC67B0">
                  <w:pPr>
                    <w:widowControl/>
                    <w:jc w:val="center"/>
                    <w:textAlignment w:val="center"/>
                    <w:rPr>
                      <w:rFonts w:hint="eastAsia" w:eastAsia="宋体"/>
                      <w:color w:val="auto"/>
                      <w:kern w:val="0"/>
                      <w:szCs w:val="21"/>
                      <w:highlight w:val="yellow"/>
                      <w:lang w:eastAsia="zh-CN" w:bidi="ar"/>
                    </w:rPr>
                  </w:pPr>
                  <w:r>
                    <w:rPr>
                      <w:rFonts w:hint="eastAsia"/>
                      <w:color w:val="auto"/>
                      <w:kern w:val="0"/>
                      <w:szCs w:val="21"/>
                      <w:lang w:val="en-US" w:eastAsia="zh-CN" w:bidi="ar"/>
                    </w:rPr>
                    <w:t>符合</w:t>
                  </w:r>
                </w:p>
              </w:tc>
            </w:tr>
            <w:tr w14:paraId="56DC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20" w:type="dxa"/>
                  <w:vAlign w:val="center"/>
                </w:tcPr>
                <w:p w14:paraId="31ADF9CE">
                  <w:pPr>
                    <w:widowControl/>
                    <w:jc w:val="center"/>
                    <w:textAlignment w:val="center"/>
                    <w:rPr>
                      <w:color w:val="auto"/>
                      <w:kern w:val="0"/>
                      <w:szCs w:val="21"/>
                      <w:lang w:bidi="ar"/>
                    </w:rPr>
                  </w:pPr>
                  <w:r>
                    <w:rPr>
                      <w:rFonts w:hint="eastAsia"/>
                      <w:color w:val="auto"/>
                      <w:kern w:val="0"/>
                      <w:szCs w:val="21"/>
                      <w:lang w:bidi="ar"/>
                    </w:rPr>
                    <w:t>(四)严守环境质量底线，强化污染物排放总量管控。根据国家、自治区和鄂尔多斯市关于大气、水、土壤污染防治相关要求和“三线一单”生态环境分区管控成果，深入挖掘区域内颗粒物等污染物减排潜力，落实与区域环境质量改善目标相匹配的区域削减措施及污染物总量管控制度，积极推进重点行业按照大气污染物超低排放或特别排放限值进行升级改造，持续减少主要污染物、特征污染物有组织和无组织排放量，保障区域环境质量改善。</w:t>
                  </w:r>
                </w:p>
              </w:tc>
              <w:tc>
                <w:tcPr>
                  <w:tcW w:w="2230" w:type="dxa"/>
                  <w:vAlign w:val="center"/>
                </w:tcPr>
                <w:p w14:paraId="48AEA2C7">
                  <w:pPr>
                    <w:widowControl/>
                    <w:jc w:val="center"/>
                    <w:textAlignment w:val="center"/>
                    <w:rPr>
                      <w:rFonts w:hint="default"/>
                      <w:color w:val="auto"/>
                      <w:kern w:val="0"/>
                      <w:szCs w:val="21"/>
                      <w:lang w:val="en-US" w:bidi="ar"/>
                    </w:rPr>
                  </w:pPr>
                  <w:r>
                    <w:rPr>
                      <w:rFonts w:hint="eastAsia"/>
                      <w:color w:val="auto"/>
                      <w:kern w:val="0"/>
                      <w:szCs w:val="21"/>
                      <w:lang w:bidi="ar"/>
                    </w:rPr>
                    <w:t>本项目符合三线一单生态环境分区管控成果，项目建成后产生的废气均有效收集，并配套相应的除尘措施，确保废气达标排放</w:t>
                  </w:r>
                  <w:r>
                    <w:rPr>
                      <w:rFonts w:hint="eastAsia"/>
                      <w:color w:val="auto"/>
                      <w:kern w:val="0"/>
                      <w:szCs w:val="21"/>
                      <w:lang w:eastAsia="zh-CN" w:bidi="ar"/>
                    </w:rPr>
                    <w:t>；</w:t>
                  </w:r>
                  <w:r>
                    <w:rPr>
                      <w:rFonts w:hint="eastAsia"/>
                      <w:color w:val="auto"/>
                      <w:kern w:val="0"/>
                      <w:szCs w:val="21"/>
                      <w:lang w:val="en-US" w:eastAsia="zh-CN" w:bidi="ar"/>
                    </w:rPr>
                    <w:t>不产生生产废水，至产生生活污水，</w:t>
                  </w:r>
                  <w:r>
                    <w:rPr>
                      <w:rFonts w:hint="eastAsia"/>
                      <w:color w:val="auto"/>
                      <w:kern w:val="0"/>
                      <w:szCs w:val="21"/>
                      <w:lang w:bidi="ar"/>
                    </w:rPr>
                    <w:t>经厂区现有生化污水处理站处理，出水送至污水深度处理系统进行深度处理后回用厂区</w:t>
                  </w:r>
                  <w:r>
                    <w:rPr>
                      <w:rFonts w:hint="eastAsia"/>
                      <w:color w:val="auto"/>
                      <w:kern w:val="0"/>
                      <w:szCs w:val="21"/>
                      <w:lang w:eastAsia="zh-CN" w:bidi="ar"/>
                    </w:rPr>
                    <w:t>，</w:t>
                  </w:r>
                  <w:r>
                    <w:rPr>
                      <w:rFonts w:hint="eastAsia"/>
                      <w:color w:val="auto"/>
                      <w:kern w:val="0"/>
                      <w:szCs w:val="21"/>
                      <w:lang w:val="en-US" w:eastAsia="zh-CN" w:bidi="ar"/>
                    </w:rPr>
                    <w:t>不外排。</w:t>
                  </w:r>
                </w:p>
              </w:tc>
              <w:tc>
                <w:tcPr>
                  <w:tcW w:w="718" w:type="dxa"/>
                  <w:vAlign w:val="center"/>
                </w:tcPr>
                <w:p w14:paraId="1B826F15">
                  <w:pPr>
                    <w:widowControl/>
                    <w:jc w:val="center"/>
                    <w:textAlignment w:val="center"/>
                    <w:rPr>
                      <w:color w:val="auto"/>
                      <w:kern w:val="0"/>
                      <w:szCs w:val="21"/>
                      <w:lang w:bidi="ar"/>
                    </w:rPr>
                  </w:pPr>
                  <w:r>
                    <w:rPr>
                      <w:rFonts w:hint="eastAsia"/>
                      <w:color w:val="auto"/>
                      <w:kern w:val="0"/>
                      <w:szCs w:val="21"/>
                      <w:lang w:bidi="ar"/>
                    </w:rPr>
                    <w:t>符合</w:t>
                  </w:r>
                </w:p>
              </w:tc>
            </w:tr>
            <w:tr w14:paraId="3ADF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20" w:type="dxa"/>
                  <w:vAlign w:val="center"/>
                </w:tcPr>
                <w:p w14:paraId="4FECD61A">
                  <w:pPr>
                    <w:widowControl/>
                    <w:jc w:val="center"/>
                    <w:textAlignment w:val="center"/>
                    <w:rPr>
                      <w:color w:val="auto"/>
                      <w:kern w:val="0"/>
                      <w:szCs w:val="21"/>
                      <w:lang w:bidi="ar"/>
                    </w:rPr>
                  </w:pPr>
                  <w:r>
                    <w:rPr>
                      <w:rFonts w:hint="eastAsia"/>
                      <w:color w:val="auto"/>
                      <w:kern w:val="0"/>
                      <w:szCs w:val="21"/>
                      <w:lang w:bidi="ar"/>
                    </w:rPr>
                    <w:t>(五)加强环境基础设施建设，推进污染集中治理。强化企业生产废水预处理，合理规划园区污水集中处理设施及配套管网，采用成熟可靠的废水处理工艺，建设足够处理能力的园区高盐水处置工程，实现园区内生产废水全部纳管收集、妥善处理和达标回用。充分利用余热余压实现供热供汽，园区原则上不再新建燃煤集中热源，企业分散热源应采用清洁能源。强化企业的危险废物污染防治主体责任，对园区各类危险废物实施严格监管和严密监控。优化固体废物、危险废物处置方式，积极拓展资源化利用途径，提高综合利用率。规范建设固体废物贮存场及填埋场并严格管理。推进大宗货物及其他货物公路运输转铁路运输，园区内及周边中短途汽车运输优先采用新能源汽车。</w:t>
                  </w:r>
                </w:p>
              </w:tc>
              <w:tc>
                <w:tcPr>
                  <w:tcW w:w="2230" w:type="dxa"/>
                  <w:vAlign w:val="center"/>
                </w:tcPr>
                <w:p w14:paraId="098D4ED9">
                  <w:pPr>
                    <w:widowControl/>
                    <w:jc w:val="center"/>
                    <w:rPr>
                      <w:color w:val="auto"/>
                      <w:kern w:val="0"/>
                      <w:szCs w:val="21"/>
                      <w:lang w:bidi="ar"/>
                    </w:rPr>
                  </w:pPr>
                  <w:r>
                    <w:rPr>
                      <w:rFonts w:hint="eastAsia"/>
                      <w:color w:val="auto"/>
                      <w:kern w:val="0"/>
                      <w:szCs w:val="21"/>
                      <w:lang w:bidi="ar"/>
                    </w:rPr>
                    <w:t>本项目生活污水经厂区现有生化污水处理站处理，出水送至污水深度处理系统进行深度处理后回用厂区；</w:t>
                  </w:r>
                  <w:r>
                    <w:rPr>
                      <w:rFonts w:hint="eastAsia"/>
                      <w:color w:val="auto"/>
                      <w:kern w:val="0"/>
                      <w:szCs w:val="21"/>
                      <w:highlight w:val="none"/>
                      <w:lang w:bidi="ar"/>
                    </w:rPr>
                    <w:t>型焦生产车间供热热源为新航焦化现有工程焦炉集气管的高温氨水经过换热站换热产生热水</w:t>
                  </w:r>
                  <w:r>
                    <w:rPr>
                      <w:rFonts w:hint="eastAsia"/>
                      <w:color w:val="auto"/>
                      <w:kern w:val="0"/>
                      <w:szCs w:val="21"/>
                      <w:highlight w:val="none"/>
                      <w:lang w:eastAsia="zh-CN" w:bidi="ar"/>
                    </w:rPr>
                    <w:t>、</w:t>
                  </w:r>
                  <w:r>
                    <w:rPr>
                      <w:rFonts w:hint="eastAsia"/>
                      <w:color w:val="auto"/>
                      <w:kern w:val="0"/>
                      <w:szCs w:val="21"/>
                      <w:highlight w:val="none"/>
                      <w:lang w:bidi="ar"/>
                    </w:rPr>
                    <w:t>型焦控制室设置空调；</w:t>
                  </w:r>
                  <w:r>
                    <w:rPr>
                      <w:rFonts w:hint="eastAsia"/>
                      <w:color w:val="auto"/>
                      <w:kern w:val="0"/>
                      <w:szCs w:val="21"/>
                      <w:lang w:bidi="ar"/>
                    </w:rPr>
                    <w:t>生产过程产生的一般固废是金属杂质，收集在型焦生产车间内，</w:t>
                  </w:r>
                  <w:r>
                    <w:rPr>
                      <w:rFonts w:hint="eastAsia"/>
                      <w:color w:val="auto"/>
                      <w:kern w:val="0"/>
                      <w:szCs w:val="21"/>
                      <w:lang w:val="en-US" w:eastAsia="zh-CN" w:bidi="ar"/>
                    </w:rPr>
                    <w:t>外售处理</w:t>
                  </w:r>
                  <w:r>
                    <w:rPr>
                      <w:rFonts w:hint="eastAsia"/>
                      <w:color w:val="auto"/>
                      <w:kern w:val="0"/>
                      <w:szCs w:val="21"/>
                      <w:lang w:bidi="ar"/>
                    </w:rPr>
                    <w:t>。职工生活垃圾依托办公生活区收集设施集中收集，生活垃圾由园区环卫部门统一处理；废润滑油暂存在新航焦化厂区现有危废库内，定期委托有资质单位处理。</w:t>
                  </w:r>
                </w:p>
              </w:tc>
              <w:tc>
                <w:tcPr>
                  <w:tcW w:w="718" w:type="dxa"/>
                  <w:vAlign w:val="center"/>
                </w:tcPr>
                <w:p w14:paraId="400AF0E7">
                  <w:pPr>
                    <w:widowControl/>
                    <w:jc w:val="center"/>
                    <w:textAlignment w:val="center"/>
                    <w:rPr>
                      <w:color w:val="auto"/>
                      <w:kern w:val="0"/>
                      <w:szCs w:val="21"/>
                      <w:lang w:bidi="ar"/>
                    </w:rPr>
                  </w:pPr>
                  <w:r>
                    <w:rPr>
                      <w:rFonts w:hint="eastAsia"/>
                      <w:color w:val="auto"/>
                      <w:kern w:val="0"/>
                      <w:szCs w:val="21"/>
                      <w:lang w:bidi="ar"/>
                    </w:rPr>
                    <w:t>符合</w:t>
                  </w:r>
                </w:p>
              </w:tc>
            </w:tr>
            <w:tr w14:paraId="4229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4120" w:type="dxa"/>
                  <w:vAlign w:val="center"/>
                </w:tcPr>
                <w:p w14:paraId="393029E2">
                  <w:pPr>
                    <w:widowControl/>
                    <w:jc w:val="center"/>
                    <w:textAlignment w:val="center"/>
                    <w:rPr>
                      <w:color w:val="auto"/>
                      <w:kern w:val="0"/>
                      <w:szCs w:val="21"/>
                      <w:lang w:bidi="ar"/>
                    </w:rPr>
                  </w:pPr>
                  <w:r>
                    <w:rPr>
                      <w:rFonts w:hint="eastAsia"/>
                      <w:color w:val="auto"/>
                      <w:kern w:val="0"/>
                      <w:szCs w:val="21"/>
                      <w:lang w:bidi="ar"/>
                    </w:rPr>
                    <w:t>(六)强化源头防控，有效防范环境污染和事故风险。加强突发环境事件应急处置能力建设，建立完善的环境风险防控和应急监测体系，强化应急演练和应急物资储备，不断提升应急响应能力，保障区域环境安全。推进电石法聚氯乙烯企业无汞化替代，有效降低企业运行环境风险隐患。入园企业按要求设置事故水池，并与棋西项目区或棋东项目区配套园区事故水池联通形成综合调控系统，确保任何情况下园区事故废水不进入外环境。</w:t>
                  </w:r>
                </w:p>
              </w:tc>
              <w:tc>
                <w:tcPr>
                  <w:tcW w:w="2230" w:type="dxa"/>
                  <w:vAlign w:val="center"/>
                </w:tcPr>
                <w:p w14:paraId="3D024B1B">
                  <w:pPr>
                    <w:widowControl/>
                    <w:jc w:val="left"/>
                    <w:rPr>
                      <w:color w:val="auto"/>
                      <w:kern w:val="0"/>
                      <w:szCs w:val="21"/>
                      <w:lang w:bidi="ar"/>
                    </w:rPr>
                  </w:pPr>
                  <w:r>
                    <w:rPr>
                      <w:rFonts w:hint="eastAsia" w:ascii="宋体" w:hAnsi="宋体" w:cs="宋体"/>
                      <w:color w:val="auto"/>
                      <w:kern w:val="0"/>
                      <w:szCs w:val="21"/>
                      <w:lang w:bidi="ar"/>
                    </w:rPr>
                    <w:t>鄂托克旗新航焦化有限公司已建立突发环境事件应急防控体系；</w:t>
                  </w:r>
                  <w:r>
                    <w:rPr>
                      <w:color w:val="auto"/>
                      <w:kern w:val="0"/>
                      <w:szCs w:val="21"/>
                      <w:lang w:bidi="ar"/>
                    </w:rPr>
                    <w:t>本项目</w:t>
                  </w:r>
                  <w:r>
                    <w:rPr>
                      <w:rFonts w:hint="eastAsia"/>
                      <w:color w:val="auto"/>
                      <w:kern w:val="0"/>
                      <w:szCs w:val="21"/>
                      <w:lang w:bidi="ar"/>
                    </w:rPr>
                    <w:t>依托新航焦化已建设的事故池，满足项目发生事故时的要求</w:t>
                  </w:r>
                  <w:r>
                    <w:rPr>
                      <w:color w:val="auto"/>
                      <w:kern w:val="0"/>
                      <w:szCs w:val="21"/>
                      <w:lang w:bidi="ar"/>
                    </w:rPr>
                    <w:t>。</w:t>
                  </w:r>
                </w:p>
              </w:tc>
              <w:tc>
                <w:tcPr>
                  <w:tcW w:w="718" w:type="dxa"/>
                  <w:vAlign w:val="center"/>
                </w:tcPr>
                <w:p w14:paraId="0F39B468">
                  <w:pPr>
                    <w:widowControl/>
                    <w:jc w:val="center"/>
                    <w:textAlignment w:val="center"/>
                    <w:rPr>
                      <w:color w:val="auto"/>
                      <w:kern w:val="0"/>
                      <w:szCs w:val="21"/>
                      <w:lang w:bidi="ar"/>
                    </w:rPr>
                  </w:pPr>
                </w:p>
                <w:p w14:paraId="69B4EA16">
                  <w:pPr>
                    <w:widowControl/>
                    <w:jc w:val="center"/>
                    <w:textAlignment w:val="center"/>
                    <w:rPr>
                      <w:color w:val="auto"/>
                      <w:kern w:val="0"/>
                      <w:szCs w:val="21"/>
                      <w:lang w:bidi="ar"/>
                    </w:rPr>
                  </w:pPr>
                </w:p>
                <w:p w14:paraId="2A3C7D7E">
                  <w:pPr>
                    <w:widowControl/>
                    <w:jc w:val="center"/>
                    <w:textAlignment w:val="center"/>
                    <w:rPr>
                      <w:color w:val="auto"/>
                      <w:kern w:val="0"/>
                      <w:szCs w:val="21"/>
                      <w:lang w:bidi="ar"/>
                    </w:rPr>
                  </w:pPr>
                </w:p>
                <w:p w14:paraId="05FDACF6">
                  <w:pPr>
                    <w:widowControl/>
                    <w:jc w:val="center"/>
                    <w:textAlignment w:val="center"/>
                    <w:rPr>
                      <w:color w:val="auto"/>
                      <w:kern w:val="0"/>
                      <w:szCs w:val="21"/>
                      <w:lang w:bidi="ar"/>
                    </w:rPr>
                  </w:pPr>
                  <w:r>
                    <w:rPr>
                      <w:rFonts w:hint="eastAsia"/>
                      <w:color w:val="auto"/>
                      <w:kern w:val="0"/>
                      <w:szCs w:val="21"/>
                      <w:lang w:bidi="ar"/>
                    </w:rPr>
                    <w:t>符合</w:t>
                  </w:r>
                </w:p>
              </w:tc>
            </w:tr>
            <w:tr w14:paraId="38D6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4120" w:type="dxa"/>
                  <w:vAlign w:val="center"/>
                </w:tcPr>
                <w:p w14:paraId="565E3B9C">
                  <w:pPr>
                    <w:widowControl/>
                    <w:jc w:val="center"/>
                    <w:textAlignment w:val="center"/>
                    <w:rPr>
                      <w:color w:val="auto"/>
                      <w:kern w:val="0"/>
                      <w:szCs w:val="21"/>
                      <w:lang w:bidi="ar"/>
                    </w:rPr>
                  </w:pPr>
                  <w:r>
                    <w:rPr>
                      <w:rFonts w:hint="eastAsia"/>
                      <w:color w:val="auto"/>
                      <w:kern w:val="0"/>
                      <w:szCs w:val="21"/>
                      <w:lang w:bidi="ar"/>
                    </w:rPr>
                    <w:t>(七)加强环境监管及日常环境质量监测。园区应建立完善的环境监测计划，开展包括常规污染物、特征污染物在内的环境空气、地表水、地下水、土壤、生态系统等环境质量长期监测和污染风险管控。重点企业排污口要设置在线监测系统并与生态环境部门联网。加强土壤污染重点企业监管，强化腾退企业遗留场地的土壤环境调查和风险评估，合理确定土地利用方式。</w:t>
                  </w:r>
                </w:p>
              </w:tc>
              <w:tc>
                <w:tcPr>
                  <w:tcW w:w="2230" w:type="dxa"/>
                  <w:vAlign w:val="center"/>
                </w:tcPr>
                <w:p w14:paraId="3C510A10">
                  <w:pPr>
                    <w:widowControl/>
                    <w:jc w:val="center"/>
                    <w:textAlignment w:val="center"/>
                    <w:rPr>
                      <w:color w:val="auto"/>
                      <w:kern w:val="0"/>
                      <w:szCs w:val="21"/>
                      <w:lang w:bidi="ar"/>
                    </w:rPr>
                  </w:pPr>
                  <w:r>
                    <w:rPr>
                      <w:rFonts w:hint="eastAsia" w:ascii="宋体" w:hAnsi="宋体" w:eastAsia="宋体" w:cs="宋体"/>
                      <w:color w:val="auto"/>
                      <w:kern w:val="2"/>
                      <w:sz w:val="21"/>
                      <w:szCs w:val="24"/>
                      <w:lang w:val="en-US" w:eastAsia="zh-CN"/>
                    </w:rPr>
                    <w:t>新航焦化已做厂区的环境监测计划，本</w:t>
                  </w:r>
                  <w:r>
                    <w:rPr>
                      <w:rFonts w:hint="eastAsia" w:ascii="宋体" w:hAnsi="宋体" w:eastAsia="宋体" w:cs="宋体"/>
                      <w:color w:val="auto"/>
                      <w:kern w:val="2"/>
                      <w:sz w:val="21"/>
                      <w:szCs w:val="24"/>
                    </w:rPr>
                    <w:t>项目建成后并入</w:t>
                  </w:r>
                  <w:r>
                    <w:rPr>
                      <w:rFonts w:hint="eastAsia" w:ascii="宋体" w:hAnsi="宋体" w:eastAsia="宋体" w:cs="宋体"/>
                      <w:color w:val="auto"/>
                      <w:kern w:val="2"/>
                      <w:sz w:val="21"/>
                      <w:szCs w:val="24"/>
                      <w:lang w:val="en-US" w:eastAsia="zh-CN"/>
                    </w:rPr>
                    <w:t>新航焦化监测计划</w:t>
                  </w:r>
                  <w:r>
                    <w:rPr>
                      <w:rFonts w:hint="eastAsia" w:ascii="宋体" w:hAnsi="宋体" w:eastAsia="宋体" w:cs="宋体"/>
                      <w:color w:val="auto"/>
                      <w:kern w:val="2"/>
                      <w:sz w:val="21"/>
                      <w:szCs w:val="24"/>
                    </w:rPr>
                    <w:t>，</w:t>
                  </w:r>
                  <w:r>
                    <w:rPr>
                      <w:rFonts w:hint="eastAsia" w:ascii="宋体" w:hAnsi="宋体" w:eastAsia="宋体" w:cs="宋体"/>
                      <w:color w:val="auto"/>
                      <w:kern w:val="2"/>
                      <w:sz w:val="21"/>
                      <w:szCs w:val="24"/>
                      <w:lang w:val="en-US" w:eastAsia="zh-CN"/>
                    </w:rPr>
                    <w:t>运营期</w:t>
                  </w:r>
                  <w:r>
                    <w:rPr>
                      <w:rFonts w:hint="eastAsia"/>
                      <w:color w:val="auto"/>
                      <w:kern w:val="0"/>
                      <w:szCs w:val="21"/>
                      <w:lang w:bidi="ar"/>
                    </w:rPr>
                    <w:t>按照监测计划执行</w:t>
                  </w:r>
                  <w:r>
                    <w:rPr>
                      <w:rFonts w:hint="eastAsia" w:ascii="宋体" w:hAnsi="宋体" w:eastAsia="宋体" w:cs="宋体"/>
                      <w:color w:val="auto"/>
                      <w:kern w:val="2"/>
                      <w:sz w:val="21"/>
                      <w:szCs w:val="24"/>
                    </w:rPr>
                    <w:t>。</w:t>
                  </w:r>
                </w:p>
              </w:tc>
              <w:tc>
                <w:tcPr>
                  <w:tcW w:w="718" w:type="dxa"/>
                  <w:vAlign w:val="center"/>
                </w:tcPr>
                <w:p w14:paraId="2F3D1376">
                  <w:pPr>
                    <w:widowControl/>
                    <w:jc w:val="center"/>
                    <w:textAlignment w:val="center"/>
                    <w:rPr>
                      <w:color w:val="auto"/>
                      <w:kern w:val="0"/>
                      <w:szCs w:val="21"/>
                      <w:lang w:bidi="ar"/>
                    </w:rPr>
                  </w:pPr>
                  <w:r>
                    <w:rPr>
                      <w:rFonts w:hint="eastAsia"/>
                      <w:color w:val="auto"/>
                      <w:kern w:val="0"/>
                      <w:szCs w:val="21"/>
                      <w:lang w:bidi="ar"/>
                    </w:rPr>
                    <w:t>符合</w:t>
                  </w:r>
                </w:p>
              </w:tc>
            </w:tr>
            <w:tr w14:paraId="7775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20" w:type="dxa"/>
                  <w:vAlign w:val="center"/>
                </w:tcPr>
                <w:p w14:paraId="56B8D7CD">
                  <w:pPr>
                    <w:widowControl/>
                    <w:jc w:val="center"/>
                    <w:textAlignment w:val="center"/>
                    <w:rPr>
                      <w:color w:val="auto"/>
                      <w:kern w:val="0"/>
                      <w:szCs w:val="21"/>
                      <w:lang w:bidi="ar"/>
                    </w:rPr>
                  </w:pPr>
                  <w:r>
                    <w:rPr>
                      <w:rFonts w:hint="eastAsia"/>
                      <w:color w:val="auto"/>
                      <w:kern w:val="0"/>
                      <w:szCs w:val="21"/>
                      <w:lang w:bidi="ar"/>
                    </w:rPr>
                    <w:t>(八)总体规划实施对环境产生重大影响时，应当及时组织环境影响的跟踪评价。对规划所包含的建设项目，在开展环境影响评价时，应重点分析污染防治措施和环境风险防控措施的可行性、可靠性，规划协调性分析、环境现状等工作内容可适当简化。</w:t>
                  </w:r>
                </w:p>
              </w:tc>
              <w:tc>
                <w:tcPr>
                  <w:tcW w:w="2230" w:type="dxa"/>
                  <w:vAlign w:val="center"/>
                </w:tcPr>
                <w:p w14:paraId="0C21734F">
                  <w:pPr>
                    <w:widowControl/>
                    <w:jc w:val="center"/>
                    <w:textAlignment w:val="center"/>
                    <w:rPr>
                      <w:color w:val="auto"/>
                      <w:kern w:val="0"/>
                      <w:szCs w:val="21"/>
                      <w:lang w:bidi="ar"/>
                    </w:rPr>
                  </w:pPr>
                  <w:r>
                    <w:rPr>
                      <w:rFonts w:hint="eastAsia"/>
                      <w:color w:val="auto"/>
                      <w:kern w:val="0"/>
                      <w:szCs w:val="21"/>
                      <w:lang w:bidi="ar"/>
                    </w:rPr>
                    <w:t>/</w:t>
                  </w:r>
                </w:p>
              </w:tc>
              <w:tc>
                <w:tcPr>
                  <w:tcW w:w="718" w:type="dxa"/>
                  <w:vAlign w:val="center"/>
                </w:tcPr>
                <w:p w14:paraId="3261D5DE">
                  <w:pPr>
                    <w:widowControl/>
                    <w:jc w:val="center"/>
                    <w:textAlignment w:val="center"/>
                    <w:rPr>
                      <w:color w:val="auto"/>
                      <w:kern w:val="0"/>
                      <w:szCs w:val="21"/>
                      <w:lang w:bidi="ar"/>
                    </w:rPr>
                  </w:pPr>
                  <w:r>
                    <w:rPr>
                      <w:rFonts w:hint="eastAsia"/>
                      <w:color w:val="auto"/>
                      <w:kern w:val="0"/>
                      <w:szCs w:val="21"/>
                      <w:lang w:bidi="ar"/>
                    </w:rPr>
                    <w:t>/</w:t>
                  </w:r>
                </w:p>
              </w:tc>
            </w:tr>
          </w:tbl>
          <w:p w14:paraId="55AB4E27">
            <w:pPr>
              <w:autoSpaceDE w:val="0"/>
              <w:autoSpaceDN w:val="0"/>
              <w:adjustRightInd w:val="0"/>
              <w:snapToGrid w:val="0"/>
              <w:spacing w:line="360" w:lineRule="auto"/>
              <w:ind w:firstLine="480" w:firstLineChars="200"/>
              <w:rPr>
                <w:color w:val="auto"/>
                <w:kern w:val="0"/>
                <w:sz w:val="24"/>
              </w:rPr>
            </w:pPr>
            <w:r>
              <w:rPr>
                <w:rFonts w:hint="eastAsia"/>
                <w:color w:val="auto"/>
                <w:kern w:val="0"/>
                <w:sz w:val="24"/>
              </w:rPr>
              <w:t>根据以上与园区规划环评审查意见符合性分析可知，本项目符合园区规划环评审查意见的要求。</w:t>
            </w:r>
          </w:p>
        </w:tc>
      </w:tr>
      <w:tr w14:paraId="716CF4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61" w:hRule="atLeast"/>
          <w:jc w:val="center"/>
        </w:trPr>
        <w:tc>
          <w:tcPr>
            <w:tcW w:w="1731" w:type="dxa"/>
            <w:vAlign w:val="center"/>
          </w:tcPr>
          <w:p w14:paraId="2837AAF6">
            <w:pPr>
              <w:autoSpaceDE w:val="0"/>
              <w:autoSpaceDN w:val="0"/>
              <w:adjustRightInd w:val="0"/>
              <w:snapToGrid w:val="0"/>
              <w:jc w:val="center"/>
              <w:rPr>
                <w:kern w:val="0"/>
                <w:sz w:val="24"/>
              </w:rPr>
            </w:pPr>
            <w:r>
              <w:rPr>
                <w:kern w:val="0"/>
                <w:sz w:val="24"/>
              </w:rPr>
              <w:t>规划及规划环境影响评价符合性分析</w:t>
            </w:r>
          </w:p>
        </w:tc>
        <w:tc>
          <w:tcPr>
            <w:tcW w:w="7228" w:type="dxa"/>
            <w:gridSpan w:val="3"/>
            <w:vMerge w:val="continue"/>
            <w:vAlign w:val="center"/>
          </w:tcPr>
          <w:p w14:paraId="510201AF">
            <w:pPr>
              <w:autoSpaceDE w:val="0"/>
              <w:autoSpaceDN w:val="0"/>
              <w:adjustRightInd w:val="0"/>
              <w:snapToGrid w:val="0"/>
              <w:spacing w:line="360" w:lineRule="auto"/>
              <w:rPr>
                <w:kern w:val="0"/>
                <w:sz w:val="24"/>
              </w:rPr>
            </w:pPr>
          </w:p>
        </w:tc>
      </w:tr>
      <w:tr w14:paraId="73AF26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1731" w:type="dxa"/>
            <w:vAlign w:val="center"/>
          </w:tcPr>
          <w:p w14:paraId="610651E1">
            <w:pPr>
              <w:autoSpaceDE w:val="0"/>
              <w:autoSpaceDN w:val="0"/>
              <w:adjustRightInd w:val="0"/>
              <w:snapToGrid w:val="0"/>
              <w:jc w:val="center"/>
              <w:rPr>
                <w:color w:val="auto"/>
                <w:kern w:val="0"/>
                <w:sz w:val="24"/>
              </w:rPr>
            </w:pPr>
            <w:r>
              <w:rPr>
                <w:color w:val="auto"/>
                <w:kern w:val="0"/>
                <w:sz w:val="24"/>
              </w:rPr>
              <w:t>其他符合性分析</w:t>
            </w:r>
          </w:p>
        </w:tc>
        <w:tc>
          <w:tcPr>
            <w:tcW w:w="7228" w:type="dxa"/>
            <w:gridSpan w:val="3"/>
            <w:vAlign w:val="center"/>
          </w:tcPr>
          <w:p w14:paraId="2B902364">
            <w:pPr>
              <w:autoSpaceDE w:val="0"/>
              <w:autoSpaceDN w:val="0"/>
              <w:adjustRightInd w:val="0"/>
              <w:snapToGrid w:val="0"/>
              <w:spacing w:line="360" w:lineRule="auto"/>
              <w:ind w:left="420" w:leftChars="200"/>
              <w:jc w:val="left"/>
              <w:rPr>
                <w:b/>
                <w:bCs/>
                <w:color w:val="auto"/>
                <w:kern w:val="0"/>
                <w:sz w:val="24"/>
              </w:rPr>
            </w:pPr>
            <w:r>
              <w:rPr>
                <w:rFonts w:hint="eastAsia"/>
                <w:b/>
                <w:bCs/>
                <w:color w:val="auto"/>
                <w:kern w:val="0"/>
                <w:sz w:val="24"/>
              </w:rPr>
              <w:t>1、产业政策符合性</w:t>
            </w:r>
          </w:p>
          <w:p w14:paraId="5B428574">
            <w:pPr>
              <w:autoSpaceDE w:val="0"/>
              <w:autoSpaceDN w:val="0"/>
              <w:adjustRightInd w:val="0"/>
              <w:snapToGrid w:val="0"/>
              <w:spacing w:line="360" w:lineRule="auto"/>
              <w:ind w:firstLine="480" w:firstLineChars="200"/>
              <w:jc w:val="left"/>
              <w:rPr>
                <w:color w:val="auto"/>
                <w:kern w:val="0"/>
                <w:sz w:val="24"/>
              </w:rPr>
            </w:pPr>
            <w:r>
              <w:rPr>
                <w:rFonts w:hint="eastAsia"/>
                <w:color w:val="auto"/>
                <w:kern w:val="0"/>
                <w:sz w:val="24"/>
              </w:rPr>
              <w:t>本项目为一般工业固体废物资源化利用，根据《产业结构调整指导目录（2024年本）》（中华人民共和国国家发展和改革委员会令第7号），本项目属于鼓励类中“四十二、环境保护与资源节约综合利用：8.废弃物循环利用中“煤矸石、粉煤灰、尾矿（共伴生矿）、冶炼渣、工业副产石膏、赤泥、建筑垃圾等工业废弃物循环利用”，符合国家产业政策要求。</w:t>
            </w:r>
          </w:p>
          <w:p w14:paraId="0398F7BF">
            <w:pPr>
              <w:autoSpaceDE w:val="0"/>
              <w:autoSpaceDN w:val="0"/>
              <w:adjustRightInd w:val="0"/>
              <w:snapToGrid w:val="0"/>
              <w:spacing w:line="360" w:lineRule="auto"/>
              <w:ind w:firstLine="480" w:firstLineChars="200"/>
              <w:jc w:val="left"/>
              <w:rPr>
                <w:color w:val="auto"/>
                <w:kern w:val="0"/>
                <w:sz w:val="24"/>
              </w:rPr>
            </w:pPr>
            <w:r>
              <w:rPr>
                <w:rFonts w:hint="eastAsia"/>
                <w:color w:val="auto"/>
                <w:kern w:val="0"/>
                <w:sz w:val="24"/>
              </w:rPr>
              <w:t>本项目已在</w:t>
            </w:r>
            <w:r>
              <w:rPr>
                <w:rFonts w:hint="eastAsia"/>
                <w:color w:val="auto"/>
                <w:sz w:val="24"/>
              </w:rPr>
              <w:t>鄂托克旗发展和改革委员会</w:t>
            </w:r>
            <w:r>
              <w:rPr>
                <w:rFonts w:hint="eastAsia"/>
                <w:color w:val="auto"/>
                <w:kern w:val="0"/>
                <w:sz w:val="24"/>
              </w:rPr>
              <w:t>进行备案，项目代码为</w:t>
            </w:r>
            <w:r>
              <w:rPr>
                <w:rFonts w:hint="eastAsia"/>
                <w:color w:val="auto"/>
                <w:sz w:val="24"/>
              </w:rPr>
              <w:t>2509-150624-04-01-560092，确定本项目符合相关政策的要求。综上所述，本项目建设符合国家及地方产业政策。</w:t>
            </w:r>
          </w:p>
          <w:p w14:paraId="71298C71">
            <w:pPr>
              <w:autoSpaceDE w:val="0"/>
              <w:autoSpaceDN w:val="0"/>
              <w:adjustRightInd w:val="0"/>
              <w:snapToGrid w:val="0"/>
              <w:spacing w:line="360" w:lineRule="auto"/>
              <w:ind w:firstLine="482" w:firstLineChars="200"/>
              <w:jc w:val="left"/>
              <w:rPr>
                <w:b/>
                <w:bCs/>
                <w:color w:val="auto"/>
                <w:kern w:val="0"/>
                <w:sz w:val="24"/>
              </w:rPr>
            </w:pPr>
            <w:r>
              <w:rPr>
                <w:rFonts w:hint="eastAsia"/>
                <w:b/>
                <w:bCs/>
                <w:color w:val="auto"/>
                <w:kern w:val="0"/>
                <w:sz w:val="24"/>
              </w:rPr>
              <w:t>2、与《内蒙古自治区“十四五”生态环境保护规划》符合性分析</w:t>
            </w:r>
          </w:p>
          <w:p w14:paraId="32AEBEF2">
            <w:pPr>
              <w:autoSpaceDE w:val="0"/>
              <w:autoSpaceDN w:val="0"/>
              <w:adjustRightInd w:val="0"/>
              <w:snapToGrid w:val="0"/>
              <w:spacing w:line="360" w:lineRule="auto"/>
              <w:ind w:firstLine="480" w:firstLineChars="200"/>
              <w:jc w:val="left"/>
              <w:rPr>
                <w:color w:val="auto"/>
                <w:sz w:val="24"/>
              </w:rPr>
            </w:pPr>
            <w:r>
              <w:rPr>
                <w:rFonts w:hint="eastAsia"/>
                <w:color w:val="auto"/>
                <w:sz w:val="24"/>
              </w:rPr>
              <w:t>根据《内蒙古自治区“十四五”生态环境保护规划》根据“第六节 加快产业结构升级：优化产业布局。科学制定并严格实施国土空间规划，加强空间布局约束，形成有利于大气污染物扩散的城市和区域空间格局。城市主城区禁止建设环境高风险、高污染项目。严格项目审批，新上重化工项目必须入园，对布局在园区外的现有重化工企业，严禁在原址审批新增产能项目。以包头市为重点，解决“重化围城”突出问题，推进“飞地经济”落地，加快现有重化企业升级改造、整合搬迁、退城入园。强化工业园区和产业集群升级改造，推动传统产业向工业园区(集聚区)集聚集约发展，提高化工、铸造、有色、砖瓦、玻璃、耐火材料、陶瓷、农副食品加工、印染、制革等行业园区集聚水平。”</w:t>
            </w:r>
          </w:p>
          <w:p w14:paraId="6039BE03">
            <w:pPr>
              <w:autoSpaceDE w:val="0"/>
              <w:autoSpaceDN w:val="0"/>
              <w:adjustRightInd w:val="0"/>
              <w:snapToGrid w:val="0"/>
              <w:spacing w:line="360" w:lineRule="auto"/>
              <w:ind w:firstLine="480" w:firstLineChars="200"/>
              <w:jc w:val="left"/>
              <w:rPr>
                <w:color w:val="auto"/>
                <w:sz w:val="24"/>
              </w:rPr>
            </w:pPr>
            <w:r>
              <w:rPr>
                <w:rFonts w:hint="eastAsia"/>
                <w:color w:val="auto"/>
                <w:sz w:val="24"/>
              </w:rPr>
              <w:t>本项目位于</w:t>
            </w:r>
            <w:r>
              <w:rPr>
                <w:rFonts w:hint="eastAsia"/>
                <w:color w:val="auto"/>
                <w:sz w:val="24"/>
                <w:lang w:val="en-US" w:eastAsia="zh-CN"/>
              </w:rPr>
              <w:t>鄂托克经济开发区棋东项目区</w:t>
            </w:r>
            <w:r>
              <w:rPr>
                <w:rFonts w:hint="eastAsia"/>
                <w:color w:val="auto"/>
                <w:sz w:val="24"/>
              </w:rPr>
              <w:t>，实现入园聚集发展。符合《内蒙古自治区“十四五”生态环境保护规划》。</w:t>
            </w:r>
          </w:p>
          <w:p w14:paraId="259DE039">
            <w:pPr>
              <w:autoSpaceDE w:val="0"/>
              <w:autoSpaceDN w:val="0"/>
              <w:adjustRightInd w:val="0"/>
              <w:snapToGrid w:val="0"/>
              <w:spacing w:line="360" w:lineRule="auto"/>
              <w:ind w:firstLine="482" w:firstLineChars="200"/>
              <w:jc w:val="left"/>
              <w:rPr>
                <w:b/>
                <w:bCs/>
                <w:color w:val="auto"/>
                <w:kern w:val="0"/>
                <w:sz w:val="24"/>
              </w:rPr>
            </w:pPr>
            <w:r>
              <w:rPr>
                <w:rFonts w:hint="eastAsia"/>
                <w:b/>
                <w:bCs/>
                <w:color w:val="auto"/>
                <w:kern w:val="0"/>
                <w:sz w:val="24"/>
              </w:rPr>
              <w:t>3、与《</w:t>
            </w:r>
            <w:r>
              <w:rPr>
                <w:rFonts w:hint="eastAsia"/>
                <w:b/>
                <w:bCs/>
                <w:color w:val="auto"/>
                <w:kern w:val="0"/>
                <w:sz w:val="24"/>
                <w:lang w:val="en-US" w:eastAsia="zh-CN"/>
              </w:rPr>
              <w:t>鄂托克旗</w:t>
            </w:r>
            <w:r>
              <w:rPr>
                <w:rFonts w:hint="eastAsia" w:ascii="Times New Roman" w:hAnsi="Times New Roman" w:eastAsia="宋体" w:cs="Times New Roman"/>
                <w:b/>
                <w:bCs/>
                <w:color w:val="auto"/>
                <w:kern w:val="0"/>
                <w:sz w:val="24"/>
              </w:rPr>
              <w:t>国民经济和社会发展第十四个五年规划和二O三五年远景目标纲要》符合性分析</w:t>
            </w:r>
          </w:p>
          <w:p w14:paraId="41622A07">
            <w:pPr>
              <w:widowControl/>
              <w:spacing w:line="360" w:lineRule="auto"/>
              <w:ind w:firstLine="480" w:firstLineChars="200"/>
              <w:jc w:val="left"/>
              <w:rPr>
                <w:rFonts w:hint="eastAsia"/>
                <w:color w:val="auto"/>
                <w:sz w:val="24"/>
              </w:rPr>
            </w:pPr>
            <w:r>
              <w:rPr>
                <w:rFonts w:hint="eastAsia"/>
                <w:color w:val="auto"/>
                <w:sz w:val="24"/>
              </w:rPr>
              <w:t>根据《鄂托克旗国民经济和社会发展第十四个五年规划和二O三五年远景目标纲要》内容：“第二篇</w:t>
            </w:r>
            <w:r>
              <w:rPr>
                <w:rFonts w:hint="eastAsia"/>
                <w:color w:val="auto"/>
                <w:sz w:val="24"/>
                <w:lang w:eastAsia="zh-CN"/>
              </w:rPr>
              <w:t>、</w:t>
            </w:r>
            <w:r>
              <w:rPr>
                <w:rFonts w:hint="eastAsia"/>
                <w:color w:val="auto"/>
                <w:sz w:val="24"/>
              </w:rPr>
              <w:t>加强生态环境保护，厚植绿色发展亮丽底色</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第四章</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强化环境综合治理</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第一节</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推进棋盘井、蒙西地区环境综合治理</w:t>
            </w:r>
            <w:r>
              <w:rPr>
                <w:rFonts w:hint="eastAsia" w:ascii="Times New Roman" w:hAnsi="Times New Roman" w:eastAsia="宋体" w:cs="Times New Roman"/>
                <w:color w:val="auto"/>
                <w:sz w:val="24"/>
                <w:lang w:val="en-US" w:eastAsia="zh-CN"/>
              </w:rPr>
              <w:t>中提到加强工业固废规范处置：按照“减量化、资源化、无害化”原则，制定出台工业固体废物综合利用优惠政策，提高粉煤灰、煤矸石等工业固废综合利用率。统筹推进工业固废渣场建设，科学选取、合理规划可利用矿坑作为工业固废渣场，破解大量矿坑闲置、大量工业固废无贮存场所等问题。</w:t>
            </w:r>
            <w:r>
              <w:rPr>
                <w:rFonts w:hint="eastAsia" w:ascii="宋体" w:hAnsi="宋体" w:cs="宋体"/>
                <w:color w:val="auto"/>
                <w:kern w:val="0"/>
                <w:sz w:val="24"/>
                <w:lang w:bidi="ar"/>
              </w:rPr>
              <w:t>”本项目位于棋盘井产业园棋东项目区</w:t>
            </w:r>
            <w:r>
              <w:rPr>
                <w:rFonts w:hint="eastAsia" w:ascii="宋体" w:hAnsi="宋体" w:cs="宋体"/>
                <w:color w:val="auto"/>
                <w:kern w:val="0"/>
                <w:sz w:val="24"/>
                <w:lang w:eastAsia="zh-CN" w:bidi="ar"/>
              </w:rPr>
              <w:t>，</w:t>
            </w:r>
            <w:r>
              <w:rPr>
                <w:rFonts w:hint="eastAsia" w:ascii="宋体" w:hAnsi="宋体" w:cs="宋体"/>
                <w:color w:val="auto"/>
                <w:kern w:val="0"/>
                <w:sz w:val="24"/>
                <w:lang w:bidi="ar"/>
              </w:rPr>
              <w:t>属于</w:t>
            </w:r>
            <w:r>
              <w:rPr>
                <w:rFonts w:hint="eastAsia" w:ascii="宋体" w:hAnsi="宋体" w:cs="宋体"/>
                <w:color w:val="auto"/>
                <w:kern w:val="0"/>
                <w:sz w:val="24"/>
                <w:lang w:val="en-US" w:eastAsia="zh-CN" w:bidi="ar"/>
              </w:rPr>
              <w:t>一般工业固废利用项目</w:t>
            </w:r>
            <w:r>
              <w:rPr>
                <w:rFonts w:hint="eastAsia" w:ascii="宋体" w:hAnsi="宋体" w:cs="宋体"/>
                <w:color w:val="auto"/>
                <w:kern w:val="0"/>
                <w:sz w:val="24"/>
                <w:lang w:bidi="ar"/>
              </w:rPr>
              <w:t>，</w:t>
            </w:r>
            <w:r>
              <w:rPr>
                <w:rFonts w:hint="eastAsia" w:ascii="宋体" w:hAnsi="宋体" w:cs="宋体"/>
                <w:color w:val="auto"/>
                <w:kern w:val="0"/>
                <w:sz w:val="24"/>
                <w:lang w:val="en-US" w:eastAsia="zh-CN" w:bidi="ar"/>
              </w:rPr>
              <w:t>利用除尘灰和焦粉进行固废利用</w:t>
            </w:r>
            <w:r>
              <w:rPr>
                <w:rFonts w:hint="eastAsia" w:ascii="宋体" w:hAnsi="宋体" w:cs="宋体"/>
                <w:color w:val="auto"/>
                <w:kern w:val="0"/>
                <w:sz w:val="24"/>
                <w:lang w:eastAsia="zh-CN" w:bidi="ar"/>
              </w:rPr>
              <w:t>，</w:t>
            </w:r>
            <w:r>
              <w:rPr>
                <w:rFonts w:hint="eastAsia"/>
                <w:color w:val="auto"/>
                <w:sz w:val="24"/>
              </w:rPr>
              <w:t>符合《鄂托克旗国民经济和社会发展第十四个五年规划和二O三五年远景目标纲要》要求。</w:t>
            </w:r>
          </w:p>
          <w:p w14:paraId="5C568345">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Cs w:val="21"/>
                <w:lang w:val="en-US" w:eastAsia="zh-CN" w:bidi="ar"/>
              </w:rPr>
            </w:pPr>
            <w:r>
              <w:rPr>
                <w:rFonts w:hint="eastAsia"/>
                <w:color w:val="auto"/>
                <w:kern w:val="0"/>
                <w:szCs w:val="21"/>
                <w:lang w:val="en-US" w:eastAsia="zh-CN" w:bidi="ar"/>
              </w:rPr>
              <w:t>综上，本项目符</w:t>
            </w:r>
            <w:r>
              <w:rPr>
                <w:rFonts w:hint="eastAsia" w:ascii="Times New Roman" w:hAnsi="Times New Roman" w:eastAsia="宋体" w:cs="Times New Roman"/>
                <w:color w:val="auto"/>
                <w:kern w:val="0"/>
                <w:szCs w:val="21"/>
                <w:lang w:val="en-US" w:eastAsia="zh-CN" w:bidi="ar"/>
              </w:rPr>
              <w:t>合《鄂托克经济开发区国土空间总体规划》。</w:t>
            </w:r>
          </w:p>
          <w:p w14:paraId="6BC377FE">
            <w:pPr>
              <w:pStyle w:val="7"/>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eastAsia"/>
                <w:b/>
                <w:bCs/>
                <w:color w:val="auto"/>
                <w:kern w:val="0"/>
                <w:sz w:val="24"/>
                <w:lang w:val="en-US" w:eastAsia="zh-CN"/>
              </w:rPr>
              <w:t>4、与</w:t>
            </w:r>
            <w:r>
              <w:rPr>
                <w:rFonts w:hint="eastAsia" w:ascii="Times New Roman" w:hAnsi="Times New Roman" w:eastAsia="宋体" w:cs="Times New Roman"/>
                <w:b/>
                <w:bCs/>
                <w:color w:val="auto"/>
                <w:kern w:val="0"/>
                <w:sz w:val="24"/>
                <w:szCs w:val="24"/>
                <w:lang w:val="en-US" w:eastAsia="zh-CN" w:bidi="ar-SA"/>
              </w:rPr>
              <w:t>《鄂托克经济开发区国土空间总体规划》符</w:t>
            </w:r>
            <w:r>
              <w:rPr>
                <w:rFonts w:hint="default" w:ascii="Times New Roman" w:hAnsi="Times New Roman" w:eastAsia="宋体" w:cs="Times New Roman"/>
                <w:b/>
                <w:bCs/>
                <w:color w:val="auto"/>
                <w:kern w:val="0"/>
                <w:sz w:val="24"/>
                <w:szCs w:val="24"/>
                <w:lang w:val="en-US" w:eastAsia="zh-CN" w:bidi="ar-SA"/>
              </w:rPr>
              <w:t>合性分析</w:t>
            </w:r>
          </w:p>
          <w:p w14:paraId="080DC721">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kern w:val="0"/>
                <w:szCs w:val="21"/>
                <w:lang w:eastAsia="zh-CN" w:bidi="ar"/>
              </w:rPr>
            </w:pPr>
            <w:r>
              <w:rPr>
                <w:rFonts w:hint="eastAsia" w:ascii="宋体" w:hAnsi="宋体" w:eastAsia="宋体" w:cs="宋体"/>
                <w:color w:val="auto"/>
                <w:kern w:val="0"/>
                <w:sz w:val="24"/>
                <w:szCs w:val="24"/>
                <w:lang w:val="en-US" w:eastAsia="zh-CN" w:bidi="ar"/>
              </w:rPr>
              <w:t>根据《鄂托克经济开发区国土空间总体规划》的产业定位“按照高起点、高水平的发展思路，以能耗双控和环境保护为约束条件，充分发挥鄂托克经济开发区矿产资源、土地资源、产业基础等优势条件，重点发展绿色焦化、新材料、新型化工、新能源四大核心产业集群，促进传统产业绿色发展和战略性新兴产业集群集聚，将鄂托克经济开发区打造成为鄂尔多斯市重要的经济增长极、高质量发展的自治区级低碳园区和“三化”融合的国家级开发区。”和用地规划“</w:t>
            </w:r>
            <w:r>
              <w:rPr>
                <w:rFonts w:hint="eastAsia" w:ascii="宋体" w:hAnsi="宋体" w:cs="宋体"/>
                <w:color w:val="auto"/>
                <w:kern w:val="0"/>
                <w:szCs w:val="21"/>
                <w:lang w:bidi="ar"/>
              </w:rPr>
              <w:t>棋盘井产业园建设用地主要为商业服务业用地、工矿用地、仓储用地、交通运输用地、公共设施与开敞空间用地、绿地与开敞空间用地、陆地水域用地。产业园区以产业为主并配套服务依托城镇，产镇共存共荣，协调发展。产业集聚区成熟，一块开发一块，连片发展，集约用地。</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本项目为鄂托克旗新航焦化有限公司45万吨/年含碳固废综合利用项目，是</w:t>
            </w:r>
            <w:r>
              <w:rPr>
                <w:rFonts w:hint="eastAsia" w:ascii="Times New Roman" w:hAnsi="Times New Roman" w:eastAsia="宋体" w:cs="Times New Roman"/>
                <w:color w:val="auto"/>
                <w:kern w:val="0"/>
                <w:sz w:val="24"/>
                <w:szCs w:val="24"/>
                <w:lang w:val="en-US" w:eastAsia="zh-CN" w:bidi="ar-SA"/>
              </w:rPr>
              <w:t>焦化产业</w:t>
            </w:r>
            <w:r>
              <w:rPr>
                <w:rFonts w:hint="eastAsia" w:cs="Times New Roman"/>
                <w:color w:val="auto"/>
                <w:kern w:val="0"/>
                <w:sz w:val="24"/>
                <w:szCs w:val="24"/>
                <w:lang w:val="en-US" w:eastAsia="zh-CN" w:bidi="ar-SA"/>
              </w:rPr>
              <w:t>配套的</w:t>
            </w:r>
            <w:r>
              <w:rPr>
                <w:rFonts w:hint="default" w:ascii="Times New Roman" w:hAnsi="Times New Roman" w:eastAsia="宋体" w:cs="Times New Roman"/>
                <w:color w:val="auto"/>
                <w:kern w:val="0"/>
                <w:sz w:val="24"/>
                <w:szCs w:val="24"/>
                <w:lang w:val="en-US" w:eastAsia="zh-CN" w:bidi="ar"/>
              </w:rPr>
              <w:t>资源回收再利用项目，符合循环经济中减量化、再利用、资源化再循环</w:t>
            </w:r>
            <w:r>
              <w:rPr>
                <w:rFonts w:hint="eastAsia" w:ascii="宋体" w:hAnsi="宋体" w:eastAsia="宋体" w:cs="宋体"/>
                <w:color w:val="auto"/>
                <w:kern w:val="0"/>
                <w:sz w:val="24"/>
                <w:szCs w:val="24"/>
                <w:lang w:val="en-US" w:eastAsia="zh-CN" w:bidi="ar"/>
              </w:rPr>
              <w:t>的原则及低消耗、低排放、高效率的特征，符合园区产业定位；</w:t>
            </w:r>
            <w:r>
              <w:rPr>
                <w:rFonts w:hint="eastAsia"/>
                <w:color w:val="auto"/>
                <w:kern w:val="0"/>
                <w:szCs w:val="21"/>
                <w:lang w:bidi="ar"/>
              </w:rPr>
              <w:t>本项目位于</w:t>
            </w:r>
            <w:r>
              <w:rPr>
                <w:rFonts w:hint="eastAsia"/>
                <w:color w:val="auto"/>
                <w:sz w:val="24"/>
                <w:lang w:val="en-US" w:eastAsia="zh-CN"/>
              </w:rPr>
              <w:t>鄂托克经济开发区棋东项目区</w:t>
            </w:r>
            <w:r>
              <w:rPr>
                <w:rFonts w:hint="eastAsia"/>
                <w:color w:val="auto"/>
                <w:kern w:val="0"/>
                <w:szCs w:val="21"/>
                <w:lang w:bidi="ar"/>
              </w:rPr>
              <w:t>，</w:t>
            </w:r>
            <w:r>
              <w:rPr>
                <w:rFonts w:hint="eastAsia" w:cs="Times New Roman"/>
                <w:color w:val="auto"/>
                <w:kern w:val="0"/>
                <w:sz w:val="24"/>
                <w:szCs w:val="24"/>
                <w:lang w:val="en-US" w:eastAsia="zh-CN" w:bidi="ar-SA"/>
              </w:rPr>
              <w:t>位于绿色焦化板块，本项目</w:t>
            </w:r>
            <w:r>
              <w:rPr>
                <w:rFonts w:hint="eastAsia" w:ascii="Times New Roman" w:hAnsi="Times New Roman" w:eastAsia="宋体" w:cs="Times New Roman"/>
                <w:color w:val="auto"/>
                <w:kern w:val="0"/>
                <w:sz w:val="24"/>
                <w:szCs w:val="24"/>
                <w:lang w:val="en-US" w:eastAsia="zh-CN" w:bidi="ar-SA"/>
              </w:rPr>
              <w:t>属于焦化产业的配套资源回收利用项目</w:t>
            </w:r>
            <w:r>
              <w:rPr>
                <w:rFonts w:hint="eastAsia" w:cs="Times New Roman"/>
                <w:color w:val="auto"/>
                <w:kern w:val="0"/>
                <w:sz w:val="24"/>
                <w:szCs w:val="24"/>
                <w:lang w:val="en-US" w:eastAsia="zh-CN" w:bidi="ar-SA"/>
              </w:rPr>
              <w:t>，</w:t>
            </w:r>
            <w:r>
              <w:rPr>
                <w:rFonts w:hint="eastAsia"/>
                <w:color w:val="auto"/>
                <w:kern w:val="0"/>
                <w:szCs w:val="21"/>
                <w:lang w:bidi="ar"/>
              </w:rPr>
              <w:t>符合园区用地规划</w:t>
            </w:r>
            <w:r>
              <w:rPr>
                <w:rFonts w:hint="eastAsia"/>
                <w:color w:val="auto"/>
                <w:kern w:val="0"/>
                <w:szCs w:val="21"/>
                <w:lang w:eastAsia="zh-CN" w:bidi="ar"/>
              </w:rPr>
              <w:t>。</w:t>
            </w:r>
          </w:p>
          <w:p w14:paraId="62BEC553">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Cs w:val="21"/>
                <w:lang w:val="en-US" w:eastAsia="zh-CN" w:bidi="ar"/>
              </w:rPr>
            </w:pPr>
            <w:r>
              <w:rPr>
                <w:rFonts w:hint="eastAsia"/>
                <w:color w:val="auto"/>
                <w:kern w:val="0"/>
                <w:szCs w:val="21"/>
                <w:lang w:val="en-US" w:eastAsia="zh-CN" w:bidi="ar"/>
              </w:rPr>
              <w:t>综上，本项目符</w:t>
            </w:r>
            <w:r>
              <w:rPr>
                <w:rFonts w:hint="eastAsia" w:ascii="Times New Roman" w:hAnsi="Times New Roman" w:eastAsia="宋体" w:cs="Times New Roman"/>
                <w:color w:val="auto"/>
                <w:kern w:val="0"/>
                <w:szCs w:val="21"/>
                <w:lang w:val="en-US" w:eastAsia="zh-CN" w:bidi="ar"/>
              </w:rPr>
              <w:t>合《鄂托克经济开发区国土空间总体规划》。</w:t>
            </w:r>
          </w:p>
          <w:p w14:paraId="20CFF897">
            <w:pPr>
              <w:pStyle w:val="7"/>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4"/>
                <w:lang w:val="en-US" w:eastAsia="zh-CN" w:bidi="ar-SA"/>
              </w:rPr>
            </w:pPr>
            <w:r>
              <w:rPr>
                <w:rFonts w:hint="eastAsia" w:cs="Times New Roman"/>
                <w:b/>
                <w:bCs/>
                <w:color w:val="auto"/>
                <w:kern w:val="0"/>
                <w:sz w:val="24"/>
                <w:szCs w:val="24"/>
                <w:lang w:val="en-US" w:eastAsia="zh-CN" w:bidi="ar-SA"/>
              </w:rPr>
              <w:t>5</w:t>
            </w:r>
            <w:r>
              <w:rPr>
                <w:rFonts w:hint="eastAsia" w:ascii="Times New Roman" w:hAnsi="Times New Roman" w:eastAsia="宋体" w:cs="Times New Roman"/>
                <w:b/>
                <w:bCs/>
                <w:color w:val="auto"/>
                <w:kern w:val="0"/>
                <w:sz w:val="24"/>
                <w:szCs w:val="24"/>
                <w:lang w:val="en-US" w:eastAsia="zh-CN" w:bidi="ar-SA"/>
              </w:rPr>
              <w:t>、与《固体废物综合治理行动计划》（国发〔2025〕14号 ）符</w:t>
            </w:r>
            <w:r>
              <w:rPr>
                <w:rFonts w:hint="default" w:ascii="Times New Roman" w:hAnsi="Times New Roman" w:eastAsia="宋体" w:cs="Times New Roman"/>
                <w:b/>
                <w:bCs/>
                <w:color w:val="auto"/>
                <w:kern w:val="0"/>
                <w:sz w:val="24"/>
                <w:szCs w:val="24"/>
                <w:lang w:val="en-US" w:eastAsia="zh-CN" w:bidi="ar-SA"/>
              </w:rPr>
              <w:t>合性分析</w:t>
            </w:r>
          </w:p>
          <w:p w14:paraId="032D0B75">
            <w:pPr>
              <w:widowControl/>
              <w:spacing w:line="360" w:lineRule="auto"/>
              <w:ind w:firstLine="480" w:firstLineChars="20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根据</w:t>
            </w:r>
            <w:r>
              <w:rPr>
                <w:rFonts w:hint="default" w:ascii="Times New Roman" w:hAnsi="Times New Roman" w:eastAsia="宋体" w:cs="Times New Roman"/>
                <w:color w:val="auto"/>
                <w:sz w:val="24"/>
                <w:lang w:val="en-US" w:eastAsia="zh-CN"/>
              </w:rPr>
              <w:t>《固体废物综合治理行动计划》（国发〔2025〕14号 ）</w:t>
            </w:r>
            <w:r>
              <w:rPr>
                <w:rFonts w:hint="default" w:ascii="Times New Roman" w:hAnsi="Times New Roman" w:eastAsia="宋体" w:cs="Times New Roman"/>
                <w:color w:val="auto"/>
                <w:sz w:val="24"/>
              </w:rPr>
              <w:t>内容：</w:t>
            </w:r>
            <w:r>
              <w:rPr>
                <w:rFonts w:hint="eastAsia" w:eastAsia="宋体" w:cs="Times New Roman"/>
                <w:color w:val="auto"/>
                <w:sz w:val="24"/>
                <w:lang w:eastAsia="zh-CN"/>
              </w:rPr>
              <w:t>“</w:t>
            </w:r>
            <w:r>
              <w:rPr>
                <w:rFonts w:hint="default" w:ascii="Times New Roman" w:hAnsi="Times New Roman" w:eastAsia="宋体" w:cs="Times New Roman"/>
                <w:color w:val="auto"/>
                <w:sz w:val="24"/>
                <w:lang w:eastAsia="zh-CN"/>
              </w:rPr>
              <w:t>四、提升资源化利用水平；（八）提升再生资源循环利用水平。强化再生资源综合利用行业规范管理。开展“城市矿产”示范基地升级行动。深入实施生产者责任延伸制度，引导电器电子产品、汽车、动力电池等生产企业参与回收利用。</w:t>
            </w:r>
            <w:r>
              <w:rPr>
                <w:rFonts w:hint="eastAsia" w:eastAsia="宋体" w:cs="Times New Roman"/>
                <w:color w:val="auto"/>
                <w:sz w:val="24"/>
                <w:lang w:eastAsia="zh-CN"/>
              </w:rPr>
              <w:t>”本项目为</w:t>
            </w:r>
            <w:r>
              <w:rPr>
                <w:rFonts w:hint="eastAsia" w:ascii="Times New Roman" w:hAnsi="Times New Roman" w:eastAsia="宋体" w:cs="Times New Roman"/>
                <w:color w:val="auto"/>
                <w:kern w:val="0"/>
                <w:sz w:val="24"/>
                <w:szCs w:val="24"/>
                <w:lang w:val="en-US" w:eastAsia="zh-CN" w:bidi="ar-SA"/>
              </w:rPr>
              <w:t>焦化产业</w:t>
            </w:r>
            <w:r>
              <w:rPr>
                <w:rFonts w:hint="eastAsia" w:cs="Times New Roman"/>
                <w:color w:val="auto"/>
                <w:kern w:val="0"/>
                <w:sz w:val="24"/>
                <w:szCs w:val="24"/>
                <w:lang w:val="en-US" w:eastAsia="zh-CN" w:bidi="ar-SA"/>
              </w:rPr>
              <w:t>配套的</w:t>
            </w:r>
            <w:r>
              <w:rPr>
                <w:rFonts w:hint="eastAsia" w:eastAsia="宋体" w:cs="Times New Roman"/>
                <w:color w:val="auto"/>
                <w:sz w:val="24"/>
                <w:lang w:eastAsia="zh-CN"/>
              </w:rPr>
              <w:t>一般工业固体废物资源化利用</w:t>
            </w:r>
            <w:r>
              <w:rPr>
                <w:rFonts w:hint="eastAsia" w:eastAsia="宋体" w:cs="Times New Roman"/>
                <w:color w:val="auto"/>
                <w:sz w:val="24"/>
                <w:lang w:val="en-US" w:eastAsia="zh-CN"/>
              </w:rPr>
              <w:t>项目</w:t>
            </w:r>
            <w:r>
              <w:rPr>
                <w:rFonts w:hint="eastAsia" w:eastAsia="宋体" w:cs="Times New Roman"/>
                <w:color w:val="auto"/>
                <w:sz w:val="24"/>
                <w:lang w:eastAsia="zh-CN"/>
              </w:rPr>
              <w:t>，</w:t>
            </w:r>
            <w:r>
              <w:rPr>
                <w:rFonts w:hint="eastAsia" w:eastAsia="宋体" w:cs="Times New Roman"/>
                <w:color w:val="auto"/>
                <w:sz w:val="24"/>
                <w:lang w:val="en-US" w:eastAsia="zh-CN"/>
              </w:rPr>
              <w:t>符合</w:t>
            </w:r>
            <w:r>
              <w:rPr>
                <w:rFonts w:hint="eastAsia" w:ascii="Times New Roman" w:hAnsi="Times New Roman" w:eastAsia="宋体" w:cs="Times New Roman"/>
                <w:color w:val="auto"/>
                <w:sz w:val="24"/>
                <w:lang w:val="en-US" w:eastAsia="zh-CN"/>
              </w:rPr>
              <w:t>《固体废物综合治理行动计划》。</w:t>
            </w:r>
          </w:p>
          <w:p w14:paraId="293D9A7D">
            <w:pPr>
              <w:autoSpaceDE w:val="0"/>
              <w:autoSpaceDN w:val="0"/>
              <w:adjustRightInd w:val="0"/>
              <w:snapToGrid w:val="0"/>
              <w:spacing w:line="360" w:lineRule="auto"/>
              <w:ind w:left="420" w:leftChars="200"/>
              <w:jc w:val="left"/>
              <w:rPr>
                <w:b/>
                <w:bCs/>
                <w:color w:val="auto"/>
                <w:kern w:val="0"/>
                <w:sz w:val="24"/>
              </w:rPr>
            </w:pPr>
            <w:r>
              <w:rPr>
                <w:rFonts w:hint="eastAsia"/>
                <w:b/>
                <w:bCs/>
                <w:color w:val="auto"/>
                <w:kern w:val="0"/>
                <w:sz w:val="24"/>
                <w:lang w:val="en-US" w:eastAsia="zh-CN"/>
              </w:rPr>
              <w:t>5</w:t>
            </w:r>
            <w:r>
              <w:rPr>
                <w:rFonts w:hint="eastAsia"/>
                <w:b/>
                <w:bCs/>
                <w:color w:val="auto"/>
                <w:kern w:val="0"/>
                <w:sz w:val="24"/>
              </w:rPr>
              <w:t>、选址合理性</w:t>
            </w:r>
          </w:p>
          <w:p w14:paraId="34EF38D2">
            <w:pPr>
              <w:autoSpaceDE w:val="0"/>
              <w:autoSpaceDN w:val="0"/>
              <w:adjustRightInd w:val="0"/>
              <w:snapToGrid w:val="0"/>
              <w:spacing w:line="360" w:lineRule="auto"/>
              <w:ind w:firstLine="480" w:firstLineChars="200"/>
              <w:jc w:val="left"/>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eastAsia="zh-CN"/>
              </w:rPr>
              <w:t>本项目位于</w:t>
            </w:r>
            <w:r>
              <w:rPr>
                <w:rFonts w:hint="eastAsia"/>
                <w:color w:val="auto"/>
                <w:sz w:val="24"/>
              </w:rPr>
              <w:t>内蒙古鄂尔多斯市</w:t>
            </w:r>
            <w:r>
              <w:rPr>
                <w:rFonts w:hint="eastAsia"/>
                <w:color w:val="auto"/>
                <w:sz w:val="24"/>
                <w:lang w:val="en-US" w:eastAsia="zh-CN"/>
              </w:rPr>
              <w:t>鄂托克经济开发区棋东项目区</w:t>
            </w:r>
            <w:r>
              <w:rPr>
                <w:rFonts w:hint="eastAsia" w:ascii="Times New Roman" w:hAnsi="Times New Roman" w:eastAsia="宋体" w:cs="Times New Roman"/>
                <w:color w:val="auto"/>
                <w:sz w:val="24"/>
                <w:lang w:eastAsia="zh-CN"/>
              </w:rPr>
              <w:t>，</w:t>
            </w:r>
            <w:r>
              <w:rPr>
                <w:rFonts w:hint="eastAsia" w:cs="Times New Roman"/>
                <w:color w:val="auto"/>
                <w:sz w:val="24"/>
                <w:lang w:val="en-US" w:eastAsia="zh-CN"/>
              </w:rPr>
              <w:t>占地类型为工业用地，</w:t>
            </w:r>
            <w:r>
              <w:rPr>
                <w:rFonts w:hint="eastAsia" w:ascii="Times New Roman" w:hAnsi="Times New Roman" w:eastAsia="宋体" w:cs="Times New Roman"/>
                <w:color w:val="auto"/>
                <w:sz w:val="24"/>
                <w:lang w:eastAsia="zh-CN"/>
              </w:rPr>
              <w:t>项目占地范围内无</w:t>
            </w:r>
            <w:r>
              <w:rPr>
                <w:rFonts w:hint="eastAsia" w:ascii="Times New Roman" w:hAnsi="Times New Roman" w:eastAsia="宋体" w:cs="Times New Roman"/>
                <w:color w:val="auto"/>
                <w:sz w:val="24"/>
                <w:lang w:val="en-US" w:eastAsia="zh-CN"/>
              </w:rPr>
              <w:t>居民、无</w:t>
            </w:r>
            <w:r>
              <w:rPr>
                <w:rFonts w:hint="eastAsia" w:ascii="Times New Roman" w:hAnsi="Times New Roman" w:eastAsia="宋体" w:cs="Times New Roman"/>
                <w:color w:val="auto"/>
                <w:sz w:val="24"/>
                <w:lang w:eastAsia="zh-CN"/>
              </w:rPr>
              <w:t>自然保护区、风景名胜区、文物保护区、生活饮用水源保护区等特殊敏感保护目标，项目周边也无需要特殊保护军事设施</w:t>
            </w:r>
            <w:r>
              <w:rPr>
                <w:rFonts w:hint="eastAsia" w:cs="Times New Roman"/>
                <w:color w:val="auto"/>
                <w:sz w:val="24"/>
                <w:lang w:eastAsia="zh-CN"/>
              </w:rPr>
              <w:t>，</w:t>
            </w:r>
            <w:r>
              <w:rPr>
                <w:rFonts w:hint="eastAsia" w:ascii="Times New Roman" w:hAnsi="Times New Roman" w:eastAsia="宋体" w:cs="Times New Roman"/>
                <w:color w:val="auto"/>
                <w:sz w:val="24"/>
                <w:lang w:val="en-US" w:eastAsia="zh-CN"/>
              </w:rPr>
              <w:t>与</w:t>
            </w:r>
            <w:r>
              <w:rPr>
                <w:rFonts w:hint="eastAsia" w:ascii="Times New Roman" w:hAnsi="Times New Roman" w:eastAsia="宋体" w:cs="Times New Roman"/>
                <w:color w:val="auto"/>
                <w:sz w:val="24"/>
                <w:lang w:eastAsia="zh-CN"/>
              </w:rPr>
              <w:t>西鄂尔多斯自然保护区</w:t>
            </w:r>
            <w:r>
              <w:rPr>
                <w:rFonts w:hint="eastAsia" w:ascii="Times New Roman" w:hAnsi="Times New Roman" w:eastAsia="宋体" w:cs="Times New Roman"/>
                <w:color w:val="auto"/>
                <w:sz w:val="24"/>
                <w:lang w:val="en-US" w:eastAsia="zh-CN"/>
              </w:rPr>
              <w:t>距离为4579.5m</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本项目临近荣乌高速公路、109国道，原料部分来自新航焦化现有厂，现有厂区内部及</w:t>
            </w:r>
            <w:r>
              <w:rPr>
                <w:rFonts w:hint="eastAsia" w:ascii="Times New Roman" w:hAnsi="Times New Roman" w:eastAsia="宋体" w:cs="Times New Roman"/>
                <w:color w:val="auto"/>
                <w:sz w:val="24"/>
                <w:lang w:eastAsia="zh-CN"/>
              </w:rPr>
              <w:t>工业园区</w:t>
            </w:r>
            <w:r>
              <w:rPr>
                <w:rFonts w:hint="eastAsia" w:ascii="Times New Roman" w:hAnsi="Times New Roman" w:eastAsia="宋体" w:cs="Times New Roman"/>
                <w:color w:val="auto"/>
                <w:sz w:val="24"/>
                <w:lang w:val="en-US" w:eastAsia="zh-CN"/>
              </w:rPr>
              <w:t>均已建设道路，</w:t>
            </w:r>
            <w:r>
              <w:rPr>
                <w:rFonts w:hint="eastAsia"/>
                <w:color w:val="auto"/>
                <w:sz w:val="24"/>
              </w:rPr>
              <w:t>项目区域交通运输便捷，水源、电源有保</w:t>
            </w:r>
            <w:r>
              <w:rPr>
                <w:rFonts w:hint="eastAsia" w:ascii="Times New Roman" w:hAnsi="Times New Roman" w:eastAsia="宋体" w:cs="Times New Roman"/>
                <w:color w:val="auto"/>
                <w:sz w:val="24"/>
                <w:lang w:eastAsia="zh-CN"/>
              </w:rPr>
              <w:t>障。（</w:t>
            </w:r>
            <w:r>
              <w:rPr>
                <w:rFonts w:hint="eastAsia" w:ascii="Times New Roman" w:hAnsi="Times New Roman" w:eastAsia="宋体" w:cs="Times New Roman"/>
                <w:color w:val="auto"/>
                <w:sz w:val="24"/>
                <w:lang w:val="en-US" w:eastAsia="zh-CN"/>
              </w:rPr>
              <w:t>文物查询文件见附件10</w:t>
            </w:r>
            <w:r>
              <w:rPr>
                <w:rFonts w:hint="eastAsia" w:ascii="Times New Roman" w:hAnsi="Times New Roman" w:eastAsia="宋体" w:cs="Times New Roman"/>
                <w:color w:val="auto"/>
                <w:sz w:val="24"/>
                <w:lang w:eastAsia="zh-CN"/>
              </w:rPr>
              <w:t>）</w:t>
            </w:r>
          </w:p>
          <w:p w14:paraId="6D620775">
            <w:pPr>
              <w:widowControl/>
              <w:spacing w:line="360" w:lineRule="auto"/>
              <w:ind w:firstLine="480" w:firstLineChars="200"/>
              <w:jc w:val="left"/>
              <w:rPr>
                <w:rFonts w:hint="eastAsia"/>
                <w:color w:val="auto"/>
                <w:sz w:val="24"/>
              </w:rPr>
            </w:pPr>
            <w:r>
              <w:rPr>
                <w:rFonts w:hint="eastAsia"/>
                <w:color w:val="auto"/>
                <w:sz w:val="24"/>
              </w:rPr>
              <w:t>综上，本项目选址合理。</w:t>
            </w:r>
          </w:p>
          <w:p w14:paraId="202D4738">
            <w:pPr>
              <w:pStyle w:val="2"/>
              <w:ind w:left="0" w:leftChars="0" w:firstLine="0" w:firstLineChars="0"/>
              <w:rPr>
                <w:color w:val="auto"/>
              </w:rPr>
            </w:pPr>
            <w:r>
              <w:rPr>
                <w:color w:val="auto"/>
                <w:sz w:val="21"/>
              </w:rPr>
              <mc:AlternateContent>
                <mc:Choice Requires="wps">
                  <w:drawing>
                    <wp:anchor distT="0" distB="0" distL="114300" distR="114300" simplePos="0" relativeHeight="251677696" behindDoc="0" locked="0" layoutInCell="1" allowOverlap="1">
                      <wp:simplePos x="0" y="0"/>
                      <wp:positionH relativeFrom="column">
                        <wp:posOffset>2330450</wp:posOffset>
                      </wp:positionH>
                      <wp:positionV relativeFrom="paragraph">
                        <wp:posOffset>381635</wp:posOffset>
                      </wp:positionV>
                      <wp:extent cx="675640" cy="294640"/>
                      <wp:effectExtent l="12700" t="12700" r="332740" b="165100"/>
                      <wp:wrapNone/>
                      <wp:docPr id="65" name="矩形标注 65"/>
                      <wp:cNvGraphicFramePr/>
                      <a:graphic xmlns:a="http://schemas.openxmlformats.org/drawingml/2006/main">
                        <a:graphicData uri="http://schemas.microsoft.com/office/word/2010/wordprocessingShape">
                          <wps:wsp>
                            <wps:cNvSpPr/>
                            <wps:spPr>
                              <a:xfrm>
                                <a:off x="5671820" y="5044440"/>
                                <a:ext cx="675640" cy="294640"/>
                              </a:xfrm>
                              <a:prstGeom prst="wedgeRectCallout">
                                <a:avLst>
                                  <a:gd name="adj1" fmla="val 95676"/>
                                  <a:gd name="adj2" fmla="val 97413"/>
                                </a:avLst>
                              </a:prstGeom>
                              <a:solidFill>
                                <a:schemeClr val="bg1"/>
                              </a:solidFill>
                              <a:ln>
                                <a:solidFill>
                                  <a:schemeClr val="tx1"/>
                                </a:solidFill>
                              </a:ln>
                            </wps:spPr>
                            <wps:style>
                              <a:lnRef idx="2">
                                <a:schemeClr val="accent1"/>
                              </a:lnRef>
                              <a:fillRef idx="0">
                                <a:srgbClr val="FFFFFF"/>
                              </a:fillRef>
                              <a:effectRef idx="0">
                                <a:srgbClr val="FFFFFF"/>
                              </a:effectRef>
                              <a:fontRef idx="minor">
                                <a:schemeClr val="tx1"/>
                              </a:fontRef>
                            </wps:style>
                            <wps:txbx>
                              <w:txbxContent>
                                <w:p w14:paraId="7D9340F1">
                                  <w:pPr>
                                    <w:jc w:val="center"/>
                                    <w:rPr>
                                      <w:rFonts w:hint="eastAsia" w:eastAsia="宋体"/>
                                      <w:lang w:val="en-US" w:eastAsia="zh-CN"/>
                                    </w:rPr>
                                  </w:pPr>
                                  <w:r>
                                    <w:rPr>
                                      <w:rFonts w:hint="eastAsia"/>
                                      <w:lang w:val="en-US" w:eastAsia="zh-CN"/>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83.5pt;margin-top:30.05pt;height:23.2pt;width:53.2pt;z-index:251677696;v-text-anchor:middle;mso-width-relative:page;mso-height-relative:page;" fillcolor="#FFFFFF [3212]" filled="t" stroked="t" coordsize="21600,21600" o:gfxdata="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LbM7E3ZAAAACgEAAA8AAAAAAAAAAQAgAAAAIgAAAGRycy9kb3ducmV2&#10;LnhtbFBLAQIUABQAAAAIAIdO4kCrzAyPpgIAAFgFAAAOAAAAAAAAAAEAIAAAACgBAABkcnMvZTJv&#10;RG9jLnhtbFBLBQYAAAAABgAGAFkBAABABgAAAAA=&#10;" adj="31466,31841">
                      <v:fill on="t" focussize="0,0"/>
                      <v:stroke weight="2pt" color="#000000 [3213]" joinstyle="round"/>
                      <v:imagedata o:title=""/>
                      <o:lock v:ext="edit" aspectratio="f"/>
                      <v:textbox>
                        <w:txbxContent>
                          <w:p w14:paraId="7D9340F1">
                            <w:pPr>
                              <w:jc w:val="center"/>
                              <w:rPr>
                                <w:rFonts w:hint="eastAsia" w:eastAsia="宋体"/>
                                <w:lang w:val="en-US" w:eastAsia="zh-CN"/>
                              </w:rPr>
                            </w:pPr>
                            <w:r>
                              <w:rPr>
                                <w:rFonts w:hint="eastAsia"/>
                                <w:lang w:val="en-US" w:eastAsia="zh-CN"/>
                              </w:rPr>
                              <w:t>本项目</w:t>
                            </w:r>
                          </w:p>
                        </w:txbxContent>
                      </v:textbox>
                    </v:shape>
                  </w:pict>
                </mc:Fallback>
              </mc:AlternateContent>
            </w:r>
            <w:r>
              <w:rPr>
                <w:color w:val="auto"/>
              </w:rPr>
              <w:drawing>
                <wp:inline distT="0" distB="0" distL="114300" distR="114300">
                  <wp:extent cx="4509135" cy="3009265"/>
                  <wp:effectExtent l="0" t="0" r="1905" b="8255"/>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13"/>
                          <a:stretch>
                            <a:fillRect/>
                          </a:stretch>
                        </pic:blipFill>
                        <pic:spPr>
                          <a:xfrm>
                            <a:off x="0" y="0"/>
                            <a:ext cx="4509135" cy="3009265"/>
                          </a:xfrm>
                          <a:prstGeom prst="rect">
                            <a:avLst/>
                          </a:prstGeom>
                          <a:noFill/>
                          <a:ln>
                            <a:noFill/>
                          </a:ln>
                        </pic:spPr>
                      </pic:pic>
                    </a:graphicData>
                  </a:graphic>
                </wp:inline>
              </w:drawing>
            </w:r>
          </w:p>
          <w:p w14:paraId="4F847BAD">
            <w:pPr>
              <w:autoSpaceDE w:val="0"/>
              <w:autoSpaceDN w:val="0"/>
              <w:adjustRightInd w:val="0"/>
              <w:snapToGrid w:val="0"/>
              <w:spacing w:line="360" w:lineRule="auto"/>
              <w:ind w:left="420" w:leftChars="200" w:firstLine="1205" w:firstLineChars="500"/>
              <w:jc w:val="left"/>
              <w:rPr>
                <w:rFonts w:hint="default"/>
                <w:b/>
                <w:bCs/>
                <w:color w:val="auto"/>
                <w:kern w:val="0"/>
                <w:sz w:val="24"/>
                <w:lang w:val="en-US" w:eastAsia="zh-CN"/>
              </w:rPr>
            </w:pPr>
            <w:r>
              <w:rPr>
                <w:rFonts w:hint="eastAsia"/>
                <w:b/>
                <w:bCs/>
                <w:color w:val="auto"/>
                <w:kern w:val="0"/>
                <w:sz w:val="24"/>
                <w:lang w:val="en-US" w:eastAsia="zh-CN"/>
              </w:rPr>
              <w:t>图1-1    本项目用地类型图</w:t>
            </w:r>
          </w:p>
          <w:p w14:paraId="0C48099F">
            <w:pPr>
              <w:autoSpaceDE w:val="0"/>
              <w:autoSpaceDN w:val="0"/>
              <w:adjustRightInd w:val="0"/>
              <w:snapToGrid w:val="0"/>
              <w:spacing w:line="360" w:lineRule="auto"/>
              <w:ind w:left="420" w:leftChars="200"/>
              <w:jc w:val="left"/>
              <w:rPr>
                <w:b/>
                <w:bCs/>
                <w:color w:val="auto"/>
                <w:kern w:val="0"/>
                <w:sz w:val="24"/>
              </w:rPr>
            </w:pPr>
            <w:r>
              <w:rPr>
                <w:rFonts w:hint="eastAsia"/>
                <w:b/>
                <w:bCs/>
                <w:color w:val="auto"/>
                <w:kern w:val="0"/>
                <w:sz w:val="24"/>
                <w:lang w:val="en-US" w:eastAsia="zh-CN"/>
              </w:rPr>
              <w:t>7</w:t>
            </w:r>
            <w:r>
              <w:rPr>
                <w:rFonts w:hint="eastAsia"/>
                <w:b/>
                <w:bCs/>
                <w:color w:val="auto"/>
                <w:kern w:val="0"/>
                <w:sz w:val="24"/>
              </w:rPr>
              <w:t>、生态环境分区管控要求的符合性分析</w:t>
            </w:r>
          </w:p>
          <w:p w14:paraId="6BE68F53">
            <w:pPr>
              <w:autoSpaceDE w:val="0"/>
              <w:autoSpaceDN w:val="0"/>
              <w:adjustRightInd w:val="0"/>
              <w:snapToGrid w:val="0"/>
              <w:spacing w:line="360" w:lineRule="auto"/>
              <w:ind w:firstLine="480" w:firstLineChars="200"/>
              <w:jc w:val="left"/>
              <w:rPr>
                <w:color w:val="auto"/>
                <w:kern w:val="0"/>
                <w:sz w:val="24"/>
              </w:rPr>
            </w:pPr>
            <w:r>
              <w:rPr>
                <w:rFonts w:hint="eastAsia"/>
                <w:color w:val="auto"/>
                <w:kern w:val="0"/>
                <w:sz w:val="24"/>
              </w:rPr>
              <w:t>（一）生态保护红线</w:t>
            </w:r>
          </w:p>
          <w:p w14:paraId="538F3D71">
            <w:pPr>
              <w:widowControl/>
              <w:spacing w:line="360" w:lineRule="auto"/>
              <w:ind w:firstLine="480" w:firstLineChars="200"/>
              <w:jc w:val="left"/>
              <w:rPr>
                <w:color w:val="auto"/>
                <w:sz w:val="24"/>
              </w:rPr>
            </w:pPr>
            <w:r>
              <w:rPr>
                <w:color w:val="auto"/>
                <w:sz w:val="24"/>
              </w:rPr>
              <w:t>根据《鄂尔多斯市生态环境分区管控动态更新成果(2023年版)》，鄂尔多斯市落实生态保护红线、环境质量底线、资源利用上线和生态环境准入清单，构建生态环境分区管控体系，全市共划定环境管控单元 171 个，包括优先保护单元、重点管控单元、一般管控单元三类，实施分类管控。</w:t>
            </w:r>
          </w:p>
          <w:p w14:paraId="50DF1404">
            <w:pPr>
              <w:widowControl/>
              <w:spacing w:line="360" w:lineRule="auto"/>
              <w:ind w:firstLine="480" w:firstLineChars="200"/>
              <w:jc w:val="left"/>
              <w:rPr>
                <w:color w:val="auto"/>
                <w:sz w:val="24"/>
              </w:rPr>
            </w:pPr>
            <w:r>
              <w:rPr>
                <w:color w:val="auto"/>
                <w:sz w:val="24"/>
              </w:rPr>
              <w:t>优先保护单元：共 76 个，面积占比为 64.35%，主要包括鄂尔多斯市生态保护红线、自然保护地、集中式饮用水水源保护区等生态功能重要区和生态环境敏感区。该区域以生态环境保护优先为原则，依法禁止或限制大规模、高强度的工业开发和城镇建设，确保生态环境功能不降低。</w:t>
            </w:r>
          </w:p>
          <w:p w14:paraId="057C1FC9">
            <w:pPr>
              <w:widowControl/>
              <w:spacing w:line="360" w:lineRule="auto"/>
              <w:ind w:firstLine="480" w:firstLineChars="200"/>
              <w:jc w:val="left"/>
              <w:rPr>
                <w:color w:val="auto"/>
                <w:sz w:val="24"/>
              </w:rPr>
            </w:pPr>
            <w:r>
              <w:rPr>
                <w:color w:val="auto"/>
                <w:sz w:val="24"/>
              </w:rPr>
              <w:t>重点管控单元：共 86 个，面积占比为 28.10%，主要包括工业园区、城市、矿区等开发强度高、污染排放量大、环境问题相对集中的区域，以及生态需水补给区等。该区域应不断提升资源利用效率，有针对性地加强污染物排放控制和环境风险防控，解决生态环境质量不达标、生态环境风险高等问题。</w:t>
            </w:r>
          </w:p>
          <w:p w14:paraId="418DBB7D">
            <w:pPr>
              <w:widowControl/>
              <w:spacing w:line="360" w:lineRule="auto"/>
              <w:ind w:firstLine="480" w:firstLineChars="200"/>
              <w:jc w:val="left"/>
              <w:rPr>
                <w:color w:val="auto"/>
                <w:sz w:val="24"/>
              </w:rPr>
            </w:pPr>
            <w:r>
              <w:rPr>
                <w:color w:val="auto"/>
                <w:sz w:val="24"/>
              </w:rPr>
              <w:t>一般管控单元：共</w:t>
            </w:r>
            <w:r>
              <w:rPr>
                <w:rFonts w:hint="eastAsia"/>
                <w:color w:val="auto"/>
                <w:sz w:val="24"/>
              </w:rPr>
              <w:t>9</w:t>
            </w:r>
            <w:r>
              <w:rPr>
                <w:color w:val="auto"/>
                <w:sz w:val="24"/>
              </w:rPr>
              <w:t>个，面积占比为 7.56%，优先保护单元、重点管控单元之外为一般管控单元。该区域主要落实生态环境保护基本要求。</w:t>
            </w:r>
          </w:p>
          <w:p w14:paraId="70689012">
            <w:pPr>
              <w:widowControl/>
              <w:spacing w:line="360" w:lineRule="auto"/>
              <w:ind w:firstLine="480" w:firstLineChars="200"/>
              <w:jc w:val="left"/>
              <w:rPr>
                <w:color w:val="auto"/>
                <w:sz w:val="24"/>
              </w:rPr>
            </w:pPr>
            <w:r>
              <w:rPr>
                <w:rFonts w:hint="eastAsia"/>
                <w:color w:val="auto"/>
                <w:sz w:val="24"/>
              </w:rPr>
              <w:t>本项目位于鄂尔多斯市鄂托克旗棋盘井镇东工业园区，经内蒙古自治区生态环境分区管控公众端查询可知，不涉及生态保护红线。</w:t>
            </w:r>
          </w:p>
          <w:p w14:paraId="6FAEC06C">
            <w:pPr>
              <w:autoSpaceDE w:val="0"/>
              <w:autoSpaceDN w:val="0"/>
              <w:adjustRightInd w:val="0"/>
              <w:snapToGrid w:val="0"/>
              <w:spacing w:line="360" w:lineRule="auto"/>
              <w:ind w:firstLine="480" w:firstLineChars="200"/>
              <w:jc w:val="left"/>
              <w:rPr>
                <w:color w:val="auto"/>
                <w:kern w:val="0"/>
                <w:sz w:val="24"/>
              </w:rPr>
            </w:pPr>
            <w:r>
              <w:rPr>
                <w:color w:val="auto"/>
                <w:kern w:val="0"/>
                <w:sz w:val="24"/>
              </w:rPr>
              <w:t>（二）环境质量底线</w:t>
            </w:r>
          </w:p>
          <w:p w14:paraId="08CE4161">
            <w:pPr>
              <w:widowControl/>
              <w:spacing w:line="360" w:lineRule="auto"/>
              <w:ind w:firstLine="480" w:firstLineChars="200"/>
              <w:jc w:val="left"/>
              <w:rPr>
                <w:color w:val="auto"/>
                <w:sz w:val="24"/>
              </w:rPr>
            </w:pPr>
            <w:r>
              <w:rPr>
                <w:rFonts w:hint="eastAsia"/>
                <w:color w:val="auto"/>
                <w:sz w:val="24"/>
              </w:rPr>
              <w:t>本次评价采用内蒙古自治区生态环境厅2025年6月发布的《2024年内蒙古自治区生态环境状况公报》作为评价区域达标情况的依据。《2024年内蒙古自治区生态环境状况公报》中提到“2024年，全区环境空气六项污染物年均浓度均达标。”。根据《环境影响评价技术导则--大气环境》（HJ2.2-2018）6.4.1.1的要求，六项基本污染物全部达标即为城市环境空气质量达标，因此，本项目所在区域城市环境空气质量达标。</w:t>
            </w:r>
          </w:p>
          <w:p w14:paraId="0CF60CC5">
            <w:pPr>
              <w:widowControl/>
              <w:spacing w:line="360" w:lineRule="auto"/>
              <w:ind w:firstLine="480" w:firstLineChars="200"/>
              <w:jc w:val="left"/>
              <w:rPr>
                <w:color w:val="auto"/>
                <w:sz w:val="24"/>
              </w:rPr>
            </w:pPr>
            <w:r>
              <w:rPr>
                <w:rFonts w:hint="eastAsia"/>
                <w:color w:val="auto"/>
                <w:sz w:val="24"/>
                <w:lang w:val="en-US" w:eastAsia="zh-CN"/>
              </w:rPr>
              <w:t>本项目</w:t>
            </w:r>
            <w:r>
              <w:rPr>
                <w:rFonts w:hint="eastAsia"/>
                <w:color w:val="auto"/>
                <w:kern w:val="0"/>
                <w:sz w:val="24"/>
                <w:lang w:bidi="ar"/>
              </w:rPr>
              <w:t>污染特征因子为总悬浮颗粒物（</w:t>
            </w:r>
            <w:r>
              <w:rPr>
                <w:color w:val="auto"/>
                <w:kern w:val="0"/>
                <w:sz w:val="24"/>
                <w:lang w:bidi="ar"/>
              </w:rPr>
              <w:t>TSP</w:t>
            </w:r>
            <w:r>
              <w:rPr>
                <w:rFonts w:hint="eastAsia"/>
                <w:color w:val="auto"/>
                <w:kern w:val="0"/>
                <w:sz w:val="24"/>
                <w:lang w:bidi="ar"/>
              </w:rPr>
              <w:t>）</w:t>
            </w:r>
            <w:r>
              <w:rPr>
                <w:rFonts w:hint="eastAsia"/>
                <w:color w:val="auto"/>
                <w:sz w:val="24"/>
              </w:rPr>
              <w:t>，</w:t>
            </w:r>
            <w:r>
              <w:rPr>
                <w:rFonts w:hint="eastAsia"/>
                <w:color w:val="auto"/>
                <w:sz w:val="24"/>
                <w:lang w:val="en-US" w:eastAsia="zh-CN"/>
              </w:rPr>
              <w:t>引用</w:t>
            </w:r>
            <w:r>
              <w:rPr>
                <w:rFonts w:hint="eastAsia"/>
                <w:color w:val="auto"/>
                <w:sz w:val="24"/>
              </w:rPr>
              <w:t>《内蒙古东日新能源有限公司石墨容器生产线产品多元化改造项目环境影响报告书》现状监测数据，监测点位位于本项目北侧1km处</w:t>
            </w:r>
            <w:r>
              <w:rPr>
                <w:rStyle w:val="27"/>
                <w:rFonts w:hint="eastAsia"/>
                <w:color w:val="auto"/>
                <w:kern w:val="0"/>
                <w:szCs w:val="20"/>
                <w:lang w:eastAsia="zh-CN"/>
              </w:rPr>
              <w:t>，</w:t>
            </w:r>
            <w:r>
              <w:rPr>
                <w:rFonts w:hint="eastAsia"/>
                <w:color w:val="auto"/>
                <w:sz w:val="24"/>
              </w:rPr>
              <w:t>监测结果显示TSP 24h均值满足《环境空气质量标准》（GB3095-2026）表二中二级浓度限值标准，区域环境空气质量良好。</w:t>
            </w:r>
          </w:p>
          <w:p w14:paraId="4C5CFA54">
            <w:pPr>
              <w:widowControl/>
              <w:spacing w:line="360" w:lineRule="auto"/>
              <w:ind w:firstLine="480" w:firstLineChars="200"/>
              <w:jc w:val="left"/>
              <w:rPr>
                <w:color w:val="auto"/>
                <w:sz w:val="24"/>
              </w:rPr>
            </w:pPr>
            <w:r>
              <w:rPr>
                <w:rFonts w:hint="eastAsia"/>
                <w:color w:val="auto"/>
                <w:sz w:val="24"/>
              </w:rPr>
              <w:t>本项目为焦粉、含碳粉末资源化利用项目，项目对各产尘点废气均进行有效收集，并配套相应的除尘措施，确保废气达标排放。项目无生产废水，生活污水排入现有生化污水处理站，出水送至污水深度处理系统进行深度处理后回用厂区。本项目厂界外</w:t>
            </w:r>
            <w:r>
              <w:rPr>
                <w:color w:val="auto"/>
                <w:sz w:val="24"/>
              </w:rPr>
              <w:t>50m</w:t>
            </w:r>
            <w:r>
              <w:rPr>
                <w:rFonts w:hint="eastAsia"/>
                <w:color w:val="auto"/>
                <w:sz w:val="24"/>
              </w:rPr>
              <w:t>范围内不存在声环境保护目标，厂内设备噪声采取有效的隔声、降噪措施后厂界噪声达标，故本项目运营后会产生一定的污染物，但在采取相应的污染防治措施后，各类污染物的排放一般不会对周边环境造成不良影响，不会改变区域环境功能区质量要求，能维持环境功能区质量现状。</w:t>
            </w:r>
          </w:p>
          <w:p w14:paraId="56DFE37E">
            <w:pPr>
              <w:widowControl/>
              <w:spacing w:line="360" w:lineRule="auto"/>
              <w:ind w:firstLine="480" w:firstLineChars="200"/>
              <w:jc w:val="left"/>
              <w:rPr>
                <w:color w:val="auto"/>
                <w:sz w:val="24"/>
              </w:rPr>
            </w:pPr>
            <w:r>
              <w:rPr>
                <w:rFonts w:hint="eastAsia"/>
                <w:color w:val="auto"/>
                <w:sz w:val="24"/>
              </w:rPr>
              <w:t>因此，本项目建设不会对当地环境质量底线造成冲击。</w:t>
            </w:r>
          </w:p>
          <w:p w14:paraId="4B249805">
            <w:pPr>
              <w:autoSpaceDE w:val="0"/>
              <w:autoSpaceDN w:val="0"/>
              <w:adjustRightInd w:val="0"/>
              <w:snapToGrid w:val="0"/>
              <w:spacing w:line="360" w:lineRule="auto"/>
              <w:ind w:firstLine="480" w:firstLineChars="200"/>
              <w:jc w:val="left"/>
              <w:rPr>
                <w:color w:val="auto"/>
                <w:kern w:val="0"/>
                <w:sz w:val="24"/>
              </w:rPr>
            </w:pPr>
            <w:r>
              <w:rPr>
                <w:rFonts w:hint="eastAsia"/>
                <w:color w:val="auto"/>
                <w:kern w:val="0"/>
                <w:sz w:val="24"/>
              </w:rPr>
              <w:t xml:space="preserve">（三）资源利用上线 </w:t>
            </w:r>
          </w:p>
          <w:p w14:paraId="62721FAB">
            <w:pPr>
              <w:autoSpaceDE w:val="0"/>
              <w:autoSpaceDN w:val="0"/>
              <w:adjustRightInd w:val="0"/>
              <w:snapToGrid w:val="0"/>
              <w:spacing w:line="360" w:lineRule="auto"/>
              <w:ind w:firstLine="480" w:firstLineChars="200"/>
              <w:jc w:val="left"/>
              <w:rPr>
                <w:color w:val="auto"/>
                <w:kern w:val="0"/>
                <w:sz w:val="24"/>
              </w:rPr>
            </w:pPr>
            <w:r>
              <w:rPr>
                <w:rFonts w:hint="eastAsia"/>
                <w:color w:val="auto"/>
                <w:kern w:val="0"/>
                <w:sz w:val="24"/>
              </w:rPr>
              <w:t>本项目新增占地面积为</w:t>
            </w:r>
            <w:r>
              <w:rPr>
                <w:rFonts w:hint="eastAsia"/>
                <w:color w:val="auto"/>
                <w:sz w:val="24"/>
              </w:rPr>
              <w:t>75333</w:t>
            </w:r>
            <w:r>
              <w:rPr>
                <w:rFonts w:hint="eastAsia"/>
                <w:color w:val="auto"/>
                <w:kern w:val="0"/>
                <w:sz w:val="24"/>
              </w:rPr>
              <w:t>m</w:t>
            </w:r>
            <w:r>
              <w:rPr>
                <w:rFonts w:hint="eastAsia"/>
                <w:color w:val="auto"/>
                <w:kern w:val="0"/>
                <w:sz w:val="24"/>
                <w:vertAlign w:val="superscript"/>
              </w:rPr>
              <w:t>2</w:t>
            </w:r>
            <w:r>
              <w:rPr>
                <w:rFonts w:hint="eastAsia"/>
                <w:color w:val="auto"/>
                <w:kern w:val="0"/>
                <w:sz w:val="24"/>
              </w:rPr>
              <w:t>，</w:t>
            </w:r>
            <w:r>
              <w:rPr>
                <w:rFonts w:hint="eastAsia"/>
                <w:color w:val="auto"/>
                <w:kern w:val="0"/>
                <w:sz w:val="24"/>
                <w:lang w:val="en-US" w:eastAsia="zh-CN"/>
              </w:rPr>
              <w:t>项目全部建成后运营期使</w:t>
            </w:r>
            <w:r>
              <w:rPr>
                <w:rFonts w:hint="eastAsia"/>
                <w:color w:val="auto"/>
                <w:kern w:val="0"/>
                <w:sz w:val="24"/>
                <w:highlight w:val="none"/>
                <w:lang w:val="en-US" w:eastAsia="zh-CN"/>
              </w:rPr>
              <w:t>用</w:t>
            </w:r>
            <w:r>
              <w:rPr>
                <w:rFonts w:hint="eastAsia" w:ascii="Times New Roman" w:hAnsi="Times New Roman" w:eastAsia="宋体" w:cs="Times New Roman"/>
                <w:color w:val="auto"/>
                <w:sz w:val="24"/>
                <w:highlight w:val="none"/>
                <w:lang w:val="en-US" w:eastAsia="zh-CN"/>
              </w:rPr>
              <w:t>水</w:t>
            </w:r>
            <w:r>
              <w:rPr>
                <w:rFonts w:hint="eastAsia" w:cs="Times New Roman"/>
                <w:color w:val="auto"/>
                <w:kern w:val="0"/>
                <w:sz w:val="24"/>
                <w:highlight w:val="none"/>
                <w:lang w:val="en-US" w:eastAsia="zh-CN"/>
              </w:rPr>
              <w:t>44930.89</w:t>
            </w:r>
            <w:r>
              <w:rPr>
                <w:rFonts w:hint="eastAsia" w:ascii="Times New Roman" w:hAnsi="Times New Roman" w:eastAsia="宋体" w:cs="Times New Roman"/>
                <w:color w:val="auto"/>
                <w:kern w:val="0"/>
                <w:sz w:val="24"/>
                <w:highlight w:val="none"/>
                <w:lang w:val="en-US" w:eastAsia="zh-CN"/>
              </w:rPr>
              <w:t>t/a</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lang w:val="en-US" w:eastAsia="zh-CN"/>
              </w:rPr>
              <w:t>电</w:t>
            </w:r>
            <w:r>
              <w:rPr>
                <w:rFonts w:hint="default" w:ascii="Times New Roman" w:hAnsi="Times New Roman" w:eastAsia="宋体" w:cs="Times New Roman"/>
                <w:color w:val="auto"/>
                <w:kern w:val="0"/>
                <w:sz w:val="24"/>
                <w:szCs w:val="24"/>
                <w:lang w:bidi="ar"/>
              </w:rPr>
              <w:t>7.425×10</w:t>
            </w:r>
            <w:r>
              <w:rPr>
                <w:rFonts w:hint="default" w:ascii="Times New Roman" w:hAnsi="Times New Roman" w:eastAsia="宋体" w:cs="Times New Roman"/>
                <w:color w:val="auto"/>
                <w:kern w:val="0"/>
                <w:sz w:val="24"/>
                <w:szCs w:val="24"/>
                <w:vertAlign w:val="superscript"/>
                <w:lang w:bidi="ar"/>
              </w:rPr>
              <w:t>6</w:t>
            </w:r>
            <w:r>
              <w:rPr>
                <w:rFonts w:hint="default" w:ascii="Times New Roman" w:hAnsi="Times New Roman" w:eastAsia="宋体" w:cs="Times New Roman"/>
                <w:color w:val="auto"/>
                <w:kern w:val="0"/>
                <w:sz w:val="24"/>
                <w:szCs w:val="24"/>
                <w:lang w:bidi="ar"/>
              </w:rPr>
              <w:t>KWh/a</w:t>
            </w:r>
            <w:r>
              <w:rPr>
                <w:rFonts w:hint="eastAsia" w:cs="Times New Roman"/>
                <w:color w:val="auto"/>
                <w:kern w:val="0"/>
                <w:sz w:val="24"/>
                <w:szCs w:val="24"/>
                <w:lang w:eastAsia="zh-CN" w:bidi="ar"/>
              </w:rPr>
              <w:t>，</w:t>
            </w:r>
            <w:r>
              <w:rPr>
                <w:rFonts w:hint="eastAsia"/>
                <w:color w:val="auto"/>
                <w:kern w:val="0"/>
                <w:sz w:val="24"/>
              </w:rPr>
              <w:t>项目消耗资源相对于区域资源利用总量较少，符合资源利用上限要求。</w:t>
            </w:r>
          </w:p>
          <w:p w14:paraId="27D4E82A">
            <w:pPr>
              <w:autoSpaceDE w:val="0"/>
              <w:autoSpaceDN w:val="0"/>
              <w:adjustRightInd w:val="0"/>
              <w:snapToGrid w:val="0"/>
              <w:spacing w:line="360" w:lineRule="auto"/>
              <w:ind w:firstLine="480" w:firstLineChars="200"/>
              <w:jc w:val="left"/>
              <w:rPr>
                <w:color w:val="auto"/>
                <w:kern w:val="0"/>
                <w:sz w:val="24"/>
              </w:rPr>
            </w:pPr>
            <w:r>
              <w:rPr>
                <w:rFonts w:hint="eastAsia"/>
                <w:color w:val="auto"/>
                <w:kern w:val="0"/>
                <w:sz w:val="24"/>
              </w:rPr>
              <w:t>（四）生态环境准入清单</w:t>
            </w:r>
          </w:p>
          <w:p w14:paraId="566FF499">
            <w:pPr>
              <w:widowControl/>
              <w:spacing w:line="360" w:lineRule="auto"/>
              <w:ind w:firstLine="480" w:firstLineChars="200"/>
              <w:jc w:val="left"/>
              <w:rPr>
                <w:color w:val="auto"/>
                <w:kern w:val="0"/>
                <w:sz w:val="24"/>
              </w:rPr>
            </w:pPr>
            <w:r>
              <w:rPr>
                <w:rFonts w:hint="eastAsia"/>
                <w:color w:val="auto"/>
                <w:kern w:val="0"/>
                <w:sz w:val="24"/>
              </w:rPr>
              <w:t>经内蒙古自治区生态环境厅三线一单数据应用平台查询的“三线一单查询报告”和《</w:t>
            </w:r>
            <w:r>
              <w:rPr>
                <w:color w:val="auto"/>
                <w:kern w:val="0"/>
                <w:sz w:val="24"/>
              </w:rPr>
              <w:t>鄂尔多斯市生态环境分区管控动态更新成果(2023年版)</w:t>
            </w:r>
            <w:r>
              <w:rPr>
                <w:rFonts w:hint="eastAsia"/>
                <w:color w:val="auto"/>
                <w:kern w:val="0"/>
                <w:sz w:val="24"/>
              </w:rPr>
              <w:t>》，本项目压覆重点管控单元“鄂托克经济开发区棋盘井产业园（ZH15062420008）”，与管控单元的管控要求符合性分析见下表。（三线一单查询结果见附件2）</w:t>
            </w:r>
          </w:p>
          <w:p w14:paraId="380FE656">
            <w:pPr>
              <w:autoSpaceDE w:val="0"/>
              <w:autoSpaceDN w:val="0"/>
              <w:adjustRightInd w:val="0"/>
              <w:snapToGrid w:val="0"/>
              <w:ind w:firstLine="723" w:firstLineChars="300"/>
              <w:jc w:val="left"/>
              <w:rPr>
                <w:b/>
                <w:bCs/>
                <w:color w:val="auto"/>
                <w:kern w:val="0"/>
                <w:sz w:val="24"/>
              </w:rPr>
            </w:pPr>
            <w:r>
              <w:rPr>
                <w:rFonts w:hint="eastAsia"/>
                <w:b/>
                <w:bCs/>
                <w:color w:val="auto"/>
                <w:kern w:val="0"/>
                <w:sz w:val="24"/>
              </w:rPr>
              <w:t>表1-</w:t>
            </w:r>
            <w:r>
              <w:rPr>
                <w:rFonts w:hint="eastAsia"/>
                <w:b/>
                <w:bCs/>
                <w:color w:val="auto"/>
                <w:kern w:val="0"/>
                <w:sz w:val="24"/>
                <w:lang w:val="en-US" w:eastAsia="zh-CN"/>
              </w:rPr>
              <w:t>3</w:t>
            </w:r>
            <w:r>
              <w:rPr>
                <w:rFonts w:hint="eastAsia"/>
                <w:b/>
                <w:bCs/>
                <w:color w:val="auto"/>
                <w:kern w:val="0"/>
                <w:sz w:val="24"/>
              </w:rPr>
              <w:t xml:space="preserve">    与《鄂尔多斯市生态环境准入清单》符合性分析</w:t>
            </w:r>
          </w:p>
          <w:tbl>
            <w:tblPr>
              <w:tblStyle w:val="23"/>
              <w:tblW w:w="6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3247"/>
              <w:gridCol w:w="2591"/>
              <w:gridCol w:w="721"/>
            </w:tblGrid>
            <w:tr w14:paraId="713D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686" w:type="dxa"/>
                  <w:gridSpan w:val="2"/>
                  <w:vAlign w:val="center"/>
                </w:tcPr>
                <w:p w14:paraId="27A0D3A1">
                  <w:pPr>
                    <w:widowControl/>
                    <w:jc w:val="center"/>
                    <w:textAlignment w:val="center"/>
                    <w:rPr>
                      <w:b/>
                      <w:bCs/>
                      <w:color w:val="auto"/>
                      <w:kern w:val="0"/>
                      <w:szCs w:val="21"/>
                      <w:lang w:bidi="ar"/>
                    </w:rPr>
                  </w:pPr>
                  <w:r>
                    <w:rPr>
                      <w:rFonts w:hint="eastAsia"/>
                      <w:b/>
                      <w:bCs/>
                      <w:color w:val="auto"/>
                      <w:kern w:val="0"/>
                      <w:szCs w:val="21"/>
                      <w:lang w:bidi="ar"/>
                    </w:rPr>
                    <w:t>管控要求</w:t>
                  </w:r>
                </w:p>
              </w:tc>
              <w:tc>
                <w:tcPr>
                  <w:tcW w:w="2591" w:type="dxa"/>
                  <w:vAlign w:val="center"/>
                </w:tcPr>
                <w:p w14:paraId="0B07FB39">
                  <w:pPr>
                    <w:widowControl/>
                    <w:jc w:val="center"/>
                    <w:textAlignment w:val="center"/>
                    <w:rPr>
                      <w:b/>
                      <w:bCs/>
                      <w:color w:val="auto"/>
                      <w:kern w:val="0"/>
                      <w:szCs w:val="21"/>
                      <w:lang w:bidi="ar"/>
                    </w:rPr>
                  </w:pPr>
                  <w:r>
                    <w:rPr>
                      <w:rFonts w:hint="eastAsia"/>
                      <w:b/>
                      <w:bCs/>
                      <w:color w:val="auto"/>
                      <w:kern w:val="0"/>
                      <w:szCs w:val="21"/>
                      <w:lang w:bidi="ar"/>
                    </w:rPr>
                    <w:t>本项目</w:t>
                  </w:r>
                </w:p>
              </w:tc>
              <w:tc>
                <w:tcPr>
                  <w:tcW w:w="721" w:type="dxa"/>
                  <w:vAlign w:val="center"/>
                </w:tcPr>
                <w:p w14:paraId="68EB74F1">
                  <w:pPr>
                    <w:widowControl/>
                    <w:jc w:val="center"/>
                    <w:textAlignment w:val="center"/>
                    <w:rPr>
                      <w:b/>
                      <w:bCs/>
                      <w:color w:val="auto"/>
                      <w:kern w:val="0"/>
                      <w:szCs w:val="21"/>
                      <w:lang w:bidi="ar"/>
                    </w:rPr>
                  </w:pPr>
                  <w:r>
                    <w:rPr>
                      <w:rFonts w:hint="eastAsia"/>
                      <w:b/>
                      <w:bCs/>
                      <w:color w:val="auto"/>
                      <w:kern w:val="0"/>
                      <w:szCs w:val="21"/>
                      <w:lang w:bidi="ar"/>
                    </w:rPr>
                    <w:t>符合性</w:t>
                  </w:r>
                </w:p>
              </w:tc>
            </w:tr>
            <w:tr w14:paraId="6A7F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439" w:type="dxa"/>
                  <w:vMerge w:val="restart"/>
                  <w:vAlign w:val="center"/>
                </w:tcPr>
                <w:p w14:paraId="5DF704FF">
                  <w:pPr>
                    <w:widowControl/>
                    <w:jc w:val="center"/>
                    <w:textAlignment w:val="center"/>
                    <w:rPr>
                      <w:color w:val="auto"/>
                      <w:kern w:val="0"/>
                      <w:szCs w:val="21"/>
                      <w:lang w:bidi="ar"/>
                    </w:rPr>
                  </w:pPr>
                  <w:r>
                    <w:rPr>
                      <w:rFonts w:hint="eastAsia"/>
                      <w:color w:val="auto"/>
                      <w:kern w:val="0"/>
                      <w:szCs w:val="21"/>
                      <w:lang w:bidi="ar"/>
                    </w:rPr>
                    <w:t>空间布局约束</w:t>
                  </w:r>
                </w:p>
              </w:tc>
              <w:tc>
                <w:tcPr>
                  <w:tcW w:w="3247" w:type="dxa"/>
                  <w:vAlign w:val="center"/>
                </w:tcPr>
                <w:p w14:paraId="3D323B8B">
                  <w:pPr>
                    <w:widowControl/>
                    <w:jc w:val="center"/>
                    <w:textAlignment w:val="center"/>
                    <w:rPr>
                      <w:color w:val="auto"/>
                      <w:kern w:val="0"/>
                      <w:szCs w:val="21"/>
                      <w:lang w:bidi="ar"/>
                    </w:rPr>
                  </w:pPr>
                  <w:r>
                    <w:rPr>
                      <w:rFonts w:hint="eastAsia"/>
                      <w:color w:val="auto"/>
                      <w:kern w:val="0"/>
                      <w:szCs w:val="21"/>
                      <w:lang w:bidi="ar"/>
                    </w:rPr>
                    <w:t>1.禁止不符合园区产业定位及规划环评等要求的项目入园；国家明令淘汰的落后产能和不符合国家产业政策的项目，禁止向工业园区转移。</w:t>
                  </w:r>
                </w:p>
              </w:tc>
              <w:tc>
                <w:tcPr>
                  <w:tcW w:w="2591" w:type="dxa"/>
                  <w:vAlign w:val="center"/>
                </w:tcPr>
                <w:p w14:paraId="1C7EF113">
                  <w:pPr>
                    <w:widowControl/>
                    <w:jc w:val="center"/>
                    <w:textAlignment w:val="center"/>
                    <w:rPr>
                      <w:color w:val="auto"/>
                      <w:kern w:val="0"/>
                      <w:szCs w:val="21"/>
                      <w:lang w:bidi="ar"/>
                    </w:rPr>
                  </w:pPr>
                  <w:r>
                    <w:rPr>
                      <w:rFonts w:hint="eastAsia"/>
                      <w:color w:val="auto"/>
                      <w:kern w:val="0"/>
                      <w:szCs w:val="21"/>
                      <w:lang w:bidi="ar"/>
                    </w:rPr>
                    <w:t>项目的建设与园区产业定位及规划环评相符，本项目属于《产业结构调整目录》中鼓励类，不属于国家明令淘汰的落后产能和不符合国家产业政策的项目。</w:t>
                  </w:r>
                </w:p>
              </w:tc>
              <w:tc>
                <w:tcPr>
                  <w:tcW w:w="721" w:type="dxa"/>
                  <w:vAlign w:val="center"/>
                </w:tcPr>
                <w:p w14:paraId="4D8BEDF7">
                  <w:pPr>
                    <w:widowControl/>
                    <w:jc w:val="center"/>
                    <w:textAlignment w:val="center"/>
                    <w:rPr>
                      <w:color w:val="auto"/>
                      <w:kern w:val="0"/>
                      <w:szCs w:val="21"/>
                      <w:lang w:bidi="ar"/>
                    </w:rPr>
                  </w:pPr>
                  <w:r>
                    <w:rPr>
                      <w:rFonts w:hint="eastAsia"/>
                      <w:color w:val="auto"/>
                      <w:kern w:val="0"/>
                      <w:szCs w:val="21"/>
                      <w:lang w:bidi="ar"/>
                    </w:rPr>
                    <w:t>符合</w:t>
                  </w:r>
                </w:p>
              </w:tc>
            </w:tr>
            <w:tr w14:paraId="017A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439" w:type="dxa"/>
                  <w:vMerge w:val="continue"/>
                  <w:vAlign w:val="center"/>
                </w:tcPr>
                <w:p w14:paraId="6850EFD7">
                  <w:pPr>
                    <w:widowControl/>
                    <w:jc w:val="center"/>
                    <w:textAlignment w:val="center"/>
                    <w:rPr>
                      <w:color w:val="auto"/>
                      <w:kern w:val="0"/>
                      <w:szCs w:val="21"/>
                      <w:lang w:bidi="ar"/>
                    </w:rPr>
                  </w:pPr>
                </w:p>
              </w:tc>
              <w:tc>
                <w:tcPr>
                  <w:tcW w:w="3247" w:type="dxa"/>
                  <w:vAlign w:val="center"/>
                </w:tcPr>
                <w:p w14:paraId="7A910437">
                  <w:pPr>
                    <w:widowControl/>
                    <w:jc w:val="center"/>
                    <w:textAlignment w:val="center"/>
                    <w:rPr>
                      <w:color w:val="auto"/>
                      <w:kern w:val="0"/>
                      <w:szCs w:val="21"/>
                      <w:lang w:bidi="ar"/>
                    </w:rPr>
                  </w:pPr>
                  <w:r>
                    <w:rPr>
                      <w:rFonts w:hint="eastAsia"/>
                      <w:color w:val="auto"/>
                      <w:kern w:val="0"/>
                      <w:szCs w:val="21"/>
                      <w:lang w:bidi="ar"/>
                    </w:rPr>
                    <w:t>2.加快淘汰化解落后和过剩产能，按照国家、自治区最新产业政策指导目录和相关文件要求，引导钢铁、铁合金、电石、焦炭、火电等产能过剩行业限制类产能（装备）有序退出。符合条件的可以按照国家、自治区标准实施产能置换。</w:t>
                  </w:r>
                </w:p>
              </w:tc>
              <w:tc>
                <w:tcPr>
                  <w:tcW w:w="2591" w:type="dxa"/>
                  <w:vAlign w:val="center"/>
                </w:tcPr>
                <w:p w14:paraId="23E0E6F5">
                  <w:pPr>
                    <w:widowControl/>
                    <w:jc w:val="center"/>
                    <w:textAlignment w:val="center"/>
                    <w:rPr>
                      <w:color w:val="auto"/>
                      <w:kern w:val="0"/>
                      <w:szCs w:val="21"/>
                      <w:lang w:bidi="ar"/>
                    </w:rPr>
                  </w:pPr>
                  <w:r>
                    <w:rPr>
                      <w:rFonts w:hint="eastAsia"/>
                      <w:color w:val="auto"/>
                      <w:kern w:val="0"/>
                      <w:szCs w:val="21"/>
                      <w:lang w:bidi="ar"/>
                    </w:rPr>
                    <w:t>本项目建设行业类别为四十七、生态保护和环境治理业-103 一般工业固体废物（含污水处理污泥）、建筑施工废弃物处置及综合利用-其他，非产能过剩</w:t>
                  </w:r>
                </w:p>
                <w:p w14:paraId="497DD32D">
                  <w:pPr>
                    <w:widowControl/>
                    <w:jc w:val="center"/>
                    <w:textAlignment w:val="center"/>
                    <w:rPr>
                      <w:color w:val="auto"/>
                      <w:kern w:val="0"/>
                      <w:szCs w:val="21"/>
                      <w:lang w:bidi="ar"/>
                    </w:rPr>
                  </w:pPr>
                  <w:r>
                    <w:rPr>
                      <w:rFonts w:hint="eastAsia"/>
                      <w:color w:val="auto"/>
                      <w:kern w:val="0"/>
                      <w:szCs w:val="21"/>
                      <w:lang w:bidi="ar"/>
                    </w:rPr>
                    <w:t>行业限制类。</w:t>
                  </w:r>
                </w:p>
              </w:tc>
              <w:tc>
                <w:tcPr>
                  <w:tcW w:w="721" w:type="dxa"/>
                  <w:vAlign w:val="center"/>
                </w:tcPr>
                <w:p w14:paraId="5D745FC7">
                  <w:pPr>
                    <w:widowControl/>
                    <w:jc w:val="center"/>
                    <w:textAlignment w:val="center"/>
                    <w:rPr>
                      <w:color w:val="auto"/>
                      <w:kern w:val="0"/>
                      <w:szCs w:val="21"/>
                      <w:lang w:bidi="ar"/>
                    </w:rPr>
                  </w:pPr>
                  <w:r>
                    <w:rPr>
                      <w:rFonts w:hint="eastAsia"/>
                      <w:color w:val="auto"/>
                      <w:kern w:val="0"/>
                      <w:szCs w:val="21"/>
                      <w:lang w:bidi="ar"/>
                    </w:rPr>
                    <w:t>符合</w:t>
                  </w:r>
                </w:p>
              </w:tc>
            </w:tr>
            <w:tr w14:paraId="40A9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439" w:type="dxa"/>
                  <w:vMerge w:val="continue"/>
                  <w:vAlign w:val="center"/>
                </w:tcPr>
                <w:p w14:paraId="7D152C78">
                  <w:pPr>
                    <w:widowControl/>
                    <w:jc w:val="center"/>
                    <w:textAlignment w:val="center"/>
                    <w:rPr>
                      <w:color w:val="auto"/>
                      <w:szCs w:val="21"/>
                    </w:rPr>
                  </w:pPr>
                </w:p>
              </w:tc>
              <w:tc>
                <w:tcPr>
                  <w:tcW w:w="3247" w:type="dxa"/>
                  <w:vAlign w:val="center"/>
                </w:tcPr>
                <w:p w14:paraId="15EFB4BD">
                  <w:pPr>
                    <w:widowControl/>
                    <w:jc w:val="center"/>
                    <w:textAlignment w:val="center"/>
                    <w:rPr>
                      <w:color w:val="auto"/>
                      <w:kern w:val="0"/>
                      <w:szCs w:val="21"/>
                      <w:lang w:bidi="ar"/>
                    </w:rPr>
                  </w:pPr>
                  <w:r>
                    <w:rPr>
                      <w:rFonts w:hint="eastAsia"/>
                      <w:color w:val="auto"/>
                      <w:kern w:val="0"/>
                      <w:szCs w:val="21"/>
                      <w:lang w:bidi="ar"/>
                    </w:rPr>
                    <w:t>3.棋盘井工业园区与西鄂尔多斯自然保护区之间应设置足够的绿化隔离带，避免产生不利影响。</w:t>
                  </w:r>
                </w:p>
              </w:tc>
              <w:tc>
                <w:tcPr>
                  <w:tcW w:w="2591" w:type="dxa"/>
                  <w:vAlign w:val="center"/>
                </w:tcPr>
                <w:p w14:paraId="2E7B3461">
                  <w:pPr>
                    <w:widowControl/>
                    <w:jc w:val="center"/>
                    <w:textAlignment w:val="center"/>
                    <w:rPr>
                      <w:color w:val="auto"/>
                      <w:kern w:val="0"/>
                      <w:szCs w:val="21"/>
                      <w:lang w:bidi="ar"/>
                    </w:rPr>
                  </w:pPr>
                  <w:r>
                    <w:rPr>
                      <w:rFonts w:hint="eastAsia"/>
                      <w:color w:val="auto"/>
                      <w:kern w:val="0"/>
                      <w:szCs w:val="21"/>
                      <w:lang w:bidi="ar"/>
                    </w:rPr>
                    <w:t>本项目所在的棋盘井工业园区与西鄂尔多斯自然保护区之间设置有绿化隔离带。</w:t>
                  </w:r>
                </w:p>
              </w:tc>
              <w:tc>
                <w:tcPr>
                  <w:tcW w:w="721" w:type="dxa"/>
                  <w:vAlign w:val="center"/>
                </w:tcPr>
                <w:p w14:paraId="7F7D2E79">
                  <w:pPr>
                    <w:widowControl/>
                    <w:jc w:val="center"/>
                    <w:textAlignment w:val="center"/>
                    <w:rPr>
                      <w:color w:val="auto"/>
                      <w:kern w:val="0"/>
                      <w:szCs w:val="21"/>
                      <w:lang w:bidi="ar"/>
                    </w:rPr>
                  </w:pPr>
                  <w:r>
                    <w:rPr>
                      <w:rFonts w:hint="eastAsia"/>
                      <w:color w:val="auto"/>
                      <w:kern w:val="0"/>
                      <w:szCs w:val="21"/>
                      <w:lang w:bidi="ar"/>
                    </w:rPr>
                    <w:t>符合</w:t>
                  </w:r>
                </w:p>
              </w:tc>
            </w:tr>
            <w:tr w14:paraId="7523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439" w:type="dxa"/>
                  <w:vMerge w:val="continue"/>
                  <w:vAlign w:val="center"/>
                </w:tcPr>
                <w:p w14:paraId="5CC0E2D4">
                  <w:pPr>
                    <w:widowControl/>
                    <w:jc w:val="center"/>
                    <w:textAlignment w:val="center"/>
                    <w:rPr>
                      <w:color w:val="auto"/>
                      <w:kern w:val="0"/>
                      <w:szCs w:val="21"/>
                      <w:lang w:bidi="ar"/>
                    </w:rPr>
                  </w:pPr>
                </w:p>
              </w:tc>
              <w:tc>
                <w:tcPr>
                  <w:tcW w:w="3247" w:type="dxa"/>
                  <w:vAlign w:val="center"/>
                </w:tcPr>
                <w:p w14:paraId="27A11FE5">
                  <w:pPr>
                    <w:widowControl/>
                    <w:jc w:val="center"/>
                    <w:textAlignment w:val="center"/>
                    <w:rPr>
                      <w:color w:val="auto"/>
                      <w:kern w:val="0"/>
                      <w:szCs w:val="21"/>
                      <w:lang w:bidi="ar"/>
                    </w:rPr>
                  </w:pPr>
                  <w:r>
                    <w:rPr>
                      <w:rFonts w:hint="eastAsia"/>
                      <w:color w:val="auto"/>
                      <w:kern w:val="0"/>
                      <w:szCs w:val="21"/>
                      <w:lang w:bidi="ar"/>
                    </w:rPr>
                    <w:t>4.入区项目不得违反《关于汞的水俣公约》，禁止使用汞或汞化合物生产氯碱（特指烧碱）。</w:t>
                  </w:r>
                </w:p>
              </w:tc>
              <w:tc>
                <w:tcPr>
                  <w:tcW w:w="2591" w:type="dxa"/>
                  <w:vAlign w:val="center"/>
                </w:tcPr>
                <w:p w14:paraId="5EE3ED9F">
                  <w:pPr>
                    <w:widowControl/>
                    <w:jc w:val="center"/>
                    <w:textAlignment w:val="center"/>
                    <w:rPr>
                      <w:color w:val="auto"/>
                      <w:kern w:val="0"/>
                      <w:szCs w:val="21"/>
                      <w:lang w:bidi="ar"/>
                    </w:rPr>
                  </w:pPr>
                  <w:r>
                    <w:rPr>
                      <w:rFonts w:hint="eastAsia"/>
                      <w:color w:val="auto"/>
                      <w:kern w:val="0"/>
                      <w:szCs w:val="21"/>
                      <w:lang w:bidi="ar"/>
                    </w:rPr>
                    <w:t>本项目不属于《关于汞</w:t>
                  </w:r>
                </w:p>
                <w:p w14:paraId="79F73D93">
                  <w:pPr>
                    <w:widowControl/>
                    <w:jc w:val="center"/>
                    <w:textAlignment w:val="center"/>
                    <w:rPr>
                      <w:color w:val="auto"/>
                      <w:kern w:val="0"/>
                      <w:szCs w:val="21"/>
                      <w:lang w:bidi="ar"/>
                    </w:rPr>
                  </w:pPr>
                  <w:r>
                    <w:rPr>
                      <w:rFonts w:hint="eastAsia"/>
                      <w:color w:val="auto"/>
                      <w:kern w:val="0"/>
                      <w:szCs w:val="21"/>
                      <w:lang w:bidi="ar"/>
                    </w:rPr>
                    <w:t>的水俣公约》相关规定的项目。</w:t>
                  </w:r>
                </w:p>
              </w:tc>
              <w:tc>
                <w:tcPr>
                  <w:tcW w:w="721" w:type="dxa"/>
                  <w:vAlign w:val="center"/>
                </w:tcPr>
                <w:p w14:paraId="38FD1840">
                  <w:pPr>
                    <w:widowControl/>
                    <w:jc w:val="center"/>
                    <w:textAlignment w:val="center"/>
                    <w:rPr>
                      <w:color w:val="auto"/>
                      <w:kern w:val="0"/>
                      <w:szCs w:val="21"/>
                      <w:lang w:bidi="ar"/>
                    </w:rPr>
                  </w:pPr>
                  <w:r>
                    <w:rPr>
                      <w:rFonts w:hint="eastAsia"/>
                      <w:color w:val="auto"/>
                      <w:kern w:val="0"/>
                      <w:szCs w:val="21"/>
                      <w:lang w:bidi="ar"/>
                    </w:rPr>
                    <w:t>符合</w:t>
                  </w:r>
                </w:p>
              </w:tc>
            </w:tr>
            <w:tr w14:paraId="3611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439" w:type="dxa"/>
                  <w:vMerge w:val="continue"/>
                  <w:vAlign w:val="center"/>
                </w:tcPr>
                <w:p w14:paraId="30F092E9">
                  <w:pPr>
                    <w:widowControl/>
                    <w:jc w:val="center"/>
                    <w:textAlignment w:val="center"/>
                    <w:rPr>
                      <w:color w:val="auto"/>
                      <w:kern w:val="0"/>
                      <w:szCs w:val="21"/>
                      <w:lang w:bidi="ar"/>
                    </w:rPr>
                  </w:pPr>
                </w:p>
              </w:tc>
              <w:tc>
                <w:tcPr>
                  <w:tcW w:w="3247" w:type="dxa"/>
                  <w:vAlign w:val="center"/>
                </w:tcPr>
                <w:p w14:paraId="31A179E4">
                  <w:pPr>
                    <w:widowControl/>
                    <w:jc w:val="center"/>
                    <w:textAlignment w:val="center"/>
                    <w:rPr>
                      <w:color w:val="auto"/>
                      <w:kern w:val="0"/>
                      <w:szCs w:val="21"/>
                      <w:lang w:bidi="ar"/>
                    </w:rPr>
                  </w:pPr>
                  <w:r>
                    <w:rPr>
                      <w:rFonts w:hint="eastAsia"/>
                      <w:color w:val="auto"/>
                      <w:kern w:val="0"/>
                      <w:szCs w:val="21"/>
                      <w:lang w:bidi="ar"/>
                    </w:rPr>
                    <w:t>5.禁止在黄河干支流岸线管控范围内新建、扩建化工园区和化工项目。</w:t>
                  </w:r>
                </w:p>
              </w:tc>
              <w:tc>
                <w:tcPr>
                  <w:tcW w:w="2591" w:type="dxa"/>
                  <w:vAlign w:val="center"/>
                </w:tcPr>
                <w:p w14:paraId="6F8D49B0">
                  <w:pPr>
                    <w:widowControl/>
                    <w:jc w:val="center"/>
                    <w:textAlignment w:val="center"/>
                    <w:rPr>
                      <w:color w:val="auto"/>
                      <w:kern w:val="0"/>
                      <w:szCs w:val="21"/>
                      <w:lang w:bidi="ar"/>
                    </w:rPr>
                  </w:pPr>
                  <w:r>
                    <w:rPr>
                      <w:rFonts w:hint="eastAsia"/>
                      <w:color w:val="auto"/>
                      <w:kern w:val="0"/>
                      <w:szCs w:val="21"/>
                      <w:lang w:bidi="ar"/>
                    </w:rPr>
                    <w:t>本项目未涉及黄河干支流岸线管控范围，且本项目不属于化工项目。</w:t>
                  </w:r>
                </w:p>
              </w:tc>
              <w:tc>
                <w:tcPr>
                  <w:tcW w:w="721" w:type="dxa"/>
                  <w:vAlign w:val="center"/>
                </w:tcPr>
                <w:p w14:paraId="6CB3822A">
                  <w:pPr>
                    <w:widowControl/>
                    <w:jc w:val="center"/>
                    <w:textAlignment w:val="center"/>
                    <w:rPr>
                      <w:color w:val="auto"/>
                      <w:kern w:val="0"/>
                      <w:szCs w:val="21"/>
                      <w:lang w:bidi="ar"/>
                    </w:rPr>
                  </w:pPr>
                  <w:r>
                    <w:rPr>
                      <w:rFonts w:hint="eastAsia"/>
                      <w:color w:val="auto"/>
                      <w:kern w:val="0"/>
                      <w:szCs w:val="21"/>
                      <w:lang w:bidi="ar"/>
                    </w:rPr>
                    <w:t>符合</w:t>
                  </w:r>
                </w:p>
              </w:tc>
            </w:tr>
            <w:tr w14:paraId="7C92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439" w:type="dxa"/>
                  <w:vMerge w:val="restart"/>
                  <w:vAlign w:val="center"/>
                </w:tcPr>
                <w:p w14:paraId="720B77BC">
                  <w:pPr>
                    <w:widowControl/>
                    <w:jc w:val="center"/>
                    <w:textAlignment w:val="center"/>
                    <w:rPr>
                      <w:color w:val="auto"/>
                      <w:kern w:val="0"/>
                      <w:szCs w:val="21"/>
                      <w:lang w:bidi="ar"/>
                    </w:rPr>
                  </w:pPr>
                  <w:r>
                    <w:rPr>
                      <w:rFonts w:hint="eastAsia"/>
                      <w:color w:val="auto"/>
                      <w:kern w:val="0"/>
                      <w:szCs w:val="21"/>
                      <w:lang w:bidi="ar"/>
                    </w:rPr>
                    <w:t>污染物排放管控</w:t>
                  </w:r>
                </w:p>
              </w:tc>
              <w:tc>
                <w:tcPr>
                  <w:tcW w:w="3247" w:type="dxa"/>
                  <w:vAlign w:val="center"/>
                </w:tcPr>
                <w:p w14:paraId="6A23F2B1">
                  <w:pPr>
                    <w:widowControl/>
                    <w:jc w:val="left"/>
                    <w:rPr>
                      <w:color w:val="auto"/>
                      <w:kern w:val="0"/>
                      <w:szCs w:val="21"/>
                      <w:lang w:bidi="ar"/>
                    </w:rPr>
                  </w:pPr>
                  <w:r>
                    <w:rPr>
                      <w:color w:val="auto"/>
                      <w:kern w:val="0"/>
                      <w:szCs w:val="21"/>
                      <w:lang w:bidi="ar"/>
                    </w:rPr>
                    <w:t>1.</w:t>
                  </w:r>
                  <w:r>
                    <w:rPr>
                      <w:rFonts w:hint="eastAsia" w:ascii="宋体" w:hAnsi="宋体" w:cs="宋体"/>
                      <w:color w:val="auto"/>
                      <w:kern w:val="0"/>
                      <w:szCs w:val="21"/>
                      <w:lang w:bidi="ar"/>
                    </w:rPr>
                    <w:t>工业园区污水应收尽收、全部回用；矿井水、中水回用率达到</w:t>
                  </w:r>
                  <w:r>
                    <w:rPr>
                      <w:color w:val="auto"/>
                      <w:kern w:val="0"/>
                      <w:szCs w:val="21"/>
                      <w:lang w:bidi="ar"/>
                    </w:rPr>
                    <w:t>90%</w:t>
                  </w:r>
                  <w:r>
                    <w:rPr>
                      <w:rFonts w:hint="eastAsia" w:ascii="宋体" w:hAnsi="宋体" w:cs="宋体"/>
                      <w:color w:val="auto"/>
                      <w:kern w:val="0"/>
                      <w:szCs w:val="21"/>
                      <w:lang w:bidi="ar"/>
                    </w:rPr>
                    <w:t xml:space="preserve">以上。实施石油石化、化工等高耗水企业废水深度处理回用工程。强化焦化废水深度处理，区域内焦化废水必须全收集、全处理、全回用。 </w:t>
                  </w:r>
                </w:p>
              </w:tc>
              <w:tc>
                <w:tcPr>
                  <w:tcW w:w="2591" w:type="dxa"/>
                  <w:vAlign w:val="center"/>
                </w:tcPr>
                <w:p w14:paraId="13B827BA">
                  <w:pPr>
                    <w:widowControl/>
                    <w:jc w:val="center"/>
                    <w:textAlignment w:val="center"/>
                    <w:rPr>
                      <w:color w:val="auto"/>
                      <w:kern w:val="0"/>
                      <w:szCs w:val="21"/>
                      <w:lang w:bidi="ar"/>
                    </w:rPr>
                  </w:pPr>
                  <w:r>
                    <w:rPr>
                      <w:rFonts w:hint="eastAsia"/>
                      <w:color w:val="auto"/>
                      <w:kern w:val="0"/>
                      <w:szCs w:val="21"/>
                      <w:lang w:bidi="ar"/>
                    </w:rPr>
                    <w:t>本项目不属于石油石化、化工等高耗水项目，且本项目无生产废水，员工生活污水排入现有生化污水处理站，出水送至污水深度处理系统进行深度处理后回用厂区。</w:t>
                  </w:r>
                </w:p>
              </w:tc>
              <w:tc>
                <w:tcPr>
                  <w:tcW w:w="721" w:type="dxa"/>
                  <w:vAlign w:val="center"/>
                </w:tcPr>
                <w:p w14:paraId="096B1AD9">
                  <w:pPr>
                    <w:widowControl/>
                    <w:jc w:val="center"/>
                    <w:textAlignment w:val="center"/>
                    <w:rPr>
                      <w:color w:val="auto"/>
                      <w:kern w:val="0"/>
                      <w:szCs w:val="21"/>
                      <w:lang w:bidi="ar"/>
                    </w:rPr>
                  </w:pPr>
                  <w:r>
                    <w:rPr>
                      <w:rFonts w:hint="eastAsia"/>
                      <w:color w:val="auto"/>
                      <w:kern w:val="0"/>
                      <w:szCs w:val="21"/>
                      <w:lang w:bidi="ar"/>
                    </w:rPr>
                    <w:t>符合</w:t>
                  </w:r>
                </w:p>
              </w:tc>
            </w:tr>
            <w:tr w14:paraId="45AE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439" w:type="dxa"/>
                  <w:vMerge w:val="continue"/>
                  <w:vAlign w:val="center"/>
                </w:tcPr>
                <w:p w14:paraId="687E78ED">
                  <w:pPr>
                    <w:widowControl/>
                    <w:jc w:val="center"/>
                    <w:textAlignment w:val="center"/>
                    <w:rPr>
                      <w:color w:val="auto"/>
                      <w:kern w:val="0"/>
                      <w:szCs w:val="21"/>
                      <w:lang w:bidi="ar"/>
                    </w:rPr>
                  </w:pPr>
                </w:p>
              </w:tc>
              <w:tc>
                <w:tcPr>
                  <w:tcW w:w="3247" w:type="dxa"/>
                  <w:vAlign w:val="center"/>
                </w:tcPr>
                <w:p w14:paraId="291F8C40">
                  <w:pPr>
                    <w:widowControl/>
                    <w:jc w:val="left"/>
                    <w:rPr>
                      <w:color w:val="auto"/>
                      <w:kern w:val="0"/>
                      <w:szCs w:val="21"/>
                      <w:lang w:bidi="ar"/>
                    </w:rPr>
                  </w:pPr>
                  <w:r>
                    <w:rPr>
                      <w:color w:val="auto"/>
                      <w:kern w:val="0"/>
                      <w:szCs w:val="21"/>
                      <w:lang w:bidi="ar"/>
                    </w:rPr>
                    <w:t>2.</w:t>
                  </w:r>
                  <w:r>
                    <w:rPr>
                      <w:rFonts w:hint="eastAsia" w:ascii="宋体" w:hAnsi="宋体" w:cs="宋体"/>
                      <w:color w:val="auto"/>
                      <w:kern w:val="0"/>
                      <w:szCs w:val="21"/>
                      <w:lang w:bidi="ar"/>
                    </w:rPr>
                    <w:t xml:space="preserve">强化大气污染物减量控制加强矿区、园区和棋盘井蒙西等重点地区生态环境综合治理，全面实现焦化行业、煤化工动力锅炉超低排放，完成煤化工挥发性有机物深度治理和石灰、电石行业提标升级改造。 </w:t>
                  </w:r>
                </w:p>
              </w:tc>
              <w:tc>
                <w:tcPr>
                  <w:tcW w:w="2591" w:type="dxa"/>
                  <w:vAlign w:val="center"/>
                </w:tcPr>
                <w:p w14:paraId="5396DE32">
                  <w:pPr>
                    <w:widowControl/>
                    <w:jc w:val="left"/>
                    <w:rPr>
                      <w:color w:val="auto"/>
                      <w:kern w:val="0"/>
                      <w:szCs w:val="21"/>
                      <w:lang w:bidi="ar"/>
                    </w:rPr>
                  </w:pPr>
                  <w:r>
                    <w:rPr>
                      <w:rFonts w:hint="eastAsia"/>
                      <w:color w:val="auto"/>
                      <w:kern w:val="0"/>
                      <w:szCs w:val="21"/>
                      <w:lang w:bidi="ar"/>
                    </w:rPr>
                    <w:t>本项目</w:t>
                  </w:r>
                  <w:r>
                    <w:rPr>
                      <w:color w:val="auto"/>
                      <w:kern w:val="0"/>
                      <w:szCs w:val="21"/>
                      <w:lang w:bidi="ar"/>
                    </w:rPr>
                    <w:t>采用在新航焦化新设上升管余热回收装置产生的饱和蒸汽，</w:t>
                  </w:r>
                  <w:r>
                    <w:rPr>
                      <w:rFonts w:hint="eastAsia"/>
                      <w:color w:val="auto"/>
                      <w:kern w:val="0"/>
                      <w:szCs w:val="21"/>
                      <w:lang w:bidi="ar"/>
                    </w:rPr>
                    <w:t>本项目不新增二氧化硫、</w:t>
                  </w:r>
                  <w:r>
                    <w:rPr>
                      <w:rFonts w:hint="eastAsia" w:ascii="宋体" w:hAnsi="宋体" w:cs="宋体"/>
                      <w:color w:val="auto"/>
                      <w:kern w:val="0"/>
                      <w:szCs w:val="21"/>
                      <w:lang w:bidi="ar"/>
                    </w:rPr>
                    <w:t>氮氧化物排放总量，</w:t>
                  </w:r>
                  <w:r>
                    <w:rPr>
                      <w:rFonts w:hint="eastAsia"/>
                      <w:color w:val="auto"/>
                      <w:kern w:val="0"/>
                      <w:szCs w:val="21"/>
                      <w:lang w:bidi="ar"/>
                    </w:rPr>
                    <w:t>型焦生产车间、</w:t>
                  </w:r>
                  <w:r>
                    <w:rPr>
                      <w:rFonts w:hint="eastAsia"/>
                      <w:color w:val="auto"/>
                      <w:spacing w:val="2"/>
                      <w:szCs w:val="21"/>
                    </w:rPr>
                    <w:t>原料仓库均</w:t>
                  </w:r>
                  <w:r>
                    <w:rPr>
                      <w:rFonts w:hint="eastAsia" w:ascii="宋体" w:hAnsi="宋体" w:cs="宋体"/>
                      <w:color w:val="auto"/>
                      <w:kern w:val="0"/>
                      <w:szCs w:val="21"/>
                      <w:lang w:bidi="ar"/>
                    </w:rPr>
                    <w:t>为全封闭，且产生的废气有效收集，并配套相应的除尘措施，确保废气达标排放。本项目不属于化工类项目，不产生挥发性有机污染物（</w:t>
                  </w:r>
                  <w:r>
                    <w:rPr>
                      <w:color w:val="auto"/>
                      <w:kern w:val="0"/>
                      <w:szCs w:val="21"/>
                      <w:lang w:bidi="ar"/>
                    </w:rPr>
                    <w:t>VOCs</w:t>
                  </w:r>
                  <w:r>
                    <w:rPr>
                      <w:rFonts w:hint="eastAsia" w:ascii="宋体" w:hAnsi="宋体" w:cs="宋体"/>
                      <w:color w:val="auto"/>
                      <w:kern w:val="0"/>
                      <w:szCs w:val="21"/>
                      <w:lang w:bidi="ar"/>
                    </w:rPr>
                    <w:t>），不属于石灰、电石行业。</w:t>
                  </w:r>
                </w:p>
              </w:tc>
              <w:tc>
                <w:tcPr>
                  <w:tcW w:w="721" w:type="dxa"/>
                  <w:vAlign w:val="center"/>
                </w:tcPr>
                <w:p w14:paraId="639F3B71">
                  <w:pPr>
                    <w:widowControl/>
                    <w:jc w:val="center"/>
                    <w:textAlignment w:val="center"/>
                    <w:rPr>
                      <w:color w:val="auto"/>
                      <w:kern w:val="0"/>
                      <w:szCs w:val="21"/>
                      <w:lang w:bidi="ar"/>
                    </w:rPr>
                  </w:pPr>
                  <w:r>
                    <w:rPr>
                      <w:rFonts w:hint="eastAsia"/>
                      <w:color w:val="auto"/>
                      <w:kern w:val="0"/>
                      <w:szCs w:val="21"/>
                      <w:lang w:bidi="ar"/>
                    </w:rPr>
                    <w:t>符合</w:t>
                  </w:r>
                </w:p>
              </w:tc>
            </w:tr>
            <w:tr w14:paraId="52F5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39" w:type="dxa"/>
                  <w:vMerge w:val="continue"/>
                  <w:vAlign w:val="center"/>
                </w:tcPr>
                <w:p w14:paraId="3FA42233">
                  <w:pPr>
                    <w:widowControl/>
                    <w:jc w:val="center"/>
                    <w:textAlignment w:val="center"/>
                    <w:rPr>
                      <w:color w:val="auto"/>
                      <w:kern w:val="0"/>
                      <w:szCs w:val="21"/>
                      <w:lang w:bidi="ar"/>
                    </w:rPr>
                  </w:pPr>
                </w:p>
              </w:tc>
              <w:tc>
                <w:tcPr>
                  <w:tcW w:w="3247" w:type="dxa"/>
                  <w:vAlign w:val="center"/>
                </w:tcPr>
                <w:p w14:paraId="60128A4E">
                  <w:pPr>
                    <w:widowControl/>
                    <w:jc w:val="left"/>
                    <w:rPr>
                      <w:color w:val="auto"/>
                      <w:kern w:val="0"/>
                      <w:szCs w:val="21"/>
                      <w:lang w:bidi="ar"/>
                    </w:rPr>
                  </w:pPr>
                  <w:r>
                    <w:rPr>
                      <w:color w:val="auto"/>
                      <w:kern w:val="0"/>
                      <w:szCs w:val="21"/>
                      <w:lang w:bidi="ar"/>
                    </w:rPr>
                    <w:t>3.</w:t>
                  </w:r>
                  <w:r>
                    <w:rPr>
                      <w:rFonts w:hint="eastAsia" w:ascii="宋体" w:hAnsi="宋体" w:cs="宋体"/>
                      <w:color w:val="auto"/>
                      <w:kern w:val="0"/>
                      <w:szCs w:val="21"/>
                      <w:lang w:bidi="ar"/>
                    </w:rPr>
                    <w:t>深化燃煤锅炉综合治理深化区域散煤燃烧治理，推进棋盘井镇和蒙西镇清洁取暖改造项目。</w:t>
                  </w:r>
                </w:p>
              </w:tc>
              <w:tc>
                <w:tcPr>
                  <w:tcW w:w="2591" w:type="dxa"/>
                  <w:vAlign w:val="center"/>
                </w:tcPr>
                <w:p w14:paraId="2928D251">
                  <w:pPr>
                    <w:widowControl/>
                    <w:jc w:val="left"/>
                    <w:rPr>
                      <w:color w:val="auto"/>
                      <w:kern w:val="0"/>
                      <w:szCs w:val="21"/>
                      <w:lang w:bidi="ar"/>
                    </w:rPr>
                  </w:pPr>
                  <w:r>
                    <w:rPr>
                      <w:rFonts w:hint="eastAsia" w:ascii="宋体" w:hAnsi="宋体" w:cs="宋体"/>
                      <w:color w:val="auto"/>
                      <w:kern w:val="0"/>
                      <w:szCs w:val="21"/>
                      <w:lang w:bidi="ar"/>
                    </w:rPr>
                    <w:t>本项目</w:t>
                  </w:r>
                  <w:r>
                    <w:rPr>
                      <w:color w:val="auto"/>
                      <w:kern w:val="0"/>
                      <w:szCs w:val="21"/>
                      <w:lang w:bidi="ar"/>
                    </w:rPr>
                    <w:t>采用在新航焦化新设上升管余热回收装置产生的饱和蒸汽，</w:t>
                  </w:r>
                  <w:r>
                    <w:rPr>
                      <w:rFonts w:hint="eastAsia" w:ascii="宋体" w:hAnsi="宋体" w:cs="宋体"/>
                      <w:color w:val="auto"/>
                      <w:kern w:val="0"/>
                      <w:szCs w:val="21"/>
                      <w:lang w:bidi="ar"/>
                    </w:rPr>
                    <w:t>不用燃煤锅炉及散煤燃烧。</w:t>
                  </w:r>
                </w:p>
              </w:tc>
              <w:tc>
                <w:tcPr>
                  <w:tcW w:w="721" w:type="dxa"/>
                  <w:vAlign w:val="center"/>
                </w:tcPr>
                <w:p w14:paraId="444D1246">
                  <w:pPr>
                    <w:widowControl/>
                    <w:jc w:val="center"/>
                    <w:textAlignment w:val="center"/>
                    <w:rPr>
                      <w:color w:val="auto"/>
                      <w:kern w:val="0"/>
                      <w:szCs w:val="21"/>
                      <w:lang w:bidi="ar"/>
                    </w:rPr>
                  </w:pPr>
                  <w:r>
                    <w:rPr>
                      <w:rFonts w:hint="eastAsia"/>
                      <w:color w:val="auto"/>
                      <w:kern w:val="0"/>
                      <w:szCs w:val="21"/>
                      <w:lang w:bidi="ar"/>
                    </w:rPr>
                    <w:t>符合</w:t>
                  </w:r>
                </w:p>
              </w:tc>
            </w:tr>
          </w:tbl>
          <w:p w14:paraId="218936A9">
            <w:pPr>
              <w:widowControl/>
              <w:spacing w:line="360" w:lineRule="auto"/>
              <w:ind w:firstLine="480" w:firstLineChars="200"/>
              <w:jc w:val="left"/>
              <w:rPr>
                <w:color w:val="auto"/>
              </w:rPr>
            </w:pPr>
            <w:r>
              <w:rPr>
                <w:rFonts w:hint="eastAsia" w:ascii="宋体" w:hAnsi="宋体" w:cs="宋体"/>
                <w:color w:val="auto"/>
                <w:kern w:val="0"/>
                <w:sz w:val="24"/>
                <w:lang w:bidi="ar"/>
              </w:rPr>
              <w:t>综合以上分析，本项目建设符合</w:t>
            </w:r>
            <w:r>
              <w:rPr>
                <w:rFonts w:hint="eastAsia"/>
                <w:color w:val="auto"/>
                <w:kern w:val="0"/>
                <w:sz w:val="24"/>
                <w:lang w:bidi="ar"/>
              </w:rPr>
              <w:t>生态环境分区管控要求</w:t>
            </w:r>
            <w:r>
              <w:rPr>
                <w:rFonts w:hint="eastAsia" w:ascii="宋体" w:hAnsi="宋体" w:cs="宋体"/>
                <w:color w:val="auto"/>
                <w:kern w:val="0"/>
                <w:sz w:val="24"/>
                <w:lang w:bidi="ar"/>
              </w:rPr>
              <w:t>。</w:t>
            </w:r>
          </w:p>
        </w:tc>
      </w:tr>
    </w:tbl>
    <w:p w14:paraId="680ACE6B">
      <w:pPr>
        <w:spacing w:line="360" w:lineRule="auto"/>
        <w:outlineLvl w:val="0"/>
        <w:rPr>
          <w:rFonts w:eastAsia="黑体"/>
          <w:color w:val="auto"/>
          <w:sz w:val="30"/>
        </w:rPr>
        <w:sectPr>
          <w:footerReference r:id="rId5" w:type="default"/>
          <w:pgSz w:w="11906" w:h="16838"/>
          <w:pgMar w:top="1701" w:right="1531" w:bottom="1701" w:left="1531" w:header="851" w:footer="1077" w:gutter="0"/>
          <w:pgNumType w:start="1"/>
          <w:cols w:space="720" w:num="1"/>
          <w:docGrid w:linePitch="312" w:charSpace="0"/>
        </w:sectPr>
      </w:pPr>
    </w:p>
    <w:p w14:paraId="1D8A0FCA">
      <w:pPr>
        <w:pStyle w:val="19"/>
        <w:spacing w:before="0" w:beforeAutospacing="0" w:after="0" w:afterAutospacing="0"/>
        <w:jc w:val="center"/>
        <w:outlineLvl w:val="9"/>
        <w:rPr>
          <w:rFonts w:hint="eastAsia" w:ascii="Times New Roman" w:hAnsi="Times New Roman"/>
          <w:b/>
          <w:bCs/>
          <w:snapToGrid w:val="0"/>
          <w:color w:val="auto"/>
          <w:sz w:val="30"/>
          <w:szCs w:val="30"/>
        </w:rPr>
      </w:pPr>
    </w:p>
    <w:p w14:paraId="54E95AF3">
      <w:pPr>
        <w:pStyle w:val="19"/>
        <w:spacing w:before="0" w:beforeAutospacing="0" w:after="0" w:afterAutospacing="0"/>
        <w:jc w:val="center"/>
        <w:outlineLvl w:val="0"/>
        <w:rPr>
          <w:rFonts w:ascii="Times New Roman" w:hAnsi="Times New Roman"/>
          <w:b/>
          <w:bCs/>
          <w:snapToGrid w:val="0"/>
          <w:color w:val="auto"/>
          <w:sz w:val="30"/>
          <w:szCs w:val="30"/>
        </w:rPr>
      </w:pPr>
      <w:r>
        <w:rPr>
          <w:rFonts w:hint="eastAsia" w:ascii="Times New Roman" w:hAnsi="Times New Roman"/>
          <w:b/>
          <w:bCs/>
          <w:snapToGrid w:val="0"/>
          <w:color w:val="auto"/>
          <w:sz w:val="30"/>
          <w:szCs w:val="30"/>
        </w:rPr>
        <w:t>二、建设项目工程分析</w:t>
      </w:r>
    </w:p>
    <w:tbl>
      <w:tblPr>
        <w:tblStyle w:val="22"/>
        <w:tblW w:w="90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258"/>
      </w:tblGrid>
      <w:tr w14:paraId="09DA9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23" w:type="dxa"/>
            <w:vAlign w:val="center"/>
          </w:tcPr>
          <w:p w14:paraId="0E381502">
            <w:pPr>
              <w:pStyle w:val="19"/>
              <w:adjustRightInd w:val="0"/>
              <w:snapToGrid w:val="0"/>
              <w:spacing w:before="0" w:beforeAutospacing="0" w:after="0" w:afterAutospacing="0"/>
              <w:jc w:val="center"/>
              <w:rPr>
                <w:rFonts w:hint="eastAsia" w:cs="宋体"/>
                <w:color w:val="auto"/>
                <w:sz w:val="21"/>
                <w:szCs w:val="21"/>
              </w:rPr>
            </w:pPr>
            <w:r>
              <w:rPr>
                <w:rFonts w:hint="eastAsia" w:ascii="Times New Roman" w:hAnsi="Times New Roman"/>
                <w:color w:val="auto"/>
                <w:szCs w:val="24"/>
                <w:lang w:bidi="ar"/>
              </w:rPr>
              <w:t>建设内容</w:t>
            </w:r>
          </w:p>
        </w:tc>
        <w:tc>
          <w:tcPr>
            <w:tcW w:w="8258" w:type="dxa"/>
          </w:tcPr>
          <w:p w14:paraId="32BD684E">
            <w:pPr>
              <w:widowControl/>
              <w:numPr>
                <w:ilvl w:val="0"/>
                <w:numId w:val="3"/>
              </w:numPr>
              <w:spacing w:line="360" w:lineRule="auto"/>
              <w:ind w:firstLine="482" w:firstLineChars="200"/>
              <w:jc w:val="left"/>
              <w:rPr>
                <w:b/>
                <w:bCs/>
                <w:color w:val="auto"/>
                <w:sz w:val="24"/>
              </w:rPr>
            </w:pPr>
            <w:r>
              <w:rPr>
                <w:rFonts w:hint="eastAsia"/>
                <w:b/>
                <w:bCs/>
                <w:color w:val="auto"/>
                <w:sz w:val="24"/>
              </w:rPr>
              <w:t>项目由来</w:t>
            </w:r>
          </w:p>
          <w:p w14:paraId="577B6820">
            <w:pPr>
              <w:widowControl/>
              <w:spacing w:line="360" w:lineRule="auto"/>
              <w:ind w:firstLine="480" w:firstLineChars="200"/>
              <w:jc w:val="left"/>
              <w:rPr>
                <w:color w:val="auto"/>
                <w:sz w:val="24"/>
              </w:rPr>
            </w:pPr>
            <w:r>
              <w:rPr>
                <w:color w:val="auto"/>
                <w:sz w:val="24"/>
              </w:rPr>
              <w:t>焦粉是焦炭转运过程中产生的焦粉及焦炉配套袋式除尘器收集的含碳粉末（即除尘灰），其物化性能与焦炭并无太大差距，但是焦粉在粒度上不符合生产工艺的要求，且由于体积过小（</w:t>
            </w:r>
            <w:r>
              <w:rPr>
                <w:color w:val="auto"/>
                <w:sz w:val="18"/>
                <w:szCs w:val="18"/>
              </w:rPr>
              <w:t>＜</w:t>
            </w:r>
            <w:r>
              <w:rPr>
                <w:color w:val="auto"/>
                <w:sz w:val="24"/>
              </w:rPr>
              <w:t>5mm），传统煤化工行业需求甚少</w:t>
            </w:r>
            <w:r>
              <w:rPr>
                <w:rFonts w:hint="eastAsia"/>
                <w:color w:val="auto"/>
                <w:sz w:val="24"/>
              </w:rPr>
              <w:t>，</w:t>
            </w:r>
            <w:r>
              <w:rPr>
                <w:color w:val="auto"/>
                <w:sz w:val="24"/>
              </w:rPr>
              <w:t>经常被用于简单燃料，造成了极大的能源浪费。焦粉作为散状物料，在生产和运输过程中会产生大量的粉尘，对环境造成极大污染。企业迫切需要寻找更高效、环保的焦粉利用方式，以充分挖掘其价值，减少资源浪费，同时降低对环境的负面影响，提升企业的经济效益。</w:t>
            </w:r>
          </w:p>
          <w:p w14:paraId="32995261">
            <w:pPr>
              <w:widowControl/>
              <w:spacing w:line="360" w:lineRule="auto"/>
              <w:ind w:firstLine="480" w:firstLineChars="200"/>
              <w:jc w:val="left"/>
              <w:rPr>
                <w:color w:val="auto"/>
                <w:sz w:val="24"/>
              </w:rPr>
            </w:pPr>
            <w:r>
              <w:rPr>
                <w:color w:val="auto"/>
                <w:sz w:val="24"/>
              </w:rPr>
              <w:t>目前国内铁合金行业龙头企业使用高性能型焦已经可以做到替代10</w:t>
            </w:r>
            <w:r>
              <w:rPr>
                <w:rFonts w:hint="eastAsia"/>
                <w:color w:val="auto"/>
                <w:sz w:val="24"/>
              </w:rPr>
              <w:t>~</w:t>
            </w:r>
            <w:r>
              <w:rPr>
                <w:color w:val="auto"/>
                <w:sz w:val="24"/>
              </w:rPr>
              <w:t>20%的焦炭使用，年内有望提升至30%。在铁合金生产过程中，焦炭作为主要的还原剂和热源，其质量和数量对产品的质量和产量都有重要影响。随着技术的发展，有色冶炼、电石、钢铁等有焦炭使用的企业，型焦也能作为替代产品使用。因此，提高焦粉的附加值，制备高性能型焦，替代部分焦炭成为企业焦粉利用的新的利润增长点。</w:t>
            </w:r>
          </w:p>
          <w:p w14:paraId="6AFDCA3F">
            <w:pPr>
              <w:widowControl/>
              <w:spacing w:line="360" w:lineRule="auto"/>
              <w:ind w:firstLine="480" w:firstLineChars="200"/>
              <w:jc w:val="left"/>
              <w:rPr>
                <w:color w:val="auto"/>
              </w:rPr>
            </w:pPr>
            <w:r>
              <w:rPr>
                <w:rFonts w:hint="eastAsia" w:ascii="宋体" w:hAnsi="宋体" w:cs="宋体"/>
                <w:color w:val="auto"/>
                <w:kern w:val="0"/>
                <w:sz w:val="24"/>
                <w:lang w:bidi="ar"/>
              </w:rPr>
              <w:t>目前，</w:t>
            </w:r>
            <w:r>
              <w:rPr>
                <w:rFonts w:hint="eastAsia"/>
                <w:color w:val="auto"/>
                <w:sz w:val="24"/>
              </w:rPr>
              <w:t>鄂托克旗新航焦化有限公司</w:t>
            </w:r>
            <w:r>
              <w:rPr>
                <w:rFonts w:hint="eastAsia" w:ascii="宋体" w:hAnsi="宋体" w:cs="宋体"/>
                <w:color w:val="auto"/>
                <w:kern w:val="0"/>
                <w:sz w:val="24"/>
                <w:lang w:bidi="ar"/>
              </w:rPr>
              <w:t>现有《内蒙古蒙西矿业有限公司技改扩建</w:t>
            </w:r>
            <w:r>
              <w:rPr>
                <w:rFonts w:hint="eastAsia"/>
                <w:color w:val="auto"/>
                <w:kern w:val="0"/>
                <w:sz w:val="24"/>
                <w:lang w:bidi="ar"/>
              </w:rPr>
              <w:t>年产100万吨捣</w:t>
            </w:r>
            <w:r>
              <w:rPr>
                <w:rFonts w:hint="eastAsia" w:ascii="宋体" w:hAnsi="宋体" w:cs="宋体"/>
                <w:color w:val="auto"/>
                <w:kern w:val="0"/>
                <w:sz w:val="24"/>
                <w:lang w:bidi="ar"/>
              </w:rPr>
              <w:t>固焦项目</w:t>
            </w:r>
            <w:r>
              <w:rPr>
                <w:rFonts w:hint="eastAsia" w:ascii="宋体" w:hAnsi="宋体" w:cs="宋体"/>
                <w:color w:val="auto"/>
                <w:kern w:val="0"/>
                <w:sz w:val="24"/>
                <w:lang w:bidi="ar"/>
              </w:rPr>
              <w:t>》</w:t>
            </w:r>
            <w:r>
              <w:rPr>
                <w:rFonts w:hint="eastAsia" w:ascii="宋体" w:hAnsi="宋体" w:cs="宋体"/>
                <w:color w:val="auto"/>
                <w:kern w:val="0"/>
                <w:sz w:val="24"/>
                <w:lang w:eastAsia="zh-CN" w:bidi="ar"/>
              </w:rPr>
              <w:t>，</w:t>
            </w:r>
            <w:r>
              <w:rPr>
                <w:rFonts w:hint="eastAsia" w:ascii="Times New Roman" w:hAnsi="Times New Roman" w:eastAsia="宋体" w:cs="Times New Roman"/>
                <w:color w:val="auto"/>
                <w:kern w:val="2"/>
                <w:sz w:val="24"/>
                <w:szCs w:val="24"/>
                <w:lang w:val="en-US" w:eastAsia="zh-CN" w:bidi="ar-SA"/>
              </w:rPr>
              <w:t>熄焦完成后，在焦炭筛分装置进行筛分，产生常温、固体、无异味的焦粉，每年可收集57000t焦粉，33088t除尘灰。</w:t>
            </w:r>
            <w:r>
              <w:rPr>
                <w:rFonts w:hint="eastAsia" w:ascii="宋体" w:hAnsi="宋体" w:cs="宋体"/>
                <w:color w:val="auto"/>
                <w:kern w:val="0"/>
                <w:sz w:val="24"/>
                <w:lang w:bidi="ar"/>
              </w:rPr>
              <w:t>因此每年可提供</w:t>
            </w:r>
            <w:r>
              <w:rPr>
                <w:rFonts w:hint="eastAsia"/>
                <w:color w:val="auto"/>
                <w:kern w:val="0"/>
                <w:sz w:val="24"/>
                <w:highlight w:val="none"/>
                <w:lang w:bidi="ar"/>
              </w:rPr>
              <w:t>90088</w:t>
            </w:r>
            <w:r>
              <w:rPr>
                <w:color w:val="auto"/>
                <w:kern w:val="0"/>
                <w:sz w:val="24"/>
                <w:highlight w:val="none"/>
                <w:lang w:bidi="ar"/>
              </w:rPr>
              <w:t>t</w:t>
            </w:r>
            <w:r>
              <w:rPr>
                <w:rFonts w:hint="eastAsia" w:ascii="宋体" w:hAnsi="宋体" w:cs="宋体"/>
                <w:color w:val="auto"/>
                <w:kern w:val="0"/>
                <w:sz w:val="24"/>
                <w:highlight w:val="none"/>
                <w:lang w:bidi="ar"/>
              </w:rPr>
              <w:t>原</w:t>
            </w:r>
            <w:r>
              <w:rPr>
                <w:rFonts w:hint="eastAsia" w:ascii="宋体" w:hAnsi="宋体" w:cs="宋体"/>
                <w:color w:val="auto"/>
                <w:kern w:val="0"/>
                <w:sz w:val="24"/>
                <w:lang w:bidi="ar"/>
              </w:rPr>
              <w:t>料供本项目生产型焦。（内蒙古蒙西矿业有限公司技改扩建年</w:t>
            </w:r>
            <w:r>
              <w:rPr>
                <w:color w:val="auto"/>
                <w:kern w:val="0"/>
                <w:sz w:val="24"/>
                <w:lang w:bidi="ar"/>
              </w:rPr>
              <w:t>产100万</w:t>
            </w:r>
            <w:r>
              <w:rPr>
                <w:rFonts w:hint="eastAsia" w:ascii="宋体" w:hAnsi="宋体" w:cs="宋体"/>
                <w:color w:val="auto"/>
                <w:kern w:val="0"/>
                <w:sz w:val="24"/>
                <w:lang w:bidi="ar"/>
              </w:rPr>
              <w:t>吨捣固焦项目变更项目实施主体为</w:t>
            </w:r>
            <w:r>
              <w:rPr>
                <w:rFonts w:hint="eastAsia"/>
                <w:color w:val="auto"/>
                <w:sz w:val="24"/>
              </w:rPr>
              <w:t>鄂托克旗新航焦化有限公司，</w:t>
            </w:r>
            <w:r>
              <w:rPr>
                <w:rFonts w:hint="eastAsia" w:ascii="宋体" w:hAnsi="宋体" w:cs="宋体"/>
                <w:color w:val="auto"/>
                <w:kern w:val="0"/>
                <w:sz w:val="24"/>
                <w:lang w:bidi="ar"/>
              </w:rPr>
              <w:t>文件见附</w:t>
            </w:r>
            <w:r>
              <w:rPr>
                <w:rFonts w:hint="eastAsia"/>
                <w:color w:val="auto"/>
                <w:kern w:val="0"/>
                <w:sz w:val="24"/>
                <w:lang w:bidi="ar"/>
              </w:rPr>
              <w:t>件</w:t>
            </w:r>
            <w:r>
              <w:rPr>
                <w:rFonts w:hint="eastAsia"/>
                <w:color w:val="auto"/>
                <w:kern w:val="0"/>
                <w:sz w:val="24"/>
                <w:lang w:val="en-US" w:eastAsia="zh-CN" w:bidi="ar"/>
              </w:rPr>
              <w:t>7</w:t>
            </w:r>
            <w:r>
              <w:rPr>
                <w:rFonts w:hint="eastAsia"/>
                <w:color w:val="auto"/>
                <w:kern w:val="0"/>
                <w:sz w:val="24"/>
                <w:lang w:bidi="ar"/>
              </w:rPr>
              <w:t>）。</w:t>
            </w:r>
          </w:p>
          <w:p w14:paraId="750B2B3D">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本项目将使用焦粉、除尘灰、兰碳粉配加新型高性能粘结剂后加压成型工艺，经干燥处理得到块状均匀、具有一定机械强度和理化性能的型焦块，同时采用在新航焦化新设上升管余热回收装置产生的饱和蒸汽为干燥热源的余热利用的节能技术</w:t>
            </w:r>
            <w:r>
              <w:rPr>
                <w:rFonts w:hint="eastAsia"/>
                <w:color w:val="auto"/>
                <w:kern w:val="0"/>
                <w:sz w:val="24"/>
                <w:lang w:bidi="ar"/>
              </w:rPr>
              <w:t>。根据公司焦化厂产能情况，确定本项目规模为45万吨</w:t>
            </w:r>
            <w:r>
              <w:rPr>
                <w:color w:val="auto"/>
                <w:kern w:val="0"/>
                <w:sz w:val="24"/>
                <w:lang w:bidi="ar"/>
              </w:rPr>
              <w:t>/</w:t>
            </w:r>
            <w:r>
              <w:rPr>
                <w:rFonts w:hint="eastAsia"/>
                <w:color w:val="auto"/>
                <w:kern w:val="0"/>
                <w:sz w:val="24"/>
                <w:lang w:bidi="ar"/>
              </w:rPr>
              <w:t>年</w:t>
            </w:r>
            <w:r>
              <w:rPr>
                <w:rFonts w:hint="eastAsia" w:ascii="宋体" w:hAnsi="宋体" w:cs="宋体"/>
                <w:color w:val="auto"/>
                <w:kern w:val="0"/>
                <w:sz w:val="24"/>
                <w:lang w:bidi="ar"/>
              </w:rPr>
              <w:t>。</w:t>
            </w:r>
          </w:p>
          <w:p w14:paraId="6585140A">
            <w:pPr>
              <w:widowControl/>
              <w:spacing w:line="360" w:lineRule="auto"/>
              <w:jc w:val="left"/>
              <w:rPr>
                <w:color w:val="auto"/>
              </w:rPr>
            </w:pPr>
            <w:r>
              <w:rPr>
                <w:rFonts w:hint="eastAsia" w:ascii="宋体" w:hAnsi="宋体" w:cs="宋体"/>
                <w:color w:val="auto"/>
                <w:kern w:val="0"/>
                <w:sz w:val="24"/>
                <w:lang w:bidi="ar"/>
              </w:rPr>
              <w:t>本项目对焦粉、</w:t>
            </w:r>
            <w:r>
              <w:rPr>
                <w:rFonts w:hint="eastAsia" w:ascii="宋体" w:hAnsi="宋体" w:cs="宋体"/>
                <w:color w:val="auto"/>
                <w:kern w:val="0"/>
                <w:sz w:val="24"/>
                <w:lang w:val="en-US" w:eastAsia="zh-CN" w:bidi="ar"/>
              </w:rPr>
              <w:t>除尘灰</w:t>
            </w:r>
            <w:r>
              <w:rPr>
                <w:rFonts w:hint="eastAsia" w:ascii="宋体" w:hAnsi="宋体" w:cs="宋体"/>
                <w:color w:val="auto"/>
                <w:kern w:val="0"/>
                <w:sz w:val="24"/>
                <w:lang w:bidi="ar"/>
              </w:rPr>
              <w:t>进行高附加值利用，既符合国家节能减碳的政策导向，又能够满足下游行业对高品质原料的需求，具有重大的市场潜力和良好的发展前景。</w:t>
            </w:r>
          </w:p>
          <w:p w14:paraId="0405F1E4">
            <w:pPr>
              <w:widowControl/>
              <w:spacing w:line="360" w:lineRule="auto"/>
              <w:ind w:firstLine="480" w:firstLineChars="200"/>
              <w:jc w:val="left"/>
              <w:rPr>
                <w:color w:val="auto"/>
                <w:sz w:val="24"/>
              </w:rPr>
            </w:pPr>
            <w:r>
              <w:rPr>
                <w:color w:val="auto"/>
                <w:sz w:val="24"/>
              </w:rPr>
              <w:t>根据《中华人民共和国环境影响评价法》、《建设项目环境保护管理条例》</w:t>
            </w:r>
          </w:p>
          <w:p w14:paraId="6E663E51">
            <w:pPr>
              <w:widowControl/>
              <w:spacing w:line="360" w:lineRule="auto"/>
              <w:jc w:val="left"/>
              <w:rPr>
                <w:color w:val="auto"/>
                <w:sz w:val="24"/>
              </w:rPr>
            </w:pPr>
            <w:r>
              <w:rPr>
                <w:color w:val="auto"/>
                <w:sz w:val="24"/>
              </w:rPr>
              <w:t>等法律、法规的规定及要求，本项目的建设应开展环境影响评价工作。本项目所用原料（焦粉和含碳粉末（即除尘灰））均为一般工业固体废物，根据《建设项目环境影响评价分类管理名录（2021年版）》（生态环境部令 第16号），本项目属于“四十七、生态保护和环境治理业-103 一般工业固体废物（含污水处理污泥）、建筑施工废弃物处置及综合利用-其他”，需编制环境影响报告报表。受</w:t>
            </w:r>
            <w:r>
              <w:rPr>
                <w:rFonts w:hint="eastAsia"/>
                <w:color w:val="auto"/>
                <w:sz w:val="24"/>
              </w:rPr>
              <w:t>鄂托克旗新航焦化有限公司</w:t>
            </w:r>
            <w:r>
              <w:rPr>
                <w:color w:val="auto"/>
                <w:sz w:val="24"/>
              </w:rPr>
              <w:t>委托，我司承担了该项目的环境影响评价工作。接受委托后，我司立即组织技术人员对项目厂址进行现场踏勘</w:t>
            </w:r>
            <w:r>
              <w:rPr>
                <w:rFonts w:hint="eastAsia"/>
                <w:color w:val="auto"/>
                <w:sz w:val="24"/>
              </w:rPr>
              <w:t>，</w:t>
            </w:r>
            <w:r>
              <w:rPr>
                <w:color w:val="auto"/>
                <w:sz w:val="24"/>
              </w:rPr>
              <w:t>详细了解了工程建设内容和生产工艺，收集了区域自然环境资料，在此基础上编制完成了《</w:t>
            </w:r>
            <w:r>
              <w:rPr>
                <w:rFonts w:hint="eastAsia"/>
                <w:color w:val="auto"/>
                <w:sz w:val="24"/>
              </w:rPr>
              <w:t>鄂托克旗新航焦化有限公司45万吨/年含碳固废综合利用项目环境影响评价报告表</w:t>
            </w:r>
            <w:r>
              <w:rPr>
                <w:color w:val="auto"/>
                <w:sz w:val="24"/>
              </w:rPr>
              <w:t>》。</w:t>
            </w:r>
          </w:p>
          <w:p w14:paraId="0722D527">
            <w:pPr>
              <w:widowControl/>
              <w:spacing w:line="360" w:lineRule="auto"/>
              <w:ind w:firstLine="482" w:firstLineChars="200"/>
              <w:jc w:val="left"/>
              <w:rPr>
                <w:b/>
                <w:bCs/>
                <w:color w:val="auto"/>
                <w:sz w:val="24"/>
              </w:rPr>
            </w:pPr>
            <w:r>
              <w:rPr>
                <w:rFonts w:hint="eastAsia"/>
                <w:b/>
                <w:bCs/>
                <w:color w:val="auto"/>
                <w:sz w:val="24"/>
              </w:rPr>
              <w:t>二、建设内容</w:t>
            </w:r>
          </w:p>
          <w:p w14:paraId="568F93BB">
            <w:pPr>
              <w:widowControl/>
              <w:spacing w:line="360" w:lineRule="auto"/>
              <w:ind w:firstLine="480" w:firstLineChars="200"/>
              <w:jc w:val="left"/>
              <w:rPr>
                <w:color w:val="auto"/>
                <w:sz w:val="24"/>
              </w:rPr>
            </w:pPr>
            <w:r>
              <w:rPr>
                <w:rFonts w:hint="eastAsia"/>
                <w:color w:val="auto"/>
                <w:sz w:val="24"/>
              </w:rPr>
              <w:t>（1）</w:t>
            </w:r>
            <w:r>
              <w:rPr>
                <w:color w:val="auto"/>
                <w:sz w:val="24"/>
              </w:rPr>
              <w:t>项目名称：</w:t>
            </w:r>
            <w:r>
              <w:rPr>
                <w:rFonts w:hint="eastAsia"/>
                <w:color w:val="auto"/>
                <w:sz w:val="24"/>
              </w:rPr>
              <w:t>鄂托克旗新航焦化有限公司45万吨/年含碳固废综合利用项目</w:t>
            </w:r>
            <w:r>
              <w:rPr>
                <w:color w:val="auto"/>
                <w:sz w:val="24"/>
              </w:rPr>
              <w:t>；</w:t>
            </w:r>
          </w:p>
          <w:p w14:paraId="43A11363">
            <w:pPr>
              <w:widowControl/>
              <w:spacing w:line="360" w:lineRule="auto"/>
              <w:ind w:firstLine="480" w:firstLineChars="200"/>
              <w:jc w:val="left"/>
              <w:rPr>
                <w:color w:val="auto"/>
                <w:sz w:val="24"/>
              </w:rPr>
            </w:pPr>
            <w:r>
              <w:rPr>
                <w:rFonts w:hint="eastAsia"/>
                <w:color w:val="auto"/>
                <w:sz w:val="24"/>
              </w:rPr>
              <w:t>（2）</w:t>
            </w:r>
            <w:r>
              <w:rPr>
                <w:color w:val="auto"/>
                <w:sz w:val="24"/>
              </w:rPr>
              <w:t>建设性质：</w:t>
            </w:r>
            <w:r>
              <w:rPr>
                <w:rFonts w:hint="eastAsia"/>
                <w:color w:val="auto"/>
                <w:sz w:val="24"/>
                <w:lang w:val="en-US" w:eastAsia="zh-CN"/>
              </w:rPr>
              <w:t>扩建</w:t>
            </w:r>
            <w:r>
              <w:rPr>
                <w:color w:val="auto"/>
                <w:sz w:val="24"/>
              </w:rPr>
              <w:t>；</w:t>
            </w:r>
          </w:p>
          <w:p w14:paraId="4B6983EB">
            <w:pPr>
              <w:widowControl/>
              <w:spacing w:line="360" w:lineRule="auto"/>
              <w:ind w:firstLine="480" w:firstLineChars="200"/>
              <w:jc w:val="left"/>
              <w:rPr>
                <w:color w:val="auto"/>
                <w:sz w:val="24"/>
              </w:rPr>
            </w:pPr>
            <w:r>
              <w:rPr>
                <w:rFonts w:hint="eastAsia"/>
                <w:color w:val="auto"/>
                <w:sz w:val="24"/>
              </w:rPr>
              <w:t>（3）</w:t>
            </w:r>
            <w:r>
              <w:rPr>
                <w:color w:val="auto"/>
                <w:sz w:val="24"/>
              </w:rPr>
              <w:t>建设单位：</w:t>
            </w:r>
            <w:r>
              <w:rPr>
                <w:rFonts w:hint="eastAsia"/>
                <w:color w:val="auto"/>
                <w:sz w:val="24"/>
              </w:rPr>
              <w:t>鄂托克旗新航焦化有限公司</w:t>
            </w:r>
            <w:r>
              <w:rPr>
                <w:color w:val="auto"/>
                <w:sz w:val="24"/>
              </w:rPr>
              <w:t>；</w:t>
            </w:r>
          </w:p>
          <w:p w14:paraId="004363A3">
            <w:pPr>
              <w:widowControl/>
              <w:spacing w:line="360" w:lineRule="auto"/>
              <w:ind w:firstLine="480" w:firstLineChars="200"/>
              <w:jc w:val="left"/>
              <w:rPr>
                <w:color w:val="auto"/>
                <w:sz w:val="24"/>
              </w:rPr>
            </w:pPr>
            <w:r>
              <w:rPr>
                <w:rFonts w:hint="eastAsia"/>
                <w:color w:val="auto"/>
                <w:sz w:val="24"/>
              </w:rPr>
              <w:t>（4）</w:t>
            </w:r>
            <w:r>
              <w:rPr>
                <w:color w:val="auto"/>
                <w:sz w:val="24"/>
              </w:rPr>
              <w:t>项目投资：总投资</w:t>
            </w:r>
            <w:r>
              <w:rPr>
                <w:rFonts w:hint="eastAsia"/>
                <w:color w:val="auto"/>
                <w:sz w:val="24"/>
              </w:rPr>
              <w:t>28500</w:t>
            </w:r>
            <w:r>
              <w:rPr>
                <w:color w:val="auto"/>
                <w:sz w:val="24"/>
              </w:rPr>
              <w:t>万元，</w:t>
            </w:r>
            <w:r>
              <w:rPr>
                <w:rFonts w:hint="eastAsia"/>
                <w:color w:val="auto"/>
                <w:kern w:val="0"/>
                <w:sz w:val="24"/>
                <w:lang w:bidi="ar"/>
              </w:rPr>
              <w:t>环保投资约270万元，占总投资的0.95%</w:t>
            </w:r>
            <w:r>
              <w:rPr>
                <w:color w:val="auto"/>
                <w:sz w:val="24"/>
              </w:rPr>
              <w:t>。</w:t>
            </w:r>
          </w:p>
          <w:p w14:paraId="3C38629C">
            <w:pPr>
              <w:widowControl/>
              <w:spacing w:line="360" w:lineRule="auto"/>
              <w:ind w:firstLine="480" w:firstLineChars="200"/>
              <w:jc w:val="left"/>
              <w:rPr>
                <w:color w:val="auto"/>
                <w:sz w:val="24"/>
              </w:rPr>
            </w:pPr>
            <w:r>
              <w:rPr>
                <w:rFonts w:hint="eastAsia"/>
                <w:color w:val="auto"/>
                <w:sz w:val="24"/>
              </w:rPr>
              <w:t>（5）</w:t>
            </w:r>
            <w:r>
              <w:rPr>
                <w:color w:val="auto"/>
                <w:sz w:val="24"/>
              </w:rPr>
              <w:t>建设地点：</w:t>
            </w:r>
            <w:r>
              <w:rPr>
                <w:rFonts w:hint="eastAsia"/>
                <w:color w:val="auto"/>
                <w:sz w:val="24"/>
              </w:rPr>
              <w:t>本项目建设于内蒙古鄂尔多斯市鄂托克经济开发区棋东项目区；东侧为鄂托克旗新航焦化有限公司职工生活区，南侧为内蒙古天宝炭素有限公司，西侧为空地，北侧为鄂托克旗新航焦化有限公司焦化厂区，</w:t>
            </w:r>
            <w:bookmarkStart w:id="6" w:name="_Hlk109116738"/>
            <w:r>
              <w:rPr>
                <w:color w:val="auto"/>
                <w:sz w:val="24"/>
              </w:rPr>
              <w:t>中心点坐标</w:t>
            </w:r>
            <w:r>
              <w:rPr>
                <w:rFonts w:hint="eastAsia"/>
                <w:color w:val="auto"/>
                <w:sz w:val="24"/>
              </w:rPr>
              <w:t>E:107</w:t>
            </w:r>
            <w:r>
              <w:rPr>
                <w:color w:val="auto"/>
                <w:sz w:val="24"/>
              </w:rPr>
              <w:t>°</w:t>
            </w:r>
            <w:r>
              <w:rPr>
                <w:rFonts w:hint="eastAsia"/>
                <w:color w:val="auto"/>
                <w:sz w:val="24"/>
              </w:rPr>
              <w:t>7</w:t>
            </w:r>
            <w:r>
              <w:rPr>
                <w:color w:val="auto"/>
                <w:sz w:val="24"/>
              </w:rPr>
              <w:t>′</w:t>
            </w:r>
            <w:r>
              <w:rPr>
                <w:rFonts w:hint="eastAsia"/>
                <w:color w:val="auto"/>
                <w:sz w:val="24"/>
              </w:rPr>
              <w:t>33.818</w:t>
            </w:r>
            <w:r>
              <w:rPr>
                <w:color w:val="auto"/>
                <w:sz w:val="24"/>
              </w:rPr>
              <w:t>″</w:t>
            </w:r>
            <w:r>
              <w:rPr>
                <w:rFonts w:hint="eastAsia"/>
                <w:color w:val="auto"/>
                <w:sz w:val="24"/>
              </w:rPr>
              <w:t>；</w:t>
            </w:r>
            <w:r>
              <w:rPr>
                <w:color w:val="auto"/>
                <w:sz w:val="24"/>
              </w:rPr>
              <w:t>N</w:t>
            </w:r>
            <w:r>
              <w:rPr>
                <w:rFonts w:hint="eastAsia"/>
                <w:color w:val="auto"/>
                <w:sz w:val="24"/>
              </w:rPr>
              <w:t>39</w:t>
            </w:r>
            <w:r>
              <w:rPr>
                <w:color w:val="auto"/>
                <w:sz w:val="24"/>
              </w:rPr>
              <w:t>°</w:t>
            </w:r>
            <w:r>
              <w:rPr>
                <w:rFonts w:hint="eastAsia"/>
                <w:color w:val="auto"/>
                <w:sz w:val="24"/>
              </w:rPr>
              <w:t>27</w:t>
            </w:r>
            <w:r>
              <w:rPr>
                <w:color w:val="auto"/>
                <w:sz w:val="24"/>
              </w:rPr>
              <w:t>′</w:t>
            </w:r>
            <w:r>
              <w:rPr>
                <w:rFonts w:hint="eastAsia"/>
                <w:color w:val="auto"/>
                <w:sz w:val="24"/>
              </w:rPr>
              <w:t>43.868</w:t>
            </w:r>
            <w:r>
              <w:rPr>
                <w:color w:val="auto"/>
                <w:sz w:val="24"/>
              </w:rPr>
              <w:t>″。项目厂界外周边500米范围内无</w:t>
            </w:r>
            <w:r>
              <w:rPr>
                <w:rFonts w:hint="eastAsia"/>
                <w:color w:val="auto"/>
                <w:sz w:val="24"/>
              </w:rPr>
              <w:t>牧民等</w:t>
            </w:r>
            <w:r>
              <w:rPr>
                <w:color w:val="auto"/>
                <w:sz w:val="24"/>
              </w:rPr>
              <w:t>环境敏感目标</w:t>
            </w:r>
            <w:bookmarkEnd w:id="6"/>
            <w:r>
              <w:rPr>
                <w:rFonts w:hint="eastAsia"/>
                <w:color w:val="auto"/>
                <w:sz w:val="24"/>
              </w:rPr>
              <w:t>。</w:t>
            </w:r>
            <w:r>
              <w:rPr>
                <w:color w:val="auto"/>
                <w:sz w:val="24"/>
              </w:rPr>
              <w:t>项目地理位置见附图1</w:t>
            </w:r>
            <w:r>
              <w:rPr>
                <w:rFonts w:hint="eastAsia"/>
                <w:color w:val="auto"/>
                <w:sz w:val="24"/>
              </w:rPr>
              <w:t>，</w:t>
            </w:r>
            <w:r>
              <w:rPr>
                <w:color w:val="auto"/>
                <w:sz w:val="24"/>
              </w:rPr>
              <w:t>项目</w:t>
            </w:r>
            <w:r>
              <w:rPr>
                <w:rFonts w:hint="eastAsia"/>
                <w:color w:val="auto"/>
                <w:sz w:val="24"/>
              </w:rPr>
              <w:t>四邻关系图见附图5。</w:t>
            </w:r>
          </w:p>
          <w:p w14:paraId="694E899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kern w:val="0"/>
                <w:sz w:val="24"/>
                <w:highlight w:val="yellow"/>
                <w:lang w:val="en-US" w:eastAsia="zh-CN" w:bidi="ar"/>
              </w:rPr>
            </w:pPr>
            <w:r>
              <w:rPr>
                <w:rFonts w:hint="eastAsia"/>
                <w:color w:val="auto"/>
                <w:sz w:val="24"/>
                <w:lang w:eastAsia="zh-CN"/>
              </w:rPr>
              <w:t>（</w:t>
            </w:r>
            <w:r>
              <w:rPr>
                <w:rFonts w:hint="eastAsia"/>
                <w:color w:val="auto"/>
                <w:sz w:val="24"/>
                <w:lang w:val="en-US" w:eastAsia="zh-CN"/>
              </w:rPr>
              <w:t>6</w:t>
            </w:r>
            <w:r>
              <w:rPr>
                <w:rFonts w:hint="eastAsia"/>
                <w:color w:val="auto"/>
                <w:sz w:val="24"/>
                <w:lang w:eastAsia="zh-CN"/>
              </w:rPr>
              <w:t>）</w:t>
            </w:r>
            <w:r>
              <w:rPr>
                <w:rFonts w:hint="eastAsia"/>
                <w:color w:val="auto"/>
                <w:sz w:val="24"/>
              </w:rPr>
              <w:t>建设规模及内容</w:t>
            </w:r>
            <w:r>
              <w:rPr>
                <w:color w:val="auto"/>
                <w:sz w:val="24"/>
              </w:rPr>
              <w:t>：</w:t>
            </w:r>
            <w:r>
              <w:rPr>
                <w:rFonts w:hint="eastAsia"/>
                <w:color w:val="auto"/>
                <w:sz w:val="24"/>
              </w:rPr>
              <w:t>项目占地75333m</w:t>
            </w:r>
            <w:r>
              <w:rPr>
                <w:rFonts w:hint="eastAsia"/>
                <w:color w:val="auto"/>
                <w:sz w:val="24"/>
                <w:vertAlign w:val="superscript"/>
              </w:rPr>
              <w:t>2</w:t>
            </w:r>
            <w:r>
              <w:rPr>
                <w:rFonts w:hint="eastAsia"/>
                <w:color w:val="auto"/>
                <w:sz w:val="24"/>
              </w:rPr>
              <w:t>。根据鄂托克旗新航焦化有限公司焦化厂</w:t>
            </w:r>
            <w:r>
              <w:rPr>
                <w:rFonts w:hint="eastAsia"/>
                <w:color w:val="auto"/>
                <w:sz w:val="24"/>
              </w:rPr>
              <w:t>产能情况，确定本项目规模为年生产45万吨型焦，配置3套新型型焦生产线</w:t>
            </w:r>
            <w:r>
              <w:rPr>
                <w:rFonts w:hint="eastAsia"/>
                <w:color w:val="auto"/>
                <w:sz w:val="24"/>
                <w:lang w:val="en-US" w:eastAsia="zh-CN"/>
              </w:rPr>
              <w:t>及</w:t>
            </w:r>
            <w:r>
              <w:rPr>
                <w:rFonts w:hint="eastAsia" w:ascii="宋体" w:hAnsi="宋体" w:cs="宋体"/>
                <w:color w:val="auto"/>
                <w:kern w:val="0"/>
                <w:sz w:val="24"/>
                <w:lang w:val="en-US" w:eastAsia="zh-CN" w:bidi="ar"/>
              </w:rPr>
              <w:t>型焦生产车间、成品仓库及型焦配电室、控制室、化验室等设施。</w:t>
            </w:r>
          </w:p>
          <w:p w14:paraId="7472559D">
            <w:pPr>
              <w:widowControl/>
              <w:numPr>
                <w:ilvl w:val="0"/>
                <w:numId w:val="0"/>
              </w:numPr>
              <w:spacing w:line="360" w:lineRule="auto"/>
              <w:ind w:firstLine="480" w:firstLineChars="200"/>
              <w:jc w:val="left"/>
              <w:rPr>
                <w:color w:val="auto"/>
                <w:sz w:val="24"/>
              </w:rPr>
            </w:pPr>
            <w:r>
              <w:rPr>
                <w:rFonts w:hint="eastAsia"/>
                <w:color w:val="auto"/>
                <w:sz w:val="24"/>
              </w:rPr>
              <w:t>具体建设内容详见下表：</w:t>
            </w:r>
          </w:p>
          <w:p w14:paraId="554D8CE2">
            <w:pPr>
              <w:autoSpaceDE w:val="0"/>
              <w:autoSpaceDN w:val="0"/>
              <w:adjustRightInd w:val="0"/>
              <w:snapToGrid w:val="0"/>
              <w:ind w:firstLine="2409" w:firstLineChars="1000"/>
              <w:jc w:val="left"/>
              <w:rPr>
                <w:rFonts w:hint="eastAsia"/>
                <w:b/>
                <w:bCs/>
                <w:color w:val="auto"/>
                <w:kern w:val="0"/>
                <w:sz w:val="24"/>
              </w:rPr>
            </w:pPr>
          </w:p>
          <w:p w14:paraId="03E4E5C8">
            <w:pPr>
              <w:autoSpaceDE w:val="0"/>
              <w:autoSpaceDN w:val="0"/>
              <w:adjustRightInd w:val="0"/>
              <w:snapToGrid w:val="0"/>
              <w:ind w:firstLine="2409" w:firstLineChars="1000"/>
              <w:jc w:val="left"/>
              <w:rPr>
                <w:rFonts w:hint="eastAsia"/>
                <w:b/>
                <w:bCs/>
                <w:color w:val="auto"/>
                <w:kern w:val="0"/>
                <w:sz w:val="24"/>
              </w:rPr>
            </w:pPr>
          </w:p>
          <w:p w14:paraId="1FF15302">
            <w:pPr>
              <w:autoSpaceDE w:val="0"/>
              <w:autoSpaceDN w:val="0"/>
              <w:adjustRightInd w:val="0"/>
              <w:snapToGrid w:val="0"/>
              <w:ind w:firstLine="2409" w:firstLineChars="1000"/>
              <w:jc w:val="left"/>
              <w:rPr>
                <w:b/>
                <w:bCs/>
                <w:color w:val="auto"/>
                <w:kern w:val="0"/>
                <w:sz w:val="24"/>
              </w:rPr>
            </w:pPr>
            <w:r>
              <w:rPr>
                <w:rFonts w:hint="eastAsia"/>
                <w:b/>
                <w:bCs/>
                <w:color w:val="auto"/>
                <w:kern w:val="0"/>
                <w:sz w:val="24"/>
              </w:rPr>
              <w:t>表2-1    项目组成一览表</w:t>
            </w:r>
          </w:p>
          <w:tbl>
            <w:tblPr>
              <w:tblStyle w:val="23"/>
              <w:tblW w:w="8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903"/>
              <w:gridCol w:w="661"/>
              <w:gridCol w:w="897"/>
              <w:gridCol w:w="4106"/>
              <w:gridCol w:w="7"/>
              <w:gridCol w:w="788"/>
              <w:gridCol w:w="7"/>
            </w:tblGrid>
            <w:tr w14:paraId="2BB6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55" w:hRule="atLeast"/>
              </w:trPr>
              <w:tc>
                <w:tcPr>
                  <w:tcW w:w="655" w:type="dxa"/>
                  <w:vAlign w:val="center"/>
                </w:tcPr>
                <w:p w14:paraId="54BC4C46">
                  <w:pPr>
                    <w:widowControl/>
                    <w:jc w:val="center"/>
                    <w:textAlignment w:val="center"/>
                    <w:rPr>
                      <w:color w:val="auto"/>
                      <w:kern w:val="0"/>
                      <w:szCs w:val="21"/>
                      <w:lang w:bidi="ar"/>
                    </w:rPr>
                  </w:pPr>
                  <w:r>
                    <w:rPr>
                      <w:rFonts w:hint="eastAsia"/>
                      <w:color w:val="auto"/>
                      <w:kern w:val="0"/>
                      <w:szCs w:val="21"/>
                      <w:lang w:bidi="ar"/>
                    </w:rPr>
                    <w:t>类别</w:t>
                  </w:r>
                </w:p>
              </w:tc>
              <w:tc>
                <w:tcPr>
                  <w:tcW w:w="903" w:type="dxa"/>
                  <w:vAlign w:val="center"/>
                </w:tcPr>
                <w:p w14:paraId="493002E6">
                  <w:pPr>
                    <w:widowControl/>
                    <w:jc w:val="center"/>
                    <w:textAlignment w:val="center"/>
                    <w:rPr>
                      <w:rFonts w:hint="eastAsia"/>
                      <w:color w:val="auto"/>
                      <w:kern w:val="0"/>
                      <w:szCs w:val="21"/>
                      <w:lang w:bidi="ar"/>
                    </w:rPr>
                  </w:pPr>
                  <w:r>
                    <w:rPr>
                      <w:rFonts w:hint="eastAsia"/>
                      <w:color w:val="auto"/>
                      <w:kern w:val="0"/>
                      <w:szCs w:val="21"/>
                      <w:lang w:bidi="ar"/>
                    </w:rPr>
                    <w:t>工程</w:t>
                  </w:r>
                </w:p>
                <w:p w14:paraId="4C2CF33F">
                  <w:pPr>
                    <w:widowControl/>
                    <w:jc w:val="center"/>
                    <w:textAlignment w:val="center"/>
                    <w:rPr>
                      <w:color w:val="auto"/>
                      <w:kern w:val="0"/>
                      <w:szCs w:val="21"/>
                      <w:lang w:bidi="ar"/>
                    </w:rPr>
                  </w:pPr>
                  <w:r>
                    <w:rPr>
                      <w:rFonts w:hint="eastAsia"/>
                      <w:color w:val="auto"/>
                      <w:kern w:val="0"/>
                      <w:szCs w:val="21"/>
                      <w:lang w:bidi="ar"/>
                    </w:rPr>
                    <w:t>名称</w:t>
                  </w:r>
                </w:p>
              </w:tc>
              <w:tc>
                <w:tcPr>
                  <w:tcW w:w="5664" w:type="dxa"/>
                  <w:gridSpan w:val="3"/>
                  <w:vAlign w:val="center"/>
                </w:tcPr>
                <w:p w14:paraId="59588713">
                  <w:pPr>
                    <w:widowControl/>
                    <w:jc w:val="center"/>
                    <w:textAlignment w:val="center"/>
                    <w:rPr>
                      <w:color w:val="auto"/>
                      <w:kern w:val="0"/>
                      <w:szCs w:val="21"/>
                      <w:lang w:bidi="ar"/>
                    </w:rPr>
                  </w:pPr>
                  <w:r>
                    <w:rPr>
                      <w:rFonts w:hint="eastAsia"/>
                      <w:color w:val="auto"/>
                      <w:kern w:val="0"/>
                      <w:szCs w:val="21"/>
                      <w:lang w:bidi="ar"/>
                    </w:rPr>
                    <w:t>建设内容</w:t>
                  </w:r>
                </w:p>
              </w:tc>
              <w:tc>
                <w:tcPr>
                  <w:tcW w:w="795" w:type="dxa"/>
                  <w:gridSpan w:val="2"/>
                  <w:vAlign w:val="center"/>
                </w:tcPr>
                <w:p w14:paraId="70D3336B">
                  <w:pPr>
                    <w:widowControl/>
                    <w:jc w:val="center"/>
                    <w:textAlignment w:val="center"/>
                    <w:rPr>
                      <w:color w:val="auto"/>
                      <w:kern w:val="0"/>
                      <w:szCs w:val="21"/>
                      <w:lang w:bidi="ar"/>
                    </w:rPr>
                  </w:pPr>
                  <w:r>
                    <w:rPr>
                      <w:rFonts w:hint="eastAsia"/>
                      <w:color w:val="auto"/>
                      <w:kern w:val="0"/>
                      <w:szCs w:val="21"/>
                      <w:lang w:bidi="ar"/>
                    </w:rPr>
                    <w:t>备注</w:t>
                  </w:r>
                </w:p>
              </w:tc>
            </w:tr>
            <w:tr w14:paraId="37DA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082" w:hRule="atLeast"/>
              </w:trPr>
              <w:tc>
                <w:tcPr>
                  <w:tcW w:w="655" w:type="dxa"/>
                  <w:shd w:val="clear" w:color="auto" w:fill="auto"/>
                  <w:vAlign w:val="center"/>
                </w:tcPr>
                <w:p w14:paraId="67D90945">
                  <w:pPr>
                    <w:widowControl/>
                    <w:jc w:val="center"/>
                    <w:textAlignment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bidi="ar"/>
                    </w:rPr>
                    <w:t>主体工程</w:t>
                  </w:r>
                </w:p>
              </w:tc>
              <w:tc>
                <w:tcPr>
                  <w:tcW w:w="903" w:type="dxa"/>
                  <w:shd w:val="clear" w:color="auto" w:fill="auto"/>
                  <w:vAlign w:val="center"/>
                </w:tcPr>
                <w:p w14:paraId="34EF6616">
                  <w:pPr>
                    <w:widowControl/>
                    <w:jc w:val="center"/>
                    <w:textAlignment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bidi="ar"/>
                    </w:rPr>
                    <w:t>型焦生产车间</w:t>
                  </w:r>
                </w:p>
              </w:tc>
              <w:tc>
                <w:tcPr>
                  <w:tcW w:w="5664" w:type="dxa"/>
                  <w:gridSpan w:val="3"/>
                  <w:shd w:val="clear" w:color="auto" w:fill="auto"/>
                  <w:vAlign w:val="center"/>
                </w:tcPr>
                <w:p w14:paraId="5D149FFF">
                  <w:pPr>
                    <w:widowControl/>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厂区西北侧建设一座占地</w:t>
                  </w:r>
                  <w:r>
                    <w:rPr>
                      <w:rFonts w:hint="eastAsia"/>
                      <w:color w:val="auto"/>
                      <w:spacing w:val="4"/>
                      <w:szCs w:val="21"/>
                    </w:rPr>
                    <w:t>5500m</w:t>
                  </w:r>
                  <w:r>
                    <w:rPr>
                      <w:rFonts w:hint="eastAsia"/>
                      <w:color w:val="auto"/>
                      <w:spacing w:val="4"/>
                      <w:szCs w:val="21"/>
                      <w:vertAlign w:val="superscript"/>
                    </w:rPr>
                    <w:t>2</w:t>
                  </w:r>
                  <w:r>
                    <w:rPr>
                      <w:rFonts w:hint="eastAsia"/>
                      <w:color w:val="auto"/>
                      <w:spacing w:val="4"/>
                      <w:szCs w:val="21"/>
                      <w:vertAlign w:val="baseline"/>
                      <w:lang w:eastAsia="zh-CN"/>
                    </w:rPr>
                    <w:t>，</w:t>
                  </w:r>
                  <w:r>
                    <w:rPr>
                      <w:rFonts w:hint="eastAsia"/>
                      <w:color w:val="auto"/>
                      <w:spacing w:val="4"/>
                      <w:szCs w:val="21"/>
                      <w:vertAlign w:val="baseline"/>
                      <w:lang w:val="en-US" w:eastAsia="zh-CN"/>
                    </w:rPr>
                    <w:t>高15m</w:t>
                  </w:r>
                  <w:r>
                    <w:rPr>
                      <w:rFonts w:hint="eastAsia"/>
                      <w:color w:val="auto"/>
                      <w:spacing w:val="4"/>
                      <w:szCs w:val="21"/>
                    </w:rPr>
                    <w:t>的</w:t>
                  </w:r>
                  <w:r>
                    <w:rPr>
                      <w:rFonts w:hint="eastAsia"/>
                      <w:color w:val="auto"/>
                      <w:kern w:val="0"/>
                      <w:szCs w:val="21"/>
                      <w:lang w:bidi="ar"/>
                    </w:rPr>
                    <w:t>型焦生产车间，配置</w:t>
                  </w:r>
                  <w:r>
                    <w:rPr>
                      <w:rFonts w:hint="eastAsia"/>
                      <w:color w:val="auto"/>
                      <w:spacing w:val="4"/>
                      <w:szCs w:val="21"/>
                    </w:rPr>
                    <w:t>3条生产线，用于生产型焦。</w:t>
                  </w:r>
                  <w:r>
                    <w:rPr>
                      <w:rStyle w:val="27"/>
                      <w:rFonts w:hint="eastAsia"/>
                      <w:color w:val="auto"/>
                      <w:kern w:val="0"/>
                      <w:szCs w:val="20"/>
                      <w:lang w:val="en-US" w:eastAsia="zh-CN"/>
                    </w:rPr>
                    <w:t>布设搅拌系统、压球系统、烘干系统、筛分系统。</w:t>
                  </w:r>
                </w:p>
              </w:tc>
              <w:tc>
                <w:tcPr>
                  <w:tcW w:w="795" w:type="dxa"/>
                  <w:gridSpan w:val="2"/>
                  <w:shd w:val="clear" w:color="auto" w:fill="auto"/>
                  <w:vAlign w:val="center"/>
                </w:tcPr>
                <w:p w14:paraId="1FC4BF51">
                  <w:pPr>
                    <w:widowControl/>
                    <w:jc w:val="center"/>
                    <w:textAlignment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bidi="ar"/>
                    </w:rPr>
                    <w:t>新建</w:t>
                  </w:r>
                </w:p>
              </w:tc>
            </w:tr>
            <w:tr w14:paraId="7313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90" w:hRule="atLeast"/>
              </w:trPr>
              <w:tc>
                <w:tcPr>
                  <w:tcW w:w="655" w:type="dxa"/>
                  <w:vMerge w:val="restart"/>
                  <w:vAlign w:val="center"/>
                </w:tcPr>
                <w:p w14:paraId="41A78DB5">
                  <w:pPr>
                    <w:widowControl/>
                    <w:jc w:val="center"/>
                    <w:textAlignment w:val="center"/>
                    <w:rPr>
                      <w:color w:val="auto"/>
                      <w:kern w:val="0"/>
                      <w:szCs w:val="21"/>
                      <w:lang w:bidi="ar"/>
                    </w:rPr>
                  </w:pPr>
                  <w:r>
                    <w:rPr>
                      <w:rFonts w:hint="eastAsia"/>
                      <w:color w:val="auto"/>
                      <w:kern w:val="0"/>
                      <w:szCs w:val="21"/>
                      <w:lang w:bidi="ar"/>
                    </w:rPr>
                    <w:t>储运工程</w:t>
                  </w:r>
                </w:p>
              </w:tc>
              <w:tc>
                <w:tcPr>
                  <w:tcW w:w="903" w:type="dxa"/>
                  <w:vAlign w:val="center"/>
                </w:tcPr>
                <w:p w14:paraId="030C3FB5">
                  <w:pPr>
                    <w:widowControl/>
                    <w:jc w:val="center"/>
                    <w:textAlignment w:val="center"/>
                    <w:rPr>
                      <w:color w:val="auto"/>
                      <w:spacing w:val="2"/>
                      <w:szCs w:val="21"/>
                    </w:rPr>
                  </w:pPr>
                  <w:r>
                    <w:rPr>
                      <w:rFonts w:hint="eastAsia"/>
                      <w:color w:val="auto"/>
                      <w:spacing w:val="2"/>
                      <w:szCs w:val="21"/>
                    </w:rPr>
                    <w:t>原料</w:t>
                  </w:r>
                </w:p>
                <w:p w14:paraId="1FA0C19A">
                  <w:pPr>
                    <w:widowControl/>
                    <w:jc w:val="center"/>
                    <w:textAlignment w:val="center"/>
                    <w:rPr>
                      <w:color w:val="auto"/>
                      <w:spacing w:val="2"/>
                      <w:szCs w:val="21"/>
                    </w:rPr>
                  </w:pPr>
                  <w:r>
                    <w:rPr>
                      <w:rFonts w:hint="eastAsia"/>
                      <w:color w:val="auto"/>
                      <w:spacing w:val="2"/>
                      <w:szCs w:val="21"/>
                    </w:rPr>
                    <w:t>仓库</w:t>
                  </w:r>
                </w:p>
              </w:tc>
              <w:tc>
                <w:tcPr>
                  <w:tcW w:w="5664" w:type="dxa"/>
                  <w:gridSpan w:val="3"/>
                  <w:vAlign w:val="center"/>
                </w:tcPr>
                <w:p w14:paraId="37359782">
                  <w:pPr>
                    <w:widowControl/>
                    <w:jc w:val="center"/>
                    <w:rPr>
                      <w:rFonts w:hint="eastAsia" w:eastAsia="宋体"/>
                      <w:color w:val="auto"/>
                      <w:spacing w:val="4"/>
                      <w:szCs w:val="21"/>
                      <w:lang w:val="en-US" w:eastAsia="zh-CN"/>
                    </w:rPr>
                  </w:pPr>
                  <w:r>
                    <w:rPr>
                      <w:rFonts w:hint="eastAsia"/>
                      <w:color w:val="auto"/>
                      <w:spacing w:val="4"/>
                      <w:szCs w:val="21"/>
                    </w:rPr>
                    <w:t>厂区南侧建设一座</w:t>
                  </w:r>
                  <w:r>
                    <w:rPr>
                      <w:rFonts w:hint="eastAsia"/>
                      <w:color w:val="auto"/>
                      <w:szCs w:val="21"/>
                    </w:rPr>
                    <w:t>占地</w:t>
                  </w:r>
                  <w:r>
                    <w:rPr>
                      <w:rFonts w:hint="eastAsia"/>
                      <w:color w:val="auto"/>
                      <w:spacing w:val="4"/>
                      <w:szCs w:val="21"/>
                    </w:rPr>
                    <w:t>8100</w:t>
                  </w:r>
                  <w:r>
                    <w:rPr>
                      <w:rFonts w:hint="eastAsia"/>
                      <w:color w:val="auto"/>
                      <w:spacing w:val="4"/>
                      <w:szCs w:val="21"/>
                      <w:vertAlign w:val="superscript"/>
                    </w:rPr>
                    <w:t>2</w:t>
                  </w:r>
                  <w:r>
                    <w:rPr>
                      <w:rFonts w:hint="eastAsia"/>
                      <w:color w:val="auto"/>
                      <w:spacing w:val="4"/>
                      <w:szCs w:val="21"/>
                      <w:vertAlign w:val="baseline"/>
                      <w:lang w:eastAsia="zh-CN"/>
                    </w:rPr>
                    <w:t>，</w:t>
                  </w:r>
                  <w:r>
                    <w:rPr>
                      <w:rFonts w:hint="eastAsia"/>
                      <w:color w:val="auto"/>
                      <w:spacing w:val="4"/>
                      <w:szCs w:val="21"/>
                      <w:vertAlign w:val="baseline"/>
                      <w:lang w:val="en-US" w:eastAsia="zh-CN"/>
                    </w:rPr>
                    <w:t>高15m</w:t>
                  </w:r>
                  <w:r>
                    <w:rPr>
                      <w:rFonts w:hint="eastAsia"/>
                      <w:color w:val="auto"/>
                      <w:spacing w:val="4"/>
                      <w:szCs w:val="21"/>
                    </w:rPr>
                    <w:t>的原料仓库</w:t>
                  </w:r>
                  <w:r>
                    <w:rPr>
                      <w:rFonts w:hint="eastAsia"/>
                      <w:color w:val="auto"/>
                      <w:spacing w:val="4"/>
                      <w:szCs w:val="21"/>
                      <w:lang w:eastAsia="zh-CN"/>
                    </w:rPr>
                    <w:t>。</w:t>
                  </w:r>
                  <w:r>
                    <w:rPr>
                      <w:rStyle w:val="27"/>
                      <w:rFonts w:hint="eastAsia"/>
                      <w:color w:val="auto"/>
                      <w:kern w:val="0"/>
                      <w:szCs w:val="20"/>
                    </w:rPr>
                    <w:t>可</w:t>
                  </w:r>
                  <w:r>
                    <w:rPr>
                      <w:rStyle w:val="27"/>
                      <w:rFonts w:hint="eastAsia"/>
                      <w:color w:val="auto"/>
                      <w:kern w:val="0"/>
                      <w:szCs w:val="20"/>
                      <w:lang w:val="en-US" w:eastAsia="zh-CN"/>
                    </w:rPr>
                    <w:t>同</w:t>
                  </w:r>
                  <w:r>
                    <w:rPr>
                      <w:rStyle w:val="27"/>
                      <w:rFonts w:hint="eastAsia"/>
                      <w:color w:val="auto"/>
                      <w:kern w:val="0"/>
                      <w:szCs w:val="20"/>
                    </w:rPr>
                    <w:t>储存焦粉</w:t>
                  </w:r>
                  <w:r>
                    <w:rPr>
                      <w:rStyle w:val="27"/>
                      <w:rFonts w:hint="eastAsia"/>
                      <w:color w:val="auto"/>
                      <w:kern w:val="0"/>
                      <w:szCs w:val="20"/>
                      <w:lang w:eastAsia="zh-CN"/>
                    </w:rPr>
                    <w:t>、</w:t>
                  </w:r>
                  <w:r>
                    <w:rPr>
                      <w:rStyle w:val="27"/>
                      <w:rFonts w:hint="eastAsia"/>
                      <w:color w:val="auto"/>
                      <w:kern w:val="0"/>
                      <w:szCs w:val="20"/>
                    </w:rPr>
                    <w:t>兰炭粉</w:t>
                  </w:r>
                  <w:r>
                    <w:rPr>
                      <w:rStyle w:val="27"/>
                      <w:rFonts w:hint="eastAsia"/>
                      <w:color w:val="auto"/>
                      <w:kern w:val="0"/>
                      <w:szCs w:val="20"/>
                      <w:lang w:eastAsia="zh-CN"/>
                    </w:rPr>
                    <w:t>，</w:t>
                  </w:r>
                  <w:r>
                    <w:rPr>
                      <w:rStyle w:val="27"/>
                      <w:rFonts w:hint="eastAsia"/>
                      <w:color w:val="auto"/>
                      <w:kern w:val="0"/>
                      <w:szCs w:val="20"/>
                      <w:lang w:val="en-US" w:eastAsia="zh-CN"/>
                    </w:rPr>
                    <w:t>可储存焦粉</w:t>
                  </w:r>
                  <w:r>
                    <w:rPr>
                      <w:rStyle w:val="27"/>
                      <w:rFonts w:hint="eastAsia"/>
                      <w:color w:val="auto"/>
                      <w:kern w:val="0"/>
                      <w:szCs w:val="20"/>
                    </w:rPr>
                    <w:t>12000吨，储存兰炭粉5000吨</w:t>
                  </w:r>
                  <w:r>
                    <w:rPr>
                      <w:rStyle w:val="27"/>
                      <w:rFonts w:hint="eastAsia"/>
                      <w:color w:val="auto"/>
                      <w:kern w:val="0"/>
                      <w:szCs w:val="20"/>
                      <w:lang w:eastAsia="zh-CN"/>
                    </w:rPr>
                    <w:t>。</w:t>
                  </w:r>
                </w:p>
              </w:tc>
              <w:tc>
                <w:tcPr>
                  <w:tcW w:w="795" w:type="dxa"/>
                  <w:gridSpan w:val="2"/>
                  <w:vAlign w:val="center"/>
                </w:tcPr>
                <w:p w14:paraId="6CA5713F">
                  <w:pPr>
                    <w:widowControl/>
                    <w:jc w:val="center"/>
                    <w:textAlignment w:val="center"/>
                    <w:rPr>
                      <w:color w:val="auto"/>
                      <w:kern w:val="0"/>
                      <w:szCs w:val="21"/>
                      <w:lang w:bidi="ar"/>
                    </w:rPr>
                  </w:pPr>
                  <w:r>
                    <w:rPr>
                      <w:rFonts w:hint="eastAsia"/>
                      <w:color w:val="auto"/>
                      <w:kern w:val="0"/>
                      <w:szCs w:val="21"/>
                      <w:lang w:bidi="ar"/>
                    </w:rPr>
                    <w:t>新建</w:t>
                  </w:r>
                </w:p>
              </w:tc>
            </w:tr>
            <w:tr w14:paraId="02F3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55" w:hRule="atLeast"/>
              </w:trPr>
              <w:tc>
                <w:tcPr>
                  <w:tcW w:w="655" w:type="dxa"/>
                  <w:vMerge w:val="continue"/>
                  <w:vAlign w:val="center"/>
                </w:tcPr>
                <w:p w14:paraId="4B06D5F4">
                  <w:pPr>
                    <w:widowControl/>
                    <w:jc w:val="center"/>
                    <w:textAlignment w:val="center"/>
                    <w:rPr>
                      <w:rFonts w:hint="eastAsia"/>
                      <w:color w:val="auto"/>
                      <w:kern w:val="0"/>
                      <w:szCs w:val="21"/>
                      <w:lang w:bidi="ar"/>
                    </w:rPr>
                  </w:pPr>
                </w:p>
              </w:tc>
              <w:tc>
                <w:tcPr>
                  <w:tcW w:w="903" w:type="dxa"/>
                  <w:shd w:val="clear" w:color="auto" w:fill="auto"/>
                  <w:vAlign w:val="center"/>
                </w:tcPr>
                <w:p w14:paraId="1BC37279">
                  <w:pPr>
                    <w:widowControl/>
                    <w:jc w:val="center"/>
                    <w:textAlignment w:val="center"/>
                    <w:rPr>
                      <w:rFonts w:hint="eastAsia"/>
                      <w:color w:val="auto"/>
                      <w:spacing w:val="2"/>
                      <w:szCs w:val="21"/>
                    </w:rPr>
                  </w:pPr>
                  <w:r>
                    <w:rPr>
                      <w:rFonts w:hint="eastAsia"/>
                      <w:color w:val="auto"/>
                      <w:spacing w:val="2"/>
                      <w:szCs w:val="21"/>
                    </w:rPr>
                    <w:t>成品</w:t>
                  </w:r>
                </w:p>
                <w:p w14:paraId="6EBE3307">
                  <w:pPr>
                    <w:widowControl/>
                    <w:jc w:val="center"/>
                    <w:textAlignment w:val="center"/>
                    <w:rPr>
                      <w:rFonts w:hint="eastAsia" w:ascii="Times New Roman" w:hAnsi="Times New Roman" w:eastAsia="宋体" w:cs="Times New Roman"/>
                      <w:color w:val="auto"/>
                      <w:spacing w:val="2"/>
                      <w:kern w:val="2"/>
                      <w:sz w:val="21"/>
                      <w:szCs w:val="21"/>
                      <w:lang w:val="en-US" w:eastAsia="zh-CN" w:bidi="ar-SA"/>
                    </w:rPr>
                  </w:pPr>
                  <w:r>
                    <w:rPr>
                      <w:rFonts w:hint="eastAsia"/>
                      <w:color w:val="auto"/>
                      <w:spacing w:val="2"/>
                      <w:szCs w:val="21"/>
                    </w:rPr>
                    <w:t>仓库</w:t>
                  </w:r>
                </w:p>
              </w:tc>
              <w:tc>
                <w:tcPr>
                  <w:tcW w:w="5664" w:type="dxa"/>
                  <w:gridSpan w:val="3"/>
                  <w:shd w:val="clear" w:color="auto" w:fill="auto"/>
                  <w:vAlign w:val="center"/>
                </w:tcPr>
                <w:p w14:paraId="621AB4A2">
                  <w:pPr>
                    <w:widowControl/>
                    <w:jc w:val="center"/>
                    <w:textAlignment w:val="center"/>
                    <w:rPr>
                      <w:rFonts w:hint="eastAsia" w:ascii="Times New Roman" w:hAnsi="Times New Roman" w:eastAsia="宋体" w:cs="Times New Roman"/>
                      <w:color w:val="auto"/>
                      <w:spacing w:val="4"/>
                      <w:kern w:val="2"/>
                      <w:sz w:val="21"/>
                      <w:szCs w:val="21"/>
                      <w:lang w:val="en-US" w:eastAsia="zh-CN" w:bidi="ar-SA"/>
                    </w:rPr>
                  </w:pPr>
                  <w:r>
                    <w:rPr>
                      <w:rFonts w:hint="eastAsia"/>
                      <w:color w:val="auto"/>
                      <w:spacing w:val="4"/>
                      <w:szCs w:val="21"/>
                    </w:rPr>
                    <w:t>厂区东北侧建设一座</w:t>
                  </w:r>
                  <w:r>
                    <w:rPr>
                      <w:rFonts w:hint="eastAsia"/>
                      <w:color w:val="auto"/>
                      <w:szCs w:val="21"/>
                    </w:rPr>
                    <w:t>占地</w:t>
                  </w:r>
                  <w:r>
                    <w:rPr>
                      <w:rFonts w:hint="eastAsia"/>
                      <w:color w:val="auto"/>
                      <w:spacing w:val="4"/>
                      <w:szCs w:val="21"/>
                    </w:rPr>
                    <w:t>6500m</w:t>
                  </w:r>
                  <w:r>
                    <w:rPr>
                      <w:rFonts w:hint="eastAsia"/>
                      <w:color w:val="auto"/>
                      <w:spacing w:val="4"/>
                      <w:szCs w:val="21"/>
                      <w:vertAlign w:val="superscript"/>
                    </w:rPr>
                    <w:t>2</w:t>
                  </w:r>
                  <w:r>
                    <w:rPr>
                      <w:rFonts w:hint="eastAsia"/>
                      <w:color w:val="auto"/>
                      <w:spacing w:val="4"/>
                      <w:szCs w:val="21"/>
                      <w:vertAlign w:val="baseline"/>
                      <w:lang w:eastAsia="zh-CN"/>
                    </w:rPr>
                    <w:t>，</w:t>
                  </w:r>
                  <w:r>
                    <w:rPr>
                      <w:rFonts w:hint="eastAsia"/>
                      <w:color w:val="auto"/>
                      <w:spacing w:val="4"/>
                      <w:szCs w:val="21"/>
                      <w:vertAlign w:val="baseline"/>
                      <w:lang w:val="en-US" w:eastAsia="zh-CN"/>
                    </w:rPr>
                    <w:t>高15m</w:t>
                  </w:r>
                  <w:r>
                    <w:rPr>
                      <w:rFonts w:hint="eastAsia"/>
                      <w:color w:val="auto"/>
                      <w:spacing w:val="4"/>
                      <w:szCs w:val="21"/>
                    </w:rPr>
                    <w:t>的型焦成品仓库，用于型焦成品储存。</w:t>
                  </w:r>
                </w:p>
              </w:tc>
              <w:tc>
                <w:tcPr>
                  <w:tcW w:w="795" w:type="dxa"/>
                  <w:gridSpan w:val="2"/>
                  <w:shd w:val="clear" w:color="auto" w:fill="auto"/>
                  <w:vAlign w:val="center"/>
                </w:tcPr>
                <w:p w14:paraId="60481E8F">
                  <w:pPr>
                    <w:widowControl/>
                    <w:jc w:val="center"/>
                    <w:textAlignment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bidi="ar"/>
                    </w:rPr>
                    <w:t>新建</w:t>
                  </w:r>
                </w:p>
              </w:tc>
            </w:tr>
            <w:tr w14:paraId="46DA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55" w:hRule="atLeast"/>
              </w:trPr>
              <w:tc>
                <w:tcPr>
                  <w:tcW w:w="655" w:type="dxa"/>
                  <w:vMerge w:val="continue"/>
                  <w:vAlign w:val="center"/>
                </w:tcPr>
                <w:p w14:paraId="1866D9DB">
                  <w:pPr>
                    <w:widowControl/>
                    <w:jc w:val="center"/>
                    <w:textAlignment w:val="center"/>
                    <w:rPr>
                      <w:rFonts w:hint="eastAsia"/>
                      <w:color w:val="auto"/>
                      <w:kern w:val="0"/>
                      <w:szCs w:val="21"/>
                      <w:lang w:bidi="ar"/>
                    </w:rPr>
                  </w:pPr>
                </w:p>
              </w:tc>
              <w:tc>
                <w:tcPr>
                  <w:tcW w:w="903" w:type="dxa"/>
                  <w:shd w:val="clear" w:color="auto" w:fill="auto"/>
                  <w:vAlign w:val="center"/>
                </w:tcPr>
                <w:p w14:paraId="1930A647">
                  <w:pPr>
                    <w:widowControl/>
                    <w:jc w:val="center"/>
                    <w:textAlignment w:val="center"/>
                    <w:rPr>
                      <w:rStyle w:val="27"/>
                      <w:rFonts w:hint="eastAsia"/>
                      <w:color w:val="auto"/>
                      <w:kern w:val="0"/>
                      <w:szCs w:val="20"/>
                      <w:lang w:val="en-US" w:eastAsia="zh-CN"/>
                    </w:rPr>
                  </w:pPr>
                  <w:r>
                    <w:rPr>
                      <w:rStyle w:val="27"/>
                      <w:rFonts w:hint="eastAsia"/>
                      <w:color w:val="auto"/>
                      <w:kern w:val="0"/>
                      <w:szCs w:val="20"/>
                      <w:lang w:val="en-US" w:eastAsia="zh-CN"/>
                    </w:rPr>
                    <w:t>储存</w:t>
                  </w:r>
                </w:p>
                <w:p w14:paraId="20285E31">
                  <w:pPr>
                    <w:widowControl/>
                    <w:jc w:val="center"/>
                    <w:textAlignment w:val="center"/>
                    <w:rPr>
                      <w:rFonts w:hint="eastAsia" w:eastAsia="宋体"/>
                      <w:color w:val="auto"/>
                      <w:spacing w:val="2"/>
                      <w:szCs w:val="21"/>
                      <w:lang w:val="en-US" w:eastAsia="zh-CN"/>
                    </w:rPr>
                  </w:pPr>
                  <w:r>
                    <w:rPr>
                      <w:rStyle w:val="27"/>
                      <w:rFonts w:hint="eastAsia"/>
                      <w:color w:val="auto"/>
                      <w:kern w:val="0"/>
                      <w:szCs w:val="20"/>
                      <w:lang w:val="en-US" w:eastAsia="zh-CN"/>
                    </w:rPr>
                    <w:t>钢仓</w:t>
                  </w:r>
                </w:p>
              </w:tc>
              <w:tc>
                <w:tcPr>
                  <w:tcW w:w="5664" w:type="dxa"/>
                  <w:gridSpan w:val="3"/>
                  <w:shd w:val="clear" w:color="auto" w:fill="auto"/>
                  <w:vAlign w:val="center"/>
                </w:tcPr>
                <w:p w14:paraId="24C17B17">
                  <w:pPr>
                    <w:widowControl/>
                    <w:jc w:val="center"/>
                    <w:textAlignment w:val="center"/>
                    <w:rPr>
                      <w:rFonts w:hint="default"/>
                      <w:color w:val="auto"/>
                      <w:spacing w:val="4"/>
                      <w:szCs w:val="21"/>
                      <w:lang w:val="en-US"/>
                    </w:rPr>
                  </w:pPr>
                  <w:r>
                    <w:rPr>
                      <w:rStyle w:val="27"/>
                      <w:rFonts w:hint="eastAsia"/>
                      <w:color w:val="auto"/>
                      <w:kern w:val="0"/>
                      <w:szCs w:val="20"/>
                      <w:lang w:val="en-US" w:eastAsia="zh-CN"/>
                    </w:rPr>
                    <w:t>设置3座除尘灰储存钢仓和粘结剂储存钢仓，钢仓为85吨，高15m。</w:t>
                  </w:r>
                </w:p>
              </w:tc>
              <w:tc>
                <w:tcPr>
                  <w:tcW w:w="795" w:type="dxa"/>
                  <w:gridSpan w:val="2"/>
                  <w:shd w:val="clear" w:color="auto" w:fill="auto"/>
                  <w:vAlign w:val="center"/>
                </w:tcPr>
                <w:p w14:paraId="3C2F3FE4">
                  <w:pPr>
                    <w:widowControl/>
                    <w:jc w:val="center"/>
                    <w:textAlignment w:val="center"/>
                    <w:rPr>
                      <w:rFonts w:hint="eastAsia" w:eastAsia="宋体"/>
                      <w:color w:val="auto"/>
                      <w:kern w:val="0"/>
                      <w:szCs w:val="21"/>
                      <w:lang w:val="en-US" w:eastAsia="zh-CN" w:bidi="ar"/>
                    </w:rPr>
                  </w:pPr>
                  <w:r>
                    <w:rPr>
                      <w:rFonts w:hint="eastAsia"/>
                      <w:color w:val="auto"/>
                      <w:kern w:val="0"/>
                      <w:szCs w:val="21"/>
                      <w:lang w:val="en-US" w:eastAsia="zh-CN" w:bidi="ar"/>
                    </w:rPr>
                    <w:t>新建</w:t>
                  </w:r>
                </w:p>
              </w:tc>
            </w:tr>
            <w:tr w14:paraId="2AED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88" w:hRule="atLeast"/>
              </w:trPr>
              <w:tc>
                <w:tcPr>
                  <w:tcW w:w="655" w:type="dxa"/>
                  <w:vMerge w:val="continue"/>
                  <w:vAlign w:val="center"/>
                </w:tcPr>
                <w:p w14:paraId="69B2B25A">
                  <w:pPr>
                    <w:widowControl/>
                    <w:jc w:val="center"/>
                    <w:textAlignment w:val="center"/>
                    <w:rPr>
                      <w:rFonts w:hint="eastAsia"/>
                      <w:color w:val="auto"/>
                      <w:kern w:val="0"/>
                      <w:szCs w:val="21"/>
                      <w:lang w:bidi="ar"/>
                    </w:rPr>
                  </w:pPr>
                </w:p>
              </w:tc>
              <w:tc>
                <w:tcPr>
                  <w:tcW w:w="903" w:type="dxa"/>
                  <w:shd w:val="clear" w:color="auto" w:fill="auto"/>
                  <w:vAlign w:val="center"/>
                </w:tcPr>
                <w:p w14:paraId="055DBB88">
                  <w:pPr>
                    <w:widowControl/>
                    <w:jc w:val="center"/>
                    <w:textAlignment w:val="center"/>
                    <w:rPr>
                      <w:rFonts w:hint="eastAsia" w:ascii="Times New Roman" w:hAnsi="Times New Roman" w:eastAsia="宋体" w:cs="Times New Roman"/>
                      <w:color w:val="auto"/>
                      <w:spacing w:val="2"/>
                      <w:kern w:val="2"/>
                      <w:sz w:val="21"/>
                      <w:szCs w:val="21"/>
                      <w:lang w:val="en-US" w:eastAsia="zh-CN" w:bidi="ar-SA"/>
                    </w:rPr>
                  </w:pPr>
                  <w:r>
                    <w:rPr>
                      <w:rFonts w:hint="eastAsia"/>
                      <w:color w:val="auto"/>
                      <w:spacing w:val="2"/>
                      <w:szCs w:val="21"/>
                    </w:rPr>
                    <w:t>道路</w:t>
                  </w:r>
                </w:p>
              </w:tc>
              <w:tc>
                <w:tcPr>
                  <w:tcW w:w="5664" w:type="dxa"/>
                  <w:gridSpan w:val="3"/>
                  <w:shd w:val="clear" w:color="auto" w:fill="auto"/>
                  <w:vAlign w:val="center"/>
                </w:tcPr>
                <w:p w14:paraId="0011DC1C">
                  <w:pPr>
                    <w:widowControl/>
                    <w:jc w:val="center"/>
                    <w:rPr>
                      <w:rFonts w:hint="eastAsia" w:ascii="Times New Roman" w:hAnsi="Times New Roman" w:eastAsia="宋体" w:cs="Times New Roman"/>
                      <w:color w:val="auto"/>
                      <w:spacing w:val="4"/>
                      <w:kern w:val="2"/>
                      <w:sz w:val="21"/>
                      <w:szCs w:val="21"/>
                      <w:lang w:val="en-US" w:eastAsia="zh-CN" w:bidi="ar-SA"/>
                    </w:rPr>
                  </w:pPr>
                  <w:r>
                    <w:rPr>
                      <w:rFonts w:hint="eastAsia"/>
                      <w:color w:val="auto"/>
                      <w:spacing w:val="4"/>
                      <w:szCs w:val="21"/>
                    </w:rPr>
                    <w:t>建设长1000m，宽9m的</w:t>
                  </w:r>
                  <w:r>
                    <w:rPr>
                      <w:color w:val="auto"/>
                      <w:szCs w:val="21"/>
                    </w:rPr>
                    <w:t>混凝土路面</w:t>
                  </w:r>
                  <w:r>
                    <w:rPr>
                      <w:rFonts w:hint="eastAsia"/>
                      <w:color w:val="auto"/>
                      <w:szCs w:val="21"/>
                    </w:rPr>
                    <w:t>用于厂区道路。</w:t>
                  </w:r>
                </w:p>
              </w:tc>
              <w:tc>
                <w:tcPr>
                  <w:tcW w:w="795" w:type="dxa"/>
                  <w:gridSpan w:val="2"/>
                  <w:shd w:val="clear" w:color="auto" w:fill="auto"/>
                  <w:vAlign w:val="center"/>
                </w:tcPr>
                <w:p w14:paraId="4A4B597F">
                  <w:pPr>
                    <w:widowControl/>
                    <w:jc w:val="center"/>
                    <w:textAlignment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bidi="ar"/>
                    </w:rPr>
                    <w:t>新建</w:t>
                  </w:r>
                </w:p>
              </w:tc>
            </w:tr>
            <w:tr w14:paraId="6527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55" w:hRule="atLeast"/>
              </w:trPr>
              <w:tc>
                <w:tcPr>
                  <w:tcW w:w="655" w:type="dxa"/>
                  <w:vMerge w:val="restart"/>
                  <w:vAlign w:val="center"/>
                </w:tcPr>
                <w:p w14:paraId="2529971C">
                  <w:pPr>
                    <w:widowControl/>
                    <w:jc w:val="center"/>
                    <w:textAlignment w:val="center"/>
                    <w:rPr>
                      <w:color w:val="auto"/>
                      <w:kern w:val="0"/>
                      <w:szCs w:val="21"/>
                      <w:lang w:bidi="ar"/>
                    </w:rPr>
                  </w:pPr>
                  <w:r>
                    <w:rPr>
                      <w:rFonts w:hint="eastAsia"/>
                      <w:color w:val="auto"/>
                      <w:kern w:val="0"/>
                      <w:szCs w:val="21"/>
                      <w:lang w:bidi="ar"/>
                    </w:rPr>
                    <w:t>辅助工程</w:t>
                  </w:r>
                </w:p>
              </w:tc>
              <w:tc>
                <w:tcPr>
                  <w:tcW w:w="903" w:type="dxa"/>
                  <w:vAlign w:val="center"/>
                </w:tcPr>
                <w:p w14:paraId="0A8F1D40">
                  <w:pPr>
                    <w:widowControl/>
                    <w:jc w:val="center"/>
                    <w:textAlignment w:val="center"/>
                    <w:rPr>
                      <w:rFonts w:hint="eastAsia"/>
                      <w:color w:val="auto"/>
                      <w:kern w:val="0"/>
                      <w:szCs w:val="21"/>
                      <w:lang w:val="en-US" w:eastAsia="zh-CN" w:bidi="ar"/>
                    </w:rPr>
                  </w:pPr>
                  <w:r>
                    <w:rPr>
                      <w:rFonts w:hint="eastAsia"/>
                      <w:color w:val="auto"/>
                      <w:kern w:val="0"/>
                      <w:szCs w:val="21"/>
                      <w:lang w:bidi="ar"/>
                    </w:rPr>
                    <w:t>办</w:t>
                  </w:r>
                  <w:r>
                    <w:rPr>
                      <w:rFonts w:hint="eastAsia"/>
                      <w:color w:val="auto"/>
                      <w:kern w:val="0"/>
                      <w:szCs w:val="21"/>
                      <w:lang w:val="en-US" w:eastAsia="zh-CN" w:bidi="ar"/>
                    </w:rPr>
                    <w:t>公</w:t>
                  </w:r>
                </w:p>
                <w:p w14:paraId="218CA8CD">
                  <w:pPr>
                    <w:widowControl/>
                    <w:jc w:val="center"/>
                    <w:textAlignment w:val="center"/>
                    <w:rPr>
                      <w:color w:val="auto"/>
                      <w:kern w:val="0"/>
                      <w:szCs w:val="21"/>
                      <w:lang w:bidi="ar"/>
                    </w:rPr>
                  </w:pPr>
                  <w:r>
                    <w:rPr>
                      <w:rFonts w:hint="eastAsia"/>
                      <w:color w:val="auto"/>
                      <w:kern w:val="0"/>
                      <w:szCs w:val="21"/>
                      <w:lang w:val="en-US" w:eastAsia="zh-CN" w:bidi="ar"/>
                    </w:rPr>
                    <w:t>生</w:t>
                  </w:r>
                  <w:r>
                    <w:rPr>
                      <w:rFonts w:hint="eastAsia"/>
                      <w:color w:val="auto"/>
                      <w:kern w:val="0"/>
                      <w:szCs w:val="21"/>
                      <w:lang w:bidi="ar"/>
                    </w:rPr>
                    <w:t>活</w:t>
                  </w:r>
                </w:p>
              </w:tc>
              <w:tc>
                <w:tcPr>
                  <w:tcW w:w="5664" w:type="dxa"/>
                  <w:gridSpan w:val="3"/>
                  <w:vAlign w:val="center"/>
                </w:tcPr>
                <w:p w14:paraId="30B5CF53">
                  <w:pPr>
                    <w:widowControl/>
                    <w:jc w:val="center"/>
                    <w:textAlignment w:val="center"/>
                    <w:rPr>
                      <w:color w:val="auto"/>
                      <w:kern w:val="0"/>
                      <w:szCs w:val="21"/>
                      <w:lang w:bidi="ar"/>
                    </w:rPr>
                  </w:pPr>
                  <w:r>
                    <w:rPr>
                      <w:rFonts w:hint="eastAsia"/>
                      <w:color w:val="auto"/>
                      <w:kern w:val="0"/>
                      <w:szCs w:val="21"/>
                      <w:lang w:bidi="ar"/>
                    </w:rPr>
                    <w:t>厂区内现有的办公生活设施可以满足本项目新增加人员办公生活，包含办公室、职工宿舍、食堂等。</w:t>
                  </w:r>
                </w:p>
              </w:tc>
              <w:tc>
                <w:tcPr>
                  <w:tcW w:w="795" w:type="dxa"/>
                  <w:gridSpan w:val="2"/>
                  <w:vAlign w:val="center"/>
                </w:tcPr>
                <w:p w14:paraId="087E3B0B">
                  <w:pPr>
                    <w:widowControl/>
                    <w:jc w:val="center"/>
                    <w:textAlignment w:val="center"/>
                    <w:rPr>
                      <w:color w:val="auto"/>
                      <w:kern w:val="0"/>
                      <w:szCs w:val="21"/>
                      <w:lang w:bidi="ar"/>
                    </w:rPr>
                  </w:pPr>
                  <w:r>
                    <w:rPr>
                      <w:rFonts w:hint="eastAsia"/>
                      <w:color w:val="auto"/>
                      <w:kern w:val="0"/>
                      <w:szCs w:val="21"/>
                      <w:lang w:bidi="ar"/>
                    </w:rPr>
                    <w:t>依托</w:t>
                  </w:r>
                </w:p>
              </w:tc>
            </w:tr>
            <w:tr w14:paraId="327A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15" w:hRule="atLeast"/>
              </w:trPr>
              <w:tc>
                <w:tcPr>
                  <w:tcW w:w="655" w:type="dxa"/>
                  <w:vMerge w:val="continue"/>
                  <w:vAlign w:val="center"/>
                </w:tcPr>
                <w:p w14:paraId="5A045680">
                  <w:pPr>
                    <w:widowControl/>
                    <w:jc w:val="center"/>
                    <w:textAlignment w:val="center"/>
                    <w:rPr>
                      <w:color w:val="auto"/>
                      <w:kern w:val="0"/>
                      <w:szCs w:val="21"/>
                      <w:lang w:bidi="ar"/>
                    </w:rPr>
                  </w:pPr>
                </w:p>
              </w:tc>
              <w:tc>
                <w:tcPr>
                  <w:tcW w:w="903" w:type="dxa"/>
                  <w:vAlign w:val="center"/>
                </w:tcPr>
                <w:p w14:paraId="48D53DE2">
                  <w:pPr>
                    <w:widowControl/>
                    <w:jc w:val="center"/>
                    <w:textAlignment w:val="center"/>
                    <w:rPr>
                      <w:color w:val="auto"/>
                      <w:kern w:val="0"/>
                      <w:szCs w:val="21"/>
                      <w:lang w:bidi="ar"/>
                    </w:rPr>
                  </w:pPr>
                  <w:r>
                    <w:rPr>
                      <w:rFonts w:hint="eastAsia"/>
                      <w:color w:val="auto"/>
                      <w:kern w:val="0"/>
                      <w:szCs w:val="21"/>
                      <w:lang w:bidi="ar"/>
                    </w:rPr>
                    <w:t>型焦变电所</w:t>
                  </w:r>
                </w:p>
              </w:tc>
              <w:tc>
                <w:tcPr>
                  <w:tcW w:w="5664" w:type="dxa"/>
                  <w:gridSpan w:val="3"/>
                  <w:vAlign w:val="center"/>
                </w:tcPr>
                <w:p w14:paraId="6FAA5F09">
                  <w:pPr>
                    <w:widowControl/>
                    <w:jc w:val="center"/>
                    <w:textAlignment w:val="center"/>
                    <w:rPr>
                      <w:rFonts w:hint="eastAsia" w:eastAsia="宋体"/>
                      <w:color w:val="auto"/>
                      <w:kern w:val="0"/>
                      <w:szCs w:val="21"/>
                      <w:lang w:eastAsia="zh-CN" w:bidi="ar"/>
                    </w:rPr>
                  </w:pPr>
                  <w:r>
                    <w:rPr>
                      <w:rFonts w:hint="eastAsia"/>
                      <w:color w:val="auto"/>
                      <w:kern w:val="0"/>
                      <w:szCs w:val="21"/>
                      <w:lang w:bidi="ar"/>
                    </w:rPr>
                    <w:t>厂区内西南侧建设</w:t>
                  </w:r>
                  <w:r>
                    <w:rPr>
                      <w:rFonts w:hint="eastAsia"/>
                      <w:color w:val="auto"/>
                      <w:kern w:val="0"/>
                      <w:szCs w:val="21"/>
                      <w:lang w:val="en-US" w:eastAsia="zh-CN" w:bidi="ar"/>
                    </w:rPr>
                    <w:t>10kV</w:t>
                  </w:r>
                  <w:r>
                    <w:rPr>
                      <w:rFonts w:hint="eastAsia"/>
                      <w:color w:val="auto"/>
                      <w:kern w:val="0"/>
                      <w:szCs w:val="21"/>
                      <w:lang w:bidi="ar"/>
                    </w:rPr>
                    <w:t>型焦变电所一座，用于厂区供电</w:t>
                  </w:r>
                  <w:r>
                    <w:rPr>
                      <w:rFonts w:hint="eastAsia"/>
                      <w:color w:val="auto"/>
                      <w:kern w:val="0"/>
                      <w:szCs w:val="21"/>
                      <w:lang w:eastAsia="zh-CN" w:bidi="ar"/>
                    </w:rPr>
                    <w:t>。</w:t>
                  </w:r>
                </w:p>
              </w:tc>
              <w:tc>
                <w:tcPr>
                  <w:tcW w:w="795" w:type="dxa"/>
                  <w:gridSpan w:val="2"/>
                  <w:vAlign w:val="center"/>
                </w:tcPr>
                <w:p w14:paraId="7EB38DE8">
                  <w:pPr>
                    <w:widowControl/>
                    <w:jc w:val="center"/>
                    <w:textAlignment w:val="center"/>
                    <w:rPr>
                      <w:color w:val="auto"/>
                      <w:kern w:val="0"/>
                      <w:szCs w:val="21"/>
                      <w:lang w:bidi="ar"/>
                    </w:rPr>
                  </w:pPr>
                  <w:r>
                    <w:rPr>
                      <w:rFonts w:hint="eastAsia"/>
                      <w:color w:val="auto"/>
                      <w:kern w:val="0"/>
                      <w:szCs w:val="21"/>
                      <w:lang w:bidi="ar"/>
                    </w:rPr>
                    <w:t>新建</w:t>
                  </w:r>
                </w:p>
              </w:tc>
            </w:tr>
            <w:tr w14:paraId="5511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15" w:hRule="atLeast"/>
              </w:trPr>
              <w:tc>
                <w:tcPr>
                  <w:tcW w:w="655" w:type="dxa"/>
                  <w:vMerge w:val="continue"/>
                  <w:vAlign w:val="center"/>
                </w:tcPr>
                <w:p w14:paraId="17C51F89">
                  <w:pPr>
                    <w:widowControl/>
                    <w:jc w:val="center"/>
                    <w:textAlignment w:val="center"/>
                    <w:rPr>
                      <w:color w:val="auto"/>
                      <w:kern w:val="0"/>
                      <w:szCs w:val="21"/>
                      <w:lang w:bidi="ar"/>
                    </w:rPr>
                  </w:pPr>
                </w:p>
              </w:tc>
              <w:tc>
                <w:tcPr>
                  <w:tcW w:w="903" w:type="dxa"/>
                  <w:vAlign w:val="center"/>
                </w:tcPr>
                <w:p w14:paraId="61D27CE5">
                  <w:pPr>
                    <w:widowControl/>
                    <w:jc w:val="center"/>
                    <w:textAlignment w:val="center"/>
                    <w:rPr>
                      <w:color w:val="auto"/>
                      <w:kern w:val="0"/>
                      <w:szCs w:val="21"/>
                      <w:lang w:bidi="ar"/>
                    </w:rPr>
                  </w:pPr>
                  <w:r>
                    <w:rPr>
                      <w:rFonts w:hint="eastAsia"/>
                      <w:color w:val="auto"/>
                      <w:kern w:val="0"/>
                      <w:szCs w:val="21"/>
                      <w:lang w:bidi="ar"/>
                    </w:rPr>
                    <w:t>型焦控制室</w:t>
                  </w:r>
                </w:p>
              </w:tc>
              <w:tc>
                <w:tcPr>
                  <w:tcW w:w="5664" w:type="dxa"/>
                  <w:gridSpan w:val="3"/>
                  <w:vAlign w:val="center"/>
                </w:tcPr>
                <w:p w14:paraId="24D57B03">
                  <w:pPr>
                    <w:widowControl/>
                    <w:jc w:val="center"/>
                    <w:textAlignment w:val="center"/>
                    <w:rPr>
                      <w:rFonts w:hint="eastAsia" w:eastAsia="宋体"/>
                      <w:color w:val="auto"/>
                      <w:kern w:val="0"/>
                      <w:szCs w:val="21"/>
                      <w:lang w:eastAsia="zh-CN" w:bidi="ar"/>
                    </w:rPr>
                  </w:pPr>
                  <w:r>
                    <w:rPr>
                      <w:rFonts w:hint="eastAsia"/>
                      <w:color w:val="auto"/>
                      <w:kern w:val="0"/>
                      <w:szCs w:val="21"/>
                      <w:lang w:bidi="ar"/>
                    </w:rPr>
                    <w:t>厂区内西南侧建设型型焦控制室一座，用于配合型焦生产</w:t>
                  </w:r>
                  <w:r>
                    <w:rPr>
                      <w:rFonts w:hint="eastAsia"/>
                      <w:color w:val="auto"/>
                      <w:kern w:val="0"/>
                      <w:szCs w:val="21"/>
                      <w:lang w:eastAsia="zh-CN" w:bidi="ar"/>
                    </w:rPr>
                    <w:t>。</w:t>
                  </w:r>
                </w:p>
              </w:tc>
              <w:tc>
                <w:tcPr>
                  <w:tcW w:w="795" w:type="dxa"/>
                  <w:gridSpan w:val="2"/>
                  <w:vAlign w:val="center"/>
                </w:tcPr>
                <w:p w14:paraId="5E940EA7">
                  <w:pPr>
                    <w:widowControl/>
                    <w:jc w:val="center"/>
                    <w:textAlignment w:val="center"/>
                    <w:rPr>
                      <w:color w:val="auto"/>
                      <w:kern w:val="0"/>
                      <w:szCs w:val="21"/>
                      <w:lang w:bidi="ar"/>
                    </w:rPr>
                  </w:pPr>
                  <w:r>
                    <w:rPr>
                      <w:rFonts w:hint="eastAsia"/>
                      <w:color w:val="auto"/>
                      <w:kern w:val="0"/>
                      <w:szCs w:val="21"/>
                      <w:lang w:bidi="ar"/>
                    </w:rPr>
                    <w:t>新建</w:t>
                  </w:r>
                </w:p>
              </w:tc>
            </w:tr>
            <w:tr w14:paraId="65D8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15" w:hRule="atLeast"/>
              </w:trPr>
              <w:tc>
                <w:tcPr>
                  <w:tcW w:w="655" w:type="dxa"/>
                  <w:vMerge w:val="continue"/>
                  <w:vAlign w:val="center"/>
                </w:tcPr>
                <w:p w14:paraId="4B67CED8">
                  <w:pPr>
                    <w:widowControl/>
                    <w:jc w:val="center"/>
                    <w:textAlignment w:val="center"/>
                    <w:rPr>
                      <w:color w:val="auto"/>
                      <w:kern w:val="0"/>
                      <w:szCs w:val="21"/>
                      <w:lang w:bidi="ar"/>
                    </w:rPr>
                  </w:pPr>
                </w:p>
              </w:tc>
              <w:tc>
                <w:tcPr>
                  <w:tcW w:w="903" w:type="dxa"/>
                  <w:vAlign w:val="center"/>
                </w:tcPr>
                <w:p w14:paraId="07628C9A">
                  <w:pPr>
                    <w:widowControl/>
                    <w:jc w:val="center"/>
                    <w:textAlignment w:val="center"/>
                    <w:rPr>
                      <w:color w:val="auto"/>
                      <w:kern w:val="0"/>
                      <w:szCs w:val="21"/>
                      <w:lang w:bidi="ar"/>
                    </w:rPr>
                  </w:pPr>
                  <w:r>
                    <w:rPr>
                      <w:rFonts w:hint="eastAsia"/>
                      <w:color w:val="auto"/>
                      <w:kern w:val="0"/>
                      <w:szCs w:val="21"/>
                      <w:lang w:bidi="ar"/>
                    </w:rPr>
                    <w:t>型焦化验室</w:t>
                  </w:r>
                </w:p>
              </w:tc>
              <w:tc>
                <w:tcPr>
                  <w:tcW w:w="5664" w:type="dxa"/>
                  <w:gridSpan w:val="3"/>
                  <w:vAlign w:val="center"/>
                </w:tcPr>
                <w:p w14:paraId="76E384C2">
                  <w:pPr>
                    <w:widowControl/>
                    <w:jc w:val="center"/>
                    <w:textAlignment w:val="center"/>
                    <w:rPr>
                      <w:rFonts w:hint="eastAsia" w:eastAsia="宋体"/>
                      <w:color w:val="auto"/>
                      <w:kern w:val="0"/>
                      <w:szCs w:val="21"/>
                      <w:lang w:eastAsia="zh-CN" w:bidi="ar"/>
                    </w:rPr>
                  </w:pPr>
                  <w:r>
                    <w:rPr>
                      <w:rFonts w:hint="eastAsia"/>
                      <w:color w:val="auto"/>
                      <w:kern w:val="0"/>
                      <w:szCs w:val="21"/>
                      <w:lang w:bidi="ar"/>
                    </w:rPr>
                    <w:t>厂区内西南侧建设型焦化验室一座，用于检验成品合格度</w:t>
                  </w:r>
                  <w:r>
                    <w:rPr>
                      <w:rFonts w:hint="eastAsia"/>
                      <w:color w:val="auto"/>
                      <w:kern w:val="0"/>
                      <w:szCs w:val="21"/>
                      <w:lang w:eastAsia="zh-CN" w:bidi="ar"/>
                    </w:rPr>
                    <w:t>。</w:t>
                  </w:r>
                </w:p>
              </w:tc>
              <w:tc>
                <w:tcPr>
                  <w:tcW w:w="795" w:type="dxa"/>
                  <w:gridSpan w:val="2"/>
                  <w:vAlign w:val="center"/>
                </w:tcPr>
                <w:p w14:paraId="12E7F709">
                  <w:pPr>
                    <w:widowControl/>
                    <w:jc w:val="center"/>
                    <w:textAlignment w:val="center"/>
                    <w:rPr>
                      <w:color w:val="auto"/>
                      <w:kern w:val="0"/>
                      <w:szCs w:val="21"/>
                      <w:lang w:bidi="ar"/>
                    </w:rPr>
                  </w:pPr>
                  <w:r>
                    <w:rPr>
                      <w:rFonts w:hint="eastAsia"/>
                      <w:color w:val="auto"/>
                      <w:kern w:val="0"/>
                      <w:szCs w:val="21"/>
                      <w:lang w:bidi="ar"/>
                    </w:rPr>
                    <w:t>新建</w:t>
                  </w:r>
                </w:p>
              </w:tc>
            </w:tr>
            <w:tr w14:paraId="0EE7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55" w:hRule="atLeast"/>
              </w:trPr>
              <w:tc>
                <w:tcPr>
                  <w:tcW w:w="655" w:type="dxa"/>
                  <w:vMerge w:val="restart"/>
                  <w:vAlign w:val="center"/>
                </w:tcPr>
                <w:p w14:paraId="690B146A">
                  <w:pPr>
                    <w:widowControl/>
                    <w:jc w:val="center"/>
                    <w:textAlignment w:val="center"/>
                    <w:rPr>
                      <w:color w:val="auto"/>
                      <w:kern w:val="0"/>
                      <w:szCs w:val="21"/>
                      <w:lang w:bidi="ar"/>
                    </w:rPr>
                  </w:pPr>
                  <w:r>
                    <w:rPr>
                      <w:rFonts w:hint="eastAsia"/>
                      <w:color w:val="auto"/>
                      <w:kern w:val="0"/>
                      <w:szCs w:val="21"/>
                      <w:lang w:bidi="ar"/>
                    </w:rPr>
                    <w:t>公用工程</w:t>
                  </w:r>
                </w:p>
              </w:tc>
              <w:tc>
                <w:tcPr>
                  <w:tcW w:w="903" w:type="dxa"/>
                  <w:vAlign w:val="center"/>
                </w:tcPr>
                <w:p w14:paraId="6CC97CEB">
                  <w:pPr>
                    <w:widowControl/>
                    <w:jc w:val="center"/>
                    <w:textAlignment w:val="center"/>
                    <w:rPr>
                      <w:color w:val="auto"/>
                      <w:kern w:val="0"/>
                      <w:szCs w:val="21"/>
                      <w:lang w:bidi="ar"/>
                    </w:rPr>
                  </w:pPr>
                  <w:r>
                    <w:rPr>
                      <w:rFonts w:hint="eastAsia"/>
                      <w:color w:val="auto"/>
                      <w:kern w:val="0"/>
                      <w:szCs w:val="21"/>
                      <w:lang w:bidi="ar"/>
                    </w:rPr>
                    <w:t>供水</w:t>
                  </w:r>
                </w:p>
              </w:tc>
              <w:tc>
                <w:tcPr>
                  <w:tcW w:w="5664" w:type="dxa"/>
                  <w:gridSpan w:val="3"/>
                  <w:vAlign w:val="center"/>
                </w:tcPr>
                <w:p w14:paraId="1816CA65">
                  <w:pPr>
                    <w:widowControl/>
                    <w:jc w:val="center"/>
                    <w:textAlignment w:val="center"/>
                    <w:rPr>
                      <w:color w:val="auto"/>
                      <w:kern w:val="0"/>
                      <w:szCs w:val="21"/>
                      <w:lang w:bidi="ar"/>
                    </w:rPr>
                  </w:pPr>
                  <w:r>
                    <w:rPr>
                      <w:rFonts w:hint="eastAsia"/>
                      <w:color w:val="auto"/>
                      <w:kern w:val="0"/>
                      <w:szCs w:val="21"/>
                      <w:lang w:bidi="ar"/>
                    </w:rPr>
                    <w:t>本项目生产、生活用水均依托新航焦化现有厂区</w:t>
                  </w:r>
                </w:p>
                <w:p w14:paraId="241D60C2">
                  <w:pPr>
                    <w:widowControl/>
                    <w:jc w:val="center"/>
                    <w:textAlignment w:val="center"/>
                    <w:rPr>
                      <w:color w:val="auto"/>
                      <w:kern w:val="0"/>
                      <w:szCs w:val="21"/>
                      <w:lang w:bidi="ar"/>
                    </w:rPr>
                  </w:pPr>
                  <w:r>
                    <w:rPr>
                      <w:rFonts w:hint="eastAsia"/>
                      <w:color w:val="auto"/>
                      <w:kern w:val="0"/>
                      <w:szCs w:val="21"/>
                      <w:lang w:bidi="ar"/>
                    </w:rPr>
                    <w:t>供水系统</w:t>
                  </w:r>
                  <w:r>
                    <w:rPr>
                      <w:rFonts w:hint="eastAsia"/>
                      <w:color w:val="auto"/>
                      <w:kern w:val="0"/>
                      <w:szCs w:val="21"/>
                      <w:lang w:eastAsia="zh-CN" w:bidi="ar"/>
                    </w:rPr>
                    <w:t>。</w:t>
                  </w:r>
                  <w:r>
                    <w:rPr>
                      <w:rFonts w:hint="eastAsia"/>
                      <w:color w:val="auto"/>
                      <w:kern w:val="0"/>
                      <w:szCs w:val="21"/>
                      <w:lang w:bidi="ar"/>
                    </w:rPr>
                    <w:t>由园区供给，以黄河水为水源。</w:t>
                  </w:r>
                </w:p>
              </w:tc>
              <w:tc>
                <w:tcPr>
                  <w:tcW w:w="795" w:type="dxa"/>
                  <w:gridSpan w:val="2"/>
                  <w:vAlign w:val="center"/>
                </w:tcPr>
                <w:p w14:paraId="584897BF">
                  <w:pPr>
                    <w:widowControl/>
                    <w:jc w:val="center"/>
                    <w:rPr>
                      <w:color w:val="auto"/>
                      <w:kern w:val="0"/>
                      <w:szCs w:val="21"/>
                      <w:lang w:bidi="ar"/>
                    </w:rPr>
                  </w:pPr>
                  <w:r>
                    <w:rPr>
                      <w:rFonts w:hint="eastAsia" w:ascii="宋体" w:hAnsi="宋体" w:cs="宋体"/>
                      <w:color w:val="auto"/>
                      <w:kern w:val="0"/>
                      <w:szCs w:val="21"/>
                      <w:lang w:bidi="ar"/>
                    </w:rPr>
                    <w:t>依托</w:t>
                  </w:r>
                </w:p>
              </w:tc>
            </w:tr>
            <w:tr w14:paraId="1D6E6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15" w:hRule="atLeast"/>
              </w:trPr>
              <w:tc>
                <w:tcPr>
                  <w:tcW w:w="655" w:type="dxa"/>
                  <w:vMerge w:val="continue"/>
                  <w:vAlign w:val="center"/>
                </w:tcPr>
                <w:p w14:paraId="71F912F5">
                  <w:pPr>
                    <w:widowControl/>
                    <w:jc w:val="center"/>
                    <w:textAlignment w:val="center"/>
                    <w:rPr>
                      <w:color w:val="auto"/>
                      <w:kern w:val="0"/>
                      <w:szCs w:val="21"/>
                      <w:lang w:bidi="ar"/>
                    </w:rPr>
                  </w:pPr>
                </w:p>
              </w:tc>
              <w:tc>
                <w:tcPr>
                  <w:tcW w:w="903" w:type="dxa"/>
                  <w:vAlign w:val="center"/>
                </w:tcPr>
                <w:p w14:paraId="767A58B8">
                  <w:pPr>
                    <w:widowControl/>
                    <w:jc w:val="center"/>
                    <w:textAlignment w:val="center"/>
                    <w:rPr>
                      <w:color w:val="auto"/>
                      <w:kern w:val="0"/>
                      <w:szCs w:val="21"/>
                      <w:lang w:bidi="ar"/>
                    </w:rPr>
                  </w:pPr>
                  <w:r>
                    <w:rPr>
                      <w:rFonts w:hint="eastAsia"/>
                      <w:color w:val="auto"/>
                      <w:kern w:val="0"/>
                      <w:szCs w:val="21"/>
                      <w:lang w:bidi="ar"/>
                    </w:rPr>
                    <w:t>供电</w:t>
                  </w:r>
                </w:p>
              </w:tc>
              <w:tc>
                <w:tcPr>
                  <w:tcW w:w="5664" w:type="dxa"/>
                  <w:gridSpan w:val="3"/>
                  <w:vAlign w:val="center"/>
                </w:tcPr>
                <w:p w14:paraId="5541F0A4">
                  <w:pPr>
                    <w:widowControl/>
                    <w:jc w:val="center"/>
                    <w:textAlignment w:val="center"/>
                    <w:rPr>
                      <w:color w:val="auto"/>
                      <w:kern w:val="0"/>
                      <w:szCs w:val="21"/>
                      <w:lang w:bidi="ar"/>
                    </w:rPr>
                  </w:pPr>
                  <w:r>
                    <w:rPr>
                      <w:rFonts w:hint="eastAsia"/>
                      <w:color w:val="auto"/>
                      <w:kern w:val="0"/>
                      <w:szCs w:val="21"/>
                      <w:lang w:bidi="ar"/>
                    </w:rPr>
                    <w:t>本项目型焦变电所采用单电源进线，电源进线引自现有新航焦化备煤炼焦变电所10kV侧任一母线段。</w:t>
                  </w:r>
                </w:p>
              </w:tc>
              <w:tc>
                <w:tcPr>
                  <w:tcW w:w="795" w:type="dxa"/>
                  <w:gridSpan w:val="2"/>
                  <w:vAlign w:val="center"/>
                </w:tcPr>
                <w:p w14:paraId="67AC110F">
                  <w:pPr>
                    <w:widowControl/>
                    <w:jc w:val="center"/>
                    <w:textAlignment w:val="center"/>
                    <w:rPr>
                      <w:color w:val="auto"/>
                      <w:kern w:val="0"/>
                      <w:szCs w:val="21"/>
                      <w:lang w:bidi="ar"/>
                    </w:rPr>
                  </w:pPr>
                  <w:r>
                    <w:rPr>
                      <w:rFonts w:hint="eastAsia" w:ascii="宋体" w:hAnsi="宋体" w:cs="宋体"/>
                      <w:color w:val="auto"/>
                      <w:kern w:val="0"/>
                      <w:szCs w:val="21"/>
                      <w:lang w:bidi="ar"/>
                    </w:rPr>
                    <w:t>新建/依托</w:t>
                  </w:r>
                </w:p>
              </w:tc>
            </w:tr>
            <w:tr w14:paraId="6CDA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15" w:hRule="atLeast"/>
              </w:trPr>
              <w:tc>
                <w:tcPr>
                  <w:tcW w:w="655" w:type="dxa"/>
                  <w:vMerge w:val="continue"/>
                  <w:vAlign w:val="center"/>
                </w:tcPr>
                <w:p w14:paraId="2B6E3D91">
                  <w:pPr>
                    <w:widowControl/>
                    <w:jc w:val="center"/>
                    <w:textAlignment w:val="center"/>
                    <w:rPr>
                      <w:color w:val="auto"/>
                      <w:kern w:val="0"/>
                      <w:szCs w:val="21"/>
                      <w:lang w:bidi="ar"/>
                    </w:rPr>
                  </w:pPr>
                </w:p>
              </w:tc>
              <w:tc>
                <w:tcPr>
                  <w:tcW w:w="903" w:type="dxa"/>
                  <w:vAlign w:val="center"/>
                </w:tcPr>
                <w:p w14:paraId="4F07C55A">
                  <w:pPr>
                    <w:widowControl/>
                    <w:jc w:val="center"/>
                    <w:textAlignment w:val="center"/>
                    <w:rPr>
                      <w:color w:val="auto"/>
                      <w:kern w:val="0"/>
                      <w:szCs w:val="21"/>
                      <w:lang w:bidi="ar"/>
                    </w:rPr>
                  </w:pPr>
                  <w:r>
                    <w:rPr>
                      <w:rFonts w:hint="eastAsia"/>
                      <w:color w:val="auto"/>
                      <w:kern w:val="0"/>
                      <w:szCs w:val="21"/>
                      <w:lang w:bidi="ar"/>
                    </w:rPr>
                    <w:t>供热</w:t>
                  </w:r>
                </w:p>
              </w:tc>
              <w:tc>
                <w:tcPr>
                  <w:tcW w:w="5664" w:type="dxa"/>
                  <w:gridSpan w:val="3"/>
                  <w:vAlign w:val="center"/>
                </w:tcPr>
                <w:p w14:paraId="67A8FEE9">
                  <w:pPr>
                    <w:widowControl/>
                    <w:jc w:val="center"/>
                    <w:textAlignment w:val="center"/>
                    <w:rPr>
                      <w:color w:val="auto"/>
                      <w:kern w:val="0"/>
                      <w:szCs w:val="21"/>
                      <w:lang w:bidi="ar"/>
                    </w:rPr>
                  </w:pPr>
                  <w:r>
                    <w:rPr>
                      <w:rFonts w:hint="eastAsia"/>
                      <w:color w:val="auto"/>
                      <w:kern w:val="0"/>
                      <w:szCs w:val="21"/>
                      <w:lang w:bidi="ar"/>
                    </w:rPr>
                    <w:t>型焦生产车间供热热源为新航焦化现有工程焦炉集气管的高温氨水经过换热站换热产生热水。型焦控制室设置空调。</w:t>
                  </w:r>
                </w:p>
              </w:tc>
              <w:tc>
                <w:tcPr>
                  <w:tcW w:w="795" w:type="dxa"/>
                  <w:gridSpan w:val="2"/>
                  <w:vAlign w:val="center"/>
                </w:tcPr>
                <w:p w14:paraId="038E7281">
                  <w:pPr>
                    <w:widowControl/>
                    <w:jc w:val="center"/>
                    <w:textAlignment w:val="center"/>
                    <w:rPr>
                      <w:color w:val="auto"/>
                      <w:kern w:val="0"/>
                      <w:szCs w:val="21"/>
                      <w:lang w:bidi="ar"/>
                    </w:rPr>
                  </w:pPr>
                  <w:r>
                    <w:rPr>
                      <w:rFonts w:hint="eastAsia" w:ascii="宋体" w:hAnsi="宋体" w:cs="宋体"/>
                      <w:color w:val="auto"/>
                      <w:kern w:val="0"/>
                      <w:szCs w:val="21"/>
                      <w:lang w:bidi="ar"/>
                    </w:rPr>
                    <w:t>新建</w:t>
                  </w:r>
                </w:p>
              </w:tc>
            </w:tr>
            <w:tr w14:paraId="1BC6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24" w:hRule="atLeast"/>
              </w:trPr>
              <w:tc>
                <w:tcPr>
                  <w:tcW w:w="655" w:type="dxa"/>
                  <w:vMerge w:val="restart"/>
                  <w:vAlign w:val="center"/>
                </w:tcPr>
                <w:p w14:paraId="7B409C7D">
                  <w:pPr>
                    <w:widowControl/>
                    <w:jc w:val="center"/>
                    <w:textAlignment w:val="center"/>
                    <w:rPr>
                      <w:color w:val="auto"/>
                      <w:kern w:val="0"/>
                      <w:szCs w:val="21"/>
                      <w:lang w:bidi="ar"/>
                    </w:rPr>
                  </w:pPr>
                  <w:r>
                    <w:rPr>
                      <w:rFonts w:hint="eastAsia"/>
                      <w:color w:val="auto"/>
                      <w:kern w:val="0"/>
                      <w:szCs w:val="21"/>
                      <w:lang w:bidi="ar"/>
                    </w:rPr>
                    <w:t>环保工程</w:t>
                  </w:r>
                </w:p>
              </w:tc>
              <w:tc>
                <w:tcPr>
                  <w:tcW w:w="903" w:type="dxa"/>
                  <w:vMerge w:val="restart"/>
                  <w:vAlign w:val="center"/>
                </w:tcPr>
                <w:p w14:paraId="2EDB7CFC">
                  <w:pPr>
                    <w:widowControl/>
                    <w:jc w:val="center"/>
                    <w:textAlignment w:val="center"/>
                    <w:rPr>
                      <w:color w:val="auto"/>
                      <w:kern w:val="0"/>
                      <w:szCs w:val="21"/>
                      <w:lang w:bidi="ar"/>
                    </w:rPr>
                  </w:pPr>
                  <w:r>
                    <w:rPr>
                      <w:rFonts w:hint="eastAsia"/>
                      <w:color w:val="auto"/>
                      <w:kern w:val="0"/>
                      <w:szCs w:val="21"/>
                      <w:lang w:bidi="ar"/>
                    </w:rPr>
                    <w:t>废气</w:t>
                  </w:r>
                </w:p>
              </w:tc>
              <w:tc>
                <w:tcPr>
                  <w:tcW w:w="1558" w:type="dxa"/>
                  <w:gridSpan w:val="2"/>
                  <w:vAlign w:val="center"/>
                </w:tcPr>
                <w:p w14:paraId="74037E57">
                  <w:pPr>
                    <w:widowControl/>
                    <w:jc w:val="center"/>
                    <w:textAlignment w:val="center"/>
                    <w:rPr>
                      <w:color w:val="auto"/>
                      <w:kern w:val="0"/>
                      <w:szCs w:val="21"/>
                      <w:lang w:bidi="ar"/>
                    </w:rPr>
                  </w:pPr>
                  <w:r>
                    <w:rPr>
                      <w:rFonts w:hint="eastAsia"/>
                      <w:color w:val="auto"/>
                      <w:kern w:val="0"/>
                      <w:szCs w:val="21"/>
                      <w:lang w:bidi="ar"/>
                    </w:rPr>
                    <w:t>运输扬尘</w:t>
                  </w:r>
                </w:p>
              </w:tc>
              <w:tc>
                <w:tcPr>
                  <w:tcW w:w="4106" w:type="dxa"/>
                  <w:vAlign w:val="center"/>
                </w:tcPr>
                <w:p w14:paraId="035D01AC">
                  <w:pPr>
                    <w:widowControl/>
                    <w:jc w:val="center"/>
                    <w:textAlignment w:val="center"/>
                    <w:rPr>
                      <w:color w:val="auto"/>
                      <w:kern w:val="0"/>
                      <w:szCs w:val="21"/>
                      <w:lang w:bidi="ar"/>
                    </w:rPr>
                  </w:pPr>
                  <w:r>
                    <w:rPr>
                      <w:color w:val="auto"/>
                      <w:kern w:val="0"/>
                      <w:szCs w:val="21"/>
                      <w:lang w:bidi="ar"/>
                    </w:rPr>
                    <w:t>汽车进入厂区内通过降低行驶速度、出入道路进行硬化、生产区域内地面定期清扫等方式降低运输过程无组织粉尘</w:t>
                  </w:r>
                  <w:r>
                    <w:rPr>
                      <w:rFonts w:hint="eastAsia"/>
                      <w:color w:val="auto"/>
                      <w:kern w:val="0"/>
                      <w:szCs w:val="21"/>
                      <w:lang w:bidi="ar"/>
                    </w:rPr>
                    <w:t>。</w:t>
                  </w:r>
                </w:p>
              </w:tc>
              <w:tc>
                <w:tcPr>
                  <w:tcW w:w="795" w:type="dxa"/>
                  <w:gridSpan w:val="2"/>
                  <w:vAlign w:val="center"/>
                </w:tcPr>
                <w:p w14:paraId="6B51397F">
                  <w:pPr>
                    <w:widowControl/>
                    <w:jc w:val="center"/>
                    <w:textAlignment w:val="center"/>
                    <w:rPr>
                      <w:color w:val="auto"/>
                      <w:kern w:val="0"/>
                      <w:szCs w:val="21"/>
                      <w:lang w:bidi="ar"/>
                    </w:rPr>
                  </w:pPr>
                  <w:r>
                    <w:rPr>
                      <w:rFonts w:hint="eastAsia"/>
                      <w:color w:val="auto"/>
                      <w:kern w:val="0"/>
                      <w:szCs w:val="21"/>
                      <w:lang w:bidi="ar"/>
                    </w:rPr>
                    <w:t>新建</w:t>
                  </w:r>
                </w:p>
              </w:tc>
            </w:tr>
            <w:tr w14:paraId="504C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55" w:hRule="atLeast"/>
              </w:trPr>
              <w:tc>
                <w:tcPr>
                  <w:tcW w:w="655" w:type="dxa"/>
                  <w:vMerge w:val="continue"/>
                  <w:vAlign w:val="center"/>
                </w:tcPr>
                <w:p w14:paraId="01FEB788">
                  <w:pPr>
                    <w:widowControl/>
                    <w:jc w:val="center"/>
                    <w:textAlignment w:val="center"/>
                    <w:rPr>
                      <w:color w:val="auto"/>
                      <w:kern w:val="0"/>
                      <w:szCs w:val="21"/>
                      <w:lang w:bidi="ar"/>
                    </w:rPr>
                  </w:pPr>
                </w:p>
              </w:tc>
              <w:tc>
                <w:tcPr>
                  <w:tcW w:w="903" w:type="dxa"/>
                  <w:vMerge w:val="continue"/>
                  <w:vAlign w:val="center"/>
                </w:tcPr>
                <w:p w14:paraId="6978AB82">
                  <w:pPr>
                    <w:widowControl/>
                    <w:jc w:val="center"/>
                    <w:textAlignment w:val="center"/>
                    <w:rPr>
                      <w:color w:val="auto"/>
                      <w:kern w:val="0"/>
                      <w:szCs w:val="21"/>
                      <w:lang w:bidi="ar"/>
                    </w:rPr>
                  </w:pPr>
                </w:p>
              </w:tc>
              <w:tc>
                <w:tcPr>
                  <w:tcW w:w="1558" w:type="dxa"/>
                  <w:gridSpan w:val="2"/>
                  <w:vAlign w:val="center"/>
                </w:tcPr>
                <w:p w14:paraId="692CE0FB">
                  <w:pPr>
                    <w:snapToGrid w:val="0"/>
                    <w:jc w:val="center"/>
                    <w:rPr>
                      <w:color w:val="auto"/>
                      <w:szCs w:val="21"/>
                    </w:rPr>
                  </w:pPr>
                  <w:r>
                    <w:rPr>
                      <w:color w:val="auto"/>
                      <w:kern w:val="0"/>
                      <w:szCs w:val="21"/>
                      <w:lang w:bidi="ar"/>
                    </w:rPr>
                    <w:t>卸料粉尘</w:t>
                  </w:r>
                </w:p>
              </w:tc>
              <w:tc>
                <w:tcPr>
                  <w:tcW w:w="4106" w:type="dxa"/>
                  <w:vAlign w:val="center"/>
                </w:tcPr>
                <w:p w14:paraId="70013183">
                  <w:pPr>
                    <w:widowControl/>
                    <w:jc w:val="center"/>
                    <w:textAlignment w:val="center"/>
                    <w:rPr>
                      <w:color w:val="auto"/>
                      <w:szCs w:val="21"/>
                    </w:rPr>
                  </w:pPr>
                  <w:r>
                    <w:rPr>
                      <w:rFonts w:hint="eastAsia"/>
                      <w:bCs/>
                      <w:color w:val="auto"/>
                      <w:szCs w:val="21"/>
                      <w:lang w:val="en-US" w:eastAsia="zh-CN"/>
                    </w:rPr>
                    <w:t>原料仓库为全</w:t>
                  </w:r>
                  <w:r>
                    <w:rPr>
                      <w:bCs/>
                      <w:color w:val="auto"/>
                      <w:szCs w:val="21"/>
                    </w:rPr>
                    <w:t>封闭厂房</w:t>
                  </w:r>
                  <w:r>
                    <w:rPr>
                      <w:rFonts w:hint="eastAsia"/>
                      <w:bCs/>
                      <w:color w:val="auto"/>
                      <w:szCs w:val="21"/>
                    </w:rPr>
                    <w:t>，</w:t>
                  </w:r>
                  <w:r>
                    <w:rPr>
                      <w:rFonts w:hint="eastAsia" w:ascii="Times New Roman" w:hAnsi="Times New Roman" w:eastAsia="宋体" w:cs="Times New Roman"/>
                      <w:bCs/>
                      <w:color w:val="auto"/>
                      <w:szCs w:val="21"/>
                      <w:lang w:val="en-US" w:eastAsia="zh-CN"/>
                    </w:rPr>
                    <w:t>气力输送除灰系统和负压吸排罐车运输。</w:t>
                  </w:r>
                </w:p>
              </w:tc>
              <w:tc>
                <w:tcPr>
                  <w:tcW w:w="795" w:type="dxa"/>
                  <w:gridSpan w:val="2"/>
                  <w:vAlign w:val="center"/>
                </w:tcPr>
                <w:p w14:paraId="15B9DDB3">
                  <w:pPr>
                    <w:widowControl/>
                    <w:jc w:val="center"/>
                    <w:textAlignment w:val="center"/>
                    <w:rPr>
                      <w:color w:val="auto"/>
                      <w:kern w:val="0"/>
                      <w:szCs w:val="21"/>
                      <w:lang w:bidi="ar"/>
                    </w:rPr>
                  </w:pPr>
                  <w:r>
                    <w:rPr>
                      <w:rFonts w:hint="eastAsia"/>
                      <w:color w:val="auto"/>
                      <w:kern w:val="0"/>
                      <w:szCs w:val="21"/>
                      <w:lang w:bidi="ar"/>
                    </w:rPr>
                    <w:t>新建</w:t>
                  </w:r>
                </w:p>
              </w:tc>
            </w:tr>
            <w:tr w14:paraId="1A4E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55" w:hRule="atLeast"/>
              </w:trPr>
              <w:tc>
                <w:tcPr>
                  <w:tcW w:w="655" w:type="dxa"/>
                  <w:vMerge w:val="continue"/>
                  <w:vAlign w:val="center"/>
                </w:tcPr>
                <w:p w14:paraId="019E8E94">
                  <w:pPr>
                    <w:widowControl/>
                    <w:jc w:val="center"/>
                    <w:textAlignment w:val="center"/>
                    <w:rPr>
                      <w:color w:val="auto"/>
                      <w:kern w:val="0"/>
                      <w:szCs w:val="21"/>
                      <w:lang w:bidi="ar"/>
                    </w:rPr>
                  </w:pPr>
                </w:p>
              </w:tc>
              <w:tc>
                <w:tcPr>
                  <w:tcW w:w="903" w:type="dxa"/>
                  <w:vMerge w:val="continue"/>
                  <w:vAlign w:val="center"/>
                </w:tcPr>
                <w:p w14:paraId="2D85B55D">
                  <w:pPr>
                    <w:widowControl/>
                    <w:jc w:val="center"/>
                    <w:textAlignment w:val="center"/>
                    <w:rPr>
                      <w:color w:val="auto"/>
                      <w:kern w:val="0"/>
                      <w:szCs w:val="21"/>
                      <w:lang w:bidi="ar"/>
                    </w:rPr>
                  </w:pPr>
                </w:p>
              </w:tc>
              <w:tc>
                <w:tcPr>
                  <w:tcW w:w="1558" w:type="dxa"/>
                  <w:gridSpan w:val="2"/>
                  <w:vAlign w:val="center"/>
                </w:tcPr>
                <w:p w14:paraId="2EB9BE0A">
                  <w:pPr>
                    <w:widowControl/>
                    <w:jc w:val="center"/>
                    <w:textAlignment w:val="center"/>
                    <w:rPr>
                      <w:rFonts w:hint="default" w:eastAsia="宋体"/>
                      <w:color w:val="auto"/>
                      <w:kern w:val="0"/>
                      <w:szCs w:val="21"/>
                      <w:lang w:val="en-US" w:eastAsia="zh-CN" w:bidi="ar"/>
                    </w:rPr>
                  </w:pPr>
                  <w:r>
                    <w:rPr>
                      <w:rFonts w:hint="eastAsia"/>
                      <w:color w:val="auto"/>
                      <w:kern w:val="0"/>
                      <w:szCs w:val="21"/>
                      <w:lang w:val="en-US" w:eastAsia="zh-CN" w:bidi="ar"/>
                    </w:rPr>
                    <w:t>储存粉尘</w:t>
                  </w:r>
                </w:p>
              </w:tc>
              <w:tc>
                <w:tcPr>
                  <w:tcW w:w="4106" w:type="dxa"/>
                  <w:vAlign w:val="center"/>
                </w:tcPr>
                <w:p w14:paraId="4179F5D4">
                  <w:pPr>
                    <w:widowControl/>
                    <w:jc w:val="center"/>
                    <w:textAlignment w:val="center"/>
                    <w:rPr>
                      <w:rFonts w:hint="default"/>
                      <w:bCs/>
                      <w:color w:val="auto"/>
                      <w:szCs w:val="21"/>
                      <w:lang w:val="en-US" w:eastAsia="zh-CN"/>
                    </w:rPr>
                  </w:pPr>
                  <w:r>
                    <w:rPr>
                      <w:rFonts w:hint="eastAsia"/>
                      <w:bCs/>
                      <w:color w:val="auto"/>
                      <w:szCs w:val="21"/>
                      <w:lang w:val="en-US" w:eastAsia="zh-CN"/>
                    </w:rPr>
                    <w:t>原料仓库为全封闭厂房，原料储存</w:t>
                  </w:r>
                  <w:r>
                    <w:rPr>
                      <w:rFonts w:hint="eastAsia"/>
                      <w:bCs/>
                      <w:color w:val="auto"/>
                      <w:szCs w:val="21"/>
                    </w:rPr>
                    <w:t>时</w:t>
                  </w:r>
                  <w:r>
                    <w:rPr>
                      <w:bCs/>
                      <w:color w:val="auto"/>
                      <w:szCs w:val="21"/>
                    </w:rPr>
                    <w:t>干雾抑尘器喷水抑尘及储存时喷水抑尘</w:t>
                  </w:r>
                  <w:r>
                    <w:rPr>
                      <w:rFonts w:hint="eastAsia"/>
                      <w:bCs/>
                      <w:color w:val="auto"/>
                      <w:szCs w:val="21"/>
                    </w:rPr>
                    <w:t>；</w:t>
                  </w:r>
                </w:p>
              </w:tc>
              <w:tc>
                <w:tcPr>
                  <w:tcW w:w="795" w:type="dxa"/>
                  <w:gridSpan w:val="2"/>
                  <w:vAlign w:val="center"/>
                </w:tcPr>
                <w:p w14:paraId="4105C966">
                  <w:pPr>
                    <w:widowControl/>
                    <w:jc w:val="center"/>
                    <w:textAlignment w:val="center"/>
                    <w:rPr>
                      <w:rFonts w:hint="eastAsia" w:eastAsia="宋体"/>
                      <w:color w:val="auto"/>
                      <w:kern w:val="0"/>
                      <w:szCs w:val="21"/>
                      <w:lang w:val="en-US" w:eastAsia="zh-CN" w:bidi="ar"/>
                    </w:rPr>
                  </w:pPr>
                  <w:r>
                    <w:rPr>
                      <w:rFonts w:hint="eastAsia"/>
                      <w:color w:val="auto"/>
                      <w:kern w:val="0"/>
                      <w:szCs w:val="21"/>
                      <w:lang w:val="en-US" w:eastAsia="zh-CN" w:bidi="ar"/>
                    </w:rPr>
                    <w:t>新建</w:t>
                  </w:r>
                </w:p>
              </w:tc>
            </w:tr>
            <w:tr w14:paraId="3A8E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36" w:hRule="atLeast"/>
              </w:trPr>
              <w:tc>
                <w:tcPr>
                  <w:tcW w:w="655" w:type="dxa"/>
                  <w:vMerge w:val="continue"/>
                  <w:vAlign w:val="center"/>
                </w:tcPr>
                <w:p w14:paraId="76FC5F60">
                  <w:pPr>
                    <w:widowControl/>
                    <w:jc w:val="center"/>
                    <w:textAlignment w:val="center"/>
                    <w:rPr>
                      <w:color w:val="auto"/>
                      <w:kern w:val="0"/>
                      <w:szCs w:val="21"/>
                      <w:lang w:bidi="ar"/>
                    </w:rPr>
                  </w:pPr>
                </w:p>
              </w:tc>
              <w:tc>
                <w:tcPr>
                  <w:tcW w:w="903" w:type="dxa"/>
                  <w:vMerge w:val="continue"/>
                  <w:vAlign w:val="center"/>
                </w:tcPr>
                <w:p w14:paraId="3BC06DAA">
                  <w:pPr>
                    <w:widowControl/>
                    <w:jc w:val="center"/>
                    <w:textAlignment w:val="center"/>
                    <w:rPr>
                      <w:color w:val="auto"/>
                      <w:kern w:val="0"/>
                      <w:szCs w:val="21"/>
                      <w:lang w:bidi="ar"/>
                    </w:rPr>
                  </w:pPr>
                </w:p>
              </w:tc>
              <w:tc>
                <w:tcPr>
                  <w:tcW w:w="1558" w:type="dxa"/>
                  <w:gridSpan w:val="2"/>
                  <w:shd w:val="clear" w:color="auto" w:fill="auto"/>
                  <w:vAlign w:val="center"/>
                </w:tcPr>
                <w:p w14:paraId="1E4E476E">
                  <w:pPr>
                    <w:snapToGrid w:val="0"/>
                    <w:jc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val="en-US" w:eastAsia="zh-CN" w:bidi="ar"/>
                    </w:rPr>
                    <w:t>筒仓粉尘</w:t>
                  </w:r>
                </w:p>
              </w:tc>
              <w:tc>
                <w:tcPr>
                  <w:tcW w:w="4106" w:type="dxa"/>
                  <w:vAlign w:val="center"/>
                </w:tcPr>
                <w:p w14:paraId="2B4C30E6">
                  <w:pPr>
                    <w:widowControl/>
                    <w:jc w:val="center"/>
                    <w:textAlignment w:val="center"/>
                    <w:rPr>
                      <w:rFonts w:hint="eastAsia"/>
                      <w:bCs/>
                      <w:color w:val="auto"/>
                      <w:szCs w:val="21"/>
                      <w:lang w:val="en-US" w:eastAsia="zh-CN"/>
                    </w:rPr>
                  </w:pPr>
                  <w:r>
                    <w:rPr>
                      <w:rFonts w:hint="eastAsia"/>
                      <w:bCs/>
                      <w:color w:val="auto"/>
                      <w:szCs w:val="21"/>
                      <w:lang w:val="en-US" w:eastAsia="zh-CN"/>
                    </w:rPr>
                    <w:t>钢仓</w:t>
                  </w:r>
                  <w:r>
                    <w:rPr>
                      <w:rFonts w:hint="default"/>
                      <w:bCs/>
                      <w:color w:val="auto"/>
                      <w:szCs w:val="21"/>
                      <w:lang w:val="en-US" w:eastAsia="zh-CN"/>
                    </w:rPr>
                    <w:t>仓顶</w:t>
                  </w:r>
                  <w:r>
                    <w:rPr>
                      <w:rFonts w:hint="eastAsia"/>
                      <w:bCs/>
                      <w:color w:val="auto"/>
                      <w:szCs w:val="21"/>
                      <w:lang w:val="en-US" w:eastAsia="zh-CN"/>
                    </w:rPr>
                    <w:t>设置</w:t>
                  </w:r>
                  <w:r>
                    <w:rPr>
                      <w:rFonts w:hint="default"/>
                      <w:bCs/>
                      <w:color w:val="auto"/>
                      <w:szCs w:val="21"/>
                      <w:lang w:val="en-US" w:eastAsia="zh-CN"/>
                    </w:rPr>
                    <w:t>布袋除尘器，</w:t>
                  </w:r>
                  <w:r>
                    <w:rPr>
                      <w:rFonts w:hint="eastAsia"/>
                      <w:bCs/>
                      <w:color w:val="auto"/>
                      <w:szCs w:val="21"/>
                      <w:lang w:val="en-US" w:eastAsia="zh-CN"/>
                    </w:rPr>
                    <w:t>车间内无组</w:t>
                  </w:r>
                  <w:r>
                    <w:rPr>
                      <w:bCs/>
                      <w:color w:val="auto"/>
                      <w:szCs w:val="21"/>
                    </w:rPr>
                    <w:t>织</w:t>
                  </w:r>
                  <w:r>
                    <w:rPr>
                      <w:rFonts w:hint="eastAsia"/>
                      <w:bCs/>
                      <w:color w:val="auto"/>
                      <w:szCs w:val="21"/>
                      <w:lang w:val="en-US" w:eastAsia="zh-CN"/>
                    </w:rPr>
                    <w:t>排放。</w:t>
                  </w:r>
                </w:p>
              </w:tc>
              <w:tc>
                <w:tcPr>
                  <w:tcW w:w="795" w:type="dxa"/>
                  <w:gridSpan w:val="2"/>
                  <w:shd w:val="clear" w:color="auto" w:fill="auto"/>
                  <w:vAlign w:val="center"/>
                </w:tcPr>
                <w:p w14:paraId="3DB9813D">
                  <w:pPr>
                    <w:widowControl/>
                    <w:jc w:val="center"/>
                    <w:textAlignment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bidi="ar"/>
                    </w:rPr>
                    <w:t>新建</w:t>
                  </w:r>
                </w:p>
              </w:tc>
            </w:tr>
            <w:tr w14:paraId="120A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082" w:hRule="atLeast"/>
              </w:trPr>
              <w:tc>
                <w:tcPr>
                  <w:tcW w:w="655" w:type="dxa"/>
                  <w:vMerge w:val="continue"/>
                  <w:vAlign w:val="center"/>
                </w:tcPr>
                <w:p w14:paraId="212C5E15">
                  <w:pPr>
                    <w:widowControl/>
                    <w:jc w:val="center"/>
                    <w:textAlignment w:val="center"/>
                    <w:rPr>
                      <w:color w:val="auto"/>
                      <w:kern w:val="0"/>
                      <w:szCs w:val="21"/>
                      <w:lang w:bidi="ar"/>
                    </w:rPr>
                  </w:pPr>
                </w:p>
              </w:tc>
              <w:tc>
                <w:tcPr>
                  <w:tcW w:w="903" w:type="dxa"/>
                  <w:vMerge w:val="continue"/>
                  <w:vAlign w:val="center"/>
                </w:tcPr>
                <w:p w14:paraId="759DFA1E">
                  <w:pPr>
                    <w:widowControl/>
                    <w:jc w:val="center"/>
                    <w:textAlignment w:val="center"/>
                    <w:rPr>
                      <w:color w:val="auto"/>
                      <w:kern w:val="0"/>
                      <w:szCs w:val="21"/>
                      <w:lang w:bidi="ar"/>
                    </w:rPr>
                  </w:pPr>
                </w:p>
              </w:tc>
              <w:tc>
                <w:tcPr>
                  <w:tcW w:w="1558" w:type="dxa"/>
                  <w:gridSpan w:val="2"/>
                  <w:vAlign w:val="center"/>
                </w:tcPr>
                <w:p w14:paraId="59E82D21">
                  <w:pPr>
                    <w:snapToGrid w:val="0"/>
                    <w:jc w:val="center"/>
                    <w:rPr>
                      <w:bCs/>
                      <w:color w:val="auto"/>
                      <w:szCs w:val="21"/>
                    </w:rPr>
                  </w:pPr>
                  <w:r>
                    <w:rPr>
                      <w:bCs/>
                      <w:color w:val="auto"/>
                      <w:szCs w:val="21"/>
                    </w:rPr>
                    <w:t>上料</w:t>
                  </w:r>
                </w:p>
                <w:p w14:paraId="17BE7B5B">
                  <w:pPr>
                    <w:widowControl/>
                    <w:jc w:val="center"/>
                    <w:textAlignment w:val="center"/>
                    <w:rPr>
                      <w:color w:val="auto"/>
                      <w:szCs w:val="21"/>
                    </w:rPr>
                  </w:pPr>
                  <w:r>
                    <w:rPr>
                      <w:bCs/>
                      <w:color w:val="auto"/>
                      <w:szCs w:val="21"/>
                    </w:rPr>
                    <w:t>粉尘</w:t>
                  </w:r>
                </w:p>
              </w:tc>
              <w:tc>
                <w:tcPr>
                  <w:tcW w:w="4106" w:type="dxa"/>
                  <w:vAlign w:val="center"/>
                </w:tcPr>
                <w:p w14:paraId="5D8D59B7">
                  <w:pPr>
                    <w:widowControl/>
                    <w:jc w:val="center"/>
                    <w:textAlignment w:val="center"/>
                    <w:rPr>
                      <w:color w:val="auto"/>
                      <w:szCs w:val="21"/>
                    </w:rPr>
                  </w:pPr>
                  <w:r>
                    <w:rPr>
                      <w:bCs/>
                      <w:color w:val="auto"/>
                      <w:szCs w:val="21"/>
                    </w:rPr>
                    <w:t>焦粉兰炭粉上料时干雾抑尘器喷水抑尘</w:t>
                  </w:r>
                  <w:r>
                    <w:rPr>
                      <w:rFonts w:hint="eastAsia"/>
                      <w:bCs/>
                      <w:color w:val="auto"/>
                      <w:szCs w:val="21"/>
                    </w:rPr>
                    <w:t>+</w:t>
                  </w:r>
                  <w:r>
                    <w:rPr>
                      <w:bCs/>
                      <w:color w:val="auto"/>
                      <w:szCs w:val="21"/>
                    </w:rPr>
                    <w:t>集气罩（90%）收集后经密闭抽尘管道引至1套布袋除尘器（99%）处理后</w:t>
                  </w:r>
                  <w:r>
                    <w:rPr>
                      <w:rFonts w:hint="eastAsia"/>
                      <w:bCs/>
                      <w:color w:val="auto"/>
                      <w:szCs w:val="21"/>
                    </w:rPr>
                    <w:t>通过1根</w:t>
                  </w:r>
                  <w:r>
                    <w:rPr>
                      <w:rFonts w:hint="eastAsia"/>
                      <w:bCs/>
                      <w:color w:val="auto"/>
                      <w:szCs w:val="21"/>
                      <w:lang w:val="en-US" w:eastAsia="zh-CN"/>
                    </w:rPr>
                    <w:t>20</w:t>
                  </w:r>
                  <w:r>
                    <w:rPr>
                      <w:rFonts w:hint="eastAsia"/>
                      <w:bCs/>
                      <w:color w:val="auto"/>
                      <w:szCs w:val="21"/>
                    </w:rPr>
                    <w:t>m 高排气筒（DA001）。</w:t>
                  </w:r>
                </w:p>
              </w:tc>
              <w:tc>
                <w:tcPr>
                  <w:tcW w:w="795" w:type="dxa"/>
                  <w:gridSpan w:val="2"/>
                  <w:vAlign w:val="center"/>
                </w:tcPr>
                <w:p w14:paraId="0480BDEB">
                  <w:pPr>
                    <w:widowControl/>
                    <w:jc w:val="center"/>
                    <w:textAlignment w:val="center"/>
                    <w:rPr>
                      <w:color w:val="auto"/>
                      <w:kern w:val="0"/>
                      <w:szCs w:val="21"/>
                      <w:lang w:bidi="ar"/>
                    </w:rPr>
                  </w:pPr>
                  <w:r>
                    <w:rPr>
                      <w:rFonts w:hint="eastAsia"/>
                      <w:color w:val="auto"/>
                      <w:kern w:val="0"/>
                      <w:szCs w:val="21"/>
                      <w:lang w:bidi="ar"/>
                    </w:rPr>
                    <w:t>新建</w:t>
                  </w:r>
                </w:p>
              </w:tc>
            </w:tr>
            <w:tr w14:paraId="0946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45" w:hRule="atLeast"/>
              </w:trPr>
              <w:tc>
                <w:tcPr>
                  <w:tcW w:w="655" w:type="dxa"/>
                  <w:vMerge w:val="continue"/>
                  <w:vAlign w:val="center"/>
                </w:tcPr>
                <w:p w14:paraId="0CBEB21E">
                  <w:pPr>
                    <w:widowControl/>
                    <w:jc w:val="center"/>
                    <w:textAlignment w:val="center"/>
                    <w:rPr>
                      <w:color w:val="auto"/>
                      <w:kern w:val="0"/>
                      <w:szCs w:val="21"/>
                      <w:lang w:bidi="ar"/>
                    </w:rPr>
                  </w:pPr>
                </w:p>
              </w:tc>
              <w:tc>
                <w:tcPr>
                  <w:tcW w:w="903" w:type="dxa"/>
                  <w:vMerge w:val="continue"/>
                  <w:vAlign w:val="center"/>
                </w:tcPr>
                <w:p w14:paraId="7A958513">
                  <w:pPr>
                    <w:widowControl/>
                    <w:jc w:val="center"/>
                    <w:textAlignment w:val="center"/>
                    <w:rPr>
                      <w:color w:val="auto"/>
                      <w:kern w:val="0"/>
                      <w:szCs w:val="21"/>
                      <w:lang w:bidi="ar"/>
                    </w:rPr>
                  </w:pPr>
                </w:p>
              </w:tc>
              <w:tc>
                <w:tcPr>
                  <w:tcW w:w="1558" w:type="dxa"/>
                  <w:gridSpan w:val="2"/>
                  <w:vAlign w:val="center"/>
                </w:tcPr>
                <w:p w14:paraId="3B17DE82">
                  <w:pPr>
                    <w:widowControl/>
                    <w:jc w:val="center"/>
                    <w:textAlignment w:val="center"/>
                    <w:rPr>
                      <w:rFonts w:hint="eastAsia"/>
                      <w:bCs/>
                      <w:color w:val="auto"/>
                      <w:szCs w:val="21"/>
                      <w:lang w:val="en-US" w:eastAsia="zh-CN"/>
                    </w:rPr>
                  </w:pPr>
                  <w:r>
                    <w:rPr>
                      <w:rFonts w:hint="eastAsia"/>
                      <w:bCs/>
                      <w:color w:val="auto"/>
                      <w:szCs w:val="21"/>
                      <w:lang w:val="en-US" w:eastAsia="zh-CN"/>
                    </w:rPr>
                    <w:t>搅拌</w:t>
                  </w:r>
                </w:p>
                <w:p w14:paraId="6CDB4FAB">
                  <w:pPr>
                    <w:widowControl/>
                    <w:jc w:val="center"/>
                    <w:textAlignment w:val="center"/>
                    <w:rPr>
                      <w:rFonts w:hint="default" w:eastAsia="宋体"/>
                      <w:bCs/>
                      <w:color w:val="auto"/>
                      <w:szCs w:val="21"/>
                      <w:lang w:val="en-US" w:eastAsia="zh-CN"/>
                    </w:rPr>
                  </w:pPr>
                  <w:r>
                    <w:rPr>
                      <w:rFonts w:hint="eastAsia"/>
                      <w:bCs/>
                      <w:color w:val="auto"/>
                      <w:szCs w:val="21"/>
                      <w:lang w:val="en-US" w:eastAsia="zh-CN"/>
                    </w:rPr>
                    <w:t>粉尘</w:t>
                  </w:r>
                </w:p>
              </w:tc>
              <w:tc>
                <w:tcPr>
                  <w:tcW w:w="4106" w:type="dxa"/>
                  <w:vAlign w:val="center"/>
                </w:tcPr>
                <w:p w14:paraId="5D938E52">
                  <w:pPr>
                    <w:widowControl/>
                    <w:jc w:val="center"/>
                    <w:textAlignment w:val="center"/>
                    <w:rPr>
                      <w:bCs/>
                      <w:color w:val="auto"/>
                      <w:szCs w:val="21"/>
                    </w:rPr>
                  </w:pPr>
                  <w:r>
                    <w:rPr>
                      <w:rFonts w:hint="eastAsia"/>
                      <w:bCs/>
                      <w:color w:val="auto"/>
                      <w:szCs w:val="21"/>
                    </w:rPr>
                    <w:t>经集气罩（90%）收集后经密闭抽尘管道引布袋除尘器（与烘干尾气处共用共用，效率99%）处理后通过1根</w:t>
                  </w:r>
                  <w:r>
                    <w:rPr>
                      <w:rFonts w:hint="eastAsia"/>
                      <w:bCs/>
                      <w:color w:val="auto"/>
                      <w:szCs w:val="21"/>
                      <w:lang w:val="en-US" w:eastAsia="zh-CN"/>
                    </w:rPr>
                    <w:t>20</w:t>
                  </w:r>
                  <w:r>
                    <w:rPr>
                      <w:rFonts w:hint="eastAsia"/>
                      <w:bCs/>
                      <w:color w:val="auto"/>
                      <w:szCs w:val="21"/>
                    </w:rPr>
                    <w:t>m 高排气筒（DA002）排放</w:t>
                  </w:r>
                </w:p>
              </w:tc>
              <w:tc>
                <w:tcPr>
                  <w:tcW w:w="795" w:type="dxa"/>
                  <w:gridSpan w:val="2"/>
                  <w:shd w:val="clear" w:color="auto" w:fill="auto"/>
                  <w:vAlign w:val="center"/>
                </w:tcPr>
                <w:p w14:paraId="49B35284">
                  <w:pPr>
                    <w:widowControl/>
                    <w:jc w:val="center"/>
                    <w:textAlignment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bidi="ar"/>
                    </w:rPr>
                    <w:t>新建</w:t>
                  </w:r>
                </w:p>
              </w:tc>
            </w:tr>
            <w:tr w14:paraId="7B81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203" w:hRule="atLeast"/>
              </w:trPr>
              <w:tc>
                <w:tcPr>
                  <w:tcW w:w="655" w:type="dxa"/>
                  <w:vMerge w:val="continue"/>
                  <w:vAlign w:val="center"/>
                </w:tcPr>
                <w:p w14:paraId="2352544C">
                  <w:pPr>
                    <w:widowControl/>
                    <w:jc w:val="center"/>
                    <w:textAlignment w:val="center"/>
                    <w:rPr>
                      <w:color w:val="auto"/>
                      <w:kern w:val="0"/>
                      <w:szCs w:val="21"/>
                      <w:lang w:bidi="ar"/>
                    </w:rPr>
                  </w:pPr>
                </w:p>
              </w:tc>
              <w:tc>
                <w:tcPr>
                  <w:tcW w:w="903" w:type="dxa"/>
                  <w:vMerge w:val="continue"/>
                  <w:vAlign w:val="center"/>
                </w:tcPr>
                <w:p w14:paraId="4F6D234C">
                  <w:pPr>
                    <w:widowControl/>
                    <w:jc w:val="center"/>
                    <w:textAlignment w:val="center"/>
                    <w:rPr>
                      <w:color w:val="auto"/>
                      <w:kern w:val="0"/>
                      <w:szCs w:val="21"/>
                      <w:lang w:bidi="ar"/>
                    </w:rPr>
                  </w:pPr>
                </w:p>
              </w:tc>
              <w:tc>
                <w:tcPr>
                  <w:tcW w:w="1558" w:type="dxa"/>
                  <w:gridSpan w:val="2"/>
                  <w:vAlign w:val="center"/>
                </w:tcPr>
                <w:p w14:paraId="78417AAF">
                  <w:pPr>
                    <w:snapToGrid w:val="0"/>
                    <w:jc w:val="center"/>
                    <w:rPr>
                      <w:color w:val="auto"/>
                      <w:kern w:val="0"/>
                      <w:szCs w:val="21"/>
                      <w:lang w:bidi="ar"/>
                    </w:rPr>
                  </w:pPr>
                  <w:r>
                    <w:rPr>
                      <w:color w:val="auto"/>
                      <w:kern w:val="0"/>
                      <w:szCs w:val="21"/>
                      <w:lang w:bidi="ar"/>
                    </w:rPr>
                    <w:t>烘干</w:t>
                  </w:r>
                </w:p>
                <w:p w14:paraId="53C65F51">
                  <w:pPr>
                    <w:widowControl/>
                    <w:jc w:val="center"/>
                    <w:textAlignment w:val="center"/>
                    <w:rPr>
                      <w:color w:val="auto"/>
                      <w:szCs w:val="21"/>
                    </w:rPr>
                  </w:pPr>
                  <w:r>
                    <w:rPr>
                      <w:color w:val="auto"/>
                      <w:kern w:val="0"/>
                      <w:szCs w:val="21"/>
                      <w:lang w:bidi="ar"/>
                    </w:rPr>
                    <w:t>废气</w:t>
                  </w:r>
                </w:p>
              </w:tc>
              <w:tc>
                <w:tcPr>
                  <w:tcW w:w="4106" w:type="dxa"/>
                  <w:vAlign w:val="center"/>
                </w:tcPr>
                <w:p w14:paraId="25D2CBE6">
                  <w:pPr>
                    <w:snapToGrid w:val="0"/>
                    <w:jc w:val="center"/>
                    <w:rPr>
                      <w:bCs/>
                      <w:color w:val="auto"/>
                      <w:szCs w:val="21"/>
                    </w:rPr>
                  </w:pPr>
                  <w:r>
                    <w:rPr>
                      <w:rFonts w:hint="eastAsia"/>
                      <w:bCs/>
                      <w:color w:val="auto"/>
                      <w:szCs w:val="21"/>
                    </w:rPr>
                    <w:t>三条生产线各设1套布袋除尘器，除尘器内除尘灰</w:t>
                  </w:r>
                  <w:r>
                    <w:rPr>
                      <w:bCs/>
                      <w:color w:val="auto"/>
                      <w:szCs w:val="21"/>
                    </w:rPr>
                    <w:t>定期收集后返回生产工序综合利用</w:t>
                  </w:r>
                  <w:r>
                    <w:rPr>
                      <w:rFonts w:hint="eastAsia"/>
                      <w:bCs/>
                      <w:color w:val="auto"/>
                      <w:szCs w:val="21"/>
                    </w:rPr>
                    <w:t>，布袋除尘器除尘后由引风机送入1根</w:t>
                  </w:r>
                  <w:r>
                    <w:rPr>
                      <w:rFonts w:hint="eastAsia"/>
                      <w:bCs/>
                      <w:color w:val="auto"/>
                      <w:szCs w:val="21"/>
                      <w:lang w:val="en-US" w:eastAsia="zh-CN"/>
                    </w:rPr>
                    <w:t>20</w:t>
                  </w:r>
                  <w:r>
                    <w:rPr>
                      <w:rFonts w:hint="eastAsia"/>
                      <w:bCs/>
                      <w:color w:val="auto"/>
                      <w:szCs w:val="21"/>
                    </w:rPr>
                    <w:t>m高排气筒（DA002）达标排放。</w:t>
                  </w:r>
                </w:p>
              </w:tc>
              <w:tc>
                <w:tcPr>
                  <w:tcW w:w="795" w:type="dxa"/>
                  <w:gridSpan w:val="2"/>
                  <w:vAlign w:val="center"/>
                </w:tcPr>
                <w:p w14:paraId="4FC96143">
                  <w:pPr>
                    <w:widowControl/>
                    <w:jc w:val="center"/>
                    <w:textAlignment w:val="center"/>
                    <w:rPr>
                      <w:color w:val="auto"/>
                      <w:kern w:val="0"/>
                      <w:szCs w:val="21"/>
                      <w:lang w:bidi="ar"/>
                    </w:rPr>
                  </w:pPr>
                  <w:r>
                    <w:rPr>
                      <w:rFonts w:hint="eastAsia"/>
                      <w:color w:val="auto"/>
                      <w:kern w:val="0"/>
                      <w:szCs w:val="21"/>
                      <w:lang w:bidi="ar"/>
                    </w:rPr>
                    <w:t>新建</w:t>
                  </w:r>
                </w:p>
              </w:tc>
            </w:tr>
            <w:tr w14:paraId="5243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909" w:hRule="atLeast"/>
              </w:trPr>
              <w:tc>
                <w:tcPr>
                  <w:tcW w:w="655" w:type="dxa"/>
                  <w:vMerge w:val="continue"/>
                  <w:vAlign w:val="center"/>
                </w:tcPr>
                <w:p w14:paraId="3F6F6AEB">
                  <w:pPr>
                    <w:widowControl/>
                    <w:jc w:val="center"/>
                    <w:textAlignment w:val="center"/>
                    <w:rPr>
                      <w:color w:val="auto"/>
                      <w:kern w:val="0"/>
                      <w:szCs w:val="21"/>
                      <w:lang w:bidi="ar"/>
                    </w:rPr>
                  </w:pPr>
                </w:p>
              </w:tc>
              <w:tc>
                <w:tcPr>
                  <w:tcW w:w="903" w:type="dxa"/>
                  <w:vMerge w:val="continue"/>
                  <w:vAlign w:val="center"/>
                </w:tcPr>
                <w:p w14:paraId="0C687AAD">
                  <w:pPr>
                    <w:widowControl/>
                    <w:jc w:val="center"/>
                    <w:textAlignment w:val="center"/>
                    <w:rPr>
                      <w:color w:val="auto"/>
                      <w:kern w:val="0"/>
                      <w:szCs w:val="21"/>
                      <w:lang w:bidi="ar"/>
                    </w:rPr>
                  </w:pPr>
                </w:p>
              </w:tc>
              <w:tc>
                <w:tcPr>
                  <w:tcW w:w="1558" w:type="dxa"/>
                  <w:gridSpan w:val="2"/>
                  <w:vAlign w:val="center"/>
                </w:tcPr>
                <w:p w14:paraId="16648143">
                  <w:pPr>
                    <w:snapToGrid w:val="0"/>
                    <w:jc w:val="center"/>
                    <w:rPr>
                      <w:bCs/>
                      <w:color w:val="auto"/>
                      <w:szCs w:val="21"/>
                    </w:rPr>
                  </w:pPr>
                  <w:r>
                    <w:rPr>
                      <w:bCs/>
                      <w:color w:val="auto"/>
                      <w:szCs w:val="21"/>
                    </w:rPr>
                    <w:t>筛分</w:t>
                  </w:r>
                </w:p>
                <w:p w14:paraId="29CB97C7">
                  <w:pPr>
                    <w:widowControl/>
                    <w:jc w:val="center"/>
                    <w:textAlignment w:val="center"/>
                    <w:rPr>
                      <w:color w:val="auto"/>
                      <w:szCs w:val="21"/>
                    </w:rPr>
                  </w:pPr>
                  <w:r>
                    <w:rPr>
                      <w:bCs/>
                      <w:color w:val="auto"/>
                      <w:szCs w:val="21"/>
                    </w:rPr>
                    <w:t>粉尘</w:t>
                  </w:r>
                </w:p>
              </w:tc>
              <w:tc>
                <w:tcPr>
                  <w:tcW w:w="4106" w:type="dxa"/>
                  <w:vAlign w:val="center"/>
                </w:tcPr>
                <w:p w14:paraId="5E2A65B7">
                  <w:pPr>
                    <w:snapToGrid w:val="0"/>
                    <w:jc w:val="center"/>
                    <w:rPr>
                      <w:bCs/>
                      <w:color w:val="auto"/>
                      <w:szCs w:val="21"/>
                    </w:rPr>
                  </w:pPr>
                  <w:r>
                    <w:rPr>
                      <w:bCs/>
                      <w:color w:val="auto"/>
                      <w:szCs w:val="21"/>
                    </w:rPr>
                    <w:t>经集气罩（90%）收集后经密闭抽尘管道引布袋除尘器（与烘干尾气处共用，效率99%）处理后通过1根</w:t>
                  </w:r>
                  <w:r>
                    <w:rPr>
                      <w:rFonts w:hint="eastAsia"/>
                      <w:bCs/>
                      <w:color w:val="auto"/>
                      <w:szCs w:val="21"/>
                      <w:lang w:val="en-US" w:eastAsia="zh-CN"/>
                    </w:rPr>
                    <w:t>20</w:t>
                  </w:r>
                  <w:r>
                    <w:rPr>
                      <w:bCs/>
                      <w:color w:val="auto"/>
                      <w:szCs w:val="21"/>
                    </w:rPr>
                    <w:t>m 高排气筒排放</w:t>
                  </w:r>
                  <w:r>
                    <w:rPr>
                      <w:rFonts w:hint="eastAsia"/>
                      <w:bCs/>
                      <w:color w:val="auto"/>
                      <w:szCs w:val="21"/>
                    </w:rPr>
                    <w:t>（DA002）</w:t>
                  </w:r>
                </w:p>
              </w:tc>
              <w:tc>
                <w:tcPr>
                  <w:tcW w:w="795" w:type="dxa"/>
                  <w:gridSpan w:val="2"/>
                  <w:vAlign w:val="center"/>
                </w:tcPr>
                <w:p w14:paraId="1A50EE9F">
                  <w:pPr>
                    <w:widowControl/>
                    <w:jc w:val="center"/>
                    <w:textAlignment w:val="center"/>
                    <w:rPr>
                      <w:color w:val="auto"/>
                      <w:kern w:val="0"/>
                      <w:szCs w:val="21"/>
                      <w:lang w:bidi="ar"/>
                    </w:rPr>
                  </w:pPr>
                  <w:r>
                    <w:rPr>
                      <w:rFonts w:hint="eastAsia"/>
                      <w:color w:val="auto"/>
                      <w:kern w:val="0"/>
                      <w:szCs w:val="21"/>
                      <w:lang w:bidi="ar"/>
                    </w:rPr>
                    <w:t>新建</w:t>
                  </w:r>
                </w:p>
              </w:tc>
            </w:tr>
            <w:tr w14:paraId="74B1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909" w:hRule="atLeast"/>
              </w:trPr>
              <w:tc>
                <w:tcPr>
                  <w:tcW w:w="655" w:type="dxa"/>
                  <w:vMerge w:val="continue"/>
                  <w:vAlign w:val="center"/>
                </w:tcPr>
                <w:p w14:paraId="7C3B3AA8">
                  <w:pPr>
                    <w:widowControl/>
                    <w:jc w:val="center"/>
                    <w:textAlignment w:val="center"/>
                    <w:rPr>
                      <w:color w:val="auto"/>
                      <w:kern w:val="0"/>
                      <w:szCs w:val="21"/>
                      <w:lang w:bidi="ar"/>
                    </w:rPr>
                  </w:pPr>
                </w:p>
              </w:tc>
              <w:tc>
                <w:tcPr>
                  <w:tcW w:w="903" w:type="dxa"/>
                  <w:vMerge w:val="continue"/>
                  <w:vAlign w:val="center"/>
                </w:tcPr>
                <w:p w14:paraId="1FC5AAF2">
                  <w:pPr>
                    <w:widowControl/>
                    <w:jc w:val="center"/>
                    <w:textAlignment w:val="center"/>
                    <w:rPr>
                      <w:color w:val="auto"/>
                      <w:kern w:val="0"/>
                      <w:szCs w:val="21"/>
                      <w:lang w:bidi="ar"/>
                    </w:rPr>
                  </w:pPr>
                </w:p>
              </w:tc>
              <w:tc>
                <w:tcPr>
                  <w:tcW w:w="1558" w:type="dxa"/>
                  <w:gridSpan w:val="2"/>
                  <w:vAlign w:val="center"/>
                </w:tcPr>
                <w:p w14:paraId="034420B0">
                  <w:pPr>
                    <w:widowControl/>
                    <w:jc w:val="center"/>
                    <w:textAlignment w:val="center"/>
                    <w:rPr>
                      <w:bCs/>
                      <w:color w:val="auto"/>
                      <w:szCs w:val="21"/>
                    </w:rPr>
                  </w:pPr>
                  <w:r>
                    <w:rPr>
                      <w:rFonts w:hint="eastAsia" w:ascii="Times New Roman" w:hAnsi="Times New Roman" w:eastAsia="宋体" w:cs="Times New Roman"/>
                      <w:bCs/>
                      <w:color w:val="auto"/>
                      <w:kern w:val="0"/>
                      <w:sz w:val="21"/>
                      <w:szCs w:val="21"/>
                      <w:lang w:val="en-US" w:eastAsia="zh-CN" w:bidi="ar-SA"/>
                    </w:rPr>
                    <w:t>包装粉尘</w:t>
                  </w:r>
                </w:p>
              </w:tc>
              <w:tc>
                <w:tcPr>
                  <w:tcW w:w="4106" w:type="dxa"/>
                  <w:vAlign w:val="center"/>
                </w:tcPr>
                <w:p w14:paraId="2D64D4AC">
                  <w:pPr>
                    <w:snapToGrid w:val="0"/>
                    <w:jc w:val="center"/>
                    <w:rPr>
                      <w:bCs/>
                      <w:color w:val="auto"/>
                      <w:szCs w:val="21"/>
                    </w:rPr>
                  </w:pPr>
                  <w:r>
                    <w:rPr>
                      <w:rFonts w:ascii="Times New Roman" w:hAnsi="Times New Roman" w:eastAsia="宋体" w:cs="Times New Roman"/>
                      <w:bCs/>
                      <w:color w:val="auto"/>
                      <w:kern w:val="0"/>
                      <w:sz w:val="21"/>
                      <w:szCs w:val="21"/>
                      <w:lang w:val="en-US" w:eastAsia="zh-CN" w:bidi="ar-SA"/>
                    </w:rPr>
                    <w:t>经集气罩（90%）收集后经密闭抽尘管道引布袋除尘器（与烘干尾气处共用共用，效率99%）处理后通过1根</w:t>
                  </w:r>
                  <w:r>
                    <w:rPr>
                      <w:rFonts w:hint="eastAsia" w:ascii="Times New Roman" w:hAnsi="Times New Roman" w:eastAsia="宋体" w:cs="Times New Roman"/>
                      <w:bCs/>
                      <w:color w:val="auto"/>
                      <w:kern w:val="0"/>
                      <w:sz w:val="21"/>
                      <w:szCs w:val="21"/>
                      <w:lang w:val="en-US" w:eastAsia="zh-CN" w:bidi="ar-SA"/>
                    </w:rPr>
                    <w:t>20</w:t>
                  </w:r>
                  <w:r>
                    <w:rPr>
                      <w:rFonts w:ascii="Times New Roman" w:hAnsi="Times New Roman" w:eastAsia="宋体" w:cs="Times New Roman"/>
                      <w:bCs/>
                      <w:color w:val="auto"/>
                      <w:kern w:val="0"/>
                      <w:sz w:val="21"/>
                      <w:szCs w:val="21"/>
                      <w:lang w:val="en-US" w:eastAsia="zh-CN" w:bidi="ar-SA"/>
                    </w:rPr>
                    <w:t>m 高排气筒排放（DA002）</w:t>
                  </w:r>
                </w:p>
              </w:tc>
              <w:tc>
                <w:tcPr>
                  <w:tcW w:w="795" w:type="dxa"/>
                  <w:gridSpan w:val="2"/>
                  <w:vAlign w:val="center"/>
                </w:tcPr>
                <w:p w14:paraId="548D8A50">
                  <w:pPr>
                    <w:widowControl/>
                    <w:jc w:val="center"/>
                    <w:textAlignment w:val="center"/>
                    <w:rPr>
                      <w:rFonts w:hint="eastAsia" w:eastAsia="宋体"/>
                      <w:color w:val="auto"/>
                      <w:kern w:val="0"/>
                      <w:szCs w:val="21"/>
                      <w:lang w:val="en-US" w:eastAsia="zh-CN" w:bidi="ar"/>
                    </w:rPr>
                  </w:pPr>
                  <w:r>
                    <w:rPr>
                      <w:rFonts w:hint="eastAsia"/>
                      <w:color w:val="auto"/>
                      <w:kern w:val="0"/>
                      <w:szCs w:val="21"/>
                      <w:lang w:val="en-US" w:eastAsia="zh-CN" w:bidi="ar"/>
                    </w:rPr>
                    <w:t>新建</w:t>
                  </w:r>
                </w:p>
              </w:tc>
            </w:tr>
            <w:tr w14:paraId="0175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16" w:hRule="atLeast"/>
              </w:trPr>
              <w:tc>
                <w:tcPr>
                  <w:tcW w:w="655" w:type="dxa"/>
                  <w:vMerge w:val="continue"/>
                  <w:vAlign w:val="center"/>
                </w:tcPr>
                <w:p w14:paraId="745E38EE">
                  <w:pPr>
                    <w:widowControl/>
                    <w:jc w:val="center"/>
                    <w:textAlignment w:val="center"/>
                    <w:rPr>
                      <w:color w:val="auto"/>
                      <w:kern w:val="0"/>
                      <w:szCs w:val="21"/>
                      <w:lang w:bidi="ar"/>
                    </w:rPr>
                  </w:pPr>
                </w:p>
              </w:tc>
              <w:tc>
                <w:tcPr>
                  <w:tcW w:w="903" w:type="dxa"/>
                  <w:vMerge w:val="continue"/>
                  <w:vAlign w:val="center"/>
                </w:tcPr>
                <w:p w14:paraId="3855EC51">
                  <w:pPr>
                    <w:widowControl/>
                    <w:jc w:val="center"/>
                    <w:textAlignment w:val="center"/>
                    <w:rPr>
                      <w:color w:val="auto"/>
                      <w:kern w:val="0"/>
                      <w:szCs w:val="21"/>
                      <w:lang w:bidi="ar"/>
                    </w:rPr>
                  </w:pPr>
                </w:p>
              </w:tc>
              <w:tc>
                <w:tcPr>
                  <w:tcW w:w="1558" w:type="dxa"/>
                  <w:gridSpan w:val="2"/>
                  <w:vAlign w:val="center"/>
                </w:tcPr>
                <w:p w14:paraId="7D767B5C">
                  <w:pPr>
                    <w:widowControl/>
                    <w:jc w:val="center"/>
                    <w:rPr>
                      <w:color w:val="auto"/>
                      <w:szCs w:val="21"/>
                    </w:rPr>
                  </w:pPr>
                  <w:r>
                    <w:rPr>
                      <w:color w:val="auto"/>
                      <w:kern w:val="0"/>
                      <w:szCs w:val="21"/>
                      <w:lang w:bidi="ar"/>
                    </w:rPr>
                    <w:t>未被收集的粉尘</w:t>
                  </w:r>
                </w:p>
              </w:tc>
              <w:tc>
                <w:tcPr>
                  <w:tcW w:w="4106" w:type="dxa"/>
                  <w:vAlign w:val="center"/>
                </w:tcPr>
                <w:p w14:paraId="680F110C">
                  <w:pPr>
                    <w:widowControl/>
                    <w:jc w:val="center"/>
                    <w:textAlignment w:val="center"/>
                    <w:rPr>
                      <w:color w:val="auto"/>
                      <w:szCs w:val="21"/>
                    </w:rPr>
                  </w:pPr>
                  <w:r>
                    <w:rPr>
                      <w:rFonts w:hint="eastAsia"/>
                      <w:bCs/>
                      <w:color w:val="auto"/>
                      <w:szCs w:val="21"/>
                      <w:lang w:val="en-US" w:eastAsia="zh-CN"/>
                    </w:rPr>
                    <w:t>原料仓库干雾抑尘器洒水抑尘+封闭厂房；型焦生产车间洒水抑尘+封闭厂房</w:t>
                  </w:r>
                </w:p>
              </w:tc>
              <w:tc>
                <w:tcPr>
                  <w:tcW w:w="795" w:type="dxa"/>
                  <w:gridSpan w:val="2"/>
                  <w:vAlign w:val="center"/>
                </w:tcPr>
                <w:p w14:paraId="43F20681">
                  <w:pPr>
                    <w:widowControl/>
                    <w:jc w:val="center"/>
                    <w:textAlignment w:val="center"/>
                    <w:rPr>
                      <w:color w:val="auto"/>
                      <w:kern w:val="0"/>
                      <w:szCs w:val="21"/>
                      <w:lang w:bidi="ar"/>
                    </w:rPr>
                  </w:pPr>
                  <w:r>
                    <w:rPr>
                      <w:rFonts w:hint="eastAsia"/>
                      <w:color w:val="auto"/>
                      <w:kern w:val="0"/>
                      <w:szCs w:val="21"/>
                      <w:lang w:bidi="ar"/>
                    </w:rPr>
                    <w:t>新建</w:t>
                  </w:r>
                </w:p>
              </w:tc>
            </w:tr>
            <w:tr w14:paraId="0C2D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82" w:hRule="atLeast"/>
              </w:trPr>
              <w:tc>
                <w:tcPr>
                  <w:tcW w:w="655" w:type="dxa"/>
                  <w:vMerge w:val="continue"/>
                  <w:vAlign w:val="center"/>
                </w:tcPr>
                <w:p w14:paraId="0F487E3B">
                  <w:pPr>
                    <w:widowControl/>
                    <w:jc w:val="center"/>
                    <w:textAlignment w:val="center"/>
                    <w:rPr>
                      <w:color w:val="auto"/>
                      <w:kern w:val="0"/>
                      <w:szCs w:val="21"/>
                      <w:lang w:bidi="ar"/>
                    </w:rPr>
                  </w:pPr>
                </w:p>
              </w:tc>
              <w:tc>
                <w:tcPr>
                  <w:tcW w:w="903" w:type="dxa"/>
                  <w:vMerge w:val="continue"/>
                  <w:vAlign w:val="center"/>
                </w:tcPr>
                <w:p w14:paraId="730F24DF">
                  <w:pPr>
                    <w:widowControl/>
                    <w:jc w:val="center"/>
                    <w:textAlignment w:val="center"/>
                    <w:rPr>
                      <w:rFonts w:hint="eastAsia"/>
                      <w:color w:val="auto"/>
                      <w:kern w:val="0"/>
                      <w:szCs w:val="21"/>
                      <w:lang w:bidi="ar"/>
                    </w:rPr>
                  </w:pPr>
                </w:p>
              </w:tc>
              <w:tc>
                <w:tcPr>
                  <w:tcW w:w="1558" w:type="dxa"/>
                  <w:gridSpan w:val="2"/>
                  <w:vAlign w:val="center"/>
                </w:tcPr>
                <w:p w14:paraId="2E3D5487">
                  <w:pPr>
                    <w:widowControl/>
                    <w:jc w:val="center"/>
                    <w:textAlignment w:val="center"/>
                    <w:rPr>
                      <w:rFonts w:hint="default" w:eastAsia="宋体"/>
                      <w:color w:val="auto"/>
                      <w:szCs w:val="21"/>
                      <w:lang w:val="en-US" w:eastAsia="zh-CN"/>
                    </w:rPr>
                  </w:pPr>
                  <w:r>
                    <w:rPr>
                      <w:rFonts w:hint="eastAsia"/>
                      <w:color w:val="auto"/>
                      <w:szCs w:val="21"/>
                      <w:lang w:val="en-US" w:eastAsia="zh-CN"/>
                    </w:rPr>
                    <w:t>产品储存</w:t>
                  </w:r>
                </w:p>
              </w:tc>
              <w:tc>
                <w:tcPr>
                  <w:tcW w:w="4106" w:type="dxa"/>
                  <w:vAlign w:val="center"/>
                </w:tcPr>
                <w:p w14:paraId="18245DF8">
                  <w:pPr>
                    <w:widowControl/>
                    <w:jc w:val="center"/>
                    <w:textAlignment w:val="center"/>
                    <w:rPr>
                      <w:rFonts w:hint="eastAsia" w:eastAsia="宋体"/>
                      <w:color w:val="auto"/>
                      <w:szCs w:val="21"/>
                      <w:lang w:val="en-US" w:eastAsia="zh-CN"/>
                    </w:rPr>
                  </w:pPr>
                  <w:r>
                    <w:rPr>
                      <w:rFonts w:hint="eastAsia"/>
                      <w:color w:val="auto"/>
                      <w:szCs w:val="21"/>
                      <w:lang w:val="en-US" w:eastAsia="zh-CN"/>
                    </w:rPr>
                    <w:t>包装后送货入全封闭</w:t>
                  </w:r>
                  <w:r>
                    <w:rPr>
                      <w:rFonts w:hint="eastAsia"/>
                      <w:color w:val="auto"/>
                      <w:spacing w:val="2"/>
                      <w:szCs w:val="21"/>
                    </w:rPr>
                    <w:t>成品仓库</w:t>
                  </w:r>
                  <w:r>
                    <w:rPr>
                      <w:rFonts w:hint="eastAsia"/>
                      <w:color w:val="auto"/>
                      <w:spacing w:val="2"/>
                      <w:szCs w:val="21"/>
                      <w:lang w:val="en-US" w:eastAsia="zh-CN"/>
                    </w:rPr>
                    <w:t>储存。</w:t>
                  </w:r>
                </w:p>
              </w:tc>
              <w:tc>
                <w:tcPr>
                  <w:tcW w:w="795" w:type="dxa"/>
                  <w:gridSpan w:val="2"/>
                  <w:vAlign w:val="center"/>
                </w:tcPr>
                <w:p w14:paraId="560F4E41">
                  <w:pPr>
                    <w:widowControl/>
                    <w:jc w:val="center"/>
                    <w:textAlignment w:val="center"/>
                    <w:rPr>
                      <w:rFonts w:hint="eastAsia" w:eastAsia="宋体"/>
                      <w:color w:val="auto"/>
                      <w:kern w:val="0"/>
                      <w:szCs w:val="21"/>
                      <w:lang w:val="en-US" w:eastAsia="zh-CN" w:bidi="ar"/>
                    </w:rPr>
                  </w:pPr>
                  <w:r>
                    <w:rPr>
                      <w:rFonts w:hint="eastAsia"/>
                      <w:color w:val="auto"/>
                      <w:kern w:val="0"/>
                      <w:szCs w:val="21"/>
                      <w:lang w:val="en-US" w:eastAsia="zh-CN" w:bidi="ar"/>
                    </w:rPr>
                    <w:t>新建</w:t>
                  </w:r>
                </w:p>
              </w:tc>
            </w:tr>
            <w:tr w14:paraId="408E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082" w:hRule="atLeast"/>
              </w:trPr>
              <w:tc>
                <w:tcPr>
                  <w:tcW w:w="655" w:type="dxa"/>
                  <w:vMerge w:val="continue"/>
                  <w:vAlign w:val="center"/>
                </w:tcPr>
                <w:p w14:paraId="6FDF50E3">
                  <w:pPr>
                    <w:widowControl/>
                    <w:jc w:val="center"/>
                    <w:textAlignment w:val="center"/>
                    <w:rPr>
                      <w:color w:val="auto"/>
                      <w:kern w:val="0"/>
                      <w:szCs w:val="21"/>
                      <w:lang w:bidi="ar"/>
                    </w:rPr>
                  </w:pPr>
                </w:p>
              </w:tc>
              <w:tc>
                <w:tcPr>
                  <w:tcW w:w="903" w:type="dxa"/>
                  <w:vMerge w:val="restart"/>
                  <w:vAlign w:val="center"/>
                </w:tcPr>
                <w:p w14:paraId="41FCA80F">
                  <w:pPr>
                    <w:widowControl/>
                    <w:jc w:val="center"/>
                    <w:textAlignment w:val="center"/>
                    <w:rPr>
                      <w:color w:val="auto"/>
                      <w:kern w:val="0"/>
                      <w:szCs w:val="21"/>
                      <w:lang w:bidi="ar"/>
                    </w:rPr>
                  </w:pPr>
                  <w:r>
                    <w:rPr>
                      <w:rFonts w:hint="eastAsia"/>
                      <w:color w:val="auto"/>
                      <w:kern w:val="0"/>
                      <w:szCs w:val="21"/>
                      <w:lang w:bidi="ar"/>
                    </w:rPr>
                    <w:t>废水</w:t>
                  </w:r>
                </w:p>
              </w:tc>
              <w:tc>
                <w:tcPr>
                  <w:tcW w:w="1558" w:type="dxa"/>
                  <w:gridSpan w:val="2"/>
                  <w:vAlign w:val="center"/>
                </w:tcPr>
                <w:p w14:paraId="5192B6D5">
                  <w:pPr>
                    <w:widowControl/>
                    <w:jc w:val="center"/>
                    <w:textAlignment w:val="center"/>
                    <w:rPr>
                      <w:color w:val="auto"/>
                      <w:szCs w:val="21"/>
                    </w:rPr>
                  </w:pPr>
                  <w:r>
                    <w:rPr>
                      <w:rFonts w:hint="eastAsia"/>
                      <w:color w:val="auto"/>
                      <w:szCs w:val="21"/>
                    </w:rPr>
                    <w:t>生活</w:t>
                  </w:r>
                </w:p>
                <w:p w14:paraId="5B30546E">
                  <w:pPr>
                    <w:widowControl/>
                    <w:jc w:val="center"/>
                    <w:textAlignment w:val="center"/>
                    <w:rPr>
                      <w:color w:val="auto"/>
                      <w:szCs w:val="21"/>
                    </w:rPr>
                  </w:pPr>
                  <w:r>
                    <w:rPr>
                      <w:rFonts w:hint="eastAsia"/>
                      <w:color w:val="auto"/>
                      <w:szCs w:val="21"/>
                    </w:rPr>
                    <w:t>污水</w:t>
                  </w:r>
                </w:p>
              </w:tc>
              <w:tc>
                <w:tcPr>
                  <w:tcW w:w="4106" w:type="dxa"/>
                  <w:vAlign w:val="center"/>
                </w:tcPr>
                <w:p w14:paraId="20C804DF">
                  <w:pPr>
                    <w:widowControl/>
                    <w:jc w:val="center"/>
                    <w:textAlignment w:val="center"/>
                    <w:rPr>
                      <w:color w:val="auto"/>
                      <w:szCs w:val="21"/>
                    </w:rPr>
                  </w:pPr>
                  <w:r>
                    <w:rPr>
                      <w:rFonts w:hint="eastAsia"/>
                      <w:color w:val="auto"/>
                      <w:szCs w:val="21"/>
                    </w:rPr>
                    <w:t>生活污水</w:t>
                  </w:r>
                  <w:r>
                    <w:rPr>
                      <w:rFonts w:hint="eastAsia"/>
                      <w:color w:val="auto"/>
                      <w:szCs w:val="21"/>
                      <w:lang w:val="en-US" w:eastAsia="zh-CN"/>
                    </w:rPr>
                    <w:t>共需要</w:t>
                  </w:r>
                  <w:r>
                    <w:rPr>
                      <w:rFonts w:hint="eastAsia" w:ascii="Times New Roman" w:hAnsi="Times New Roman"/>
                      <w:bCs/>
                      <w:color w:val="auto"/>
                      <w:sz w:val="21"/>
                      <w:szCs w:val="21"/>
                    </w:rPr>
                    <w:t>319.68</w:t>
                  </w:r>
                  <w:r>
                    <w:rPr>
                      <w:rFonts w:ascii="Times New Roman" w:hAnsi="Times New Roman"/>
                      <w:bCs/>
                      <w:color w:val="auto"/>
                      <w:sz w:val="21"/>
                      <w:szCs w:val="21"/>
                    </w:rPr>
                    <w:t>m</w:t>
                  </w:r>
                  <w:r>
                    <w:rPr>
                      <w:rFonts w:ascii="Times New Roman" w:hAnsi="Times New Roman"/>
                      <w:bCs/>
                      <w:color w:val="auto"/>
                      <w:sz w:val="21"/>
                      <w:szCs w:val="21"/>
                      <w:vertAlign w:val="superscript"/>
                    </w:rPr>
                    <w:t>3</w:t>
                  </w:r>
                  <w:r>
                    <w:rPr>
                      <w:rFonts w:ascii="Times New Roman" w:hAnsi="Times New Roman"/>
                      <w:bCs/>
                      <w:color w:val="auto"/>
                      <w:sz w:val="21"/>
                      <w:szCs w:val="21"/>
                    </w:rPr>
                    <w:t xml:space="preserve"> /a</w:t>
                  </w:r>
                  <w:r>
                    <w:rPr>
                      <w:rFonts w:hint="eastAsia" w:ascii="Times New Roman" w:hAnsi="Times New Roman"/>
                      <w:bCs/>
                      <w:color w:val="auto"/>
                      <w:sz w:val="21"/>
                      <w:szCs w:val="21"/>
                      <w:lang w:eastAsia="zh-CN"/>
                    </w:rPr>
                    <w:t>，</w:t>
                  </w:r>
                  <w:r>
                    <w:rPr>
                      <w:rFonts w:hint="eastAsia" w:ascii="Times New Roman" w:hAnsi="Times New Roman"/>
                      <w:bCs/>
                      <w:color w:val="auto"/>
                      <w:sz w:val="21"/>
                      <w:szCs w:val="21"/>
                      <w:lang w:val="en-US" w:eastAsia="zh-CN"/>
                    </w:rPr>
                    <w:t>污水</w:t>
                  </w:r>
                  <w:r>
                    <w:rPr>
                      <w:rFonts w:hint="eastAsia"/>
                      <w:color w:val="auto"/>
                      <w:szCs w:val="21"/>
                    </w:rPr>
                    <w:t>排入新航焦化现有生化污水处理站，出水送至污水深度处理系统进行深度处理后回用厂区。</w:t>
                  </w:r>
                </w:p>
              </w:tc>
              <w:tc>
                <w:tcPr>
                  <w:tcW w:w="795" w:type="dxa"/>
                  <w:gridSpan w:val="2"/>
                  <w:vAlign w:val="center"/>
                </w:tcPr>
                <w:p w14:paraId="54A08618">
                  <w:pPr>
                    <w:widowControl/>
                    <w:jc w:val="center"/>
                    <w:textAlignment w:val="center"/>
                    <w:rPr>
                      <w:color w:val="auto"/>
                      <w:kern w:val="0"/>
                      <w:szCs w:val="21"/>
                      <w:lang w:bidi="ar"/>
                    </w:rPr>
                  </w:pPr>
                  <w:r>
                    <w:rPr>
                      <w:rFonts w:hint="eastAsia"/>
                      <w:color w:val="auto"/>
                      <w:kern w:val="0"/>
                      <w:szCs w:val="21"/>
                      <w:lang w:bidi="ar"/>
                    </w:rPr>
                    <w:t>依托</w:t>
                  </w:r>
                </w:p>
              </w:tc>
            </w:tr>
            <w:tr w14:paraId="3C8E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082" w:hRule="atLeast"/>
              </w:trPr>
              <w:tc>
                <w:tcPr>
                  <w:tcW w:w="655" w:type="dxa"/>
                  <w:vMerge w:val="continue"/>
                  <w:vAlign w:val="center"/>
                </w:tcPr>
                <w:p w14:paraId="1ADC7ADB">
                  <w:pPr>
                    <w:widowControl/>
                    <w:jc w:val="center"/>
                    <w:textAlignment w:val="center"/>
                    <w:rPr>
                      <w:color w:val="auto"/>
                    </w:rPr>
                  </w:pPr>
                </w:p>
              </w:tc>
              <w:tc>
                <w:tcPr>
                  <w:tcW w:w="903" w:type="dxa"/>
                  <w:vMerge w:val="continue"/>
                  <w:vAlign w:val="center"/>
                </w:tcPr>
                <w:p w14:paraId="1D94F7FA">
                  <w:pPr>
                    <w:widowControl/>
                    <w:jc w:val="center"/>
                    <w:textAlignment w:val="center"/>
                    <w:rPr>
                      <w:color w:val="auto"/>
                    </w:rPr>
                  </w:pPr>
                </w:p>
              </w:tc>
              <w:tc>
                <w:tcPr>
                  <w:tcW w:w="1558" w:type="dxa"/>
                  <w:gridSpan w:val="2"/>
                  <w:vAlign w:val="center"/>
                </w:tcPr>
                <w:p w14:paraId="7AD5F5BE">
                  <w:pPr>
                    <w:widowControl/>
                    <w:jc w:val="center"/>
                    <w:textAlignment w:val="center"/>
                    <w:rPr>
                      <w:color w:val="auto"/>
                      <w:szCs w:val="21"/>
                    </w:rPr>
                  </w:pPr>
                  <w:r>
                    <w:rPr>
                      <w:rFonts w:hint="eastAsia"/>
                      <w:color w:val="auto"/>
                      <w:szCs w:val="21"/>
                    </w:rPr>
                    <w:t>生产废水</w:t>
                  </w:r>
                </w:p>
              </w:tc>
              <w:tc>
                <w:tcPr>
                  <w:tcW w:w="4106" w:type="dxa"/>
                  <w:vAlign w:val="center"/>
                </w:tcPr>
                <w:p w14:paraId="5072C075">
                  <w:pPr>
                    <w:widowControl/>
                    <w:jc w:val="center"/>
                    <w:textAlignment w:val="center"/>
                    <w:rPr>
                      <w:rFonts w:hint="eastAsia"/>
                      <w:color w:val="auto"/>
                      <w:szCs w:val="21"/>
                    </w:rPr>
                  </w:pPr>
                  <w:r>
                    <w:rPr>
                      <w:rFonts w:hint="eastAsia"/>
                      <w:color w:val="auto"/>
                      <w:kern w:val="0"/>
                      <w:szCs w:val="21"/>
                      <w:lang w:bidi="ar"/>
                    </w:rPr>
                    <w:t>进厂大门设置有冲洗平台</w:t>
                  </w:r>
                  <w:r>
                    <w:rPr>
                      <w:rFonts w:hint="eastAsia"/>
                      <w:color w:val="auto"/>
                      <w:kern w:val="0"/>
                      <w:szCs w:val="21"/>
                      <w:lang w:val="en-US" w:eastAsia="zh-CN" w:bidi="ar"/>
                    </w:rPr>
                    <w:t>1</w:t>
                  </w:r>
                  <w:r>
                    <w:rPr>
                      <w:rFonts w:hint="eastAsia"/>
                      <w:color w:val="auto"/>
                      <w:kern w:val="0"/>
                      <w:szCs w:val="21"/>
                      <w:lang w:bidi="ar"/>
                    </w:rPr>
                    <w:t>处，下方设置12m</w:t>
                  </w:r>
                  <w:r>
                    <w:rPr>
                      <w:rFonts w:hint="eastAsia"/>
                      <w:color w:val="auto"/>
                      <w:kern w:val="0"/>
                      <w:szCs w:val="21"/>
                      <w:vertAlign w:val="superscript"/>
                      <w:lang w:bidi="ar"/>
                    </w:rPr>
                    <w:t>3</w:t>
                  </w:r>
                  <w:r>
                    <w:rPr>
                      <w:rFonts w:hint="eastAsia"/>
                      <w:color w:val="auto"/>
                      <w:kern w:val="0"/>
                      <w:szCs w:val="21"/>
                      <w:lang w:bidi="ar"/>
                    </w:rPr>
                    <w:t>沉淀池，用于车辆冲洗后收集车辆冲洗废水</w:t>
                  </w:r>
                  <w:r>
                    <w:rPr>
                      <w:rFonts w:hint="eastAsia"/>
                      <w:color w:val="auto"/>
                      <w:kern w:val="0"/>
                      <w:szCs w:val="21"/>
                      <w:lang w:eastAsia="zh-CN" w:bidi="ar"/>
                    </w:rPr>
                    <w:t>，</w:t>
                  </w:r>
                  <w:r>
                    <w:rPr>
                      <w:rFonts w:hint="eastAsia"/>
                      <w:color w:val="auto"/>
                      <w:kern w:val="0"/>
                      <w:szCs w:val="21"/>
                      <w:lang w:val="en-US" w:eastAsia="zh-CN" w:bidi="ar"/>
                    </w:rPr>
                    <w:t>冲洗废水经沉淀池后循环使用</w:t>
                  </w:r>
                  <w:r>
                    <w:rPr>
                      <w:rFonts w:hint="eastAsia"/>
                      <w:color w:val="auto"/>
                      <w:kern w:val="0"/>
                      <w:szCs w:val="21"/>
                      <w:lang w:bidi="ar"/>
                    </w:rPr>
                    <w:t>。</w:t>
                  </w:r>
                </w:p>
              </w:tc>
              <w:tc>
                <w:tcPr>
                  <w:tcW w:w="795" w:type="dxa"/>
                  <w:gridSpan w:val="2"/>
                  <w:vAlign w:val="center"/>
                </w:tcPr>
                <w:p w14:paraId="560D585F">
                  <w:pPr>
                    <w:widowControl/>
                    <w:jc w:val="center"/>
                    <w:textAlignment w:val="center"/>
                    <w:rPr>
                      <w:color w:val="auto"/>
                      <w:szCs w:val="21"/>
                    </w:rPr>
                  </w:pPr>
                  <w:r>
                    <w:rPr>
                      <w:rFonts w:hint="eastAsia"/>
                      <w:color w:val="auto"/>
                      <w:szCs w:val="21"/>
                    </w:rPr>
                    <w:t>/</w:t>
                  </w:r>
                </w:p>
              </w:tc>
            </w:tr>
            <w:tr w14:paraId="7693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45" w:hRule="atLeast"/>
              </w:trPr>
              <w:tc>
                <w:tcPr>
                  <w:tcW w:w="655" w:type="dxa"/>
                  <w:vMerge w:val="continue"/>
                  <w:vAlign w:val="center"/>
                </w:tcPr>
                <w:p w14:paraId="5D9F336F">
                  <w:pPr>
                    <w:widowControl/>
                    <w:jc w:val="center"/>
                    <w:textAlignment w:val="center"/>
                    <w:rPr>
                      <w:color w:val="auto"/>
                    </w:rPr>
                  </w:pPr>
                </w:p>
              </w:tc>
              <w:tc>
                <w:tcPr>
                  <w:tcW w:w="903" w:type="dxa"/>
                  <w:vAlign w:val="center"/>
                </w:tcPr>
                <w:p w14:paraId="54C42E69">
                  <w:pPr>
                    <w:widowControl/>
                    <w:jc w:val="center"/>
                    <w:textAlignment w:val="center"/>
                    <w:rPr>
                      <w:color w:val="auto"/>
                      <w:kern w:val="0"/>
                      <w:szCs w:val="21"/>
                      <w:lang w:bidi="ar"/>
                    </w:rPr>
                  </w:pPr>
                  <w:r>
                    <w:rPr>
                      <w:rFonts w:hint="eastAsia"/>
                      <w:color w:val="auto"/>
                      <w:kern w:val="0"/>
                      <w:szCs w:val="21"/>
                      <w:lang w:bidi="ar"/>
                    </w:rPr>
                    <w:t>噪声</w:t>
                  </w:r>
                </w:p>
              </w:tc>
              <w:tc>
                <w:tcPr>
                  <w:tcW w:w="5664" w:type="dxa"/>
                  <w:gridSpan w:val="3"/>
                  <w:vAlign w:val="center"/>
                </w:tcPr>
                <w:p w14:paraId="0A8A5C15">
                  <w:pPr>
                    <w:widowControl/>
                    <w:jc w:val="center"/>
                    <w:textAlignment w:val="center"/>
                    <w:rPr>
                      <w:color w:val="auto"/>
                      <w:kern w:val="0"/>
                      <w:szCs w:val="21"/>
                      <w:lang w:bidi="ar"/>
                    </w:rPr>
                  </w:pPr>
                  <w:r>
                    <w:rPr>
                      <w:rFonts w:hint="eastAsia"/>
                      <w:color w:val="auto"/>
                      <w:kern w:val="0"/>
                      <w:szCs w:val="21"/>
                      <w:lang w:bidi="ar"/>
                    </w:rPr>
                    <w:t>合理布局，选用低噪声设备，机械设备安装减振基础。</w:t>
                  </w:r>
                </w:p>
              </w:tc>
              <w:tc>
                <w:tcPr>
                  <w:tcW w:w="795" w:type="dxa"/>
                  <w:gridSpan w:val="2"/>
                  <w:vAlign w:val="center"/>
                </w:tcPr>
                <w:p w14:paraId="6BE184A6">
                  <w:pPr>
                    <w:widowControl/>
                    <w:jc w:val="center"/>
                    <w:textAlignment w:val="center"/>
                    <w:rPr>
                      <w:color w:val="auto"/>
                      <w:szCs w:val="21"/>
                    </w:rPr>
                  </w:pPr>
                  <w:r>
                    <w:rPr>
                      <w:rFonts w:hint="eastAsia"/>
                      <w:color w:val="auto"/>
                      <w:kern w:val="0"/>
                      <w:szCs w:val="21"/>
                      <w:lang w:bidi="ar"/>
                    </w:rPr>
                    <w:t>新建</w:t>
                  </w:r>
                </w:p>
              </w:tc>
            </w:tr>
            <w:tr w14:paraId="29B3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55" w:type="dxa"/>
                  <w:vMerge w:val="continue"/>
                  <w:vAlign w:val="center"/>
                </w:tcPr>
                <w:p w14:paraId="4B7FC689">
                  <w:pPr>
                    <w:widowControl/>
                    <w:jc w:val="center"/>
                    <w:textAlignment w:val="center"/>
                    <w:rPr>
                      <w:color w:val="auto"/>
                      <w:kern w:val="0"/>
                      <w:szCs w:val="21"/>
                      <w:lang w:bidi="ar"/>
                    </w:rPr>
                  </w:pPr>
                </w:p>
              </w:tc>
              <w:tc>
                <w:tcPr>
                  <w:tcW w:w="903" w:type="dxa"/>
                  <w:vMerge w:val="restart"/>
                  <w:vAlign w:val="center"/>
                </w:tcPr>
                <w:p w14:paraId="5F2D0070">
                  <w:pPr>
                    <w:widowControl/>
                    <w:jc w:val="center"/>
                    <w:textAlignment w:val="center"/>
                    <w:rPr>
                      <w:color w:val="auto"/>
                      <w:kern w:val="0"/>
                      <w:szCs w:val="21"/>
                      <w:lang w:bidi="ar"/>
                    </w:rPr>
                  </w:pPr>
                  <w:r>
                    <w:rPr>
                      <w:rFonts w:hint="eastAsia"/>
                      <w:color w:val="auto"/>
                      <w:kern w:val="0"/>
                      <w:szCs w:val="21"/>
                      <w:lang w:bidi="ar"/>
                    </w:rPr>
                    <w:t>固废</w:t>
                  </w:r>
                </w:p>
              </w:tc>
              <w:tc>
                <w:tcPr>
                  <w:tcW w:w="661" w:type="dxa"/>
                  <w:vMerge w:val="restart"/>
                  <w:vAlign w:val="center"/>
                </w:tcPr>
                <w:p w14:paraId="390B140B">
                  <w:pPr>
                    <w:widowControl/>
                    <w:jc w:val="center"/>
                    <w:textAlignment w:val="center"/>
                    <w:rPr>
                      <w:color w:val="auto"/>
                      <w:kern w:val="0"/>
                      <w:szCs w:val="21"/>
                      <w:lang w:bidi="ar"/>
                    </w:rPr>
                  </w:pPr>
                  <w:r>
                    <w:rPr>
                      <w:rFonts w:hint="eastAsia"/>
                      <w:color w:val="auto"/>
                      <w:kern w:val="0"/>
                      <w:szCs w:val="21"/>
                      <w:lang w:bidi="ar"/>
                    </w:rPr>
                    <w:t>一般固废</w:t>
                  </w:r>
                </w:p>
              </w:tc>
              <w:tc>
                <w:tcPr>
                  <w:tcW w:w="897" w:type="dxa"/>
                  <w:vAlign w:val="center"/>
                </w:tcPr>
                <w:p w14:paraId="6A32AA69">
                  <w:pPr>
                    <w:widowControl/>
                    <w:jc w:val="center"/>
                    <w:textAlignment w:val="center"/>
                    <w:rPr>
                      <w:rFonts w:hint="eastAsia"/>
                      <w:color w:val="auto"/>
                      <w:kern w:val="0"/>
                      <w:szCs w:val="21"/>
                      <w:lang w:bidi="ar"/>
                    </w:rPr>
                  </w:pPr>
                  <w:r>
                    <w:rPr>
                      <w:rFonts w:hint="eastAsia"/>
                      <w:color w:val="auto"/>
                      <w:kern w:val="0"/>
                      <w:szCs w:val="21"/>
                      <w:lang w:bidi="ar"/>
                    </w:rPr>
                    <w:t>金属</w:t>
                  </w:r>
                </w:p>
                <w:p w14:paraId="418E2398">
                  <w:pPr>
                    <w:widowControl/>
                    <w:jc w:val="center"/>
                    <w:textAlignment w:val="center"/>
                    <w:rPr>
                      <w:color w:val="auto"/>
                      <w:kern w:val="0"/>
                      <w:szCs w:val="21"/>
                      <w:lang w:bidi="ar"/>
                    </w:rPr>
                  </w:pPr>
                  <w:r>
                    <w:rPr>
                      <w:rFonts w:hint="eastAsia"/>
                      <w:color w:val="auto"/>
                      <w:kern w:val="0"/>
                      <w:szCs w:val="21"/>
                      <w:lang w:bidi="ar"/>
                    </w:rPr>
                    <w:t>杂质</w:t>
                  </w:r>
                </w:p>
              </w:tc>
              <w:tc>
                <w:tcPr>
                  <w:tcW w:w="4113" w:type="dxa"/>
                  <w:gridSpan w:val="2"/>
                  <w:vAlign w:val="center"/>
                </w:tcPr>
                <w:p w14:paraId="49C4239F">
                  <w:pPr>
                    <w:widowControl/>
                    <w:jc w:val="center"/>
                    <w:textAlignment w:val="center"/>
                    <w:rPr>
                      <w:color w:val="auto"/>
                      <w:kern w:val="0"/>
                      <w:szCs w:val="21"/>
                      <w:lang w:bidi="ar"/>
                    </w:rPr>
                  </w:pPr>
                  <w:r>
                    <w:rPr>
                      <w:rFonts w:hint="eastAsia"/>
                      <w:color w:val="auto"/>
                      <w:kern w:val="0"/>
                      <w:szCs w:val="21"/>
                      <w:lang w:val="en-US" w:eastAsia="zh-CN" w:bidi="ar"/>
                    </w:rPr>
                    <w:t>搅拌工序混合料经除铁器除去金属杂质</w:t>
                  </w:r>
                  <w:r>
                    <w:rPr>
                      <w:rFonts w:hint="eastAsia"/>
                      <w:color w:val="auto"/>
                      <w:kern w:val="0"/>
                      <w:szCs w:val="21"/>
                      <w:lang w:bidi="ar"/>
                    </w:rPr>
                    <w:t>统一收集至型焦生产车间内，收集在型焦生产车间内，外售处理。</w:t>
                  </w:r>
                </w:p>
              </w:tc>
              <w:tc>
                <w:tcPr>
                  <w:tcW w:w="795" w:type="dxa"/>
                  <w:gridSpan w:val="2"/>
                  <w:vAlign w:val="center"/>
                </w:tcPr>
                <w:p w14:paraId="03F09DDF">
                  <w:pPr>
                    <w:widowControl/>
                    <w:jc w:val="center"/>
                    <w:textAlignment w:val="center"/>
                    <w:rPr>
                      <w:color w:val="auto"/>
                      <w:kern w:val="0"/>
                      <w:szCs w:val="21"/>
                      <w:lang w:bidi="ar"/>
                    </w:rPr>
                  </w:pPr>
                  <w:r>
                    <w:rPr>
                      <w:rFonts w:hint="eastAsia"/>
                      <w:color w:val="auto"/>
                      <w:szCs w:val="21"/>
                    </w:rPr>
                    <w:t>/</w:t>
                  </w:r>
                </w:p>
              </w:tc>
            </w:tr>
            <w:tr w14:paraId="75C4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55" w:type="dxa"/>
                  <w:vMerge w:val="continue"/>
                  <w:vAlign w:val="center"/>
                </w:tcPr>
                <w:p w14:paraId="0A3B465D">
                  <w:pPr>
                    <w:widowControl/>
                    <w:jc w:val="center"/>
                    <w:textAlignment w:val="center"/>
                    <w:rPr>
                      <w:color w:val="auto"/>
                      <w:kern w:val="0"/>
                      <w:szCs w:val="21"/>
                      <w:lang w:bidi="ar"/>
                    </w:rPr>
                  </w:pPr>
                </w:p>
              </w:tc>
              <w:tc>
                <w:tcPr>
                  <w:tcW w:w="903" w:type="dxa"/>
                  <w:vMerge w:val="continue"/>
                  <w:vAlign w:val="center"/>
                </w:tcPr>
                <w:p w14:paraId="0C569C04">
                  <w:pPr>
                    <w:widowControl/>
                    <w:jc w:val="center"/>
                    <w:textAlignment w:val="center"/>
                    <w:rPr>
                      <w:color w:val="auto"/>
                      <w:kern w:val="0"/>
                      <w:szCs w:val="21"/>
                      <w:lang w:bidi="ar"/>
                    </w:rPr>
                  </w:pPr>
                </w:p>
              </w:tc>
              <w:tc>
                <w:tcPr>
                  <w:tcW w:w="661" w:type="dxa"/>
                  <w:vMerge w:val="continue"/>
                  <w:vAlign w:val="center"/>
                </w:tcPr>
                <w:p w14:paraId="4C3224A3">
                  <w:pPr>
                    <w:widowControl/>
                    <w:jc w:val="center"/>
                    <w:textAlignment w:val="center"/>
                    <w:rPr>
                      <w:color w:val="auto"/>
                      <w:kern w:val="0"/>
                      <w:szCs w:val="21"/>
                      <w:lang w:bidi="ar"/>
                    </w:rPr>
                  </w:pPr>
                </w:p>
              </w:tc>
              <w:tc>
                <w:tcPr>
                  <w:tcW w:w="897" w:type="dxa"/>
                  <w:vAlign w:val="center"/>
                </w:tcPr>
                <w:p w14:paraId="290D2492">
                  <w:pPr>
                    <w:widowControl/>
                    <w:jc w:val="center"/>
                    <w:textAlignment w:val="center"/>
                    <w:rPr>
                      <w:color w:val="auto"/>
                      <w:kern w:val="0"/>
                      <w:szCs w:val="21"/>
                      <w:lang w:bidi="ar"/>
                    </w:rPr>
                  </w:pPr>
                  <w:r>
                    <w:rPr>
                      <w:rFonts w:hint="eastAsia"/>
                      <w:color w:val="auto"/>
                      <w:kern w:val="0"/>
                      <w:szCs w:val="21"/>
                      <w:lang w:bidi="ar"/>
                    </w:rPr>
                    <w:t>除尘灰</w:t>
                  </w:r>
                </w:p>
              </w:tc>
              <w:tc>
                <w:tcPr>
                  <w:tcW w:w="4113" w:type="dxa"/>
                  <w:gridSpan w:val="2"/>
                  <w:vAlign w:val="center"/>
                </w:tcPr>
                <w:p w14:paraId="35698524">
                  <w:pPr>
                    <w:widowControl/>
                    <w:jc w:val="center"/>
                    <w:textAlignment w:val="center"/>
                    <w:rPr>
                      <w:color w:val="auto"/>
                      <w:kern w:val="0"/>
                      <w:szCs w:val="21"/>
                      <w:lang w:bidi="ar"/>
                    </w:rPr>
                  </w:pPr>
                  <w:r>
                    <w:rPr>
                      <w:bCs/>
                      <w:color w:val="auto"/>
                      <w:szCs w:val="21"/>
                    </w:rPr>
                    <w:t>定期收集后返回生产工序综合利用</w:t>
                  </w:r>
                  <w:r>
                    <w:rPr>
                      <w:rFonts w:hint="eastAsia"/>
                      <w:bCs/>
                      <w:color w:val="auto"/>
                      <w:szCs w:val="21"/>
                    </w:rPr>
                    <w:t>。</w:t>
                  </w:r>
                </w:p>
              </w:tc>
              <w:tc>
                <w:tcPr>
                  <w:tcW w:w="795" w:type="dxa"/>
                  <w:gridSpan w:val="2"/>
                  <w:vAlign w:val="center"/>
                </w:tcPr>
                <w:p w14:paraId="59A350E0">
                  <w:pPr>
                    <w:widowControl/>
                    <w:jc w:val="center"/>
                    <w:textAlignment w:val="center"/>
                    <w:rPr>
                      <w:color w:val="auto"/>
                      <w:kern w:val="0"/>
                      <w:szCs w:val="21"/>
                      <w:lang w:bidi="ar"/>
                    </w:rPr>
                  </w:pPr>
                  <w:r>
                    <w:rPr>
                      <w:rFonts w:hint="eastAsia"/>
                      <w:color w:val="auto"/>
                      <w:szCs w:val="21"/>
                    </w:rPr>
                    <w:t>/</w:t>
                  </w:r>
                </w:p>
              </w:tc>
            </w:tr>
            <w:tr w14:paraId="42CA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655" w:type="dxa"/>
                  <w:vMerge w:val="continue"/>
                  <w:vAlign w:val="center"/>
                </w:tcPr>
                <w:p w14:paraId="7FBB6EC1">
                  <w:pPr>
                    <w:widowControl/>
                    <w:jc w:val="center"/>
                    <w:textAlignment w:val="center"/>
                    <w:rPr>
                      <w:color w:val="auto"/>
                      <w:kern w:val="0"/>
                      <w:szCs w:val="21"/>
                      <w:lang w:bidi="ar"/>
                    </w:rPr>
                  </w:pPr>
                </w:p>
              </w:tc>
              <w:tc>
                <w:tcPr>
                  <w:tcW w:w="903" w:type="dxa"/>
                  <w:vMerge w:val="continue"/>
                  <w:vAlign w:val="center"/>
                </w:tcPr>
                <w:p w14:paraId="622DE074">
                  <w:pPr>
                    <w:widowControl/>
                    <w:jc w:val="center"/>
                    <w:textAlignment w:val="center"/>
                    <w:rPr>
                      <w:color w:val="auto"/>
                      <w:kern w:val="0"/>
                      <w:szCs w:val="21"/>
                      <w:lang w:bidi="ar"/>
                    </w:rPr>
                  </w:pPr>
                </w:p>
              </w:tc>
              <w:tc>
                <w:tcPr>
                  <w:tcW w:w="661" w:type="dxa"/>
                  <w:vMerge w:val="continue"/>
                  <w:vAlign w:val="center"/>
                </w:tcPr>
                <w:p w14:paraId="0964C9C6">
                  <w:pPr>
                    <w:widowControl/>
                    <w:jc w:val="center"/>
                    <w:textAlignment w:val="center"/>
                    <w:rPr>
                      <w:color w:val="auto"/>
                      <w:kern w:val="0"/>
                      <w:szCs w:val="21"/>
                      <w:lang w:bidi="ar"/>
                    </w:rPr>
                  </w:pPr>
                </w:p>
              </w:tc>
              <w:tc>
                <w:tcPr>
                  <w:tcW w:w="897" w:type="dxa"/>
                  <w:vAlign w:val="center"/>
                </w:tcPr>
                <w:p w14:paraId="5D937BFD">
                  <w:pPr>
                    <w:widowControl/>
                    <w:jc w:val="center"/>
                    <w:textAlignment w:val="center"/>
                    <w:rPr>
                      <w:rFonts w:hint="default" w:eastAsia="宋体"/>
                      <w:color w:val="auto"/>
                      <w:kern w:val="0"/>
                      <w:szCs w:val="21"/>
                      <w:lang w:val="en-US" w:eastAsia="zh-CN" w:bidi="ar"/>
                    </w:rPr>
                  </w:pPr>
                  <w:r>
                    <w:rPr>
                      <w:rFonts w:hint="eastAsia"/>
                      <w:color w:val="auto"/>
                      <w:kern w:val="0"/>
                      <w:szCs w:val="21"/>
                      <w:lang w:val="en-US" w:eastAsia="zh-CN" w:bidi="ar"/>
                    </w:rPr>
                    <w:t>沉淀池污泥</w:t>
                  </w:r>
                </w:p>
              </w:tc>
              <w:tc>
                <w:tcPr>
                  <w:tcW w:w="4113" w:type="dxa"/>
                  <w:gridSpan w:val="2"/>
                  <w:vAlign w:val="center"/>
                </w:tcPr>
                <w:p w14:paraId="0883DE43">
                  <w:pPr>
                    <w:widowControl/>
                    <w:jc w:val="center"/>
                    <w:textAlignment w:val="center"/>
                    <w:rPr>
                      <w:bCs/>
                      <w:color w:val="auto"/>
                      <w:szCs w:val="21"/>
                    </w:rPr>
                  </w:pPr>
                  <w:r>
                    <w:rPr>
                      <w:rFonts w:hint="eastAsia"/>
                      <w:color w:val="auto"/>
                      <w:kern w:val="0"/>
                      <w:szCs w:val="21"/>
                      <w:lang w:bidi="ar"/>
                    </w:rPr>
                    <w:t>车辆冲洗</w:t>
                  </w:r>
                  <w:r>
                    <w:rPr>
                      <w:rFonts w:hint="eastAsia"/>
                      <w:color w:val="auto"/>
                      <w:kern w:val="0"/>
                      <w:szCs w:val="21"/>
                      <w:lang w:val="en-US" w:eastAsia="zh-CN" w:bidi="ar"/>
                    </w:rPr>
                    <w:t>沉淀池中的沉淀污泥暂存原料仓库，</w:t>
                  </w:r>
                  <w:r>
                    <w:rPr>
                      <w:rFonts w:hint="eastAsia"/>
                      <w:bCs/>
                      <w:color w:val="auto"/>
                      <w:szCs w:val="21"/>
                    </w:rPr>
                    <w:t>委托有资质的一般工业固废处置单位规范处置。</w:t>
                  </w:r>
                </w:p>
              </w:tc>
              <w:tc>
                <w:tcPr>
                  <w:tcW w:w="795" w:type="dxa"/>
                  <w:gridSpan w:val="2"/>
                  <w:vAlign w:val="center"/>
                </w:tcPr>
                <w:p w14:paraId="6AD25831">
                  <w:pPr>
                    <w:widowControl/>
                    <w:jc w:val="center"/>
                    <w:textAlignment w:val="center"/>
                    <w:rPr>
                      <w:rFonts w:hint="eastAsia" w:eastAsia="宋体"/>
                      <w:color w:val="auto"/>
                      <w:szCs w:val="21"/>
                      <w:lang w:val="en-US" w:eastAsia="zh-CN"/>
                    </w:rPr>
                  </w:pPr>
                  <w:r>
                    <w:rPr>
                      <w:rFonts w:hint="eastAsia"/>
                      <w:color w:val="auto"/>
                      <w:szCs w:val="21"/>
                      <w:lang w:val="en-US" w:eastAsia="zh-CN"/>
                    </w:rPr>
                    <w:t>/</w:t>
                  </w:r>
                </w:p>
              </w:tc>
            </w:tr>
            <w:tr w14:paraId="31F9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655" w:type="dxa"/>
                  <w:vMerge w:val="continue"/>
                  <w:vAlign w:val="center"/>
                </w:tcPr>
                <w:p w14:paraId="4C08C396">
                  <w:pPr>
                    <w:widowControl/>
                    <w:jc w:val="center"/>
                    <w:textAlignment w:val="center"/>
                    <w:rPr>
                      <w:color w:val="auto"/>
                      <w:kern w:val="0"/>
                      <w:szCs w:val="21"/>
                      <w:lang w:bidi="ar"/>
                    </w:rPr>
                  </w:pPr>
                </w:p>
              </w:tc>
              <w:tc>
                <w:tcPr>
                  <w:tcW w:w="903" w:type="dxa"/>
                  <w:vMerge w:val="continue"/>
                  <w:vAlign w:val="center"/>
                </w:tcPr>
                <w:p w14:paraId="16C4438E">
                  <w:pPr>
                    <w:widowControl/>
                    <w:jc w:val="center"/>
                    <w:textAlignment w:val="center"/>
                    <w:rPr>
                      <w:color w:val="auto"/>
                      <w:kern w:val="0"/>
                      <w:szCs w:val="21"/>
                      <w:lang w:bidi="ar"/>
                    </w:rPr>
                  </w:pPr>
                </w:p>
              </w:tc>
              <w:tc>
                <w:tcPr>
                  <w:tcW w:w="661" w:type="dxa"/>
                  <w:vMerge w:val="continue"/>
                  <w:vAlign w:val="center"/>
                </w:tcPr>
                <w:p w14:paraId="66B3F62C">
                  <w:pPr>
                    <w:widowControl/>
                    <w:jc w:val="center"/>
                    <w:textAlignment w:val="center"/>
                    <w:rPr>
                      <w:color w:val="auto"/>
                      <w:kern w:val="0"/>
                      <w:szCs w:val="21"/>
                      <w:lang w:bidi="ar"/>
                    </w:rPr>
                  </w:pPr>
                </w:p>
              </w:tc>
              <w:tc>
                <w:tcPr>
                  <w:tcW w:w="897" w:type="dxa"/>
                  <w:vAlign w:val="center"/>
                </w:tcPr>
                <w:p w14:paraId="02087DF1">
                  <w:pPr>
                    <w:widowControl/>
                    <w:jc w:val="center"/>
                    <w:textAlignment w:val="center"/>
                    <w:rPr>
                      <w:rFonts w:hint="eastAsia"/>
                      <w:color w:val="auto"/>
                      <w:kern w:val="0"/>
                      <w:szCs w:val="21"/>
                      <w:lang w:bidi="ar"/>
                    </w:rPr>
                  </w:pPr>
                  <w:r>
                    <w:rPr>
                      <w:rFonts w:hint="eastAsia"/>
                      <w:color w:val="auto"/>
                      <w:kern w:val="0"/>
                      <w:szCs w:val="21"/>
                      <w:lang w:bidi="ar"/>
                    </w:rPr>
                    <w:t>生活</w:t>
                  </w:r>
                </w:p>
                <w:p w14:paraId="3FEED342">
                  <w:pPr>
                    <w:widowControl/>
                    <w:jc w:val="center"/>
                    <w:textAlignment w:val="center"/>
                    <w:rPr>
                      <w:color w:val="auto"/>
                      <w:kern w:val="0"/>
                      <w:szCs w:val="21"/>
                      <w:lang w:bidi="ar"/>
                    </w:rPr>
                  </w:pPr>
                  <w:r>
                    <w:rPr>
                      <w:rFonts w:hint="eastAsia"/>
                      <w:color w:val="auto"/>
                      <w:kern w:val="0"/>
                      <w:szCs w:val="21"/>
                      <w:lang w:bidi="ar"/>
                    </w:rPr>
                    <w:t>垃圾</w:t>
                  </w:r>
                </w:p>
              </w:tc>
              <w:tc>
                <w:tcPr>
                  <w:tcW w:w="4113" w:type="dxa"/>
                  <w:gridSpan w:val="2"/>
                  <w:vAlign w:val="center"/>
                </w:tcPr>
                <w:p w14:paraId="7455A458">
                  <w:pPr>
                    <w:widowControl/>
                    <w:jc w:val="center"/>
                    <w:textAlignment w:val="center"/>
                    <w:rPr>
                      <w:color w:val="auto"/>
                      <w:kern w:val="0"/>
                      <w:szCs w:val="21"/>
                      <w:lang w:bidi="ar"/>
                    </w:rPr>
                  </w:pPr>
                  <w:r>
                    <w:rPr>
                      <w:bCs/>
                      <w:color w:val="auto"/>
                      <w:szCs w:val="21"/>
                    </w:rPr>
                    <w:t>依托</w:t>
                  </w:r>
                  <w:r>
                    <w:rPr>
                      <w:rFonts w:hint="eastAsia"/>
                      <w:bCs/>
                      <w:color w:val="auto"/>
                      <w:szCs w:val="21"/>
                    </w:rPr>
                    <w:t>新航焦化</w:t>
                  </w:r>
                  <w:r>
                    <w:rPr>
                      <w:bCs/>
                      <w:color w:val="auto"/>
                      <w:szCs w:val="21"/>
                    </w:rPr>
                    <w:t>办公生活区收集设施集中收集，生活垃圾由园区环卫部门统一处理。</w:t>
                  </w:r>
                </w:p>
              </w:tc>
              <w:tc>
                <w:tcPr>
                  <w:tcW w:w="795" w:type="dxa"/>
                  <w:gridSpan w:val="2"/>
                  <w:vAlign w:val="center"/>
                </w:tcPr>
                <w:p w14:paraId="1E5A4293">
                  <w:pPr>
                    <w:widowControl/>
                    <w:jc w:val="center"/>
                    <w:textAlignment w:val="center"/>
                    <w:rPr>
                      <w:color w:val="auto"/>
                      <w:kern w:val="0"/>
                      <w:szCs w:val="21"/>
                      <w:lang w:bidi="ar"/>
                    </w:rPr>
                  </w:pPr>
                  <w:r>
                    <w:rPr>
                      <w:rFonts w:hint="eastAsia"/>
                      <w:color w:val="auto"/>
                      <w:kern w:val="0"/>
                      <w:szCs w:val="21"/>
                      <w:lang w:bidi="ar"/>
                    </w:rPr>
                    <w:t>依托</w:t>
                  </w:r>
                </w:p>
              </w:tc>
            </w:tr>
            <w:tr w14:paraId="7D08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55" w:type="dxa"/>
                  <w:vMerge w:val="continue"/>
                  <w:vAlign w:val="center"/>
                </w:tcPr>
                <w:p w14:paraId="5162C764">
                  <w:pPr>
                    <w:widowControl/>
                    <w:jc w:val="center"/>
                    <w:textAlignment w:val="center"/>
                    <w:rPr>
                      <w:color w:val="auto"/>
                      <w:kern w:val="0"/>
                      <w:szCs w:val="21"/>
                      <w:lang w:bidi="ar"/>
                    </w:rPr>
                  </w:pPr>
                </w:p>
              </w:tc>
              <w:tc>
                <w:tcPr>
                  <w:tcW w:w="903" w:type="dxa"/>
                  <w:vMerge w:val="continue"/>
                  <w:vAlign w:val="center"/>
                </w:tcPr>
                <w:p w14:paraId="4C88C456">
                  <w:pPr>
                    <w:widowControl/>
                    <w:jc w:val="center"/>
                    <w:textAlignment w:val="center"/>
                    <w:rPr>
                      <w:color w:val="auto"/>
                      <w:kern w:val="0"/>
                      <w:szCs w:val="21"/>
                      <w:lang w:bidi="ar"/>
                    </w:rPr>
                  </w:pPr>
                </w:p>
              </w:tc>
              <w:tc>
                <w:tcPr>
                  <w:tcW w:w="661" w:type="dxa"/>
                  <w:vAlign w:val="center"/>
                </w:tcPr>
                <w:p w14:paraId="776293EE">
                  <w:pPr>
                    <w:widowControl/>
                    <w:jc w:val="center"/>
                    <w:textAlignment w:val="center"/>
                    <w:rPr>
                      <w:color w:val="auto"/>
                      <w:kern w:val="0"/>
                      <w:szCs w:val="21"/>
                      <w:lang w:bidi="ar"/>
                    </w:rPr>
                  </w:pPr>
                  <w:r>
                    <w:rPr>
                      <w:rFonts w:hint="eastAsia"/>
                      <w:color w:val="auto"/>
                      <w:kern w:val="0"/>
                      <w:szCs w:val="21"/>
                      <w:lang w:bidi="ar"/>
                    </w:rPr>
                    <w:t>危险废物</w:t>
                  </w:r>
                </w:p>
              </w:tc>
              <w:tc>
                <w:tcPr>
                  <w:tcW w:w="897" w:type="dxa"/>
                  <w:vAlign w:val="center"/>
                </w:tcPr>
                <w:p w14:paraId="010DBF21">
                  <w:pPr>
                    <w:widowControl/>
                    <w:jc w:val="center"/>
                    <w:textAlignment w:val="center"/>
                    <w:rPr>
                      <w:rFonts w:hint="eastAsia"/>
                      <w:color w:val="auto"/>
                      <w:kern w:val="0"/>
                      <w:szCs w:val="21"/>
                      <w:lang w:bidi="ar"/>
                    </w:rPr>
                  </w:pPr>
                  <w:r>
                    <w:rPr>
                      <w:rFonts w:hint="eastAsia"/>
                      <w:color w:val="auto"/>
                      <w:kern w:val="0"/>
                      <w:szCs w:val="21"/>
                      <w:lang w:bidi="ar"/>
                    </w:rPr>
                    <w:t>废润</w:t>
                  </w:r>
                </w:p>
                <w:p w14:paraId="5F4FE210">
                  <w:pPr>
                    <w:widowControl/>
                    <w:jc w:val="center"/>
                    <w:textAlignment w:val="center"/>
                    <w:rPr>
                      <w:color w:val="auto"/>
                      <w:kern w:val="0"/>
                      <w:szCs w:val="21"/>
                      <w:lang w:bidi="ar"/>
                    </w:rPr>
                  </w:pPr>
                  <w:r>
                    <w:rPr>
                      <w:rFonts w:hint="eastAsia"/>
                      <w:color w:val="auto"/>
                      <w:kern w:val="0"/>
                      <w:szCs w:val="21"/>
                      <w:lang w:bidi="ar"/>
                    </w:rPr>
                    <w:t>滑油</w:t>
                  </w:r>
                </w:p>
              </w:tc>
              <w:tc>
                <w:tcPr>
                  <w:tcW w:w="4113" w:type="dxa"/>
                  <w:gridSpan w:val="2"/>
                  <w:vAlign w:val="center"/>
                </w:tcPr>
                <w:p w14:paraId="23A3005F">
                  <w:pPr>
                    <w:widowControl/>
                    <w:jc w:val="center"/>
                    <w:textAlignment w:val="center"/>
                    <w:rPr>
                      <w:color w:val="auto"/>
                      <w:kern w:val="0"/>
                      <w:szCs w:val="21"/>
                      <w:lang w:bidi="ar"/>
                    </w:rPr>
                  </w:pPr>
                  <w:r>
                    <w:rPr>
                      <w:bCs/>
                      <w:color w:val="auto"/>
                      <w:szCs w:val="21"/>
                    </w:rPr>
                    <w:t>依托暂存新航焦化厂内现有危废暂存库内，定期委托资质单位处理。</w:t>
                  </w:r>
                </w:p>
              </w:tc>
              <w:tc>
                <w:tcPr>
                  <w:tcW w:w="795" w:type="dxa"/>
                  <w:gridSpan w:val="2"/>
                  <w:vAlign w:val="center"/>
                </w:tcPr>
                <w:p w14:paraId="6172BEFF">
                  <w:pPr>
                    <w:widowControl/>
                    <w:jc w:val="center"/>
                    <w:textAlignment w:val="center"/>
                    <w:rPr>
                      <w:color w:val="auto"/>
                      <w:kern w:val="0"/>
                      <w:szCs w:val="21"/>
                      <w:lang w:bidi="ar"/>
                    </w:rPr>
                  </w:pPr>
                  <w:r>
                    <w:rPr>
                      <w:rFonts w:hint="eastAsia"/>
                      <w:color w:val="auto"/>
                      <w:szCs w:val="21"/>
                    </w:rPr>
                    <w:t>依托</w:t>
                  </w:r>
                </w:p>
              </w:tc>
            </w:tr>
            <w:tr w14:paraId="3E93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24" w:hRule="atLeast"/>
              </w:trPr>
              <w:tc>
                <w:tcPr>
                  <w:tcW w:w="655" w:type="dxa"/>
                  <w:vMerge w:val="continue"/>
                  <w:vAlign w:val="center"/>
                </w:tcPr>
                <w:p w14:paraId="177895D0">
                  <w:pPr>
                    <w:widowControl/>
                    <w:jc w:val="center"/>
                    <w:textAlignment w:val="center"/>
                    <w:rPr>
                      <w:color w:val="auto"/>
                      <w:szCs w:val="21"/>
                    </w:rPr>
                  </w:pPr>
                  <w:bookmarkStart w:id="25" w:name="_GoBack" w:colFirst="1" w:colLast="5"/>
                </w:p>
              </w:tc>
              <w:tc>
                <w:tcPr>
                  <w:tcW w:w="903" w:type="dxa"/>
                  <w:vAlign w:val="center"/>
                </w:tcPr>
                <w:p w14:paraId="16FCDE5B">
                  <w:pPr>
                    <w:widowControl/>
                    <w:jc w:val="center"/>
                    <w:textAlignment w:val="center"/>
                    <w:rPr>
                      <w:color w:val="auto"/>
                      <w:kern w:val="0"/>
                      <w:szCs w:val="21"/>
                      <w:lang w:bidi="ar"/>
                    </w:rPr>
                  </w:pPr>
                  <w:r>
                    <w:rPr>
                      <w:rFonts w:hint="eastAsia"/>
                      <w:color w:val="auto"/>
                      <w:kern w:val="0"/>
                      <w:szCs w:val="21"/>
                      <w:lang w:bidi="ar"/>
                    </w:rPr>
                    <w:t>事故池</w:t>
                  </w:r>
                </w:p>
              </w:tc>
              <w:tc>
                <w:tcPr>
                  <w:tcW w:w="5664" w:type="dxa"/>
                  <w:gridSpan w:val="3"/>
                  <w:vAlign w:val="center"/>
                </w:tcPr>
                <w:p w14:paraId="0C354915">
                  <w:pPr>
                    <w:widowControl/>
                    <w:jc w:val="center"/>
                    <w:textAlignment w:val="center"/>
                    <w:rPr>
                      <w:color w:val="auto"/>
                      <w:kern w:val="0"/>
                      <w:szCs w:val="21"/>
                      <w:lang w:bidi="ar"/>
                    </w:rPr>
                  </w:pPr>
                  <w:r>
                    <w:rPr>
                      <w:rFonts w:hint="eastAsia"/>
                      <w:color w:val="auto"/>
                      <w:kern w:val="0"/>
                      <w:szCs w:val="21"/>
                      <w:lang w:bidi="ar"/>
                    </w:rPr>
                    <w:t>依托新航焦化厂内事故池，2个事故池共7600m</w:t>
                  </w:r>
                  <w:r>
                    <w:rPr>
                      <w:rFonts w:hint="eastAsia"/>
                      <w:color w:val="auto"/>
                      <w:kern w:val="0"/>
                      <w:szCs w:val="21"/>
                      <w:vertAlign w:val="superscript"/>
                      <w:lang w:bidi="ar"/>
                    </w:rPr>
                    <w:t>3</w:t>
                  </w:r>
                  <w:r>
                    <w:rPr>
                      <w:rFonts w:hint="eastAsia"/>
                      <w:color w:val="auto"/>
                      <w:kern w:val="0"/>
                      <w:szCs w:val="21"/>
                      <w:lang w:bidi="ar"/>
                    </w:rPr>
                    <w:t>，存放事故状态下的各种废水</w:t>
                  </w:r>
                  <w:r>
                    <w:rPr>
                      <w:rFonts w:hint="eastAsia"/>
                      <w:color w:val="auto"/>
                      <w:sz w:val="21"/>
                      <w:szCs w:val="21"/>
                    </w:rPr>
                    <w:t>，</w:t>
                  </w:r>
                  <w:r>
                    <w:rPr>
                      <w:rFonts w:hint="eastAsia"/>
                      <w:color w:val="auto"/>
                      <w:kern w:val="0"/>
                      <w:szCs w:val="21"/>
                      <w:lang w:bidi="ar"/>
                    </w:rPr>
                    <w:t>渗透系数≤10</w:t>
                  </w:r>
                  <w:r>
                    <w:rPr>
                      <w:rFonts w:hint="eastAsia"/>
                      <w:color w:val="auto"/>
                      <w:kern w:val="0"/>
                      <w:szCs w:val="21"/>
                      <w:vertAlign w:val="superscript"/>
                      <w:lang w:val="en-US" w:eastAsia="zh-CN" w:bidi="ar"/>
                    </w:rPr>
                    <w:t>-</w:t>
                  </w:r>
                  <w:r>
                    <w:rPr>
                      <w:rFonts w:hint="eastAsia"/>
                      <w:color w:val="auto"/>
                      <w:kern w:val="0"/>
                      <w:szCs w:val="21"/>
                      <w:vertAlign w:val="superscript"/>
                      <w:lang w:bidi="ar"/>
                    </w:rPr>
                    <w:t>7</w:t>
                  </w:r>
                  <w:r>
                    <w:rPr>
                      <w:rFonts w:hint="eastAsia"/>
                      <w:color w:val="auto"/>
                      <w:kern w:val="0"/>
                      <w:szCs w:val="21"/>
                      <w:lang w:bidi="ar"/>
                    </w:rPr>
                    <w:t>cm/s。</w:t>
                  </w:r>
                </w:p>
              </w:tc>
              <w:tc>
                <w:tcPr>
                  <w:tcW w:w="795" w:type="dxa"/>
                  <w:gridSpan w:val="2"/>
                  <w:vAlign w:val="center"/>
                </w:tcPr>
                <w:p w14:paraId="63AA4F21">
                  <w:pPr>
                    <w:widowControl/>
                    <w:jc w:val="center"/>
                    <w:textAlignment w:val="center"/>
                    <w:rPr>
                      <w:color w:val="auto"/>
                      <w:kern w:val="0"/>
                      <w:szCs w:val="21"/>
                      <w:lang w:bidi="ar"/>
                    </w:rPr>
                  </w:pPr>
                  <w:r>
                    <w:rPr>
                      <w:rFonts w:hint="eastAsia"/>
                      <w:color w:val="auto"/>
                      <w:kern w:val="0"/>
                      <w:szCs w:val="21"/>
                      <w:lang w:bidi="ar"/>
                    </w:rPr>
                    <w:t>依托</w:t>
                  </w:r>
                </w:p>
              </w:tc>
            </w:tr>
            <w:tr w14:paraId="6443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25" w:hRule="atLeast"/>
              </w:trPr>
              <w:tc>
                <w:tcPr>
                  <w:tcW w:w="655" w:type="dxa"/>
                  <w:vMerge w:val="continue"/>
                  <w:vAlign w:val="center"/>
                </w:tcPr>
                <w:p w14:paraId="19C53763">
                  <w:pPr>
                    <w:widowControl/>
                    <w:jc w:val="center"/>
                    <w:textAlignment w:val="center"/>
                    <w:rPr>
                      <w:color w:val="auto"/>
                      <w:kern w:val="0"/>
                      <w:szCs w:val="21"/>
                      <w:lang w:bidi="ar"/>
                    </w:rPr>
                  </w:pPr>
                </w:p>
              </w:tc>
              <w:tc>
                <w:tcPr>
                  <w:tcW w:w="903" w:type="dxa"/>
                  <w:vAlign w:val="center"/>
                </w:tcPr>
                <w:p w14:paraId="0B8484A2">
                  <w:pPr>
                    <w:widowControl/>
                    <w:jc w:val="center"/>
                    <w:textAlignment w:val="center"/>
                    <w:rPr>
                      <w:color w:val="auto"/>
                      <w:kern w:val="0"/>
                      <w:szCs w:val="21"/>
                      <w:lang w:bidi="ar"/>
                    </w:rPr>
                  </w:pPr>
                  <w:r>
                    <w:rPr>
                      <w:rFonts w:hint="eastAsia"/>
                      <w:color w:val="auto"/>
                      <w:kern w:val="0"/>
                      <w:szCs w:val="21"/>
                      <w:lang w:bidi="ar"/>
                    </w:rPr>
                    <w:t>危废暂存间</w:t>
                  </w:r>
                </w:p>
              </w:tc>
              <w:tc>
                <w:tcPr>
                  <w:tcW w:w="5664" w:type="dxa"/>
                  <w:gridSpan w:val="3"/>
                  <w:vAlign w:val="center"/>
                </w:tcPr>
                <w:p w14:paraId="05D1DC60">
                  <w:pPr>
                    <w:keepNext w:val="0"/>
                    <w:keepLines w:val="0"/>
                    <w:widowControl/>
                    <w:suppressLineNumbers w:val="0"/>
                    <w:jc w:val="left"/>
                    <w:rPr>
                      <w:color w:val="auto"/>
                    </w:rPr>
                  </w:pPr>
                  <w:r>
                    <w:rPr>
                      <w:rFonts w:hint="eastAsia"/>
                      <w:color w:val="auto"/>
                      <w:kern w:val="0"/>
                      <w:sz w:val="21"/>
                      <w:szCs w:val="21"/>
                      <w:lang w:bidi="ar"/>
                    </w:rPr>
                    <w:t>依托新航焦化厂内140m</w:t>
                  </w:r>
                  <w:r>
                    <w:rPr>
                      <w:rFonts w:hint="eastAsia"/>
                      <w:color w:val="auto"/>
                      <w:kern w:val="0"/>
                      <w:sz w:val="21"/>
                      <w:szCs w:val="21"/>
                      <w:vertAlign w:val="superscript"/>
                      <w:lang w:bidi="ar"/>
                    </w:rPr>
                    <w:t>2</w:t>
                  </w:r>
                  <w:r>
                    <w:rPr>
                      <w:rFonts w:hint="eastAsia"/>
                      <w:color w:val="auto"/>
                      <w:kern w:val="0"/>
                      <w:sz w:val="21"/>
                      <w:szCs w:val="21"/>
                      <w:lang w:bidi="ar"/>
                    </w:rPr>
                    <w:t>危废暂存间</w:t>
                  </w:r>
                  <w:r>
                    <w:rPr>
                      <w:rFonts w:hint="eastAsia"/>
                      <w:color w:val="auto"/>
                      <w:kern w:val="0"/>
                      <w:sz w:val="21"/>
                      <w:szCs w:val="21"/>
                      <w:lang w:eastAsia="zh-CN" w:bidi="ar"/>
                    </w:rPr>
                    <w:t>，</w:t>
                  </w:r>
                  <w:r>
                    <w:rPr>
                      <w:rFonts w:hint="eastAsia"/>
                      <w:color w:val="auto"/>
                      <w:sz w:val="21"/>
                      <w:szCs w:val="21"/>
                    </w:rPr>
                    <w:t>渗透系数≤1.0</w:t>
                  </w:r>
                  <w:r>
                    <w:rPr>
                      <w:rFonts w:hint="eastAsia"/>
                      <w:color w:val="auto"/>
                      <w:sz w:val="21"/>
                      <w:szCs w:val="21"/>
                      <w:vertAlign w:val="superscript"/>
                    </w:rPr>
                    <w:t>-</w:t>
                  </w:r>
                  <w:r>
                    <w:rPr>
                      <w:rFonts w:hint="eastAsia"/>
                      <w:color w:val="auto"/>
                      <w:sz w:val="21"/>
                      <w:szCs w:val="21"/>
                      <w:vertAlign w:val="superscript"/>
                      <w:lang w:val="en-US" w:eastAsia="zh-CN"/>
                    </w:rPr>
                    <w:t>10</w:t>
                  </w:r>
                  <w:r>
                    <w:rPr>
                      <w:rFonts w:hint="eastAsia"/>
                      <w:color w:val="auto"/>
                      <w:sz w:val="21"/>
                      <w:szCs w:val="21"/>
                    </w:rPr>
                    <w:t>cm/s</w:t>
                  </w:r>
                  <w:r>
                    <w:rPr>
                      <w:rFonts w:hint="eastAsia"/>
                      <w:color w:val="auto"/>
                      <w:kern w:val="0"/>
                      <w:sz w:val="21"/>
                      <w:szCs w:val="21"/>
                      <w:lang w:bidi="ar"/>
                    </w:rPr>
                    <w:t>。</w:t>
                  </w:r>
                  <w:r>
                    <w:rPr>
                      <w:rFonts w:hint="eastAsia"/>
                      <w:color w:val="auto"/>
                      <w:kern w:val="0"/>
                      <w:sz w:val="21"/>
                      <w:szCs w:val="21"/>
                      <w:lang w:val="en-US" w:eastAsia="zh-CN" w:bidi="ar"/>
                    </w:rPr>
                    <w:t>本</w:t>
                  </w:r>
                  <w:r>
                    <w:rPr>
                      <w:rFonts w:hint="eastAsia" w:ascii="宋体" w:hAnsi="宋体" w:eastAsia="宋体" w:cs="宋体"/>
                      <w:color w:val="auto"/>
                      <w:kern w:val="0"/>
                      <w:sz w:val="21"/>
                      <w:szCs w:val="21"/>
                      <w:lang w:val="en-US" w:eastAsia="zh-CN" w:bidi="ar"/>
                    </w:rPr>
                    <w:t>项目建成后与新航焦化厂合并厂区管理，不涉及厂外运输危废，依托可行。</w:t>
                  </w:r>
                </w:p>
              </w:tc>
              <w:tc>
                <w:tcPr>
                  <w:tcW w:w="795" w:type="dxa"/>
                  <w:gridSpan w:val="2"/>
                  <w:vAlign w:val="center"/>
                </w:tcPr>
                <w:p w14:paraId="0F8F94EA">
                  <w:pPr>
                    <w:widowControl/>
                    <w:jc w:val="center"/>
                    <w:textAlignment w:val="center"/>
                    <w:rPr>
                      <w:color w:val="auto"/>
                      <w:kern w:val="0"/>
                      <w:szCs w:val="21"/>
                      <w:lang w:bidi="ar"/>
                    </w:rPr>
                  </w:pPr>
                  <w:r>
                    <w:rPr>
                      <w:rFonts w:hint="eastAsia"/>
                      <w:color w:val="auto"/>
                      <w:kern w:val="0"/>
                      <w:szCs w:val="21"/>
                      <w:lang w:bidi="ar"/>
                    </w:rPr>
                    <w:t>依托</w:t>
                  </w:r>
                </w:p>
              </w:tc>
            </w:tr>
            <w:bookmarkEnd w:id="25"/>
          </w:tbl>
          <w:p w14:paraId="3725CD23">
            <w:pPr>
              <w:pStyle w:val="46"/>
              <w:numPr>
                <w:ilvl w:val="0"/>
                <w:numId w:val="0"/>
              </w:numPr>
              <w:spacing w:line="360" w:lineRule="auto"/>
              <w:ind w:left="480" w:leftChars="0"/>
              <w:rPr>
                <w:rFonts w:hint="eastAsia"/>
                <w:b/>
                <w:bCs/>
                <w:color w:val="auto"/>
                <w:kern w:val="0"/>
                <w:sz w:val="24"/>
                <w:szCs w:val="24"/>
                <w:lang w:eastAsia="zh-CN" w:bidi="ar"/>
              </w:rPr>
            </w:pPr>
            <w:r>
              <w:rPr>
                <w:rFonts w:hint="eastAsia"/>
                <w:b/>
                <w:bCs/>
                <w:color w:val="auto"/>
                <w:kern w:val="0"/>
                <w:sz w:val="24"/>
                <w:szCs w:val="24"/>
                <w:lang w:val="en-US" w:eastAsia="zh-CN" w:bidi="ar"/>
              </w:rPr>
              <w:t>三、</w:t>
            </w:r>
            <w:r>
              <w:rPr>
                <w:rFonts w:hint="eastAsia"/>
                <w:b/>
                <w:bCs/>
                <w:color w:val="auto"/>
                <w:kern w:val="0"/>
                <w:sz w:val="24"/>
                <w:szCs w:val="24"/>
                <w:lang w:eastAsia="zh-CN" w:bidi="ar"/>
              </w:rPr>
              <w:t>公用工程依托可行性分析</w:t>
            </w:r>
          </w:p>
          <w:p w14:paraId="43AC7688">
            <w:pPr>
              <w:widowControl/>
              <w:numPr>
                <w:ilvl w:val="0"/>
                <w:numId w:val="4"/>
              </w:numPr>
              <w:spacing w:line="360" w:lineRule="auto"/>
              <w:ind w:firstLine="480" w:firstLineChars="200"/>
              <w:rPr>
                <w:color w:val="auto"/>
                <w:sz w:val="24"/>
              </w:rPr>
            </w:pPr>
            <w:r>
              <w:rPr>
                <w:rFonts w:hint="eastAsia"/>
                <w:color w:val="auto"/>
                <w:sz w:val="24"/>
              </w:rPr>
              <w:t>供水</w:t>
            </w:r>
          </w:p>
          <w:p w14:paraId="10006DF5">
            <w:pPr>
              <w:widowControl/>
              <w:spacing w:line="360" w:lineRule="auto"/>
              <w:ind w:firstLine="480" w:firstLineChars="200"/>
              <w:rPr>
                <w:rFonts w:hint="eastAsia" w:eastAsia="宋体"/>
                <w:color w:val="auto"/>
                <w:sz w:val="24"/>
                <w:lang w:eastAsia="zh-CN"/>
              </w:rPr>
            </w:pPr>
            <w:r>
              <w:rPr>
                <w:rFonts w:hint="eastAsia"/>
                <w:color w:val="auto"/>
                <w:sz w:val="24"/>
              </w:rPr>
              <w:t>新航焦化用水由</w:t>
            </w:r>
            <w:r>
              <w:rPr>
                <w:rFonts w:hint="eastAsia" w:ascii="Times New Roman" w:hAnsi="Times New Roman" w:eastAsia="宋体" w:cs="Times New Roman"/>
                <w:color w:val="auto"/>
                <w:sz w:val="24"/>
              </w:rPr>
              <w:t>园区供给，园区以黄河水为水源，经处理后供给各用户使用</w:t>
            </w:r>
            <w:r>
              <w:rPr>
                <w:rFonts w:hint="eastAsia" w:cs="Times New Roman"/>
                <w:color w:val="auto"/>
                <w:sz w:val="24"/>
                <w:lang w:eastAsia="zh-CN"/>
              </w:rPr>
              <w:t>，</w:t>
            </w:r>
            <w:r>
              <w:rPr>
                <w:rFonts w:hint="eastAsia" w:cs="Times New Roman"/>
                <w:color w:val="auto"/>
                <w:sz w:val="24"/>
                <w:lang w:val="en-US" w:eastAsia="zh-CN"/>
              </w:rPr>
              <w:t>建成后</w:t>
            </w:r>
            <w:r>
              <w:rPr>
                <w:rFonts w:hint="eastAsia" w:ascii="Times New Roman" w:hAnsi="Times New Roman" w:eastAsia="宋体" w:cs="Times New Roman"/>
                <w:color w:val="auto"/>
                <w:sz w:val="24"/>
              </w:rPr>
              <w:t>总用水量为</w:t>
            </w:r>
            <w:r>
              <w:rPr>
                <w:rFonts w:hint="eastAsia" w:cs="Times New Roman"/>
                <w:color w:val="auto"/>
                <w:sz w:val="24"/>
                <w:lang w:val="en-US" w:eastAsia="zh-CN"/>
              </w:rPr>
              <w:t>32157.54</w:t>
            </w:r>
            <w:r>
              <w:rPr>
                <w:rFonts w:hint="eastAsia" w:ascii="Times New Roman" w:hAnsi="Times New Roman" w:eastAsia="宋体" w:cs="Times New Roman"/>
                <w:color w:val="auto"/>
                <w:sz w:val="24"/>
              </w:rPr>
              <w:t>t/a，</w:t>
            </w:r>
            <w:r>
              <w:rPr>
                <w:rFonts w:hint="eastAsia"/>
                <w:color w:val="auto"/>
                <w:sz w:val="24"/>
              </w:rPr>
              <w:t>全部依托新航焦化厂现有的供水系统</w:t>
            </w:r>
            <w:r>
              <w:rPr>
                <w:rFonts w:hint="eastAsia"/>
                <w:color w:val="auto"/>
                <w:sz w:val="24"/>
                <w:lang w:eastAsia="zh-CN"/>
              </w:rPr>
              <w:t>。</w:t>
            </w:r>
          </w:p>
          <w:p w14:paraId="5D930532">
            <w:pPr>
              <w:widowControl/>
              <w:spacing w:line="360" w:lineRule="auto"/>
              <w:ind w:firstLine="480" w:firstLineChars="200"/>
              <w:rPr>
                <w:color w:val="auto"/>
                <w:sz w:val="24"/>
              </w:rPr>
            </w:pPr>
            <w:r>
              <w:rPr>
                <w:color w:val="auto"/>
                <w:sz w:val="24"/>
              </w:rPr>
              <w:t>焦化厂现有生活水系统供水压力</w:t>
            </w:r>
            <w:r>
              <w:rPr>
                <w:rFonts w:hint="eastAsia"/>
                <w:color w:val="auto"/>
                <w:szCs w:val="21"/>
              </w:rPr>
              <w:t>≥</w:t>
            </w:r>
            <w:r>
              <w:rPr>
                <w:color w:val="auto"/>
                <w:sz w:val="24"/>
              </w:rPr>
              <w:t>0.4 Mpa，生活给水管网呈枝状布置</w:t>
            </w:r>
            <w:r>
              <w:rPr>
                <w:rFonts w:hint="eastAsia"/>
                <w:color w:val="auto"/>
                <w:sz w:val="24"/>
              </w:rPr>
              <w:t>，</w:t>
            </w:r>
            <w:r>
              <w:rPr>
                <w:color w:val="auto"/>
                <w:sz w:val="24"/>
              </w:rPr>
              <w:t>并按照有关规范的要求布置阀门井，因此该生活水系统可以满足本项目新增用水需求。</w:t>
            </w:r>
          </w:p>
          <w:p w14:paraId="0CCABD9D">
            <w:pPr>
              <w:widowControl/>
              <w:numPr>
                <w:ilvl w:val="0"/>
                <w:numId w:val="4"/>
              </w:numPr>
              <w:spacing w:line="360" w:lineRule="auto"/>
              <w:ind w:firstLine="480" w:firstLineChars="200"/>
              <w:rPr>
                <w:color w:val="auto"/>
                <w:sz w:val="24"/>
              </w:rPr>
            </w:pPr>
            <w:r>
              <w:rPr>
                <w:rFonts w:hint="eastAsia"/>
                <w:color w:val="auto"/>
                <w:sz w:val="24"/>
              </w:rPr>
              <w:t>排水</w:t>
            </w:r>
          </w:p>
          <w:p w14:paraId="6E39DD48">
            <w:pPr>
              <w:widowControl/>
              <w:spacing w:line="360" w:lineRule="auto"/>
              <w:ind w:firstLine="480" w:firstLineChars="200"/>
              <w:jc w:val="left"/>
              <w:rPr>
                <w:rFonts w:hint="eastAsia"/>
                <w:color w:val="auto"/>
                <w:sz w:val="24"/>
              </w:rPr>
            </w:pPr>
            <w:r>
              <w:rPr>
                <w:rFonts w:hint="eastAsia"/>
                <w:color w:val="auto"/>
                <w:sz w:val="24"/>
              </w:rPr>
              <w:t>本项目</w:t>
            </w:r>
            <w:r>
              <w:rPr>
                <w:rFonts w:hint="eastAsia"/>
                <w:color w:val="auto"/>
                <w:sz w:val="24"/>
                <w:lang w:val="en-US" w:eastAsia="zh-CN"/>
              </w:rPr>
              <w:t>生活</w:t>
            </w:r>
            <w:r>
              <w:rPr>
                <w:rFonts w:hint="eastAsia"/>
                <w:color w:val="auto"/>
                <w:sz w:val="24"/>
              </w:rPr>
              <w:t>污水量为0.96</w:t>
            </w:r>
            <w:r>
              <w:rPr>
                <w:color w:val="auto"/>
                <w:sz w:val="24"/>
              </w:rPr>
              <w:t>m</w:t>
            </w:r>
            <w:r>
              <w:rPr>
                <w:color w:val="auto"/>
                <w:sz w:val="24"/>
                <w:vertAlign w:val="superscript"/>
              </w:rPr>
              <w:t>3</w:t>
            </w:r>
            <w:r>
              <w:rPr>
                <w:color w:val="auto"/>
                <w:sz w:val="24"/>
              </w:rPr>
              <w:t>/d</w:t>
            </w:r>
            <w:r>
              <w:rPr>
                <w:rFonts w:hint="eastAsia"/>
                <w:color w:val="auto"/>
                <w:sz w:val="24"/>
              </w:rPr>
              <w:t>（319.68t</w:t>
            </w:r>
            <w:r>
              <w:rPr>
                <w:color w:val="auto"/>
                <w:sz w:val="24"/>
              </w:rPr>
              <w:t>/a</w:t>
            </w:r>
            <w:r>
              <w:rPr>
                <w:rFonts w:hint="eastAsia"/>
                <w:color w:val="auto"/>
                <w:sz w:val="24"/>
              </w:rPr>
              <w:t>），</w:t>
            </w:r>
            <w:r>
              <w:rPr>
                <w:rFonts w:hint="eastAsia"/>
                <w:color w:val="auto"/>
                <w:sz w:val="24"/>
                <w:lang w:val="en-US" w:eastAsia="zh-CN"/>
              </w:rPr>
              <w:t>车辆冲洗废水经沉淀池沉淀后循环使用，不产生其他</w:t>
            </w:r>
            <w:r>
              <w:rPr>
                <w:rFonts w:hint="eastAsia"/>
                <w:color w:val="auto"/>
                <w:sz w:val="24"/>
              </w:rPr>
              <w:t>生产废水。</w:t>
            </w:r>
          </w:p>
          <w:p w14:paraId="0F796DA9">
            <w:pPr>
              <w:pStyle w:val="8"/>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eastAsia"/>
                <w:color w:val="auto"/>
                <w:lang w:eastAsia="zh-CN"/>
              </w:rPr>
            </w:pPr>
            <w:r>
              <w:rPr>
                <w:rFonts w:hint="eastAsia"/>
                <w:color w:val="auto"/>
                <w:sz w:val="24"/>
                <w:lang w:val="en-US" w:eastAsia="zh-CN"/>
              </w:rPr>
              <w:t>本项目职工生活依托新航焦化现有生活区域，</w:t>
            </w:r>
            <w:r>
              <w:rPr>
                <w:rFonts w:hint="eastAsia"/>
                <w:color w:val="auto"/>
                <w:sz w:val="24"/>
              </w:rPr>
              <w:t>生活污水经厂内120m</w:t>
            </w:r>
            <w:r>
              <w:rPr>
                <w:rFonts w:hint="eastAsia"/>
                <w:color w:val="auto"/>
                <w:sz w:val="24"/>
                <w:vertAlign w:val="superscript"/>
              </w:rPr>
              <w:t>3</w:t>
            </w:r>
            <w:r>
              <w:rPr>
                <w:rFonts w:hint="eastAsia"/>
                <w:color w:val="auto"/>
                <w:sz w:val="24"/>
              </w:rPr>
              <w:t>/h污水处理站处理，</w:t>
            </w:r>
            <w:r>
              <w:rPr>
                <w:rFonts w:hint="eastAsia" w:ascii="宋体" w:hAnsi="宋体" w:cs="宋体"/>
                <w:color w:val="auto"/>
                <w:kern w:val="0"/>
                <w:sz w:val="24"/>
                <w:lang w:bidi="ar"/>
              </w:rPr>
              <w:t>处理工艺采用“预处理</w:t>
            </w:r>
            <w:r>
              <w:rPr>
                <w:color w:val="auto"/>
                <w:kern w:val="0"/>
                <w:sz w:val="24"/>
                <w:lang w:bidi="ar"/>
              </w:rPr>
              <w:t>+</w:t>
            </w:r>
            <w:r>
              <w:rPr>
                <w:rFonts w:hint="eastAsia" w:ascii="宋体" w:hAnsi="宋体" w:cs="宋体"/>
                <w:color w:val="auto"/>
                <w:kern w:val="0"/>
                <w:sz w:val="24"/>
                <w:lang w:bidi="ar"/>
              </w:rPr>
              <w:t>厌氧</w:t>
            </w:r>
            <w:r>
              <w:rPr>
                <w:color w:val="auto"/>
                <w:kern w:val="0"/>
                <w:sz w:val="24"/>
                <w:lang w:bidi="ar"/>
              </w:rPr>
              <w:t>-</w:t>
            </w:r>
            <w:r>
              <w:rPr>
                <w:rFonts w:hint="eastAsia" w:ascii="宋体" w:hAnsi="宋体" w:cs="宋体"/>
                <w:color w:val="auto"/>
                <w:kern w:val="0"/>
                <w:sz w:val="24"/>
                <w:lang w:bidi="ar"/>
              </w:rPr>
              <w:t>缺氧</w:t>
            </w:r>
            <w:r>
              <w:rPr>
                <w:color w:val="auto"/>
                <w:kern w:val="0"/>
                <w:sz w:val="24"/>
                <w:lang w:bidi="ar"/>
              </w:rPr>
              <w:t>-</w:t>
            </w:r>
            <w:r>
              <w:rPr>
                <w:rFonts w:hint="eastAsia" w:ascii="宋体" w:hAnsi="宋体" w:cs="宋体"/>
                <w:color w:val="auto"/>
                <w:kern w:val="0"/>
                <w:sz w:val="24"/>
                <w:lang w:bidi="ar"/>
              </w:rPr>
              <w:t>好氧</w:t>
            </w:r>
            <w:r>
              <w:rPr>
                <w:color w:val="auto"/>
                <w:kern w:val="0"/>
                <w:sz w:val="24"/>
                <w:lang w:bidi="ar"/>
              </w:rPr>
              <w:t>(A-A-O)+</w:t>
            </w:r>
            <w:r>
              <w:rPr>
                <w:rFonts w:hint="eastAsia" w:ascii="宋体" w:hAnsi="宋体" w:cs="宋体"/>
                <w:color w:val="auto"/>
                <w:kern w:val="0"/>
                <w:sz w:val="24"/>
                <w:lang w:bidi="ar"/>
              </w:rPr>
              <w:t>混凝沉淀”，</w:t>
            </w:r>
            <w:r>
              <w:rPr>
                <w:rFonts w:hint="eastAsia" w:ascii="宋体" w:hAnsi="宋体" w:cs="宋体"/>
                <w:color w:val="auto"/>
                <w:kern w:val="0"/>
                <w:sz w:val="24"/>
                <w:lang w:val="en-US" w:eastAsia="zh-CN" w:bidi="ar"/>
              </w:rPr>
              <w:t>现富余能力</w:t>
            </w:r>
            <w:r>
              <w:rPr>
                <w:rFonts w:hint="eastAsia" w:ascii="Times New Roman" w:hAnsi="Times New Roman" w:eastAsia="宋体" w:cs="Times New Roman"/>
                <w:color w:val="auto"/>
                <w:sz w:val="24"/>
                <w:lang w:val="en-US" w:eastAsia="zh-CN"/>
              </w:rPr>
              <w:t>为65.53</w:t>
            </w:r>
            <w:r>
              <w:rPr>
                <w:rFonts w:hint="eastAsia"/>
                <w:color w:val="auto"/>
                <w:sz w:val="24"/>
              </w:rPr>
              <w:t>m</w:t>
            </w:r>
            <w:r>
              <w:rPr>
                <w:rFonts w:hint="eastAsia"/>
                <w:color w:val="auto"/>
                <w:sz w:val="24"/>
                <w:vertAlign w:val="superscript"/>
              </w:rPr>
              <w:t>3</w:t>
            </w:r>
            <w:r>
              <w:rPr>
                <w:rFonts w:hint="eastAsia"/>
                <w:color w:val="auto"/>
                <w:sz w:val="24"/>
              </w:rPr>
              <w:t>/h</w:t>
            </w:r>
            <w:r>
              <w:rPr>
                <w:rFonts w:hint="eastAsia"/>
                <w:color w:val="auto"/>
                <w:sz w:val="24"/>
                <w:lang w:eastAsia="zh-CN"/>
              </w:rPr>
              <w:t>，</w:t>
            </w:r>
            <w:r>
              <w:rPr>
                <w:rFonts w:hint="eastAsia"/>
                <w:color w:val="auto"/>
                <w:sz w:val="24"/>
                <w:lang w:val="en-US" w:eastAsia="zh-CN"/>
              </w:rPr>
              <w:t>拟建鄂托克旗新航焦化有限公司45万吨/年含碳固废综合利用项目全部投产后所需要处理的水量为0.96</w:t>
            </w:r>
            <w:r>
              <w:rPr>
                <w:color w:val="auto"/>
                <w:sz w:val="24"/>
              </w:rPr>
              <w:t>m</w:t>
            </w:r>
            <w:r>
              <w:rPr>
                <w:color w:val="auto"/>
                <w:sz w:val="24"/>
                <w:vertAlign w:val="superscript"/>
              </w:rPr>
              <w:t>3</w:t>
            </w:r>
            <w:r>
              <w:rPr>
                <w:color w:val="auto"/>
                <w:sz w:val="24"/>
              </w:rPr>
              <w:t>/d</w:t>
            </w:r>
            <w:r>
              <w:rPr>
                <w:rFonts w:hint="eastAsia"/>
                <w:color w:val="auto"/>
                <w:sz w:val="24"/>
                <w:lang w:eastAsia="zh-CN"/>
              </w:rPr>
              <w:t>，</w:t>
            </w:r>
            <w:r>
              <w:rPr>
                <w:rFonts w:hint="eastAsia"/>
                <w:color w:val="auto"/>
                <w:sz w:val="24"/>
                <w:lang w:val="en-US" w:eastAsia="zh-CN"/>
              </w:rPr>
              <w:t>污水处理站富余能力充足；</w:t>
            </w:r>
            <w:r>
              <w:rPr>
                <w:rFonts w:hint="eastAsia"/>
                <w:color w:val="auto"/>
                <w:sz w:val="24"/>
              </w:rPr>
              <w:t>出水送至污水深度处理系统进行深度处理</w:t>
            </w:r>
            <w:r>
              <w:rPr>
                <w:rFonts w:hint="eastAsia" w:ascii="宋体" w:hAnsi="宋体" w:cs="宋体"/>
                <w:color w:val="auto"/>
                <w:kern w:val="0"/>
                <w:sz w:val="24"/>
                <w:lang w:bidi="ar"/>
              </w:rPr>
              <w:t>，规模为</w:t>
            </w:r>
            <w:r>
              <w:rPr>
                <w:rFonts w:hint="eastAsia"/>
                <w:color w:val="auto"/>
                <w:sz w:val="24"/>
              </w:rPr>
              <w:t>120m</w:t>
            </w:r>
            <w:r>
              <w:rPr>
                <w:rFonts w:hint="eastAsia"/>
                <w:color w:val="auto"/>
                <w:sz w:val="24"/>
                <w:vertAlign w:val="superscript"/>
              </w:rPr>
              <w:t>3</w:t>
            </w:r>
            <w:r>
              <w:rPr>
                <w:rFonts w:hint="eastAsia"/>
                <w:color w:val="auto"/>
                <w:sz w:val="24"/>
              </w:rPr>
              <w:t>/h，</w:t>
            </w:r>
            <w:r>
              <w:rPr>
                <w:rFonts w:hint="eastAsia" w:ascii="宋体" w:hAnsi="宋体" w:cs="宋体"/>
                <w:color w:val="auto"/>
                <w:kern w:val="0"/>
                <w:sz w:val="24"/>
                <w:lang w:bidi="ar"/>
              </w:rPr>
              <w:t>处理工艺采用“超滤</w:t>
            </w:r>
            <w:r>
              <w:rPr>
                <w:color w:val="auto"/>
                <w:kern w:val="0"/>
                <w:sz w:val="24"/>
                <w:lang w:bidi="ar"/>
              </w:rPr>
              <w:t>+</w:t>
            </w:r>
            <w:r>
              <w:rPr>
                <w:rFonts w:hint="eastAsia" w:ascii="宋体" w:hAnsi="宋体" w:cs="宋体"/>
                <w:color w:val="auto"/>
                <w:kern w:val="0"/>
                <w:sz w:val="24"/>
                <w:lang w:bidi="ar"/>
              </w:rPr>
              <w:t>纳滤</w:t>
            </w:r>
            <w:r>
              <w:rPr>
                <w:color w:val="auto"/>
                <w:kern w:val="0"/>
                <w:sz w:val="24"/>
                <w:lang w:bidi="ar"/>
              </w:rPr>
              <w:t>+</w:t>
            </w:r>
            <w:r>
              <w:rPr>
                <w:rFonts w:hint="eastAsia" w:ascii="宋体" w:hAnsi="宋体" w:cs="宋体"/>
                <w:color w:val="auto"/>
                <w:kern w:val="0"/>
                <w:sz w:val="24"/>
                <w:lang w:bidi="ar"/>
              </w:rPr>
              <w:t>反渗透”，</w:t>
            </w:r>
            <w:r>
              <w:rPr>
                <w:rFonts w:hint="eastAsia" w:ascii="宋体" w:hAnsi="宋体" w:cs="宋体"/>
                <w:color w:val="auto"/>
                <w:kern w:val="0"/>
                <w:sz w:val="24"/>
                <w:lang w:val="en-US" w:eastAsia="zh-CN" w:bidi="ar"/>
              </w:rPr>
              <w:t>现富余能力</w:t>
            </w:r>
            <w:r>
              <w:rPr>
                <w:rFonts w:hint="eastAsia" w:ascii="Times New Roman" w:hAnsi="Times New Roman" w:eastAsia="宋体" w:cs="Times New Roman"/>
                <w:color w:val="auto"/>
                <w:sz w:val="24"/>
                <w:lang w:val="en-US" w:eastAsia="zh-CN"/>
              </w:rPr>
              <w:t>为27.54</w:t>
            </w:r>
            <w:r>
              <w:rPr>
                <w:rFonts w:hint="eastAsia"/>
                <w:color w:val="auto"/>
                <w:sz w:val="24"/>
              </w:rPr>
              <w:t>m</w:t>
            </w:r>
            <w:r>
              <w:rPr>
                <w:rFonts w:hint="eastAsia"/>
                <w:color w:val="auto"/>
                <w:sz w:val="24"/>
                <w:vertAlign w:val="superscript"/>
              </w:rPr>
              <w:t>3</w:t>
            </w:r>
            <w:r>
              <w:rPr>
                <w:rFonts w:hint="eastAsia"/>
                <w:color w:val="auto"/>
                <w:sz w:val="24"/>
              </w:rPr>
              <w:t>/h</w:t>
            </w:r>
            <w:r>
              <w:rPr>
                <w:rFonts w:hint="eastAsia"/>
                <w:color w:val="auto"/>
                <w:sz w:val="24"/>
                <w:lang w:eastAsia="zh-CN"/>
              </w:rPr>
              <w:t>，</w:t>
            </w:r>
            <w:r>
              <w:rPr>
                <w:rFonts w:hint="eastAsia"/>
                <w:color w:val="auto"/>
                <w:sz w:val="24"/>
                <w:lang w:val="en-US" w:eastAsia="zh-CN"/>
              </w:rPr>
              <w:t>所需要处理的水量为0.96</w:t>
            </w:r>
            <w:r>
              <w:rPr>
                <w:color w:val="auto"/>
                <w:sz w:val="24"/>
              </w:rPr>
              <w:t>m</w:t>
            </w:r>
            <w:r>
              <w:rPr>
                <w:color w:val="auto"/>
                <w:sz w:val="24"/>
                <w:vertAlign w:val="superscript"/>
              </w:rPr>
              <w:t>3</w:t>
            </w:r>
            <w:r>
              <w:rPr>
                <w:color w:val="auto"/>
                <w:sz w:val="24"/>
              </w:rPr>
              <w:t>/d</w:t>
            </w:r>
            <w:r>
              <w:rPr>
                <w:rFonts w:hint="eastAsia"/>
                <w:color w:val="auto"/>
                <w:sz w:val="24"/>
                <w:lang w:eastAsia="zh-CN"/>
              </w:rPr>
              <w:t>，</w:t>
            </w:r>
            <w:r>
              <w:rPr>
                <w:rFonts w:hint="eastAsia"/>
                <w:color w:val="auto"/>
                <w:sz w:val="24"/>
                <w:lang w:val="en-US" w:eastAsia="zh-CN"/>
              </w:rPr>
              <w:t>污水处理站富余能力充足，</w:t>
            </w:r>
            <w:r>
              <w:rPr>
                <w:rFonts w:hint="eastAsia" w:ascii="宋体" w:hAnsi="宋体" w:cs="宋体"/>
                <w:color w:val="auto"/>
                <w:kern w:val="0"/>
                <w:sz w:val="24"/>
                <w:lang w:bidi="ar"/>
              </w:rPr>
              <w:t>处理后出水满足《城市污水再生利用  工业用水水质》中循环系统补充水质标准，回用于循环水补水</w:t>
            </w:r>
            <w:r>
              <w:rPr>
                <w:rFonts w:hint="eastAsia"/>
                <w:color w:val="auto"/>
                <w:sz w:val="24"/>
              </w:rPr>
              <w:t>。</w:t>
            </w:r>
          </w:p>
          <w:p w14:paraId="0CC8C0E8">
            <w:pPr>
              <w:widowControl/>
              <w:numPr>
                <w:ilvl w:val="0"/>
                <w:numId w:val="4"/>
              </w:numPr>
              <w:spacing w:line="360" w:lineRule="auto"/>
              <w:ind w:firstLine="480" w:firstLineChars="200"/>
              <w:rPr>
                <w:rFonts w:hint="eastAsia"/>
                <w:color w:val="auto"/>
                <w:sz w:val="24"/>
              </w:rPr>
            </w:pPr>
            <w:r>
              <w:rPr>
                <w:rFonts w:ascii="宋体" w:hAnsi="宋体" w:cs="宋体"/>
                <w:color w:val="auto"/>
                <w:kern w:val="0"/>
                <w:sz w:val="24"/>
                <w:lang w:bidi="ar"/>
              </w:rPr>
              <w:t>干燥热源</w:t>
            </w:r>
          </w:p>
          <w:p w14:paraId="4A9FCC5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本项目干燥热源采用在新航焦化新设的上升管余热回收装置产生的饱和蒸汽。</w:t>
            </w:r>
          </w:p>
          <w:p w14:paraId="0BE2B54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本项目采用《内蒙古蒙西矿业有限公司技改扩建年产100万吨捣固焦项目》 焦炉上升管荒煤气，通过余热回收装置产生的180℃饱和蒸汽，通过蒸汽进行间接换热，加热空气至约160℃作为干燥热源。折合年节能标煤约：9047tce。</w:t>
            </w:r>
          </w:p>
          <w:p w14:paraId="481145C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kern w:val="0"/>
                <w:sz w:val="24"/>
                <w:lang w:val="en-US" w:eastAsia="zh-CN" w:bidi="ar"/>
              </w:rPr>
            </w:pPr>
            <w:r>
              <w:rPr>
                <w:rFonts w:hint="default" w:ascii="Times New Roman" w:hAnsi="Times New Roman" w:cs="Times New Roman"/>
                <w:color w:val="auto"/>
                <w:kern w:val="0"/>
                <w:sz w:val="24"/>
                <w:lang w:val="en-US" w:eastAsia="zh-CN" w:bidi="ar"/>
              </w:rPr>
              <w:t>《内蒙古蒙西矿业有限公司技改扩建年产100万吨捣固焦项目》 已于2022年10月完成自主验收，验收意见见附件4。</w:t>
            </w:r>
          </w:p>
          <w:p w14:paraId="54BF8F95">
            <w:pPr>
              <w:widowControl/>
              <w:numPr>
                <w:ilvl w:val="0"/>
                <w:numId w:val="4"/>
              </w:numPr>
              <w:spacing w:line="360" w:lineRule="auto"/>
              <w:ind w:firstLine="480" w:firstLineChars="200"/>
              <w:rPr>
                <w:rFonts w:hint="eastAsia"/>
                <w:color w:val="auto"/>
                <w:sz w:val="24"/>
              </w:rPr>
            </w:pPr>
            <w:r>
              <w:rPr>
                <w:rFonts w:hint="eastAsia"/>
                <w:color w:val="auto"/>
                <w:sz w:val="24"/>
              </w:rPr>
              <w:t>事故池</w:t>
            </w:r>
          </w:p>
          <w:p w14:paraId="5D1719BB">
            <w:pPr>
              <w:widowControl/>
              <w:spacing w:line="360" w:lineRule="auto"/>
              <w:ind w:firstLine="480" w:firstLineChars="200"/>
              <w:rPr>
                <w:color w:val="auto"/>
                <w:sz w:val="24"/>
              </w:rPr>
            </w:pPr>
            <w:r>
              <w:rPr>
                <w:rFonts w:hint="eastAsia"/>
                <w:color w:val="auto"/>
                <w:sz w:val="24"/>
              </w:rPr>
              <w:t>本项目依托新航焦化厂内事故池，新航焦化共设置事故水池4个。其中焦化厂区和甲醇厂区各设置1个，位于污水处理站东侧，有效容积分别为3100m</w:t>
            </w:r>
            <w:r>
              <w:rPr>
                <w:rFonts w:hint="eastAsia"/>
                <w:color w:val="auto"/>
                <w:sz w:val="24"/>
                <w:vertAlign w:val="superscript"/>
              </w:rPr>
              <w:t>3</w:t>
            </w:r>
            <w:r>
              <w:rPr>
                <w:rFonts w:hint="eastAsia"/>
                <w:color w:val="auto"/>
                <w:sz w:val="24"/>
              </w:rPr>
              <w:t>和4500m</w:t>
            </w:r>
            <w:r>
              <w:rPr>
                <w:rFonts w:hint="eastAsia"/>
                <w:color w:val="auto"/>
                <w:sz w:val="24"/>
                <w:vertAlign w:val="superscript"/>
              </w:rPr>
              <w:t>3</w:t>
            </w:r>
            <w:r>
              <w:rPr>
                <w:rFonts w:hint="eastAsia"/>
                <w:color w:val="auto"/>
                <w:sz w:val="24"/>
              </w:rPr>
              <w:t>，可满足事故下废水收集，事故池已通过验</w:t>
            </w:r>
            <w:r>
              <w:rPr>
                <w:rFonts w:hint="default" w:ascii="Times New Roman" w:hAnsi="Times New Roman" w:cs="Times New Roman"/>
                <w:color w:val="auto"/>
                <w:sz w:val="24"/>
              </w:rPr>
              <w:t>收</w:t>
            </w:r>
            <w:r>
              <w:rPr>
                <w:rFonts w:hint="default" w:ascii="Times New Roman" w:hAnsi="Times New Roman" w:cs="Times New Roman"/>
                <w:sz w:val="21"/>
                <w:szCs w:val="21"/>
                <w:lang w:val="en-US" w:eastAsia="zh-CN"/>
              </w:rPr>
              <w:t>，</w:t>
            </w:r>
            <w:r>
              <w:rPr>
                <w:rFonts w:hint="eastAsia"/>
                <w:color w:val="1D41D5"/>
                <w:sz w:val="24"/>
              </w:rPr>
              <w:t>等效黏土防渗层Mb≥1.5m，</w:t>
            </w:r>
            <w:r>
              <w:rPr>
                <w:rFonts w:hint="eastAsia"/>
                <w:color w:val="1D41D5"/>
                <w:kern w:val="0"/>
                <w:sz w:val="24"/>
                <w:szCs w:val="24"/>
                <w:lang w:bidi="ar"/>
              </w:rPr>
              <w:t>渗透系数≤10</w:t>
            </w:r>
            <w:r>
              <w:rPr>
                <w:rFonts w:hint="eastAsia"/>
                <w:color w:val="1D41D5"/>
                <w:kern w:val="0"/>
                <w:sz w:val="24"/>
                <w:szCs w:val="24"/>
                <w:vertAlign w:val="superscript"/>
                <w:lang w:val="en-US" w:eastAsia="zh-CN" w:bidi="ar"/>
              </w:rPr>
              <w:t>-</w:t>
            </w:r>
            <w:r>
              <w:rPr>
                <w:rFonts w:hint="eastAsia"/>
                <w:color w:val="1D41D5"/>
                <w:kern w:val="0"/>
                <w:sz w:val="24"/>
                <w:szCs w:val="24"/>
                <w:vertAlign w:val="superscript"/>
                <w:lang w:bidi="ar"/>
              </w:rPr>
              <w:t>7</w:t>
            </w:r>
            <w:r>
              <w:rPr>
                <w:rFonts w:hint="eastAsia"/>
                <w:color w:val="1D41D5"/>
                <w:kern w:val="0"/>
                <w:sz w:val="24"/>
                <w:szCs w:val="24"/>
                <w:lang w:bidi="ar"/>
              </w:rPr>
              <w:t>cm/s。</w:t>
            </w:r>
            <w:r>
              <w:rPr>
                <w:rFonts w:hint="eastAsia"/>
                <w:color w:val="auto"/>
                <w:sz w:val="24"/>
              </w:rPr>
              <w:t>本项目依托可行。</w:t>
            </w:r>
          </w:p>
          <w:p w14:paraId="0FB282DC">
            <w:pPr>
              <w:widowControl/>
              <w:numPr>
                <w:ilvl w:val="0"/>
                <w:numId w:val="4"/>
              </w:numPr>
              <w:spacing w:line="360" w:lineRule="auto"/>
              <w:ind w:firstLine="480" w:firstLineChars="200"/>
              <w:rPr>
                <w:rFonts w:hint="default" w:eastAsia="宋体"/>
                <w:color w:val="auto"/>
                <w:sz w:val="24"/>
                <w:lang w:val="en-US" w:eastAsia="zh-CN"/>
              </w:rPr>
            </w:pPr>
            <w:r>
              <w:rPr>
                <w:rFonts w:hint="eastAsia"/>
                <w:color w:val="auto"/>
                <w:sz w:val="24"/>
              </w:rPr>
              <w:t>危废暂存间</w:t>
            </w:r>
          </w:p>
          <w:p w14:paraId="3D1BD7AC">
            <w:pPr>
              <w:widowControl/>
              <w:spacing w:line="360" w:lineRule="auto"/>
              <w:ind w:firstLine="480" w:firstLineChars="200"/>
              <w:jc w:val="left"/>
              <w:rPr>
                <w:rFonts w:hint="eastAsia"/>
                <w:color w:val="auto"/>
                <w:sz w:val="24"/>
              </w:rPr>
            </w:pPr>
            <w:r>
              <w:rPr>
                <w:rFonts w:hint="eastAsia"/>
                <w:color w:val="auto"/>
                <w:sz w:val="24"/>
                <w:lang w:val="en-US" w:eastAsia="zh-CN"/>
              </w:rPr>
              <w:t>本项目危险废物</w:t>
            </w:r>
            <w:r>
              <w:rPr>
                <w:rFonts w:hint="eastAsia"/>
                <w:color w:val="auto"/>
                <w:sz w:val="24"/>
              </w:rPr>
              <w:t>依托新航焦化厂内1座140m</w:t>
            </w:r>
            <w:r>
              <w:rPr>
                <w:rFonts w:hint="eastAsia"/>
                <w:color w:val="auto"/>
                <w:sz w:val="24"/>
                <w:vertAlign w:val="superscript"/>
              </w:rPr>
              <w:t>2</w:t>
            </w:r>
            <w:r>
              <w:rPr>
                <w:rFonts w:hint="eastAsia"/>
                <w:color w:val="auto"/>
                <w:sz w:val="24"/>
              </w:rPr>
              <w:t>危废暂存间，</w:t>
            </w:r>
            <w:r>
              <w:rPr>
                <w:rFonts w:hint="eastAsia"/>
                <w:color w:val="1D41D5"/>
                <w:sz w:val="24"/>
              </w:rPr>
              <w:t>采</w:t>
            </w:r>
            <w:r>
              <w:rPr>
                <w:rFonts w:hint="default"/>
                <w:color w:val="1D41D5"/>
                <w:sz w:val="24"/>
                <w:lang w:val="en-US" w:eastAsia="zh-CN"/>
              </w:rPr>
              <w:t>等效黏土防渗层Mb≥6.0m，</w:t>
            </w:r>
            <w:r>
              <w:rPr>
                <w:rFonts w:hint="eastAsia"/>
                <w:color w:val="1D41D5"/>
                <w:sz w:val="24"/>
              </w:rPr>
              <w:t>渗透系数≤1.0</w:t>
            </w:r>
            <w:r>
              <w:rPr>
                <w:rFonts w:hint="eastAsia"/>
                <w:color w:val="1D41D5"/>
                <w:sz w:val="24"/>
                <w:vertAlign w:val="superscript"/>
              </w:rPr>
              <w:t>-</w:t>
            </w:r>
            <w:r>
              <w:rPr>
                <w:rFonts w:hint="eastAsia"/>
                <w:color w:val="1D41D5"/>
                <w:sz w:val="24"/>
                <w:vertAlign w:val="superscript"/>
                <w:lang w:val="en-US" w:eastAsia="zh-CN"/>
              </w:rPr>
              <w:t>7</w:t>
            </w:r>
            <w:r>
              <w:rPr>
                <w:rFonts w:hint="eastAsia"/>
                <w:color w:val="1D41D5"/>
                <w:sz w:val="24"/>
              </w:rPr>
              <w:t>cm/s。</w:t>
            </w:r>
            <w:r>
              <w:rPr>
                <w:rFonts w:hint="eastAsia"/>
                <w:color w:val="auto"/>
                <w:sz w:val="24"/>
              </w:rPr>
              <w:t>目</w:t>
            </w:r>
            <w:r>
              <w:rPr>
                <w:rFonts w:hint="eastAsia"/>
                <w:color w:val="auto"/>
                <w:sz w:val="24"/>
              </w:rPr>
              <w:t>前存放废机油、废机油桶等危险废物，定期交有资质单位处理。本项目产生的废润滑油为0.5t/a，产生量较小，占用危废暂存库面积小，在危废暂存库收容范围内，</w:t>
            </w:r>
            <w:r>
              <w:rPr>
                <w:rFonts w:hint="eastAsia"/>
                <w:color w:val="auto"/>
                <w:sz w:val="24"/>
                <w:lang w:val="en-US" w:eastAsia="zh-CN"/>
              </w:rPr>
              <w:t>本项目北侧紧邻</w:t>
            </w:r>
            <w:r>
              <w:rPr>
                <w:rFonts w:hint="eastAsia"/>
                <w:color w:val="auto"/>
                <w:sz w:val="24"/>
              </w:rPr>
              <w:t>鄂托克旗新航焦化有限公司焦化厂区，</w:t>
            </w:r>
            <w:r>
              <w:rPr>
                <w:rFonts w:hint="eastAsia"/>
                <w:color w:val="auto"/>
                <w:sz w:val="24"/>
                <w:lang w:val="en-US" w:eastAsia="zh-CN"/>
              </w:rPr>
              <w:t>项目建成后整合为一个厂区运行，不涉及厂界外运输，运送距离小于500m，因此，</w:t>
            </w:r>
            <w:r>
              <w:rPr>
                <w:rFonts w:hint="eastAsia"/>
                <w:color w:val="auto"/>
                <w:sz w:val="24"/>
              </w:rPr>
              <w:t>依托可行。</w:t>
            </w:r>
            <w:r>
              <w:rPr>
                <w:rFonts w:hint="eastAsia"/>
                <w:color w:val="auto"/>
                <w:sz w:val="24"/>
                <w:highlight w:val="none"/>
                <w:lang w:val="en-US" w:eastAsia="zh-CN"/>
              </w:rPr>
              <w:t>位置关系图见附图6。</w:t>
            </w:r>
          </w:p>
          <w:p w14:paraId="0BEA15CF">
            <w:pPr>
              <w:widowControl/>
              <w:spacing w:line="360" w:lineRule="auto"/>
              <w:ind w:firstLine="482" w:firstLineChars="200"/>
              <w:jc w:val="left"/>
              <w:rPr>
                <w:b/>
                <w:bCs/>
                <w:color w:val="auto"/>
                <w:sz w:val="24"/>
              </w:rPr>
            </w:pPr>
            <w:r>
              <w:rPr>
                <w:rFonts w:hint="eastAsia"/>
                <w:b/>
                <w:bCs/>
                <w:color w:val="auto"/>
                <w:sz w:val="24"/>
                <w:lang w:val="en-US" w:eastAsia="zh-CN"/>
              </w:rPr>
              <w:t>四</w:t>
            </w:r>
            <w:r>
              <w:rPr>
                <w:rFonts w:hint="eastAsia"/>
                <w:b/>
                <w:bCs/>
                <w:color w:val="auto"/>
                <w:sz w:val="24"/>
              </w:rPr>
              <w:t>、产品方案及主要原辅料消耗情况</w:t>
            </w:r>
          </w:p>
          <w:p w14:paraId="521D9C36">
            <w:pPr>
              <w:widowControl/>
              <w:spacing w:line="360" w:lineRule="auto"/>
              <w:ind w:firstLine="480" w:firstLineChars="200"/>
              <w:jc w:val="left"/>
              <w:rPr>
                <w:color w:val="auto"/>
                <w:sz w:val="24"/>
              </w:rPr>
            </w:pPr>
            <w:r>
              <w:rPr>
                <w:rFonts w:hint="eastAsia"/>
                <w:color w:val="auto"/>
                <w:sz w:val="24"/>
              </w:rPr>
              <w:t>（1）产品方案</w:t>
            </w:r>
          </w:p>
          <w:p w14:paraId="4D6E178C">
            <w:pPr>
              <w:widowControl/>
              <w:spacing w:line="360" w:lineRule="auto"/>
              <w:ind w:firstLine="480" w:firstLineChars="200"/>
              <w:jc w:val="left"/>
              <w:rPr>
                <w:color w:val="auto"/>
                <w:sz w:val="24"/>
              </w:rPr>
            </w:pPr>
            <w:r>
              <w:rPr>
                <w:rFonts w:hint="eastAsia"/>
                <w:color w:val="auto"/>
                <w:sz w:val="24"/>
              </w:rPr>
              <w:t>本项目产品方案见下表：</w:t>
            </w:r>
          </w:p>
          <w:p w14:paraId="70C9BD8F">
            <w:pPr>
              <w:widowControl/>
              <w:ind w:firstLine="2650" w:firstLineChars="1100"/>
              <w:jc w:val="left"/>
              <w:rPr>
                <w:b/>
                <w:bCs/>
                <w:color w:val="auto"/>
                <w:kern w:val="0"/>
                <w:sz w:val="24"/>
              </w:rPr>
            </w:pPr>
            <w:r>
              <w:rPr>
                <w:rFonts w:hint="eastAsia"/>
                <w:b/>
                <w:bCs/>
                <w:color w:val="auto"/>
                <w:kern w:val="0"/>
                <w:sz w:val="24"/>
              </w:rPr>
              <w:t>表2-2    产品方案表</w:t>
            </w:r>
          </w:p>
          <w:tbl>
            <w:tblPr>
              <w:tblStyle w:val="23"/>
              <w:tblW w:w="7518" w:type="dxa"/>
              <w:tblInd w:w="3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7"/>
              <w:gridCol w:w="2022"/>
              <w:gridCol w:w="2023"/>
              <w:gridCol w:w="1806"/>
            </w:tblGrid>
            <w:tr w14:paraId="04A2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667" w:type="dxa"/>
                  <w:vAlign w:val="center"/>
                </w:tcPr>
                <w:p w14:paraId="368BE306">
                  <w:pPr>
                    <w:widowControl/>
                    <w:jc w:val="center"/>
                    <w:textAlignment w:val="center"/>
                    <w:rPr>
                      <w:color w:val="auto"/>
                      <w:kern w:val="0"/>
                      <w:szCs w:val="21"/>
                      <w:lang w:bidi="ar"/>
                    </w:rPr>
                  </w:pPr>
                  <w:r>
                    <w:rPr>
                      <w:rFonts w:hint="eastAsia"/>
                      <w:color w:val="auto"/>
                      <w:kern w:val="0"/>
                      <w:szCs w:val="21"/>
                      <w:lang w:bidi="ar"/>
                    </w:rPr>
                    <w:t>名称</w:t>
                  </w:r>
                </w:p>
              </w:tc>
              <w:tc>
                <w:tcPr>
                  <w:tcW w:w="2022" w:type="dxa"/>
                  <w:vAlign w:val="center"/>
                </w:tcPr>
                <w:p w14:paraId="3064CA54">
                  <w:pPr>
                    <w:widowControl/>
                    <w:jc w:val="center"/>
                    <w:textAlignment w:val="center"/>
                    <w:rPr>
                      <w:color w:val="auto"/>
                      <w:kern w:val="0"/>
                      <w:szCs w:val="21"/>
                      <w:lang w:bidi="ar"/>
                    </w:rPr>
                  </w:pPr>
                  <w:r>
                    <w:rPr>
                      <w:rFonts w:hint="eastAsia"/>
                      <w:color w:val="auto"/>
                      <w:kern w:val="0"/>
                      <w:szCs w:val="21"/>
                      <w:lang w:bidi="ar"/>
                    </w:rPr>
                    <w:t>单位</w:t>
                  </w:r>
                </w:p>
              </w:tc>
              <w:tc>
                <w:tcPr>
                  <w:tcW w:w="2023" w:type="dxa"/>
                  <w:vAlign w:val="center"/>
                </w:tcPr>
                <w:p w14:paraId="7ADFA5F1">
                  <w:pPr>
                    <w:widowControl/>
                    <w:jc w:val="center"/>
                    <w:textAlignment w:val="center"/>
                    <w:rPr>
                      <w:color w:val="auto"/>
                      <w:kern w:val="0"/>
                      <w:szCs w:val="21"/>
                      <w:lang w:bidi="ar"/>
                    </w:rPr>
                  </w:pPr>
                  <w:r>
                    <w:rPr>
                      <w:rFonts w:hint="eastAsia"/>
                      <w:color w:val="auto"/>
                      <w:kern w:val="0"/>
                      <w:szCs w:val="21"/>
                      <w:lang w:bidi="ar"/>
                    </w:rPr>
                    <w:t>数量</w:t>
                  </w:r>
                </w:p>
              </w:tc>
              <w:tc>
                <w:tcPr>
                  <w:tcW w:w="1806" w:type="dxa"/>
                  <w:vAlign w:val="center"/>
                </w:tcPr>
                <w:p w14:paraId="09DE5FF6">
                  <w:pPr>
                    <w:widowControl/>
                    <w:jc w:val="center"/>
                    <w:textAlignment w:val="center"/>
                    <w:rPr>
                      <w:rFonts w:hint="default" w:eastAsia="宋体"/>
                      <w:color w:val="auto"/>
                      <w:kern w:val="0"/>
                      <w:szCs w:val="21"/>
                      <w:lang w:val="en-US" w:eastAsia="zh-CN" w:bidi="ar"/>
                    </w:rPr>
                  </w:pPr>
                  <w:r>
                    <w:rPr>
                      <w:rFonts w:hint="eastAsia"/>
                      <w:color w:val="auto"/>
                      <w:kern w:val="0"/>
                      <w:szCs w:val="21"/>
                      <w:lang w:val="en-US" w:eastAsia="zh-CN" w:bidi="ar"/>
                    </w:rPr>
                    <w:t>主要用途</w:t>
                  </w:r>
                </w:p>
              </w:tc>
            </w:tr>
            <w:tr w14:paraId="6301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667" w:type="dxa"/>
                  <w:vAlign w:val="center"/>
                </w:tcPr>
                <w:p w14:paraId="0A8A57D4">
                  <w:pPr>
                    <w:widowControl/>
                    <w:jc w:val="center"/>
                    <w:textAlignment w:val="center"/>
                    <w:rPr>
                      <w:color w:val="auto"/>
                      <w:kern w:val="0"/>
                      <w:szCs w:val="21"/>
                      <w:lang w:bidi="ar"/>
                    </w:rPr>
                  </w:pPr>
                  <w:r>
                    <w:rPr>
                      <w:rFonts w:hint="eastAsia"/>
                      <w:color w:val="auto"/>
                      <w:kern w:val="0"/>
                      <w:szCs w:val="21"/>
                      <w:lang w:bidi="ar"/>
                    </w:rPr>
                    <w:t>型焦</w:t>
                  </w:r>
                </w:p>
              </w:tc>
              <w:tc>
                <w:tcPr>
                  <w:tcW w:w="2022" w:type="dxa"/>
                  <w:vAlign w:val="center"/>
                </w:tcPr>
                <w:p w14:paraId="460157D1">
                  <w:pPr>
                    <w:widowControl/>
                    <w:jc w:val="center"/>
                    <w:textAlignment w:val="center"/>
                    <w:rPr>
                      <w:color w:val="auto"/>
                      <w:kern w:val="0"/>
                      <w:szCs w:val="21"/>
                      <w:lang w:bidi="ar"/>
                    </w:rPr>
                  </w:pPr>
                  <w:r>
                    <w:rPr>
                      <w:rFonts w:hint="eastAsia"/>
                      <w:color w:val="auto"/>
                      <w:kern w:val="0"/>
                      <w:szCs w:val="21"/>
                      <w:lang w:bidi="ar"/>
                    </w:rPr>
                    <w:t>t/a</w:t>
                  </w:r>
                </w:p>
              </w:tc>
              <w:tc>
                <w:tcPr>
                  <w:tcW w:w="2023" w:type="dxa"/>
                  <w:vAlign w:val="center"/>
                </w:tcPr>
                <w:p w14:paraId="25FE676B">
                  <w:pPr>
                    <w:widowControl/>
                    <w:jc w:val="center"/>
                    <w:textAlignment w:val="center"/>
                    <w:rPr>
                      <w:color w:val="auto"/>
                      <w:kern w:val="0"/>
                      <w:szCs w:val="21"/>
                      <w:lang w:bidi="ar"/>
                    </w:rPr>
                  </w:pPr>
                  <w:r>
                    <w:rPr>
                      <w:rFonts w:hint="eastAsia"/>
                      <w:color w:val="auto"/>
                      <w:kern w:val="0"/>
                      <w:szCs w:val="21"/>
                      <w:lang w:bidi="ar"/>
                    </w:rPr>
                    <w:t>450000</w:t>
                  </w:r>
                </w:p>
              </w:tc>
              <w:tc>
                <w:tcPr>
                  <w:tcW w:w="1806" w:type="dxa"/>
                  <w:vAlign w:val="center"/>
                </w:tcPr>
                <w:p w14:paraId="24023BD7">
                  <w:pPr>
                    <w:widowControl/>
                    <w:jc w:val="center"/>
                    <w:textAlignment w:val="center"/>
                    <w:rPr>
                      <w:rFonts w:hint="default" w:eastAsia="宋体"/>
                      <w:color w:val="auto"/>
                      <w:kern w:val="0"/>
                      <w:szCs w:val="21"/>
                      <w:lang w:val="en-US" w:eastAsia="zh-CN" w:bidi="ar"/>
                    </w:rPr>
                  </w:pPr>
                  <w:r>
                    <w:rPr>
                      <w:rFonts w:hint="eastAsia"/>
                      <w:color w:val="auto"/>
                      <w:kern w:val="0"/>
                      <w:szCs w:val="21"/>
                      <w:lang w:val="en-US" w:eastAsia="zh-CN" w:bidi="ar"/>
                    </w:rPr>
                    <w:t>进入市场销售</w:t>
                  </w:r>
                </w:p>
              </w:tc>
            </w:tr>
          </w:tbl>
          <w:p w14:paraId="01CFF494">
            <w:pPr>
              <w:widowControl/>
              <w:numPr>
                <w:ilvl w:val="0"/>
                <w:numId w:val="5"/>
              </w:numPr>
              <w:spacing w:line="360" w:lineRule="auto"/>
              <w:ind w:firstLine="480" w:firstLineChars="200"/>
              <w:jc w:val="left"/>
              <w:rPr>
                <w:color w:val="auto"/>
                <w:sz w:val="24"/>
              </w:rPr>
            </w:pPr>
            <w:r>
              <w:rPr>
                <w:rFonts w:hint="eastAsia"/>
                <w:color w:val="auto"/>
                <w:sz w:val="24"/>
              </w:rPr>
              <w:t>产品规格及质量标准</w:t>
            </w:r>
          </w:p>
          <w:p w14:paraId="758CAD65">
            <w:pPr>
              <w:widowControl/>
              <w:spacing w:line="360" w:lineRule="auto"/>
              <w:ind w:firstLine="480" w:firstLineChars="200"/>
              <w:jc w:val="left"/>
              <w:rPr>
                <w:color w:val="auto"/>
                <w:sz w:val="24"/>
              </w:rPr>
            </w:pPr>
            <w:r>
              <w:rPr>
                <w:rFonts w:hint="eastAsia"/>
                <w:color w:val="auto"/>
                <w:sz w:val="24"/>
              </w:rPr>
              <w:t>型焦规格为：扁球形Φ50mm，厚度30mm。</w:t>
            </w:r>
          </w:p>
          <w:p w14:paraId="53F3BCFA">
            <w:pPr>
              <w:widowControl/>
              <w:spacing w:line="360" w:lineRule="auto"/>
              <w:ind w:firstLine="480" w:firstLineChars="200"/>
              <w:jc w:val="left"/>
              <w:rPr>
                <w:color w:val="auto"/>
                <w:sz w:val="24"/>
              </w:rPr>
            </w:pPr>
            <w:r>
              <w:rPr>
                <w:rFonts w:hint="eastAsia"/>
                <w:color w:val="auto"/>
                <w:sz w:val="24"/>
              </w:rPr>
              <w:t>型焦指标见下表：</w:t>
            </w:r>
          </w:p>
          <w:p w14:paraId="4CCC1D84">
            <w:pPr>
              <w:widowControl/>
              <w:ind w:firstLine="2650" w:firstLineChars="1100"/>
              <w:jc w:val="left"/>
              <w:rPr>
                <w:b/>
                <w:bCs/>
                <w:color w:val="auto"/>
                <w:kern w:val="0"/>
                <w:sz w:val="24"/>
              </w:rPr>
            </w:pPr>
            <w:r>
              <w:rPr>
                <w:rFonts w:hint="eastAsia"/>
                <w:b/>
                <w:bCs/>
                <w:color w:val="auto"/>
                <w:kern w:val="0"/>
                <w:sz w:val="24"/>
              </w:rPr>
              <w:t>表2-3    型焦指标</w:t>
            </w:r>
          </w:p>
          <w:tbl>
            <w:tblPr>
              <w:tblStyle w:val="23"/>
              <w:tblW w:w="80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1124"/>
              <w:gridCol w:w="1004"/>
              <w:gridCol w:w="1004"/>
              <w:gridCol w:w="1004"/>
              <w:gridCol w:w="1004"/>
              <w:gridCol w:w="867"/>
              <w:gridCol w:w="1143"/>
            </w:tblGrid>
            <w:tr w14:paraId="2126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884" w:type="dxa"/>
                  <w:vMerge w:val="restart"/>
                  <w:vAlign w:val="center"/>
                </w:tcPr>
                <w:p w14:paraId="647927D0">
                  <w:pPr>
                    <w:widowControl/>
                    <w:jc w:val="center"/>
                    <w:textAlignment w:val="center"/>
                    <w:rPr>
                      <w:color w:val="auto"/>
                      <w:kern w:val="0"/>
                      <w:szCs w:val="21"/>
                      <w:lang w:bidi="ar"/>
                    </w:rPr>
                  </w:pPr>
                  <w:r>
                    <w:rPr>
                      <w:color w:val="auto"/>
                      <w:kern w:val="0"/>
                      <w:szCs w:val="21"/>
                      <w:lang w:bidi="ar"/>
                    </w:rPr>
                    <w:t>指标</w:t>
                  </w:r>
                </w:p>
              </w:tc>
              <w:tc>
                <w:tcPr>
                  <w:tcW w:w="1124" w:type="dxa"/>
                  <w:vAlign w:val="center"/>
                </w:tcPr>
                <w:p w14:paraId="3431FF1C">
                  <w:pPr>
                    <w:widowControl/>
                    <w:jc w:val="center"/>
                    <w:textAlignment w:val="center"/>
                    <w:rPr>
                      <w:color w:val="auto"/>
                      <w:kern w:val="0"/>
                      <w:szCs w:val="21"/>
                      <w:lang w:bidi="ar"/>
                    </w:rPr>
                  </w:pPr>
                  <w:r>
                    <w:rPr>
                      <w:color w:val="auto"/>
                      <w:kern w:val="0"/>
                      <w:szCs w:val="21"/>
                      <w:lang w:bidi="ar"/>
                    </w:rPr>
                    <w:t>固定碳</w:t>
                  </w:r>
                </w:p>
                <w:p w14:paraId="7DA52AC8">
                  <w:pPr>
                    <w:widowControl/>
                    <w:jc w:val="center"/>
                    <w:textAlignment w:val="center"/>
                    <w:rPr>
                      <w:color w:val="auto"/>
                      <w:kern w:val="0"/>
                      <w:szCs w:val="21"/>
                      <w:lang w:bidi="ar"/>
                    </w:rPr>
                  </w:pPr>
                  <w:r>
                    <w:rPr>
                      <w:color w:val="auto"/>
                      <w:kern w:val="0"/>
                      <w:szCs w:val="21"/>
                      <w:lang w:bidi="ar"/>
                    </w:rPr>
                    <w:t>%</w:t>
                  </w:r>
                </w:p>
              </w:tc>
              <w:tc>
                <w:tcPr>
                  <w:tcW w:w="1004" w:type="dxa"/>
                  <w:vAlign w:val="center"/>
                </w:tcPr>
                <w:p w14:paraId="2727A5DB">
                  <w:pPr>
                    <w:widowControl/>
                    <w:jc w:val="center"/>
                    <w:rPr>
                      <w:color w:val="auto"/>
                      <w:kern w:val="0"/>
                      <w:szCs w:val="21"/>
                      <w:lang w:bidi="ar"/>
                    </w:rPr>
                  </w:pPr>
                  <w:r>
                    <w:rPr>
                      <w:color w:val="auto"/>
                      <w:kern w:val="0"/>
                      <w:szCs w:val="21"/>
                      <w:lang w:bidi="ar"/>
                    </w:rPr>
                    <w:t>Ad</w:t>
                  </w:r>
                </w:p>
                <w:p w14:paraId="1BFF2800">
                  <w:pPr>
                    <w:widowControl/>
                    <w:jc w:val="center"/>
                    <w:rPr>
                      <w:color w:val="auto"/>
                      <w:kern w:val="0"/>
                      <w:szCs w:val="21"/>
                      <w:lang w:bidi="ar"/>
                    </w:rPr>
                  </w:pPr>
                  <w:r>
                    <w:rPr>
                      <w:color w:val="auto"/>
                      <w:kern w:val="0"/>
                      <w:szCs w:val="21"/>
                      <w:lang w:bidi="ar"/>
                    </w:rPr>
                    <w:t>%</w:t>
                  </w:r>
                </w:p>
              </w:tc>
              <w:tc>
                <w:tcPr>
                  <w:tcW w:w="1004" w:type="dxa"/>
                  <w:vAlign w:val="center"/>
                </w:tcPr>
                <w:p w14:paraId="355868FA">
                  <w:pPr>
                    <w:widowControl/>
                    <w:jc w:val="center"/>
                    <w:rPr>
                      <w:color w:val="auto"/>
                      <w:szCs w:val="21"/>
                    </w:rPr>
                  </w:pPr>
                  <w:r>
                    <w:rPr>
                      <w:color w:val="auto"/>
                      <w:kern w:val="0"/>
                      <w:szCs w:val="21"/>
                      <w:lang w:bidi="ar"/>
                    </w:rPr>
                    <w:t>Vdaf</w:t>
                  </w:r>
                </w:p>
                <w:p w14:paraId="4E1487C0">
                  <w:pPr>
                    <w:widowControl/>
                    <w:jc w:val="center"/>
                    <w:rPr>
                      <w:color w:val="auto"/>
                      <w:kern w:val="0"/>
                      <w:szCs w:val="21"/>
                      <w:lang w:bidi="ar"/>
                    </w:rPr>
                  </w:pPr>
                  <w:r>
                    <w:rPr>
                      <w:color w:val="auto"/>
                      <w:kern w:val="0"/>
                      <w:szCs w:val="21"/>
                      <w:lang w:bidi="ar"/>
                    </w:rPr>
                    <w:t>%</w:t>
                  </w:r>
                </w:p>
              </w:tc>
              <w:tc>
                <w:tcPr>
                  <w:tcW w:w="1004" w:type="dxa"/>
                  <w:vAlign w:val="center"/>
                </w:tcPr>
                <w:p w14:paraId="1B4BD735">
                  <w:pPr>
                    <w:widowControl/>
                    <w:jc w:val="center"/>
                    <w:rPr>
                      <w:color w:val="auto"/>
                      <w:szCs w:val="21"/>
                    </w:rPr>
                  </w:pPr>
                  <w:r>
                    <w:rPr>
                      <w:color w:val="auto"/>
                      <w:kern w:val="0"/>
                      <w:szCs w:val="21"/>
                      <w:lang w:bidi="ar"/>
                    </w:rPr>
                    <w:t>St.d</w:t>
                  </w:r>
                </w:p>
                <w:p w14:paraId="0E0FB5EB">
                  <w:pPr>
                    <w:widowControl/>
                    <w:jc w:val="center"/>
                    <w:rPr>
                      <w:color w:val="auto"/>
                      <w:kern w:val="0"/>
                      <w:szCs w:val="21"/>
                      <w:lang w:bidi="ar"/>
                    </w:rPr>
                  </w:pPr>
                  <w:r>
                    <w:rPr>
                      <w:color w:val="auto"/>
                      <w:kern w:val="0"/>
                      <w:szCs w:val="21"/>
                      <w:lang w:bidi="ar"/>
                    </w:rPr>
                    <w:t>%</w:t>
                  </w:r>
                </w:p>
              </w:tc>
              <w:tc>
                <w:tcPr>
                  <w:tcW w:w="1004" w:type="dxa"/>
                  <w:vAlign w:val="center"/>
                </w:tcPr>
                <w:p w14:paraId="26D9467F">
                  <w:pPr>
                    <w:widowControl/>
                    <w:jc w:val="center"/>
                    <w:rPr>
                      <w:color w:val="auto"/>
                      <w:szCs w:val="21"/>
                    </w:rPr>
                  </w:pPr>
                  <w:r>
                    <w:rPr>
                      <w:color w:val="auto"/>
                      <w:kern w:val="0"/>
                      <w:szCs w:val="21"/>
                      <w:lang w:bidi="ar"/>
                    </w:rPr>
                    <w:t>P</w:t>
                  </w:r>
                </w:p>
                <w:p w14:paraId="1A71E6B8">
                  <w:pPr>
                    <w:widowControl/>
                    <w:jc w:val="center"/>
                    <w:rPr>
                      <w:color w:val="auto"/>
                      <w:kern w:val="0"/>
                      <w:szCs w:val="21"/>
                      <w:lang w:bidi="ar"/>
                    </w:rPr>
                  </w:pPr>
                  <w:r>
                    <w:rPr>
                      <w:color w:val="auto"/>
                      <w:kern w:val="0"/>
                      <w:szCs w:val="21"/>
                      <w:lang w:bidi="ar"/>
                    </w:rPr>
                    <w:t>%</w:t>
                  </w:r>
                </w:p>
              </w:tc>
              <w:tc>
                <w:tcPr>
                  <w:tcW w:w="867" w:type="dxa"/>
                  <w:vAlign w:val="center"/>
                </w:tcPr>
                <w:p w14:paraId="60ED6A22">
                  <w:pPr>
                    <w:widowControl/>
                    <w:jc w:val="center"/>
                    <w:rPr>
                      <w:color w:val="auto"/>
                      <w:szCs w:val="21"/>
                    </w:rPr>
                  </w:pPr>
                  <w:r>
                    <w:rPr>
                      <w:color w:val="auto"/>
                      <w:kern w:val="0"/>
                      <w:szCs w:val="21"/>
                      <w:lang w:bidi="ar"/>
                    </w:rPr>
                    <w:t>Mt</w:t>
                  </w:r>
                </w:p>
                <w:p w14:paraId="27A43035">
                  <w:pPr>
                    <w:widowControl/>
                    <w:jc w:val="center"/>
                    <w:rPr>
                      <w:color w:val="auto"/>
                      <w:kern w:val="0"/>
                      <w:szCs w:val="21"/>
                      <w:lang w:bidi="ar"/>
                    </w:rPr>
                  </w:pPr>
                  <w:r>
                    <w:rPr>
                      <w:color w:val="auto"/>
                      <w:kern w:val="0"/>
                      <w:szCs w:val="21"/>
                      <w:lang w:bidi="ar"/>
                    </w:rPr>
                    <w:t>%</w:t>
                  </w:r>
                </w:p>
              </w:tc>
              <w:tc>
                <w:tcPr>
                  <w:tcW w:w="1143" w:type="dxa"/>
                  <w:vAlign w:val="center"/>
                </w:tcPr>
                <w:p w14:paraId="23261DEC">
                  <w:pPr>
                    <w:widowControl/>
                    <w:jc w:val="center"/>
                    <w:rPr>
                      <w:color w:val="auto"/>
                      <w:kern w:val="0"/>
                      <w:szCs w:val="21"/>
                      <w:lang w:bidi="ar"/>
                    </w:rPr>
                  </w:pPr>
                  <w:r>
                    <w:rPr>
                      <w:color w:val="auto"/>
                      <w:kern w:val="0"/>
                      <w:szCs w:val="21"/>
                      <w:lang w:bidi="ar"/>
                    </w:rPr>
                    <w:t>常温电阻率μΩ·m</w:t>
                  </w:r>
                </w:p>
              </w:tc>
            </w:tr>
            <w:tr w14:paraId="00E5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884" w:type="dxa"/>
                  <w:vMerge w:val="continue"/>
                  <w:vAlign w:val="center"/>
                </w:tcPr>
                <w:p w14:paraId="689EBFB6">
                  <w:pPr>
                    <w:widowControl/>
                    <w:jc w:val="center"/>
                    <w:textAlignment w:val="center"/>
                    <w:rPr>
                      <w:color w:val="auto"/>
                      <w:kern w:val="0"/>
                      <w:szCs w:val="21"/>
                      <w:lang w:bidi="ar"/>
                    </w:rPr>
                  </w:pPr>
                </w:p>
              </w:tc>
              <w:tc>
                <w:tcPr>
                  <w:tcW w:w="1124" w:type="dxa"/>
                  <w:vAlign w:val="center"/>
                </w:tcPr>
                <w:p w14:paraId="7723D629">
                  <w:pPr>
                    <w:widowControl/>
                    <w:jc w:val="center"/>
                    <w:rPr>
                      <w:color w:val="auto"/>
                      <w:kern w:val="0"/>
                      <w:szCs w:val="21"/>
                      <w:lang w:bidi="ar"/>
                    </w:rPr>
                  </w:pPr>
                  <w:r>
                    <w:rPr>
                      <w:color w:val="auto"/>
                      <w:kern w:val="0"/>
                      <w:szCs w:val="21"/>
                      <w:lang w:bidi="ar"/>
                    </w:rPr>
                    <w:t>≥</w:t>
                  </w:r>
                </w:p>
              </w:tc>
              <w:tc>
                <w:tcPr>
                  <w:tcW w:w="4883" w:type="dxa"/>
                  <w:gridSpan w:val="5"/>
                  <w:vAlign w:val="center"/>
                </w:tcPr>
                <w:p w14:paraId="78CBFF47">
                  <w:pPr>
                    <w:widowControl/>
                    <w:jc w:val="center"/>
                    <w:rPr>
                      <w:color w:val="auto"/>
                      <w:kern w:val="0"/>
                      <w:szCs w:val="21"/>
                      <w:lang w:bidi="ar"/>
                    </w:rPr>
                  </w:pPr>
                  <w:r>
                    <w:rPr>
                      <w:color w:val="auto"/>
                      <w:kern w:val="0"/>
                      <w:szCs w:val="21"/>
                      <w:lang w:bidi="ar"/>
                    </w:rPr>
                    <w:t>≤</w:t>
                  </w:r>
                </w:p>
              </w:tc>
              <w:tc>
                <w:tcPr>
                  <w:tcW w:w="1143" w:type="dxa"/>
                  <w:vAlign w:val="center"/>
                </w:tcPr>
                <w:p w14:paraId="5F5ADCCE">
                  <w:pPr>
                    <w:widowControl/>
                    <w:jc w:val="center"/>
                    <w:rPr>
                      <w:color w:val="auto"/>
                      <w:kern w:val="0"/>
                      <w:szCs w:val="21"/>
                      <w:lang w:bidi="ar"/>
                    </w:rPr>
                  </w:pPr>
                  <w:r>
                    <w:rPr>
                      <w:color w:val="auto"/>
                      <w:kern w:val="0"/>
                      <w:szCs w:val="21"/>
                      <w:lang w:bidi="ar"/>
                    </w:rPr>
                    <w:t>≥</w:t>
                  </w:r>
                </w:p>
              </w:tc>
            </w:tr>
            <w:tr w14:paraId="7216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884" w:type="dxa"/>
                  <w:vMerge w:val="continue"/>
                  <w:vAlign w:val="center"/>
                </w:tcPr>
                <w:p w14:paraId="2B2B1AB4">
                  <w:pPr>
                    <w:widowControl/>
                    <w:jc w:val="center"/>
                    <w:textAlignment w:val="center"/>
                    <w:rPr>
                      <w:color w:val="auto"/>
                      <w:kern w:val="0"/>
                      <w:szCs w:val="21"/>
                      <w:lang w:bidi="ar"/>
                    </w:rPr>
                  </w:pPr>
                </w:p>
              </w:tc>
              <w:tc>
                <w:tcPr>
                  <w:tcW w:w="1124" w:type="dxa"/>
                  <w:vAlign w:val="center"/>
                </w:tcPr>
                <w:p w14:paraId="3622A2A9">
                  <w:pPr>
                    <w:widowControl/>
                    <w:jc w:val="center"/>
                    <w:textAlignment w:val="center"/>
                    <w:rPr>
                      <w:color w:val="auto"/>
                      <w:kern w:val="0"/>
                      <w:szCs w:val="21"/>
                      <w:lang w:bidi="ar"/>
                    </w:rPr>
                  </w:pPr>
                  <w:r>
                    <w:rPr>
                      <w:color w:val="auto"/>
                      <w:kern w:val="0"/>
                      <w:szCs w:val="21"/>
                      <w:lang w:bidi="ar"/>
                    </w:rPr>
                    <w:t>80.0</w:t>
                  </w:r>
                </w:p>
              </w:tc>
              <w:tc>
                <w:tcPr>
                  <w:tcW w:w="1004" w:type="dxa"/>
                  <w:vAlign w:val="center"/>
                </w:tcPr>
                <w:p w14:paraId="4219DE65">
                  <w:pPr>
                    <w:widowControl/>
                    <w:jc w:val="center"/>
                    <w:textAlignment w:val="center"/>
                    <w:rPr>
                      <w:color w:val="auto"/>
                      <w:kern w:val="0"/>
                      <w:szCs w:val="21"/>
                      <w:lang w:bidi="ar"/>
                    </w:rPr>
                  </w:pPr>
                  <w:r>
                    <w:rPr>
                      <w:color w:val="auto"/>
                      <w:kern w:val="0"/>
                      <w:szCs w:val="21"/>
                      <w:lang w:bidi="ar"/>
                    </w:rPr>
                    <w:t>14.0</w:t>
                  </w:r>
                </w:p>
              </w:tc>
              <w:tc>
                <w:tcPr>
                  <w:tcW w:w="1004" w:type="dxa"/>
                  <w:vAlign w:val="center"/>
                </w:tcPr>
                <w:p w14:paraId="02817D81">
                  <w:pPr>
                    <w:widowControl/>
                    <w:jc w:val="center"/>
                    <w:textAlignment w:val="center"/>
                    <w:rPr>
                      <w:color w:val="auto"/>
                      <w:kern w:val="0"/>
                      <w:szCs w:val="21"/>
                      <w:lang w:bidi="ar"/>
                    </w:rPr>
                  </w:pPr>
                  <w:r>
                    <w:rPr>
                      <w:color w:val="auto"/>
                      <w:kern w:val="0"/>
                      <w:szCs w:val="21"/>
                      <w:lang w:bidi="ar"/>
                    </w:rPr>
                    <w:t>4.0</w:t>
                  </w:r>
                </w:p>
              </w:tc>
              <w:tc>
                <w:tcPr>
                  <w:tcW w:w="1004" w:type="dxa"/>
                  <w:vAlign w:val="center"/>
                </w:tcPr>
                <w:p w14:paraId="536814A4">
                  <w:pPr>
                    <w:widowControl/>
                    <w:jc w:val="center"/>
                    <w:textAlignment w:val="center"/>
                    <w:rPr>
                      <w:color w:val="auto"/>
                      <w:kern w:val="0"/>
                      <w:szCs w:val="21"/>
                      <w:lang w:bidi="ar"/>
                    </w:rPr>
                  </w:pPr>
                  <w:r>
                    <w:rPr>
                      <w:color w:val="auto"/>
                      <w:kern w:val="0"/>
                      <w:szCs w:val="21"/>
                      <w:lang w:bidi="ar"/>
                    </w:rPr>
                    <w:t>1.2</w:t>
                  </w:r>
                </w:p>
              </w:tc>
              <w:tc>
                <w:tcPr>
                  <w:tcW w:w="1004" w:type="dxa"/>
                  <w:vAlign w:val="center"/>
                </w:tcPr>
                <w:p w14:paraId="64073F58">
                  <w:pPr>
                    <w:widowControl/>
                    <w:jc w:val="center"/>
                    <w:textAlignment w:val="center"/>
                    <w:rPr>
                      <w:color w:val="auto"/>
                      <w:kern w:val="0"/>
                      <w:szCs w:val="21"/>
                      <w:lang w:bidi="ar"/>
                    </w:rPr>
                  </w:pPr>
                  <w:r>
                    <w:rPr>
                      <w:color w:val="auto"/>
                      <w:kern w:val="0"/>
                      <w:szCs w:val="21"/>
                      <w:lang w:bidi="ar"/>
                    </w:rPr>
                    <w:t>0.025</w:t>
                  </w:r>
                </w:p>
              </w:tc>
              <w:tc>
                <w:tcPr>
                  <w:tcW w:w="867" w:type="dxa"/>
                  <w:vAlign w:val="center"/>
                </w:tcPr>
                <w:p w14:paraId="0CE96694">
                  <w:pPr>
                    <w:widowControl/>
                    <w:jc w:val="center"/>
                    <w:textAlignment w:val="center"/>
                    <w:rPr>
                      <w:color w:val="auto"/>
                      <w:kern w:val="0"/>
                      <w:szCs w:val="21"/>
                      <w:lang w:bidi="ar"/>
                    </w:rPr>
                  </w:pPr>
                  <w:r>
                    <w:rPr>
                      <w:color w:val="auto"/>
                      <w:kern w:val="0"/>
                      <w:szCs w:val="21"/>
                      <w:lang w:bidi="ar"/>
                    </w:rPr>
                    <w:t>1</w:t>
                  </w:r>
                </w:p>
              </w:tc>
              <w:tc>
                <w:tcPr>
                  <w:tcW w:w="1143" w:type="dxa"/>
                  <w:vAlign w:val="center"/>
                </w:tcPr>
                <w:p w14:paraId="44C793C0">
                  <w:pPr>
                    <w:widowControl/>
                    <w:jc w:val="center"/>
                    <w:textAlignment w:val="center"/>
                    <w:rPr>
                      <w:color w:val="auto"/>
                      <w:kern w:val="0"/>
                      <w:szCs w:val="21"/>
                      <w:lang w:bidi="ar"/>
                    </w:rPr>
                  </w:pPr>
                  <w:r>
                    <w:rPr>
                      <w:color w:val="auto"/>
                      <w:kern w:val="0"/>
                      <w:szCs w:val="21"/>
                      <w:lang w:bidi="ar"/>
                    </w:rPr>
                    <w:t>2200</w:t>
                  </w:r>
                </w:p>
              </w:tc>
            </w:tr>
          </w:tbl>
          <w:p w14:paraId="51AD3ADC">
            <w:pPr>
              <w:widowControl/>
              <w:spacing w:line="360" w:lineRule="auto"/>
              <w:ind w:firstLine="480" w:firstLineChars="200"/>
              <w:jc w:val="left"/>
              <w:rPr>
                <w:color w:val="auto"/>
                <w:sz w:val="24"/>
              </w:rPr>
            </w:pPr>
            <w:r>
              <w:rPr>
                <w:rFonts w:hint="eastAsia"/>
                <w:color w:val="auto"/>
                <w:sz w:val="24"/>
              </w:rPr>
              <w:t>（3）原辅料依托可行性分析</w:t>
            </w:r>
          </w:p>
          <w:p w14:paraId="49A784D0">
            <w:pPr>
              <w:widowControl/>
              <w:spacing w:line="360" w:lineRule="auto"/>
              <w:ind w:firstLine="480" w:firstLineChars="200"/>
              <w:jc w:val="left"/>
              <w:rPr>
                <w:color w:val="auto"/>
                <w:sz w:val="24"/>
              </w:rPr>
            </w:pPr>
            <w:r>
              <w:rPr>
                <w:rFonts w:hint="eastAsia"/>
                <w:color w:val="auto"/>
                <w:sz w:val="24"/>
              </w:rPr>
              <w:t>A.焦粉及含碳粉末：</w:t>
            </w:r>
          </w:p>
          <w:p w14:paraId="5367DBBA">
            <w:pPr>
              <w:widowControl/>
              <w:spacing w:line="360" w:lineRule="auto"/>
              <w:ind w:firstLine="480" w:firstLineChars="200"/>
              <w:jc w:val="left"/>
              <w:rPr>
                <w:color w:val="auto"/>
                <w:sz w:val="24"/>
              </w:rPr>
            </w:pPr>
            <w:r>
              <w:rPr>
                <w:rFonts w:hint="eastAsia"/>
                <w:color w:val="auto"/>
                <w:sz w:val="24"/>
              </w:rPr>
              <w:t>本项目以鄂托克旗新航焦化有限公司在已投产项目中生产的焦炭，在装卸、运输、储存和使用过程中产生的小粒径（5mm以下）焦粉及</w:t>
            </w:r>
            <w:r>
              <w:rPr>
                <w:rFonts w:hint="eastAsia" w:ascii="宋体" w:hAnsi="宋体" w:cs="宋体"/>
                <w:color w:val="auto"/>
                <w:kern w:val="0"/>
                <w:sz w:val="24"/>
                <w:lang w:bidi="ar"/>
              </w:rPr>
              <w:t>推焦、输焦等环节</w:t>
            </w:r>
            <w:r>
              <w:rPr>
                <w:rFonts w:hint="eastAsia"/>
                <w:color w:val="auto"/>
                <w:sz w:val="24"/>
              </w:rPr>
              <w:t>收集的含碳粉末为原料，根据企业提供数据，每年收集的原料为</w:t>
            </w:r>
            <w:r>
              <w:rPr>
                <w:rFonts w:hint="eastAsia"/>
                <w:color w:val="auto"/>
                <w:kern w:val="0"/>
                <w:sz w:val="24"/>
                <w:lang w:bidi="ar"/>
              </w:rPr>
              <w:t>90088</w:t>
            </w:r>
            <w:r>
              <w:rPr>
                <w:rFonts w:hint="eastAsia"/>
                <w:color w:val="auto"/>
                <w:sz w:val="24"/>
              </w:rPr>
              <w:t>吨，</w:t>
            </w:r>
            <w:r>
              <w:rPr>
                <w:rFonts w:hint="eastAsia" w:ascii="宋体" w:hAnsi="宋体" w:cs="宋体"/>
                <w:color w:val="auto"/>
                <w:kern w:val="0"/>
                <w:sz w:val="24"/>
                <w:lang w:bidi="ar"/>
              </w:rPr>
              <w:t>原料供本项目生产型焦，不足的部分外购</w:t>
            </w:r>
            <w:r>
              <w:rPr>
                <w:rFonts w:hint="eastAsia"/>
                <w:color w:val="auto"/>
                <w:sz w:val="24"/>
              </w:rPr>
              <w:t>。</w:t>
            </w:r>
          </w:p>
          <w:p w14:paraId="6D369E12">
            <w:pPr>
              <w:widowControl/>
              <w:numPr>
                <w:ilvl w:val="0"/>
                <w:numId w:val="6"/>
              </w:numPr>
              <w:spacing w:line="360" w:lineRule="auto"/>
              <w:ind w:firstLine="480" w:firstLineChars="200"/>
              <w:jc w:val="left"/>
              <w:rPr>
                <w:color w:val="auto"/>
                <w:sz w:val="24"/>
              </w:rPr>
            </w:pPr>
            <w:r>
              <w:rPr>
                <w:rFonts w:hint="eastAsia"/>
                <w:color w:val="auto"/>
                <w:sz w:val="24"/>
              </w:rPr>
              <w:t>粘结剂：</w:t>
            </w:r>
          </w:p>
          <w:p w14:paraId="3583FD8B">
            <w:pPr>
              <w:widowControl/>
              <w:spacing w:line="360" w:lineRule="auto"/>
              <w:ind w:firstLine="480" w:firstLineChars="200"/>
              <w:jc w:val="left"/>
              <w:rPr>
                <w:color w:val="auto"/>
                <w:sz w:val="24"/>
              </w:rPr>
            </w:pPr>
            <w:r>
              <w:rPr>
                <w:rFonts w:hint="eastAsia" w:ascii="宋体" w:hAnsi="宋体" w:cs="宋体"/>
                <w:color w:val="auto"/>
                <w:kern w:val="0"/>
                <w:sz w:val="24"/>
                <w:lang w:bidi="ar"/>
              </w:rPr>
              <w:t>本项目所用粘结剂为赛鼎焦化公司提供的“多烃基复合粘结剂”，主要成分为腐殖质酸，腐殖质酸是一种高分子弱有机酸，具有胶体性质，其分子中含有羟基或酚羟基等活性官能团，是一种很好的水溶性粘结剂。在制作型焦时，能很好地湿润焦粉表面，在成型压力作用下将焦粉粘结、加固在一起，利于成型成块，成型后保证型焦具有特定的形状和性能，从而可保证型焦在运输、烘干过程中完好率在</w:t>
            </w:r>
            <w:r>
              <w:rPr>
                <w:color w:val="auto"/>
                <w:kern w:val="0"/>
                <w:sz w:val="24"/>
                <w:lang w:bidi="ar"/>
              </w:rPr>
              <w:t>95%</w:t>
            </w:r>
            <w:r>
              <w:rPr>
                <w:rFonts w:hint="eastAsia" w:ascii="宋体" w:hAnsi="宋体" w:cs="宋体"/>
                <w:color w:val="auto"/>
                <w:kern w:val="0"/>
                <w:sz w:val="24"/>
                <w:lang w:bidi="ar"/>
              </w:rPr>
              <w:t>以上，赋予型煤型焦优异的热态抗压强度、热稳定性，可满足高温气化、铁合金、有色冶金等使用要求。</w:t>
            </w:r>
          </w:p>
          <w:p w14:paraId="2BC2D8C1">
            <w:pPr>
              <w:widowControl/>
              <w:spacing w:line="360" w:lineRule="auto"/>
              <w:ind w:firstLine="480" w:firstLineChars="200"/>
              <w:jc w:val="left"/>
              <w:rPr>
                <w:rFonts w:hint="eastAsia" w:ascii="宋体" w:hAnsi="宋体" w:cs="宋体"/>
                <w:color w:val="auto"/>
                <w:kern w:val="0"/>
                <w:sz w:val="24"/>
                <w:lang w:bidi="ar"/>
              </w:rPr>
            </w:pPr>
            <w:r>
              <w:rPr>
                <w:color w:val="auto"/>
                <w:kern w:val="0"/>
                <w:sz w:val="24"/>
                <w:lang w:bidi="ar"/>
              </w:rPr>
              <w:t>（4）</w:t>
            </w:r>
            <w:r>
              <w:rPr>
                <w:rFonts w:hint="eastAsia" w:ascii="宋体" w:hAnsi="宋体" w:cs="宋体"/>
                <w:color w:val="auto"/>
                <w:kern w:val="0"/>
                <w:sz w:val="24"/>
                <w:lang w:bidi="ar"/>
              </w:rPr>
              <w:t>原辅材料及动力消耗量</w:t>
            </w:r>
          </w:p>
          <w:p w14:paraId="36E53482">
            <w:pPr>
              <w:autoSpaceDE w:val="0"/>
              <w:autoSpaceDN w:val="0"/>
              <w:adjustRightInd w:val="0"/>
              <w:snapToGrid w:val="0"/>
              <w:ind w:firstLine="1687" w:firstLineChars="700"/>
              <w:jc w:val="left"/>
              <w:rPr>
                <w:b/>
                <w:bCs/>
                <w:color w:val="auto"/>
                <w:kern w:val="0"/>
                <w:sz w:val="24"/>
              </w:rPr>
            </w:pPr>
            <w:r>
              <w:rPr>
                <w:rFonts w:hint="eastAsia"/>
                <w:b/>
                <w:bCs/>
                <w:color w:val="auto"/>
                <w:kern w:val="0"/>
                <w:sz w:val="24"/>
              </w:rPr>
              <w:t>表2-4    原辅材料用量及动力消耗一览表</w:t>
            </w:r>
          </w:p>
          <w:tbl>
            <w:tblPr>
              <w:tblStyle w:val="23"/>
              <w:tblW w:w="7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142"/>
              <w:gridCol w:w="900"/>
              <w:gridCol w:w="1356"/>
              <w:gridCol w:w="1179"/>
              <w:gridCol w:w="1170"/>
              <w:gridCol w:w="1722"/>
            </w:tblGrid>
            <w:tr w14:paraId="2E57C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508" w:type="dxa"/>
                  <w:vAlign w:val="center"/>
                </w:tcPr>
                <w:p w14:paraId="401C2E74">
                  <w:pPr>
                    <w:widowControl/>
                    <w:jc w:val="center"/>
                    <w:textAlignment w:val="center"/>
                    <w:rPr>
                      <w:color w:val="auto"/>
                      <w:kern w:val="0"/>
                      <w:szCs w:val="21"/>
                      <w:lang w:bidi="ar"/>
                    </w:rPr>
                  </w:pPr>
                  <w:r>
                    <w:rPr>
                      <w:rFonts w:hint="eastAsia"/>
                      <w:color w:val="auto"/>
                      <w:kern w:val="0"/>
                      <w:szCs w:val="21"/>
                      <w:lang w:bidi="ar"/>
                    </w:rPr>
                    <w:t>项目</w:t>
                  </w:r>
                </w:p>
              </w:tc>
              <w:tc>
                <w:tcPr>
                  <w:tcW w:w="1142" w:type="dxa"/>
                  <w:vAlign w:val="center"/>
                </w:tcPr>
                <w:p w14:paraId="75816988">
                  <w:pPr>
                    <w:widowControl/>
                    <w:jc w:val="center"/>
                    <w:textAlignment w:val="center"/>
                    <w:rPr>
                      <w:color w:val="auto"/>
                      <w:kern w:val="0"/>
                      <w:szCs w:val="21"/>
                      <w:lang w:bidi="ar"/>
                    </w:rPr>
                  </w:pPr>
                  <w:r>
                    <w:rPr>
                      <w:rFonts w:hint="eastAsia"/>
                      <w:color w:val="auto"/>
                      <w:kern w:val="0"/>
                      <w:szCs w:val="21"/>
                      <w:lang w:bidi="ar"/>
                    </w:rPr>
                    <w:t>名称</w:t>
                  </w:r>
                </w:p>
              </w:tc>
              <w:tc>
                <w:tcPr>
                  <w:tcW w:w="900" w:type="dxa"/>
                  <w:vAlign w:val="center"/>
                </w:tcPr>
                <w:p w14:paraId="25A62D65">
                  <w:pPr>
                    <w:widowControl/>
                    <w:jc w:val="center"/>
                    <w:textAlignment w:val="center"/>
                    <w:rPr>
                      <w:color w:val="auto"/>
                      <w:kern w:val="0"/>
                      <w:szCs w:val="21"/>
                      <w:lang w:bidi="ar"/>
                    </w:rPr>
                  </w:pPr>
                  <w:r>
                    <w:rPr>
                      <w:rFonts w:hint="eastAsia"/>
                      <w:color w:val="auto"/>
                      <w:kern w:val="0"/>
                      <w:szCs w:val="21"/>
                      <w:lang w:bidi="ar"/>
                    </w:rPr>
                    <w:t>单位</w:t>
                  </w:r>
                </w:p>
              </w:tc>
              <w:tc>
                <w:tcPr>
                  <w:tcW w:w="1356" w:type="dxa"/>
                  <w:vAlign w:val="center"/>
                </w:tcPr>
                <w:p w14:paraId="739C9D15">
                  <w:pPr>
                    <w:widowControl/>
                    <w:jc w:val="center"/>
                    <w:textAlignment w:val="center"/>
                    <w:rPr>
                      <w:color w:val="auto"/>
                      <w:kern w:val="0"/>
                      <w:szCs w:val="21"/>
                      <w:lang w:bidi="ar"/>
                    </w:rPr>
                  </w:pPr>
                  <w:r>
                    <w:rPr>
                      <w:rFonts w:hint="eastAsia"/>
                      <w:color w:val="auto"/>
                      <w:kern w:val="0"/>
                      <w:szCs w:val="21"/>
                      <w:lang w:bidi="ar"/>
                    </w:rPr>
                    <w:t>数量</w:t>
                  </w:r>
                </w:p>
              </w:tc>
              <w:tc>
                <w:tcPr>
                  <w:tcW w:w="1179" w:type="dxa"/>
                  <w:vAlign w:val="center"/>
                </w:tcPr>
                <w:p w14:paraId="5B5A724A">
                  <w:pPr>
                    <w:widowControl/>
                    <w:jc w:val="center"/>
                    <w:textAlignment w:val="center"/>
                    <w:rPr>
                      <w:rFonts w:hint="default" w:eastAsia="宋体"/>
                      <w:color w:val="auto"/>
                      <w:kern w:val="0"/>
                      <w:szCs w:val="21"/>
                      <w:lang w:val="en-US" w:eastAsia="zh-CN" w:bidi="ar"/>
                    </w:rPr>
                  </w:pPr>
                  <w:r>
                    <w:rPr>
                      <w:rFonts w:hint="eastAsia"/>
                      <w:color w:val="auto"/>
                      <w:kern w:val="0"/>
                      <w:szCs w:val="21"/>
                      <w:lang w:val="en-US" w:eastAsia="zh-CN" w:bidi="ar"/>
                    </w:rPr>
                    <w:t>新航焦化</w:t>
                  </w:r>
                </w:p>
              </w:tc>
              <w:tc>
                <w:tcPr>
                  <w:tcW w:w="1170" w:type="dxa"/>
                  <w:vAlign w:val="center"/>
                </w:tcPr>
                <w:p w14:paraId="637522D9">
                  <w:pPr>
                    <w:widowControl/>
                    <w:jc w:val="center"/>
                    <w:textAlignment w:val="center"/>
                    <w:rPr>
                      <w:rFonts w:hint="eastAsia" w:eastAsia="宋体"/>
                      <w:color w:val="auto"/>
                      <w:kern w:val="0"/>
                      <w:szCs w:val="21"/>
                      <w:lang w:val="en-US" w:eastAsia="zh-CN" w:bidi="ar"/>
                    </w:rPr>
                  </w:pPr>
                  <w:r>
                    <w:rPr>
                      <w:rFonts w:hint="eastAsia"/>
                      <w:color w:val="auto"/>
                      <w:kern w:val="0"/>
                      <w:szCs w:val="21"/>
                      <w:lang w:val="en-US" w:eastAsia="zh-CN" w:bidi="ar"/>
                    </w:rPr>
                    <w:t>外购</w:t>
                  </w:r>
                </w:p>
              </w:tc>
              <w:tc>
                <w:tcPr>
                  <w:tcW w:w="1722" w:type="dxa"/>
                  <w:vAlign w:val="center"/>
                </w:tcPr>
                <w:p w14:paraId="135A1A5E">
                  <w:pPr>
                    <w:widowControl/>
                    <w:jc w:val="center"/>
                    <w:textAlignment w:val="center"/>
                    <w:rPr>
                      <w:color w:val="auto"/>
                      <w:kern w:val="0"/>
                      <w:szCs w:val="21"/>
                      <w:lang w:bidi="ar"/>
                    </w:rPr>
                  </w:pPr>
                  <w:r>
                    <w:rPr>
                      <w:rFonts w:hint="eastAsia"/>
                      <w:color w:val="auto"/>
                      <w:kern w:val="0"/>
                      <w:szCs w:val="21"/>
                      <w:lang w:bidi="ar"/>
                    </w:rPr>
                    <w:t>备注</w:t>
                  </w:r>
                </w:p>
              </w:tc>
            </w:tr>
            <w:tr w14:paraId="6D5C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8" w:type="dxa"/>
                  <w:vMerge w:val="restart"/>
                  <w:vAlign w:val="center"/>
                </w:tcPr>
                <w:p w14:paraId="188DE205">
                  <w:pPr>
                    <w:widowControl/>
                    <w:jc w:val="center"/>
                    <w:textAlignment w:val="center"/>
                    <w:rPr>
                      <w:color w:val="auto"/>
                      <w:kern w:val="0"/>
                      <w:szCs w:val="21"/>
                      <w:lang w:bidi="ar"/>
                    </w:rPr>
                  </w:pPr>
                  <w:r>
                    <w:rPr>
                      <w:rFonts w:hint="eastAsia"/>
                      <w:color w:val="auto"/>
                      <w:kern w:val="0"/>
                      <w:szCs w:val="21"/>
                      <w:lang w:bidi="ar"/>
                    </w:rPr>
                    <w:t>原</w:t>
                  </w:r>
                </w:p>
                <w:p w14:paraId="3DC4137D">
                  <w:pPr>
                    <w:widowControl/>
                    <w:jc w:val="center"/>
                    <w:textAlignment w:val="center"/>
                    <w:rPr>
                      <w:color w:val="auto"/>
                      <w:kern w:val="0"/>
                      <w:szCs w:val="21"/>
                      <w:lang w:bidi="ar"/>
                    </w:rPr>
                  </w:pPr>
                  <w:r>
                    <w:rPr>
                      <w:rFonts w:hint="eastAsia"/>
                      <w:color w:val="auto"/>
                      <w:kern w:val="0"/>
                      <w:szCs w:val="21"/>
                      <w:lang w:bidi="ar"/>
                    </w:rPr>
                    <w:t>辅</w:t>
                  </w:r>
                </w:p>
                <w:p w14:paraId="6E43D2CF">
                  <w:pPr>
                    <w:widowControl/>
                    <w:jc w:val="center"/>
                    <w:textAlignment w:val="center"/>
                    <w:rPr>
                      <w:color w:val="auto"/>
                      <w:kern w:val="0"/>
                      <w:szCs w:val="21"/>
                      <w:lang w:bidi="ar"/>
                    </w:rPr>
                  </w:pPr>
                  <w:r>
                    <w:rPr>
                      <w:rFonts w:hint="eastAsia"/>
                      <w:color w:val="auto"/>
                      <w:kern w:val="0"/>
                      <w:szCs w:val="21"/>
                      <w:lang w:bidi="ar"/>
                    </w:rPr>
                    <w:t>料</w:t>
                  </w:r>
                </w:p>
              </w:tc>
              <w:tc>
                <w:tcPr>
                  <w:tcW w:w="1142" w:type="dxa"/>
                  <w:vAlign w:val="center"/>
                </w:tcPr>
                <w:p w14:paraId="0E4F37D8">
                  <w:pPr>
                    <w:widowControl/>
                    <w:jc w:val="center"/>
                    <w:textAlignment w:val="center"/>
                    <w:rPr>
                      <w:color w:val="auto"/>
                      <w:kern w:val="0"/>
                      <w:szCs w:val="21"/>
                      <w:lang w:bidi="ar"/>
                    </w:rPr>
                  </w:pPr>
                  <w:r>
                    <w:rPr>
                      <w:rFonts w:hint="eastAsia"/>
                      <w:color w:val="auto"/>
                      <w:kern w:val="0"/>
                      <w:szCs w:val="21"/>
                      <w:lang w:bidi="ar"/>
                    </w:rPr>
                    <w:t>焦粉</w:t>
                  </w:r>
                </w:p>
              </w:tc>
              <w:tc>
                <w:tcPr>
                  <w:tcW w:w="900" w:type="dxa"/>
                  <w:vAlign w:val="center"/>
                </w:tcPr>
                <w:p w14:paraId="40BEA791">
                  <w:pPr>
                    <w:widowControl/>
                    <w:jc w:val="center"/>
                    <w:textAlignment w:val="center"/>
                    <w:rPr>
                      <w:color w:val="auto"/>
                      <w:kern w:val="0"/>
                      <w:szCs w:val="21"/>
                      <w:lang w:bidi="ar"/>
                    </w:rPr>
                  </w:pPr>
                  <w:r>
                    <w:rPr>
                      <w:rFonts w:eastAsia="楷体"/>
                      <w:color w:val="auto"/>
                      <w:kern w:val="0"/>
                      <w:szCs w:val="21"/>
                      <w:lang w:bidi="ar"/>
                    </w:rPr>
                    <w:t>t/a</w:t>
                  </w:r>
                </w:p>
              </w:tc>
              <w:tc>
                <w:tcPr>
                  <w:tcW w:w="1356" w:type="dxa"/>
                  <w:vAlign w:val="center"/>
                </w:tcPr>
                <w:p w14:paraId="45EEE7EE">
                  <w:pPr>
                    <w:widowControl/>
                    <w:jc w:val="center"/>
                    <w:textAlignment w:val="center"/>
                    <w:rPr>
                      <w:color w:val="auto"/>
                      <w:kern w:val="0"/>
                      <w:szCs w:val="21"/>
                      <w:lang w:bidi="ar"/>
                    </w:rPr>
                  </w:pPr>
                  <w:r>
                    <w:rPr>
                      <w:rFonts w:hint="eastAsia"/>
                      <w:color w:val="auto"/>
                      <w:kern w:val="0"/>
                      <w:szCs w:val="21"/>
                      <w:lang w:bidi="ar"/>
                    </w:rPr>
                    <w:t>297990</w:t>
                  </w:r>
                </w:p>
              </w:tc>
              <w:tc>
                <w:tcPr>
                  <w:tcW w:w="1179" w:type="dxa"/>
                  <w:vAlign w:val="center"/>
                </w:tcPr>
                <w:p w14:paraId="1B0DAEB5">
                  <w:pPr>
                    <w:widowControl/>
                    <w:jc w:val="center"/>
                    <w:textAlignment w:val="center"/>
                    <w:rPr>
                      <w:rFonts w:hint="eastAsia" w:ascii="Times New Roman" w:hAnsi="Times New Roman" w:eastAsia="宋体" w:cs="Times New Roman"/>
                      <w:color w:val="auto"/>
                      <w:kern w:val="0"/>
                      <w:szCs w:val="21"/>
                      <w:lang w:bidi="ar"/>
                    </w:rPr>
                  </w:pPr>
                  <w:r>
                    <w:rPr>
                      <w:rFonts w:hint="eastAsia" w:ascii="Times New Roman" w:hAnsi="Times New Roman" w:eastAsia="宋体" w:cs="Times New Roman"/>
                      <w:color w:val="auto"/>
                      <w:kern w:val="0"/>
                      <w:szCs w:val="21"/>
                      <w:lang w:val="en-US" w:eastAsia="zh-CN" w:bidi="ar"/>
                    </w:rPr>
                    <w:t>33088</w:t>
                  </w:r>
                </w:p>
              </w:tc>
              <w:tc>
                <w:tcPr>
                  <w:tcW w:w="1170" w:type="dxa"/>
                  <w:vAlign w:val="center"/>
                </w:tcPr>
                <w:p w14:paraId="60944621">
                  <w:pPr>
                    <w:widowControl/>
                    <w:jc w:val="center"/>
                    <w:textAlignment w:val="center"/>
                    <w:rPr>
                      <w:rFonts w:hint="eastAsia" w:ascii="Times New Roman" w:hAnsi="Times New Roman" w:eastAsia="宋体" w:cs="Times New Roman"/>
                      <w:color w:val="auto"/>
                      <w:kern w:val="0"/>
                      <w:szCs w:val="21"/>
                      <w:lang w:bidi="ar"/>
                    </w:rPr>
                  </w:pPr>
                  <w:r>
                    <w:rPr>
                      <w:rFonts w:hint="eastAsia" w:ascii="Times New Roman" w:hAnsi="Times New Roman" w:eastAsia="宋体" w:cs="Times New Roman"/>
                      <w:color w:val="auto"/>
                      <w:kern w:val="0"/>
                      <w:szCs w:val="21"/>
                      <w:lang w:val="en-US" w:eastAsia="zh-CN" w:bidi="ar"/>
                    </w:rPr>
                    <w:t>57912</w:t>
                  </w:r>
                </w:p>
              </w:tc>
              <w:tc>
                <w:tcPr>
                  <w:tcW w:w="1722" w:type="dxa"/>
                  <w:vAlign w:val="center"/>
                </w:tcPr>
                <w:p w14:paraId="05940117">
                  <w:pPr>
                    <w:widowControl/>
                    <w:jc w:val="center"/>
                    <w:rPr>
                      <w:color w:val="auto"/>
                      <w:kern w:val="0"/>
                      <w:szCs w:val="21"/>
                      <w:lang w:bidi="ar"/>
                    </w:rPr>
                  </w:pPr>
                  <w:r>
                    <w:rPr>
                      <w:rFonts w:hint="eastAsia" w:ascii="宋体" w:hAnsi="宋体" w:cs="宋体"/>
                      <w:color w:val="auto"/>
                      <w:kern w:val="0"/>
                      <w:szCs w:val="21"/>
                      <w:lang w:bidi="ar"/>
                    </w:rPr>
                    <w:t>新航焦化</w:t>
                  </w:r>
                  <w:r>
                    <w:rPr>
                      <w:rFonts w:ascii="楷体" w:hAnsi="楷体" w:eastAsia="楷体" w:cs="楷体"/>
                      <w:color w:val="auto"/>
                      <w:kern w:val="0"/>
                      <w:szCs w:val="21"/>
                      <w:lang w:bidi="ar"/>
                    </w:rPr>
                    <w:t>+</w:t>
                  </w:r>
                  <w:r>
                    <w:rPr>
                      <w:rFonts w:hint="eastAsia" w:ascii="宋体" w:hAnsi="宋体" w:cs="宋体"/>
                      <w:color w:val="auto"/>
                      <w:kern w:val="0"/>
                      <w:szCs w:val="21"/>
                      <w:lang w:bidi="ar"/>
                    </w:rPr>
                    <w:t>外购</w:t>
                  </w:r>
                </w:p>
              </w:tc>
            </w:tr>
            <w:tr w14:paraId="6292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8" w:type="dxa"/>
                  <w:vMerge w:val="continue"/>
                  <w:vAlign w:val="center"/>
                </w:tcPr>
                <w:p w14:paraId="38594C8F">
                  <w:pPr>
                    <w:widowControl/>
                    <w:jc w:val="center"/>
                    <w:textAlignment w:val="center"/>
                    <w:rPr>
                      <w:color w:val="auto"/>
                      <w:kern w:val="0"/>
                      <w:szCs w:val="21"/>
                      <w:lang w:bidi="ar"/>
                    </w:rPr>
                  </w:pPr>
                </w:p>
              </w:tc>
              <w:tc>
                <w:tcPr>
                  <w:tcW w:w="1142" w:type="dxa"/>
                  <w:vAlign w:val="center"/>
                </w:tcPr>
                <w:p w14:paraId="36F16336">
                  <w:pPr>
                    <w:widowControl/>
                    <w:jc w:val="center"/>
                    <w:textAlignment w:val="center"/>
                    <w:rPr>
                      <w:color w:val="auto"/>
                      <w:kern w:val="0"/>
                      <w:szCs w:val="21"/>
                      <w:lang w:bidi="ar"/>
                    </w:rPr>
                  </w:pPr>
                  <w:r>
                    <w:rPr>
                      <w:rFonts w:hint="eastAsia"/>
                      <w:color w:val="auto"/>
                      <w:kern w:val="0"/>
                      <w:szCs w:val="21"/>
                      <w:lang w:bidi="ar"/>
                    </w:rPr>
                    <w:t>除尘灰</w:t>
                  </w:r>
                </w:p>
              </w:tc>
              <w:tc>
                <w:tcPr>
                  <w:tcW w:w="900" w:type="dxa"/>
                  <w:vAlign w:val="center"/>
                </w:tcPr>
                <w:p w14:paraId="5C9BCD65">
                  <w:pPr>
                    <w:widowControl/>
                    <w:jc w:val="center"/>
                    <w:textAlignment w:val="center"/>
                    <w:rPr>
                      <w:color w:val="auto"/>
                      <w:kern w:val="0"/>
                      <w:szCs w:val="21"/>
                      <w:lang w:bidi="ar"/>
                    </w:rPr>
                  </w:pPr>
                  <w:r>
                    <w:rPr>
                      <w:rFonts w:eastAsia="楷体"/>
                      <w:color w:val="auto"/>
                      <w:kern w:val="0"/>
                      <w:szCs w:val="21"/>
                      <w:lang w:bidi="ar"/>
                    </w:rPr>
                    <w:t>t/a</w:t>
                  </w:r>
                </w:p>
              </w:tc>
              <w:tc>
                <w:tcPr>
                  <w:tcW w:w="1356" w:type="dxa"/>
                  <w:vAlign w:val="center"/>
                </w:tcPr>
                <w:p w14:paraId="04323B69">
                  <w:pPr>
                    <w:widowControl/>
                    <w:jc w:val="center"/>
                    <w:textAlignment w:val="center"/>
                    <w:rPr>
                      <w:color w:val="auto"/>
                      <w:kern w:val="0"/>
                      <w:szCs w:val="21"/>
                      <w:lang w:bidi="ar"/>
                    </w:rPr>
                  </w:pPr>
                  <w:r>
                    <w:rPr>
                      <w:rFonts w:hint="eastAsia"/>
                      <w:color w:val="auto"/>
                      <w:kern w:val="0"/>
                      <w:szCs w:val="21"/>
                      <w:lang w:bidi="ar"/>
                    </w:rPr>
                    <w:t>91000</w:t>
                  </w:r>
                </w:p>
              </w:tc>
              <w:tc>
                <w:tcPr>
                  <w:tcW w:w="1179" w:type="dxa"/>
                  <w:vAlign w:val="center"/>
                </w:tcPr>
                <w:p w14:paraId="3294F3BA">
                  <w:pPr>
                    <w:widowControl/>
                    <w:jc w:val="center"/>
                    <w:textAlignment w:val="center"/>
                    <w:rPr>
                      <w:rFonts w:hint="eastAsia" w:ascii="Times New Roman" w:hAnsi="Times New Roman" w:eastAsia="宋体" w:cs="Times New Roman"/>
                      <w:color w:val="auto"/>
                      <w:kern w:val="0"/>
                      <w:szCs w:val="21"/>
                      <w:lang w:bidi="ar"/>
                    </w:rPr>
                  </w:pPr>
                  <w:r>
                    <w:rPr>
                      <w:rFonts w:hint="eastAsia" w:ascii="Times New Roman" w:hAnsi="Times New Roman" w:eastAsia="宋体" w:cs="Times New Roman"/>
                      <w:color w:val="auto"/>
                      <w:kern w:val="0"/>
                      <w:szCs w:val="21"/>
                      <w:lang w:val="en-US" w:eastAsia="zh-CN" w:bidi="ar"/>
                    </w:rPr>
                    <w:t>57000</w:t>
                  </w:r>
                </w:p>
              </w:tc>
              <w:tc>
                <w:tcPr>
                  <w:tcW w:w="1170" w:type="dxa"/>
                  <w:vAlign w:val="center"/>
                </w:tcPr>
                <w:p w14:paraId="38D474F7">
                  <w:pPr>
                    <w:widowControl/>
                    <w:jc w:val="center"/>
                    <w:textAlignment w:val="center"/>
                    <w:rPr>
                      <w:rFonts w:hint="eastAsia" w:ascii="Times New Roman" w:hAnsi="Times New Roman" w:eastAsia="宋体" w:cs="Times New Roman"/>
                      <w:color w:val="auto"/>
                      <w:kern w:val="0"/>
                      <w:szCs w:val="21"/>
                      <w:lang w:bidi="ar"/>
                    </w:rPr>
                  </w:pPr>
                  <w:r>
                    <w:rPr>
                      <w:rFonts w:hint="eastAsia" w:ascii="Times New Roman" w:hAnsi="Times New Roman" w:eastAsia="宋体" w:cs="Times New Roman"/>
                      <w:color w:val="auto"/>
                      <w:kern w:val="0"/>
                      <w:szCs w:val="21"/>
                      <w:lang w:val="en-US" w:eastAsia="zh-CN" w:bidi="ar"/>
                    </w:rPr>
                    <w:t>240990</w:t>
                  </w:r>
                </w:p>
              </w:tc>
              <w:tc>
                <w:tcPr>
                  <w:tcW w:w="1722" w:type="dxa"/>
                  <w:vAlign w:val="center"/>
                </w:tcPr>
                <w:p w14:paraId="563E92AC">
                  <w:pPr>
                    <w:widowControl/>
                    <w:jc w:val="center"/>
                    <w:rPr>
                      <w:color w:val="auto"/>
                      <w:kern w:val="0"/>
                      <w:szCs w:val="21"/>
                      <w:lang w:bidi="ar"/>
                    </w:rPr>
                  </w:pPr>
                  <w:r>
                    <w:rPr>
                      <w:rFonts w:hint="eastAsia" w:ascii="宋体" w:hAnsi="宋体" w:cs="宋体"/>
                      <w:color w:val="auto"/>
                      <w:kern w:val="0"/>
                      <w:szCs w:val="21"/>
                      <w:lang w:bidi="ar"/>
                    </w:rPr>
                    <w:t>新航焦化</w:t>
                  </w:r>
                  <w:r>
                    <w:rPr>
                      <w:rFonts w:ascii="楷体" w:hAnsi="楷体" w:eastAsia="楷体" w:cs="楷体"/>
                      <w:color w:val="auto"/>
                      <w:kern w:val="0"/>
                      <w:szCs w:val="21"/>
                      <w:lang w:bidi="ar"/>
                    </w:rPr>
                    <w:t>+</w:t>
                  </w:r>
                  <w:r>
                    <w:rPr>
                      <w:rFonts w:hint="eastAsia" w:ascii="宋体" w:hAnsi="宋体" w:cs="宋体"/>
                      <w:color w:val="auto"/>
                      <w:kern w:val="0"/>
                      <w:szCs w:val="21"/>
                      <w:lang w:bidi="ar"/>
                    </w:rPr>
                    <w:t>外购</w:t>
                  </w:r>
                </w:p>
              </w:tc>
            </w:tr>
            <w:tr w14:paraId="650B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8" w:type="dxa"/>
                  <w:vMerge w:val="continue"/>
                  <w:vAlign w:val="center"/>
                </w:tcPr>
                <w:p w14:paraId="007CD321">
                  <w:pPr>
                    <w:widowControl/>
                    <w:jc w:val="center"/>
                    <w:textAlignment w:val="center"/>
                    <w:rPr>
                      <w:color w:val="auto"/>
                      <w:kern w:val="0"/>
                      <w:szCs w:val="21"/>
                      <w:lang w:bidi="ar"/>
                    </w:rPr>
                  </w:pPr>
                </w:p>
              </w:tc>
              <w:tc>
                <w:tcPr>
                  <w:tcW w:w="1142" w:type="dxa"/>
                  <w:vAlign w:val="center"/>
                </w:tcPr>
                <w:p w14:paraId="1A088D38">
                  <w:pPr>
                    <w:widowControl/>
                    <w:jc w:val="center"/>
                    <w:textAlignment w:val="center"/>
                    <w:rPr>
                      <w:color w:val="auto"/>
                      <w:kern w:val="0"/>
                      <w:szCs w:val="21"/>
                      <w:lang w:bidi="ar"/>
                    </w:rPr>
                  </w:pPr>
                  <w:r>
                    <w:rPr>
                      <w:rFonts w:hint="eastAsia"/>
                      <w:color w:val="auto"/>
                      <w:kern w:val="0"/>
                      <w:szCs w:val="21"/>
                      <w:lang w:bidi="ar"/>
                    </w:rPr>
                    <w:t>兰碳粉</w:t>
                  </w:r>
                </w:p>
              </w:tc>
              <w:tc>
                <w:tcPr>
                  <w:tcW w:w="900" w:type="dxa"/>
                  <w:vAlign w:val="center"/>
                </w:tcPr>
                <w:p w14:paraId="26F18B57">
                  <w:pPr>
                    <w:widowControl/>
                    <w:jc w:val="center"/>
                    <w:textAlignment w:val="center"/>
                    <w:rPr>
                      <w:color w:val="auto"/>
                      <w:kern w:val="0"/>
                      <w:szCs w:val="21"/>
                      <w:lang w:bidi="ar"/>
                    </w:rPr>
                  </w:pPr>
                  <w:r>
                    <w:rPr>
                      <w:rFonts w:eastAsia="楷体"/>
                      <w:color w:val="auto"/>
                      <w:kern w:val="0"/>
                      <w:szCs w:val="21"/>
                      <w:lang w:bidi="ar"/>
                    </w:rPr>
                    <w:t>t/a</w:t>
                  </w:r>
                </w:p>
              </w:tc>
              <w:tc>
                <w:tcPr>
                  <w:tcW w:w="1356" w:type="dxa"/>
                  <w:vAlign w:val="center"/>
                </w:tcPr>
                <w:p w14:paraId="4BFCB9A5">
                  <w:pPr>
                    <w:widowControl/>
                    <w:jc w:val="center"/>
                    <w:textAlignment w:val="center"/>
                    <w:rPr>
                      <w:color w:val="auto"/>
                      <w:kern w:val="0"/>
                      <w:szCs w:val="21"/>
                      <w:lang w:bidi="ar"/>
                    </w:rPr>
                  </w:pPr>
                  <w:r>
                    <w:rPr>
                      <w:rFonts w:hint="eastAsia"/>
                      <w:color w:val="auto"/>
                      <w:kern w:val="0"/>
                      <w:szCs w:val="21"/>
                      <w:lang w:bidi="ar"/>
                    </w:rPr>
                    <w:t>42570</w:t>
                  </w:r>
                </w:p>
              </w:tc>
              <w:tc>
                <w:tcPr>
                  <w:tcW w:w="1179" w:type="dxa"/>
                  <w:vAlign w:val="center"/>
                </w:tcPr>
                <w:p w14:paraId="5853A53B">
                  <w:pPr>
                    <w:widowControl/>
                    <w:jc w:val="center"/>
                    <w:textAlignment w:val="center"/>
                    <w:rPr>
                      <w:rFonts w:hint="eastAsia" w:eastAsia="宋体"/>
                      <w:color w:val="auto"/>
                      <w:kern w:val="0"/>
                      <w:szCs w:val="21"/>
                      <w:lang w:val="en-US" w:eastAsia="zh-CN" w:bidi="ar"/>
                    </w:rPr>
                  </w:pPr>
                  <w:r>
                    <w:rPr>
                      <w:rFonts w:hint="eastAsia"/>
                      <w:color w:val="auto"/>
                      <w:kern w:val="0"/>
                      <w:szCs w:val="21"/>
                      <w:lang w:val="en-US" w:eastAsia="zh-CN" w:bidi="ar"/>
                    </w:rPr>
                    <w:t>/</w:t>
                  </w:r>
                </w:p>
              </w:tc>
              <w:tc>
                <w:tcPr>
                  <w:tcW w:w="1170" w:type="dxa"/>
                  <w:vAlign w:val="center"/>
                </w:tcPr>
                <w:p w14:paraId="4A442081">
                  <w:pPr>
                    <w:widowControl/>
                    <w:jc w:val="center"/>
                    <w:textAlignment w:val="center"/>
                    <w:rPr>
                      <w:rFonts w:hint="eastAsia"/>
                      <w:color w:val="auto"/>
                      <w:kern w:val="0"/>
                      <w:szCs w:val="21"/>
                      <w:lang w:bidi="ar"/>
                    </w:rPr>
                  </w:pPr>
                  <w:r>
                    <w:rPr>
                      <w:rFonts w:hint="eastAsia"/>
                      <w:color w:val="auto"/>
                      <w:kern w:val="0"/>
                      <w:szCs w:val="21"/>
                      <w:lang w:val="en-US" w:eastAsia="zh-CN" w:bidi="ar"/>
                    </w:rPr>
                    <w:t>/</w:t>
                  </w:r>
                </w:p>
              </w:tc>
              <w:tc>
                <w:tcPr>
                  <w:tcW w:w="1722" w:type="dxa"/>
                  <w:vAlign w:val="center"/>
                </w:tcPr>
                <w:p w14:paraId="2AB3A303">
                  <w:pPr>
                    <w:widowControl/>
                    <w:jc w:val="center"/>
                    <w:rPr>
                      <w:color w:val="auto"/>
                      <w:kern w:val="0"/>
                      <w:szCs w:val="21"/>
                      <w:lang w:bidi="ar"/>
                    </w:rPr>
                  </w:pPr>
                  <w:r>
                    <w:rPr>
                      <w:rFonts w:hint="eastAsia" w:ascii="宋体" w:hAnsi="宋体" w:cs="宋体"/>
                      <w:color w:val="auto"/>
                      <w:kern w:val="0"/>
                      <w:szCs w:val="21"/>
                      <w:lang w:bidi="ar"/>
                    </w:rPr>
                    <w:t>外购</w:t>
                  </w:r>
                </w:p>
              </w:tc>
            </w:tr>
            <w:tr w14:paraId="2912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8" w:type="dxa"/>
                  <w:vMerge w:val="continue"/>
                  <w:vAlign w:val="center"/>
                </w:tcPr>
                <w:p w14:paraId="26CC17C1">
                  <w:pPr>
                    <w:widowControl/>
                    <w:jc w:val="center"/>
                    <w:textAlignment w:val="center"/>
                    <w:rPr>
                      <w:color w:val="auto"/>
                      <w:kern w:val="0"/>
                      <w:szCs w:val="21"/>
                      <w:lang w:bidi="ar"/>
                    </w:rPr>
                  </w:pPr>
                </w:p>
              </w:tc>
              <w:tc>
                <w:tcPr>
                  <w:tcW w:w="1142" w:type="dxa"/>
                  <w:vAlign w:val="center"/>
                </w:tcPr>
                <w:p w14:paraId="61EE1C3A">
                  <w:pPr>
                    <w:widowControl/>
                    <w:jc w:val="center"/>
                    <w:textAlignment w:val="center"/>
                    <w:rPr>
                      <w:color w:val="auto"/>
                      <w:kern w:val="0"/>
                      <w:szCs w:val="21"/>
                      <w:lang w:bidi="ar"/>
                    </w:rPr>
                  </w:pPr>
                  <w:r>
                    <w:rPr>
                      <w:rFonts w:hint="eastAsia"/>
                      <w:color w:val="auto"/>
                      <w:kern w:val="0"/>
                      <w:szCs w:val="21"/>
                      <w:lang w:bidi="ar"/>
                    </w:rPr>
                    <w:t>粘结剂</w:t>
                  </w:r>
                </w:p>
              </w:tc>
              <w:tc>
                <w:tcPr>
                  <w:tcW w:w="900" w:type="dxa"/>
                  <w:vAlign w:val="center"/>
                </w:tcPr>
                <w:p w14:paraId="538B76FA">
                  <w:pPr>
                    <w:widowControl/>
                    <w:jc w:val="center"/>
                    <w:textAlignment w:val="center"/>
                    <w:rPr>
                      <w:color w:val="auto"/>
                      <w:kern w:val="0"/>
                      <w:szCs w:val="21"/>
                      <w:lang w:bidi="ar"/>
                    </w:rPr>
                  </w:pPr>
                  <w:r>
                    <w:rPr>
                      <w:rFonts w:eastAsia="楷体"/>
                      <w:color w:val="auto"/>
                      <w:kern w:val="0"/>
                      <w:szCs w:val="21"/>
                      <w:lang w:bidi="ar"/>
                    </w:rPr>
                    <w:t>t/a</w:t>
                  </w:r>
                </w:p>
              </w:tc>
              <w:tc>
                <w:tcPr>
                  <w:tcW w:w="1356" w:type="dxa"/>
                  <w:vAlign w:val="center"/>
                </w:tcPr>
                <w:p w14:paraId="601A5335">
                  <w:pPr>
                    <w:widowControl/>
                    <w:jc w:val="center"/>
                    <w:textAlignment w:val="center"/>
                    <w:rPr>
                      <w:color w:val="auto"/>
                      <w:kern w:val="0"/>
                      <w:szCs w:val="21"/>
                      <w:lang w:bidi="ar"/>
                    </w:rPr>
                  </w:pPr>
                  <w:r>
                    <w:rPr>
                      <w:rFonts w:hint="eastAsia"/>
                      <w:color w:val="auto"/>
                      <w:kern w:val="0"/>
                      <w:szCs w:val="21"/>
                      <w:lang w:bidi="ar"/>
                    </w:rPr>
                    <w:t>24800</w:t>
                  </w:r>
                </w:p>
              </w:tc>
              <w:tc>
                <w:tcPr>
                  <w:tcW w:w="1179" w:type="dxa"/>
                  <w:vAlign w:val="center"/>
                </w:tcPr>
                <w:p w14:paraId="35D682C1">
                  <w:pPr>
                    <w:widowControl/>
                    <w:jc w:val="center"/>
                    <w:textAlignment w:val="center"/>
                    <w:rPr>
                      <w:rFonts w:hint="eastAsia"/>
                      <w:color w:val="auto"/>
                      <w:kern w:val="0"/>
                      <w:szCs w:val="21"/>
                      <w:lang w:bidi="ar"/>
                    </w:rPr>
                  </w:pPr>
                  <w:r>
                    <w:rPr>
                      <w:rFonts w:hint="eastAsia"/>
                      <w:color w:val="auto"/>
                      <w:kern w:val="0"/>
                      <w:szCs w:val="21"/>
                      <w:lang w:val="en-US" w:eastAsia="zh-CN" w:bidi="ar"/>
                    </w:rPr>
                    <w:t>/</w:t>
                  </w:r>
                </w:p>
              </w:tc>
              <w:tc>
                <w:tcPr>
                  <w:tcW w:w="1170" w:type="dxa"/>
                  <w:vAlign w:val="center"/>
                </w:tcPr>
                <w:p w14:paraId="311D3C1B">
                  <w:pPr>
                    <w:widowControl/>
                    <w:jc w:val="center"/>
                    <w:textAlignment w:val="center"/>
                    <w:rPr>
                      <w:rFonts w:hint="eastAsia"/>
                      <w:color w:val="auto"/>
                      <w:kern w:val="0"/>
                      <w:szCs w:val="21"/>
                      <w:lang w:bidi="ar"/>
                    </w:rPr>
                  </w:pPr>
                  <w:r>
                    <w:rPr>
                      <w:rFonts w:hint="eastAsia"/>
                      <w:color w:val="auto"/>
                      <w:kern w:val="0"/>
                      <w:szCs w:val="21"/>
                      <w:lang w:val="en-US" w:eastAsia="zh-CN" w:bidi="ar"/>
                    </w:rPr>
                    <w:t>/</w:t>
                  </w:r>
                </w:p>
              </w:tc>
              <w:tc>
                <w:tcPr>
                  <w:tcW w:w="1722" w:type="dxa"/>
                  <w:vAlign w:val="center"/>
                </w:tcPr>
                <w:p w14:paraId="42C8A818">
                  <w:pPr>
                    <w:widowControl/>
                    <w:jc w:val="center"/>
                    <w:rPr>
                      <w:color w:val="auto"/>
                      <w:kern w:val="0"/>
                      <w:szCs w:val="21"/>
                      <w:lang w:bidi="ar"/>
                    </w:rPr>
                  </w:pPr>
                  <w:r>
                    <w:rPr>
                      <w:rFonts w:hint="eastAsia" w:ascii="宋体" w:hAnsi="宋体" w:cs="宋体"/>
                      <w:color w:val="auto"/>
                      <w:kern w:val="0"/>
                      <w:szCs w:val="21"/>
                      <w:lang w:bidi="ar"/>
                    </w:rPr>
                    <w:t>赛鼎焦化提供</w:t>
                  </w:r>
                </w:p>
              </w:tc>
            </w:tr>
            <w:tr w14:paraId="3E99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8" w:type="dxa"/>
                  <w:vMerge w:val="restart"/>
                  <w:vAlign w:val="center"/>
                </w:tcPr>
                <w:p w14:paraId="33D7B740">
                  <w:pPr>
                    <w:widowControl/>
                    <w:jc w:val="center"/>
                    <w:textAlignment w:val="center"/>
                    <w:rPr>
                      <w:color w:val="auto"/>
                      <w:kern w:val="0"/>
                      <w:szCs w:val="21"/>
                      <w:lang w:bidi="ar"/>
                    </w:rPr>
                  </w:pPr>
                  <w:r>
                    <w:rPr>
                      <w:rFonts w:hint="eastAsia"/>
                      <w:color w:val="auto"/>
                      <w:kern w:val="0"/>
                      <w:szCs w:val="21"/>
                      <w:lang w:bidi="ar"/>
                    </w:rPr>
                    <w:t>动力消耗</w:t>
                  </w:r>
                </w:p>
              </w:tc>
              <w:tc>
                <w:tcPr>
                  <w:tcW w:w="1142" w:type="dxa"/>
                  <w:vAlign w:val="center"/>
                </w:tcPr>
                <w:p w14:paraId="6A21F927">
                  <w:pPr>
                    <w:widowControl/>
                    <w:jc w:val="center"/>
                    <w:textAlignment w:val="center"/>
                    <w:rPr>
                      <w:color w:val="auto"/>
                      <w:kern w:val="0"/>
                      <w:szCs w:val="21"/>
                      <w:lang w:bidi="ar"/>
                    </w:rPr>
                  </w:pPr>
                  <w:r>
                    <w:rPr>
                      <w:rFonts w:hint="eastAsia"/>
                      <w:color w:val="auto"/>
                      <w:kern w:val="0"/>
                      <w:szCs w:val="21"/>
                      <w:lang w:bidi="ar"/>
                    </w:rPr>
                    <w:t>水</w:t>
                  </w:r>
                </w:p>
              </w:tc>
              <w:tc>
                <w:tcPr>
                  <w:tcW w:w="900" w:type="dxa"/>
                  <w:vAlign w:val="center"/>
                </w:tcPr>
                <w:p w14:paraId="66BB05FB">
                  <w:pPr>
                    <w:widowControl/>
                    <w:jc w:val="center"/>
                    <w:rPr>
                      <w:color w:val="auto"/>
                      <w:kern w:val="0"/>
                      <w:szCs w:val="21"/>
                      <w:lang w:bidi="ar"/>
                    </w:rPr>
                  </w:pPr>
                  <w:r>
                    <w:rPr>
                      <w:rFonts w:eastAsia="楷体"/>
                      <w:color w:val="auto"/>
                      <w:kern w:val="0"/>
                      <w:szCs w:val="21"/>
                      <w:lang w:bidi="ar"/>
                    </w:rPr>
                    <w:t>t/a</w:t>
                  </w:r>
                </w:p>
              </w:tc>
              <w:tc>
                <w:tcPr>
                  <w:tcW w:w="1356" w:type="dxa"/>
                  <w:vAlign w:val="center"/>
                </w:tcPr>
                <w:p w14:paraId="3E1EAF4D">
                  <w:pPr>
                    <w:widowControl/>
                    <w:jc w:val="center"/>
                    <w:textAlignment w:val="center"/>
                    <w:rPr>
                      <w:rFonts w:hint="default"/>
                      <w:color w:val="auto"/>
                      <w:kern w:val="0"/>
                      <w:szCs w:val="21"/>
                      <w:lang w:val="en-US" w:eastAsia="zh-CN" w:bidi="ar"/>
                    </w:rPr>
                  </w:pPr>
                  <w:r>
                    <w:rPr>
                      <w:rFonts w:hint="eastAsia"/>
                      <w:color w:val="auto"/>
                      <w:kern w:val="0"/>
                      <w:szCs w:val="21"/>
                      <w:lang w:val="en-US" w:eastAsia="zh-CN" w:bidi="ar"/>
                    </w:rPr>
                    <w:t>32157.54</w:t>
                  </w:r>
                </w:p>
              </w:tc>
              <w:tc>
                <w:tcPr>
                  <w:tcW w:w="1179" w:type="dxa"/>
                  <w:vAlign w:val="center"/>
                </w:tcPr>
                <w:p w14:paraId="4309D39E">
                  <w:pPr>
                    <w:widowControl/>
                    <w:jc w:val="center"/>
                    <w:textAlignment w:val="center"/>
                    <w:rPr>
                      <w:rFonts w:hint="eastAsia"/>
                      <w:color w:val="auto"/>
                      <w:kern w:val="0"/>
                      <w:szCs w:val="21"/>
                      <w:lang w:bidi="ar"/>
                    </w:rPr>
                  </w:pPr>
                  <w:r>
                    <w:rPr>
                      <w:rFonts w:hint="eastAsia"/>
                      <w:color w:val="auto"/>
                      <w:kern w:val="0"/>
                      <w:szCs w:val="21"/>
                      <w:lang w:val="en-US" w:eastAsia="zh-CN" w:bidi="ar"/>
                    </w:rPr>
                    <w:t>/</w:t>
                  </w:r>
                </w:p>
              </w:tc>
              <w:tc>
                <w:tcPr>
                  <w:tcW w:w="1170" w:type="dxa"/>
                  <w:vAlign w:val="center"/>
                </w:tcPr>
                <w:p w14:paraId="5A882E96">
                  <w:pPr>
                    <w:widowControl/>
                    <w:jc w:val="center"/>
                    <w:textAlignment w:val="center"/>
                    <w:rPr>
                      <w:rFonts w:hint="eastAsia"/>
                      <w:color w:val="auto"/>
                      <w:kern w:val="0"/>
                      <w:szCs w:val="21"/>
                      <w:lang w:bidi="ar"/>
                    </w:rPr>
                  </w:pPr>
                  <w:r>
                    <w:rPr>
                      <w:rFonts w:hint="eastAsia"/>
                      <w:color w:val="auto"/>
                      <w:kern w:val="0"/>
                      <w:szCs w:val="21"/>
                      <w:lang w:val="en-US" w:eastAsia="zh-CN" w:bidi="ar"/>
                    </w:rPr>
                    <w:t>/</w:t>
                  </w:r>
                </w:p>
              </w:tc>
              <w:tc>
                <w:tcPr>
                  <w:tcW w:w="1722" w:type="dxa"/>
                  <w:vAlign w:val="center"/>
                </w:tcPr>
                <w:p w14:paraId="34181BAE">
                  <w:pPr>
                    <w:widowControl/>
                    <w:jc w:val="center"/>
                    <w:textAlignment w:val="center"/>
                    <w:rPr>
                      <w:color w:val="auto"/>
                      <w:kern w:val="0"/>
                      <w:szCs w:val="21"/>
                      <w:lang w:bidi="ar"/>
                    </w:rPr>
                  </w:pPr>
                  <w:r>
                    <w:rPr>
                      <w:rFonts w:hint="eastAsia"/>
                      <w:color w:val="auto"/>
                      <w:kern w:val="0"/>
                      <w:szCs w:val="21"/>
                      <w:lang w:bidi="ar"/>
                    </w:rPr>
                    <w:t>/</w:t>
                  </w:r>
                </w:p>
              </w:tc>
            </w:tr>
            <w:tr w14:paraId="5890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8" w:type="dxa"/>
                  <w:vMerge w:val="continue"/>
                  <w:vAlign w:val="center"/>
                </w:tcPr>
                <w:p w14:paraId="22ECB12A">
                  <w:pPr>
                    <w:widowControl/>
                    <w:jc w:val="center"/>
                    <w:textAlignment w:val="center"/>
                    <w:rPr>
                      <w:color w:val="auto"/>
                      <w:kern w:val="0"/>
                      <w:szCs w:val="21"/>
                      <w:lang w:bidi="ar"/>
                    </w:rPr>
                  </w:pPr>
                </w:p>
              </w:tc>
              <w:tc>
                <w:tcPr>
                  <w:tcW w:w="1142" w:type="dxa"/>
                  <w:vAlign w:val="center"/>
                </w:tcPr>
                <w:p w14:paraId="71FCCFCB">
                  <w:pPr>
                    <w:widowControl/>
                    <w:jc w:val="center"/>
                    <w:textAlignment w:val="center"/>
                    <w:rPr>
                      <w:color w:val="auto"/>
                      <w:kern w:val="0"/>
                      <w:szCs w:val="21"/>
                      <w:lang w:bidi="ar"/>
                    </w:rPr>
                  </w:pPr>
                  <w:r>
                    <w:rPr>
                      <w:rFonts w:hint="eastAsia"/>
                      <w:color w:val="auto"/>
                      <w:kern w:val="0"/>
                      <w:szCs w:val="21"/>
                      <w:lang w:bidi="ar"/>
                    </w:rPr>
                    <w:t>电</w:t>
                  </w:r>
                </w:p>
              </w:tc>
              <w:tc>
                <w:tcPr>
                  <w:tcW w:w="900" w:type="dxa"/>
                  <w:vAlign w:val="center"/>
                </w:tcPr>
                <w:p w14:paraId="5246054D">
                  <w:pPr>
                    <w:widowControl/>
                    <w:jc w:val="center"/>
                    <w:rPr>
                      <w:color w:val="auto"/>
                      <w:kern w:val="0"/>
                      <w:szCs w:val="21"/>
                      <w:lang w:bidi="ar"/>
                    </w:rPr>
                  </w:pPr>
                  <w:r>
                    <w:rPr>
                      <w:rFonts w:eastAsia="楷体"/>
                      <w:color w:val="auto"/>
                      <w:kern w:val="0"/>
                      <w:szCs w:val="21"/>
                      <w:lang w:bidi="ar"/>
                    </w:rPr>
                    <w:t>KWh/a</w:t>
                  </w:r>
                </w:p>
              </w:tc>
              <w:tc>
                <w:tcPr>
                  <w:tcW w:w="1356" w:type="dxa"/>
                  <w:vAlign w:val="center"/>
                </w:tcPr>
                <w:p w14:paraId="144349B0">
                  <w:pPr>
                    <w:widowControl/>
                    <w:jc w:val="center"/>
                    <w:textAlignment w:val="center"/>
                    <w:rPr>
                      <w:color w:val="auto"/>
                      <w:kern w:val="0"/>
                      <w:szCs w:val="21"/>
                      <w:lang w:bidi="ar"/>
                    </w:rPr>
                  </w:pPr>
                  <w:r>
                    <w:rPr>
                      <w:rFonts w:hint="eastAsia"/>
                      <w:color w:val="auto"/>
                      <w:kern w:val="0"/>
                      <w:szCs w:val="21"/>
                      <w:lang w:bidi="ar"/>
                    </w:rPr>
                    <w:t>7.425×10</w:t>
                  </w:r>
                  <w:r>
                    <w:rPr>
                      <w:rFonts w:hint="eastAsia"/>
                      <w:color w:val="auto"/>
                      <w:kern w:val="0"/>
                      <w:szCs w:val="21"/>
                      <w:vertAlign w:val="superscript"/>
                      <w:lang w:bidi="ar"/>
                    </w:rPr>
                    <w:t>6</w:t>
                  </w:r>
                </w:p>
              </w:tc>
              <w:tc>
                <w:tcPr>
                  <w:tcW w:w="1179" w:type="dxa"/>
                  <w:vAlign w:val="center"/>
                </w:tcPr>
                <w:p w14:paraId="65A89BF7">
                  <w:pPr>
                    <w:widowControl/>
                    <w:jc w:val="center"/>
                    <w:textAlignment w:val="center"/>
                    <w:rPr>
                      <w:rFonts w:hint="eastAsia" w:eastAsia="宋体"/>
                      <w:color w:val="auto"/>
                      <w:kern w:val="0"/>
                      <w:szCs w:val="21"/>
                      <w:lang w:val="en-US" w:eastAsia="zh-CN" w:bidi="ar"/>
                    </w:rPr>
                  </w:pPr>
                  <w:r>
                    <w:rPr>
                      <w:rFonts w:hint="eastAsia"/>
                      <w:color w:val="auto"/>
                      <w:kern w:val="0"/>
                      <w:szCs w:val="21"/>
                      <w:lang w:val="en-US" w:eastAsia="zh-CN" w:bidi="ar"/>
                    </w:rPr>
                    <w:t>/</w:t>
                  </w:r>
                </w:p>
              </w:tc>
              <w:tc>
                <w:tcPr>
                  <w:tcW w:w="1170" w:type="dxa"/>
                  <w:vAlign w:val="center"/>
                </w:tcPr>
                <w:p w14:paraId="3448435D">
                  <w:pPr>
                    <w:widowControl/>
                    <w:jc w:val="center"/>
                    <w:textAlignment w:val="center"/>
                    <w:rPr>
                      <w:rFonts w:hint="eastAsia" w:eastAsia="宋体"/>
                      <w:color w:val="auto"/>
                      <w:kern w:val="0"/>
                      <w:szCs w:val="21"/>
                      <w:lang w:val="en-US" w:eastAsia="zh-CN" w:bidi="ar"/>
                    </w:rPr>
                  </w:pPr>
                  <w:r>
                    <w:rPr>
                      <w:rFonts w:hint="eastAsia"/>
                      <w:color w:val="auto"/>
                      <w:kern w:val="0"/>
                      <w:szCs w:val="21"/>
                      <w:lang w:val="en-US" w:eastAsia="zh-CN" w:bidi="ar"/>
                    </w:rPr>
                    <w:t>/</w:t>
                  </w:r>
                </w:p>
              </w:tc>
              <w:tc>
                <w:tcPr>
                  <w:tcW w:w="1722" w:type="dxa"/>
                  <w:vAlign w:val="center"/>
                </w:tcPr>
                <w:p w14:paraId="4F1950E4">
                  <w:pPr>
                    <w:widowControl/>
                    <w:jc w:val="center"/>
                    <w:rPr>
                      <w:color w:val="auto"/>
                      <w:kern w:val="0"/>
                      <w:szCs w:val="21"/>
                      <w:lang w:bidi="ar"/>
                    </w:rPr>
                  </w:pPr>
                  <w:r>
                    <w:rPr>
                      <w:rFonts w:hint="eastAsia" w:ascii="宋体" w:hAnsi="宋体" w:cs="宋体"/>
                      <w:color w:val="auto"/>
                      <w:kern w:val="0"/>
                      <w:szCs w:val="21"/>
                      <w:lang w:bidi="ar"/>
                    </w:rPr>
                    <w:t>平均负荷</w:t>
                  </w:r>
                </w:p>
              </w:tc>
            </w:tr>
            <w:tr w14:paraId="6AD7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8" w:type="dxa"/>
                  <w:vMerge w:val="continue"/>
                  <w:vAlign w:val="center"/>
                </w:tcPr>
                <w:p w14:paraId="73C37B08">
                  <w:pPr>
                    <w:widowControl/>
                    <w:jc w:val="center"/>
                    <w:textAlignment w:val="center"/>
                    <w:rPr>
                      <w:color w:val="auto"/>
                      <w:kern w:val="0"/>
                      <w:szCs w:val="21"/>
                      <w:lang w:bidi="ar"/>
                    </w:rPr>
                  </w:pPr>
                </w:p>
              </w:tc>
              <w:tc>
                <w:tcPr>
                  <w:tcW w:w="1142" w:type="dxa"/>
                  <w:shd w:val="clear" w:color="auto" w:fill="auto"/>
                  <w:vAlign w:val="center"/>
                </w:tcPr>
                <w:p w14:paraId="70494CE1">
                  <w:pPr>
                    <w:widowControl/>
                    <w:jc w:val="center"/>
                    <w:textAlignment w:val="center"/>
                    <w:rPr>
                      <w:rFonts w:hint="eastAsia"/>
                      <w:color w:val="auto"/>
                      <w:kern w:val="0"/>
                      <w:szCs w:val="21"/>
                      <w:lang w:val="en-US" w:eastAsia="zh-CN" w:bidi="ar"/>
                    </w:rPr>
                  </w:pPr>
                  <w:r>
                    <w:rPr>
                      <w:rFonts w:hint="default"/>
                      <w:color w:val="auto"/>
                      <w:kern w:val="0"/>
                      <w:szCs w:val="21"/>
                      <w:lang w:val="en-US" w:eastAsia="zh-CN" w:bidi="ar"/>
                    </w:rPr>
                    <w:t>脱盐水</w:t>
                  </w:r>
                </w:p>
              </w:tc>
              <w:tc>
                <w:tcPr>
                  <w:tcW w:w="900" w:type="dxa"/>
                  <w:shd w:val="clear" w:color="auto" w:fill="auto"/>
                  <w:vAlign w:val="center"/>
                </w:tcPr>
                <w:p w14:paraId="7E4B3466">
                  <w:pPr>
                    <w:widowControl/>
                    <w:jc w:val="center"/>
                    <w:textAlignment w:val="center"/>
                    <w:rPr>
                      <w:rFonts w:hint="default"/>
                      <w:color w:val="auto"/>
                      <w:kern w:val="0"/>
                      <w:szCs w:val="21"/>
                      <w:lang w:val="en-US" w:eastAsia="zh-CN" w:bidi="ar"/>
                    </w:rPr>
                  </w:pPr>
                  <w:r>
                    <w:rPr>
                      <w:rFonts w:hint="default"/>
                      <w:color w:val="auto"/>
                      <w:kern w:val="0"/>
                      <w:szCs w:val="21"/>
                      <w:lang w:val="en-US" w:eastAsia="zh-CN" w:bidi="ar"/>
                    </w:rPr>
                    <w:t>t/a</w:t>
                  </w:r>
                </w:p>
              </w:tc>
              <w:tc>
                <w:tcPr>
                  <w:tcW w:w="1356" w:type="dxa"/>
                  <w:shd w:val="clear" w:color="auto" w:fill="auto"/>
                  <w:vAlign w:val="center"/>
                </w:tcPr>
                <w:p w14:paraId="48949285">
                  <w:pPr>
                    <w:widowControl/>
                    <w:jc w:val="center"/>
                    <w:textAlignment w:val="center"/>
                    <w:rPr>
                      <w:rFonts w:hint="eastAsia"/>
                      <w:color w:val="auto"/>
                      <w:kern w:val="0"/>
                      <w:szCs w:val="21"/>
                      <w:lang w:val="en-US" w:eastAsia="zh-CN" w:bidi="ar"/>
                    </w:rPr>
                  </w:pPr>
                  <w:r>
                    <w:rPr>
                      <w:rFonts w:hint="default"/>
                      <w:color w:val="auto"/>
                      <w:kern w:val="0"/>
                      <w:szCs w:val="21"/>
                      <w:lang w:val="en-US" w:eastAsia="zh-CN" w:bidi="ar"/>
                    </w:rPr>
                    <w:t>10260</w:t>
                  </w:r>
                </w:p>
              </w:tc>
              <w:tc>
                <w:tcPr>
                  <w:tcW w:w="1179" w:type="dxa"/>
                  <w:shd w:val="clear" w:color="auto" w:fill="auto"/>
                  <w:vAlign w:val="center"/>
                </w:tcPr>
                <w:p w14:paraId="0215F680">
                  <w:pPr>
                    <w:widowControl/>
                    <w:jc w:val="center"/>
                    <w:textAlignment w:val="center"/>
                    <w:rPr>
                      <w:rFonts w:hint="eastAsia"/>
                      <w:color w:val="auto"/>
                      <w:kern w:val="0"/>
                      <w:szCs w:val="21"/>
                      <w:lang w:val="en-US" w:eastAsia="zh-CN" w:bidi="ar"/>
                    </w:rPr>
                  </w:pPr>
                  <w:r>
                    <w:rPr>
                      <w:rFonts w:hint="eastAsia"/>
                      <w:color w:val="auto"/>
                      <w:kern w:val="0"/>
                      <w:szCs w:val="21"/>
                      <w:lang w:val="en-US" w:eastAsia="zh-CN" w:bidi="ar"/>
                    </w:rPr>
                    <w:t>/</w:t>
                  </w:r>
                </w:p>
              </w:tc>
              <w:tc>
                <w:tcPr>
                  <w:tcW w:w="1170" w:type="dxa"/>
                  <w:shd w:val="clear" w:color="auto" w:fill="auto"/>
                  <w:vAlign w:val="center"/>
                </w:tcPr>
                <w:p w14:paraId="1D74BBE9">
                  <w:pPr>
                    <w:widowControl/>
                    <w:jc w:val="center"/>
                    <w:textAlignment w:val="center"/>
                    <w:rPr>
                      <w:rFonts w:hint="default"/>
                      <w:color w:val="auto"/>
                      <w:kern w:val="0"/>
                      <w:szCs w:val="21"/>
                      <w:lang w:val="en-US" w:eastAsia="zh-CN" w:bidi="ar"/>
                    </w:rPr>
                  </w:pPr>
                  <w:r>
                    <w:rPr>
                      <w:rFonts w:hint="eastAsia"/>
                      <w:color w:val="auto"/>
                      <w:kern w:val="0"/>
                      <w:szCs w:val="21"/>
                      <w:lang w:val="en-US" w:eastAsia="zh-CN" w:bidi="ar"/>
                    </w:rPr>
                    <w:t>/</w:t>
                  </w:r>
                </w:p>
              </w:tc>
              <w:tc>
                <w:tcPr>
                  <w:tcW w:w="1722" w:type="dxa"/>
                  <w:vAlign w:val="center"/>
                </w:tcPr>
                <w:p w14:paraId="2D1D47B6">
                  <w:pPr>
                    <w:widowControl/>
                    <w:jc w:val="center"/>
                    <w:textAlignment w:val="center"/>
                    <w:rPr>
                      <w:rFonts w:hint="eastAsia"/>
                      <w:color w:val="auto"/>
                      <w:kern w:val="0"/>
                      <w:szCs w:val="21"/>
                      <w:lang w:val="en-US" w:eastAsia="zh-CN" w:bidi="ar"/>
                    </w:rPr>
                  </w:pPr>
                  <w:r>
                    <w:rPr>
                      <w:rFonts w:hint="eastAsia"/>
                      <w:color w:val="auto"/>
                      <w:kern w:val="0"/>
                      <w:szCs w:val="21"/>
                      <w:lang w:val="en-US" w:eastAsia="zh-CN" w:bidi="ar"/>
                    </w:rPr>
                    <w:t>新航焦化</w:t>
                  </w:r>
                </w:p>
              </w:tc>
            </w:tr>
          </w:tbl>
          <w:p w14:paraId="1D9C0A6D">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本项目原辅材料指标见下表：</w:t>
            </w:r>
          </w:p>
          <w:p w14:paraId="240ACBE1">
            <w:pPr>
              <w:autoSpaceDE w:val="0"/>
              <w:autoSpaceDN w:val="0"/>
              <w:adjustRightInd w:val="0"/>
              <w:snapToGrid w:val="0"/>
              <w:ind w:firstLine="2168" w:firstLineChars="900"/>
              <w:rPr>
                <w:b/>
                <w:bCs/>
                <w:color w:val="auto"/>
                <w:kern w:val="0"/>
                <w:sz w:val="24"/>
              </w:rPr>
            </w:pPr>
            <w:r>
              <w:rPr>
                <w:rFonts w:hint="eastAsia"/>
                <w:b/>
                <w:bCs/>
                <w:color w:val="auto"/>
                <w:kern w:val="0"/>
                <w:sz w:val="24"/>
              </w:rPr>
              <w:t xml:space="preserve">表2-5    焦粉分析指标（%）       </w:t>
            </w:r>
          </w:p>
          <w:tbl>
            <w:tblPr>
              <w:tblStyle w:val="23"/>
              <w:tblW w:w="8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1080"/>
              <w:gridCol w:w="1446"/>
              <w:gridCol w:w="1329"/>
              <w:gridCol w:w="1331"/>
              <w:gridCol w:w="1399"/>
            </w:tblGrid>
            <w:tr w14:paraId="0D8B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60" w:type="dxa"/>
                  <w:vAlign w:val="center"/>
                </w:tcPr>
                <w:p w14:paraId="01D40826">
                  <w:pPr>
                    <w:widowControl/>
                    <w:jc w:val="center"/>
                    <w:rPr>
                      <w:color w:val="auto"/>
                      <w:kern w:val="0"/>
                      <w:szCs w:val="21"/>
                      <w:lang w:bidi="ar"/>
                    </w:rPr>
                  </w:pPr>
                  <w:r>
                    <w:rPr>
                      <w:color w:val="auto"/>
                      <w:kern w:val="0"/>
                      <w:szCs w:val="21"/>
                      <w:lang w:bidi="ar"/>
                    </w:rPr>
                    <w:t>名称</w:t>
                  </w:r>
                </w:p>
              </w:tc>
              <w:tc>
                <w:tcPr>
                  <w:tcW w:w="1080" w:type="dxa"/>
                  <w:vAlign w:val="center"/>
                </w:tcPr>
                <w:p w14:paraId="560D28DF">
                  <w:pPr>
                    <w:widowControl/>
                    <w:jc w:val="center"/>
                    <w:rPr>
                      <w:color w:val="auto"/>
                      <w:kern w:val="0"/>
                      <w:szCs w:val="21"/>
                      <w:lang w:bidi="ar"/>
                    </w:rPr>
                  </w:pPr>
                  <w:r>
                    <w:rPr>
                      <w:rFonts w:hint="eastAsia"/>
                      <w:color w:val="auto"/>
                      <w:kern w:val="0"/>
                      <w:szCs w:val="21"/>
                      <w:lang w:bidi="ar"/>
                    </w:rPr>
                    <w:t>灰分：</w:t>
                  </w:r>
                  <w:r>
                    <w:rPr>
                      <w:color w:val="auto"/>
                      <w:kern w:val="0"/>
                      <w:szCs w:val="21"/>
                      <w:lang w:bidi="ar"/>
                    </w:rPr>
                    <w:t>Ad</w:t>
                  </w:r>
                </w:p>
              </w:tc>
              <w:tc>
                <w:tcPr>
                  <w:tcW w:w="1446" w:type="dxa"/>
                  <w:vAlign w:val="center"/>
                </w:tcPr>
                <w:p w14:paraId="195CC896">
                  <w:pPr>
                    <w:widowControl/>
                    <w:jc w:val="center"/>
                    <w:rPr>
                      <w:color w:val="auto"/>
                      <w:kern w:val="0"/>
                      <w:szCs w:val="21"/>
                      <w:lang w:bidi="ar"/>
                    </w:rPr>
                  </w:pPr>
                  <w:r>
                    <w:rPr>
                      <w:color w:val="auto"/>
                      <w:kern w:val="0"/>
                      <w:szCs w:val="21"/>
                      <w:lang w:bidi="ar"/>
                    </w:rPr>
                    <w:t>挥发份</w:t>
                  </w:r>
                  <w:r>
                    <w:rPr>
                      <w:rFonts w:hint="eastAsia"/>
                      <w:color w:val="auto"/>
                      <w:kern w:val="0"/>
                      <w:szCs w:val="21"/>
                      <w:lang w:bidi="ar"/>
                    </w:rPr>
                    <w:t>：</w:t>
                  </w:r>
                  <w:r>
                    <w:rPr>
                      <w:color w:val="auto"/>
                      <w:kern w:val="0"/>
                      <w:szCs w:val="21"/>
                      <w:lang w:bidi="ar"/>
                    </w:rPr>
                    <w:t>Vdaf</w:t>
                  </w:r>
                </w:p>
              </w:tc>
              <w:tc>
                <w:tcPr>
                  <w:tcW w:w="1329" w:type="dxa"/>
                  <w:vAlign w:val="center"/>
                </w:tcPr>
                <w:p w14:paraId="21521FDB">
                  <w:pPr>
                    <w:widowControl/>
                    <w:jc w:val="center"/>
                    <w:rPr>
                      <w:color w:val="auto"/>
                      <w:kern w:val="0"/>
                      <w:szCs w:val="21"/>
                      <w:lang w:bidi="ar"/>
                    </w:rPr>
                  </w:pPr>
                  <w:r>
                    <w:rPr>
                      <w:color w:val="auto"/>
                      <w:kern w:val="0"/>
                      <w:szCs w:val="21"/>
                      <w:lang w:bidi="ar"/>
                    </w:rPr>
                    <w:t>硫份</w:t>
                  </w:r>
                  <w:r>
                    <w:rPr>
                      <w:rFonts w:hint="eastAsia"/>
                      <w:color w:val="auto"/>
                      <w:kern w:val="0"/>
                      <w:szCs w:val="21"/>
                      <w:lang w:bidi="ar"/>
                    </w:rPr>
                    <w:t>：</w:t>
                  </w:r>
                  <w:r>
                    <w:rPr>
                      <w:color w:val="auto"/>
                      <w:kern w:val="0"/>
                      <w:szCs w:val="21"/>
                      <w:lang w:bidi="ar"/>
                    </w:rPr>
                    <w:t>St.d</w:t>
                  </w:r>
                </w:p>
              </w:tc>
              <w:tc>
                <w:tcPr>
                  <w:tcW w:w="1331" w:type="dxa"/>
                  <w:vAlign w:val="center"/>
                </w:tcPr>
                <w:p w14:paraId="30E6826C">
                  <w:pPr>
                    <w:widowControl/>
                    <w:jc w:val="center"/>
                    <w:rPr>
                      <w:color w:val="auto"/>
                      <w:kern w:val="0"/>
                      <w:szCs w:val="21"/>
                      <w:lang w:bidi="ar"/>
                    </w:rPr>
                  </w:pPr>
                  <w:r>
                    <w:rPr>
                      <w:color w:val="auto"/>
                      <w:kern w:val="0"/>
                      <w:szCs w:val="21"/>
                      <w:lang w:bidi="ar"/>
                    </w:rPr>
                    <w:t>全水</w:t>
                  </w:r>
                  <w:r>
                    <w:rPr>
                      <w:rFonts w:hint="eastAsia"/>
                      <w:color w:val="auto"/>
                      <w:kern w:val="0"/>
                      <w:szCs w:val="21"/>
                      <w:lang w:bidi="ar"/>
                    </w:rPr>
                    <w:t>：</w:t>
                  </w:r>
                  <w:r>
                    <w:rPr>
                      <w:color w:val="auto"/>
                      <w:kern w:val="0"/>
                      <w:szCs w:val="21"/>
                      <w:lang w:bidi="ar"/>
                    </w:rPr>
                    <w:t>Mt</w:t>
                  </w:r>
                </w:p>
              </w:tc>
              <w:tc>
                <w:tcPr>
                  <w:tcW w:w="1399" w:type="dxa"/>
                  <w:vAlign w:val="center"/>
                </w:tcPr>
                <w:p w14:paraId="154AC480">
                  <w:pPr>
                    <w:widowControl/>
                    <w:jc w:val="center"/>
                    <w:rPr>
                      <w:color w:val="auto"/>
                      <w:kern w:val="0"/>
                      <w:szCs w:val="21"/>
                      <w:lang w:bidi="ar"/>
                    </w:rPr>
                  </w:pPr>
                  <w:r>
                    <w:rPr>
                      <w:rFonts w:hint="eastAsia"/>
                      <w:color w:val="auto"/>
                      <w:kern w:val="0"/>
                      <w:szCs w:val="21"/>
                      <w:lang w:bidi="ar"/>
                    </w:rPr>
                    <w:t>固定炭：Fcad</w:t>
                  </w:r>
                </w:p>
              </w:tc>
            </w:tr>
            <w:tr w14:paraId="41FD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460" w:type="dxa"/>
                  <w:vAlign w:val="center"/>
                </w:tcPr>
                <w:p w14:paraId="37642FF6">
                  <w:pPr>
                    <w:widowControl/>
                    <w:jc w:val="center"/>
                    <w:rPr>
                      <w:b/>
                      <w:bCs/>
                      <w:color w:val="auto"/>
                      <w:kern w:val="0"/>
                      <w:szCs w:val="21"/>
                    </w:rPr>
                  </w:pPr>
                  <w:r>
                    <w:rPr>
                      <w:rFonts w:hint="eastAsia" w:ascii="宋体" w:hAnsi="宋体" w:cs="宋体"/>
                      <w:color w:val="auto"/>
                      <w:kern w:val="0"/>
                      <w:szCs w:val="21"/>
                      <w:lang w:bidi="ar"/>
                    </w:rPr>
                    <w:t>焦粉</w:t>
                  </w:r>
                </w:p>
              </w:tc>
              <w:tc>
                <w:tcPr>
                  <w:tcW w:w="1080" w:type="dxa"/>
                  <w:vAlign w:val="center"/>
                </w:tcPr>
                <w:p w14:paraId="16C9322D">
                  <w:pPr>
                    <w:widowControl/>
                    <w:jc w:val="center"/>
                    <w:rPr>
                      <w:color w:val="auto"/>
                      <w:kern w:val="0"/>
                      <w:szCs w:val="21"/>
                      <w:lang w:bidi="ar"/>
                    </w:rPr>
                  </w:pPr>
                  <w:r>
                    <w:rPr>
                      <w:rFonts w:hint="eastAsia"/>
                      <w:color w:val="auto"/>
                      <w:kern w:val="0"/>
                      <w:szCs w:val="21"/>
                      <w:lang w:bidi="ar"/>
                    </w:rPr>
                    <w:t>13.88</w:t>
                  </w:r>
                </w:p>
              </w:tc>
              <w:tc>
                <w:tcPr>
                  <w:tcW w:w="1446" w:type="dxa"/>
                  <w:vAlign w:val="center"/>
                </w:tcPr>
                <w:p w14:paraId="0296DAC7">
                  <w:pPr>
                    <w:widowControl/>
                    <w:jc w:val="center"/>
                    <w:rPr>
                      <w:color w:val="auto"/>
                      <w:kern w:val="0"/>
                      <w:szCs w:val="21"/>
                      <w:lang w:bidi="ar"/>
                    </w:rPr>
                  </w:pPr>
                  <w:r>
                    <w:rPr>
                      <w:rFonts w:hint="eastAsia"/>
                      <w:color w:val="auto"/>
                      <w:kern w:val="0"/>
                      <w:szCs w:val="21"/>
                      <w:lang w:bidi="ar"/>
                    </w:rPr>
                    <w:t>1.99</w:t>
                  </w:r>
                </w:p>
              </w:tc>
              <w:tc>
                <w:tcPr>
                  <w:tcW w:w="1329" w:type="dxa"/>
                  <w:vAlign w:val="center"/>
                </w:tcPr>
                <w:p w14:paraId="27EB7189">
                  <w:pPr>
                    <w:widowControl/>
                    <w:jc w:val="center"/>
                    <w:rPr>
                      <w:color w:val="auto"/>
                      <w:kern w:val="0"/>
                      <w:szCs w:val="21"/>
                      <w:lang w:bidi="ar"/>
                    </w:rPr>
                  </w:pPr>
                  <w:r>
                    <w:rPr>
                      <w:rFonts w:hint="eastAsia"/>
                      <w:color w:val="auto"/>
                      <w:kern w:val="0"/>
                      <w:szCs w:val="21"/>
                      <w:lang w:bidi="ar"/>
                    </w:rPr>
                    <w:t>0.88</w:t>
                  </w:r>
                </w:p>
              </w:tc>
              <w:tc>
                <w:tcPr>
                  <w:tcW w:w="1331" w:type="dxa"/>
                  <w:vAlign w:val="center"/>
                </w:tcPr>
                <w:p w14:paraId="1F631FA3">
                  <w:pPr>
                    <w:widowControl/>
                    <w:jc w:val="center"/>
                    <w:rPr>
                      <w:color w:val="auto"/>
                      <w:kern w:val="0"/>
                      <w:szCs w:val="21"/>
                      <w:lang w:bidi="ar"/>
                    </w:rPr>
                  </w:pPr>
                  <w:r>
                    <w:rPr>
                      <w:rFonts w:hint="eastAsia"/>
                      <w:color w:val="auto"/>
                      <w:kern w:val="0"/>
                      <w:szCs w:val="21"/>
                      <w:lang w:bidi="ar"/>
                    </w:rPr>
                    <w:t>0.50</w:t>
                  </w:r>
                </w:p>
              </w:tc>
              <w:tc>
                <w:tcPr>
                  <w:tcW w:w="1399" w:type="dxa"/>
                  <w:vAlign w:val="center"/>
                </w:tcPr>
                <w:p w14:paraId="19906490">
                  <w:pPr>
                    <w:widowControl/>
                    <w:jc w:val="center"/>
                    <w:rPr>
                      <w:color w:val="auto"/>
                      <w:kern w:val="0"/>
                      <w:szCs w:val="21"/>
                      <w:lang w:bidi="ar"/>
                    </w:rPr>
                  </w:pPr>
                  <w:r>
                    <w:rPr>
                      <w:rFonts w:hint="eastAsia"/>
                      <w:color w:val="auto"/>
                      <w:kern w:val="0"/>
                      <w:szCs w:val="21"/>
                      <w:lang w:bidi="ar"/>
                    </w:rPr>
                    <w:t>84.13</w:t>
                  </w:r>
                </w:p>
              </w:tc>
            </w:tr>
          </w:tbl>
          <w:p w14:paraId="6B0FF613">
            <w:pPr>
              <w:autoSpaceDE w:val="0"/>
              <w:autoSpaceDN w:val="0"/>
              <w:adjustRightInd w:val="0"/>
              <w:snapToGrid w:val="0"/>
              <w:ind w:firstLine="2168" w:firstLineChars="900"/>
              <w:rPr>
                <w:b/>
                <w:bCs/>
                <w:color w:val="auto"/>
                <w:kern w:val="0"/>
                <w:sz w:val="24"/>
              </w:rPr>
            </w:pPr>
            <w:r>
              <w:rPr>
                <w:rFonts w:hint="eastAsia"/>
                <w:b/>
                <w:bCs/>
                <w:color w:val="auto"/>
                <w:kern w:val="0"/>
                <w:sz w:val="24"/>
              </w:rPr>
              <w:t xml:space="preserve">表2-6    除尘灰分析指标（%）   </w:t>
            </w:r>
          </w:p>
          <w:tbl>
            <w:tblPr>
              <w:tblStyle w:val="23"/>
              <w:tblW w:w="80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1125"/>
              <w:gridCol w:w="1435"/>
              <w:gridCol w:w="1340"/>
              <w:gridCol w:w="1245"/>
              <w:gridCol w:w="1437"/>
            </w:tblGrid>
            <w:tr w14:paraId="338D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0" w:type="dxa"/>
                  <w:vAlign w:val="center"/>
                </w:tcPr>
                <w:p w14:paraId="6B530D4A">
                  <w:pPr>
                    <w:widowControl/>
                    <w:jc w:val="center"/>
                    <w:rPr>
                      <w:color w:val="auto"/>
                      <w:kern w:val="0"/>
                      <w:szCs w:val="21"/>
                      <w:lang w:bidi="ar"/>
                    </w:rPr>
                  </w:pPr>
                  <w:r>
                    <w:rPr>
                      <w:color w:val="auto"/>
                      <w:kern w:val="0"/>
                      <w:szCs w:val="21"/>
                      <w:lang w:bidi="ar"/>
                    </w:rPr>
                    <w:t>名称</w:t>
                  </w:r>
                </w:p>
              </w:tc>
              <w:tc>
                <w:tcPr>
                  <w:tcW w:w="1125" w:type="dxa"/>
                  <w:vAlign w:val="center"/>
                </w:tcPr>
                <w:p w14:paraId="5BD8FAC1">
                  <w:pPr>
                    <w:widowControl/>
                    <w:jc w:val="center"/>
                    <w:rPr>
                      <w:color w:val="auto"/>
                      <w:kern w:val="0"/>
                      <w:szCs w:val="21"/>
                      <w:lang w:bidi="ar"/>
                    </w:rPr>
                  </w:pPr>
                  <w:r>
                    <w:rPr>
                      <w:rFonts w:hint="eastAsia"/>
                      <w:color w:val="auto"/>
                      <w:kern w:val="0"/>
                      <w:szCs w:val="21"/>
                      <w:lang w:bidi="ar"/>
                    </w:rPr>
                    <w:t>灰分：</w:t>
                  </w:r>
                  <w:r>
                    <w:rPr>
                      <w:color w:val="auto"/>
                      <w:kern w:val="0"/>
                      <w:szCs w:val="21"/>
                      <w:lang w:bidi="ar"/>
                    </w:rPr>
                    <w:t>Ad</w:t>
                  </w:r>
                </w:p>
              </w:tc>
              <w:tc>
                <w:tcPr>
                  <w:tcW w:w="1435" w:type="dxa"/>
                  <w:vAlign w:val="center"/>
                </w:tcPr>
                <w:p w14:paraId="711D770D">
                  <w:pPr>
                    <w:widowControl/>
                    <w:jc w:val="center"/>
                    <w:rPr>
                      <w:color w:val="auto"/>
                      <w:kern w:val="0"/>
                      <w:szCs w:val="21"/>
                      <w:lang w:bidi="ar"/>
                    </w:rPr>
                  </w:pPr>
                  <w:r>
                    <w:rPr>
                      <w:color w:val="auto"/>
                      <w:kern w:val="0"/>
                      <w:szCs w:val="21"/>
                      <w:lang w:bidi="ar"/>
                    </w:rPr>
                    <w:t>挥发份</w:t>
                  </w:r>
                  <w:r>
                    <w:rPr>
                      <w:rFonts w:hint="eastAsia"/>
                      <w:color w:val="auto"/>
                      <w:kern w:val="0"/>
                      <w:szCs w:val="21"/>
                      <w:lang w:bidi="ar"/>
                    </w:rPr>
                    <w:t>：</w:t>
                  </w:r>
                  <w:r>
                    <w:rPr>
                      <w:color w:val="auto"/>
                      <w:kern w:val="0"/>
                      <w:szCs w:val="21"/>
                      <w:lang w:bidi="ar"/>
                    </w:rPr>
                    <w:t>Vdaf</w:t>
                  </w:r>
                </w:p>
              </w:tc>
              <w:tc>
                <w:tcPr>
                  <w:tcW w:w="1340" w:type="dxa"/>
                  <w:vAlign w:val="center"/>
                </w:tcPr>
                <w:p w14:paraId="73589185">
                  <w:pPr>
                    <w:widowControl/>
                    <w:jc w:val="center"/>
                    <w:rPr>
                      <w:color w:val="auto"/>
                      <w:kern w:val="0"/>
                      <w:szCs w:val="21"/>
                      <w:lang w:bidi="ar"/>
                    </w:rPr>
                  </w:pPr>
                  <w:r>
                    <w:rPr>
                      <w:color w:val="auto"/>
                      <w:kern w:val="0"/>
                      <w:szCs w:val="21"/>
                      <w:lang w:bidi="ar"/>
                    </w:rPr>
                    <w:t>硫份</w:t>
                  </w:r>
                  <w:r>
                    <w:rPr>
                      <w:rFonts w:hint="eastAsia"/>
                      <w:color w:val="auto"/>
                      <w:kern w:val="0"/>
                      <w:szCs w:val="21"/>
                      <w:lang w:bidi="ar"/>
                    </w:rPr>
                    <w:t>：</w:t>
                  </w:r>
                  <w:r>
                    <w:rPr>
                      <w:color w:val="auto"/>
                      <w:kern w:val="0"/>
                      <w:szCs w:val="21"/>
                      <w:lang w:bidi="ar"/>
                    </w:rPr>
                    <w:t>St.d</w:t>
                  </w:r>
                </w:p>
              </w:tc>
              <w:tc>
                <w:tcPr>
                  <w:tcW w:w="1245" w:type="dxa"/>
                  <w:vAlign w:val="center"/>
                </w:tcPr>
                <w:p w14:paraId="5B6C616A">
                  <w:pPr>
                    <w:widowControl/>
                    <w:jc w:val="center"/>
                    <w:rPr>
                      <w:color w:val="auto"/>
                      <w:kern w:val="0"/>
                      <w:szCs w:val="21"/>
                      <w:lang w:bidi="ar"/>
                    </w:rPr>
                  </w:pPr>
                  <w:r>
                    <w:rPr>
                      <w:color w:val="auto"/>
                      <w:kern w:val="0"/>
                      <w:szCs w:val="21"/>
                      <w:lang w:bidi="ar"/>
                    </w:rPr>
                    <w:t>全水</w:t>
                  </w:r>
                  <w:r>
                    <w:rPr>
                      <w:rFonts w:hint="eastAsia"/>
                      <w:color w:val="auto"/>
                      <w:kern w:val="0"/>
                      <w:szCs w:val="21"/>
                      <w:lang w:bidi="ar"/>
                    </w:rPr>
                    <w:t>：</w:t>
                  </w:r>
                  <w:r>
                    <w:rPr>
                      <w:color w:val="auto"/>
                      <w:kern w:val="0"/>
                      <w:szCs w:val="21"/>
                      <w:lang w:bidi="ar"/>
                    </w:rPr>
                    <w:t>Mt</w:t>
                  </w:r>
                </w:p>
              </w:tc>
              <w:tc>
                <w:tcPr>
                  <w:tcW w:w="1437" w:type="dxa"/>
                  <w:vAlign w:val="center"/>
                </w:tcPr>
                <w:p w14:paraId="68718E13">
                  <w:pPr>
                    <w:widowControl/>
                    <w:jc w:val="center"/>
                    <w:rPr>
                      <w:color w:val="auto"/>
                      <w:kern w:val="0"/>
                      <w:szCs w:val="21"/>
                      <w:lang w:bidi="ar"/>
                    </w:rPr>
                  </w:pPr>
                  <w:r>
                    <w:rPr>
                      <w:rFonts w:hint="eastAsia"/>
                      <w:color w:val="auto"/>
                      <w:kern w:val="0"/>
                      <w:szCs w:val="21"/>
                      <w:lang w:bidi="ar"/>
                    </w:rPr>
                    <w:t>固定炭：Fcad</w:t>
                  </w:r>
                </w:p>
              </w:tc>
            </w:tr>
            <w:tr w14:paraId="6D95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0" w:type="dxa"/>
                  <w:vAlign w:val="center"/>
                </w:tcPr>
                <w:p w14:paraId="13F171FC">
                  <w:pPr>
                    <w:autoSpaceDE w:val="0"/>
                    <w:autoSpaceDN w:val="0"/>
                    <w:adjustRightInd w:val="0"/>
                    <w:snapToGrid w:val="0"/>
                    <w:jc w:val="center"/>
                    <w:rPr>
                      <w:b/>
                      <w:bCs/>
                      <w:color w:val="auto"/>
                      <w:kern w:val="0"/>
                      <w:sz w:val="24"/>
                    </w:rPr>
                  </w:pPr>
                  <w:r>
                    <w:rPr>
                      <w:rFonts w:hint="eastAsia" w:ascii="宋体" w:hAnsi="宋体" w:cs="宋体"/>
                      <w:color w:val="auto"/>
                      <w:kern w:val="0"/>
                      <w:szCs w:val="21"/>
                      <w:lang w:bidi="ar"/>
                    </w:rPr>
                    <w:t>除尘灰</w:t>
                  </w:r>
                </w:p>
              </w:tc>
              <w:tc>
                <w:tcPr>
                  <w:tcW w:w="1125" w:type="dxa"/>
                  <w:vAlign w:val="center"/>
                </w:tcPr>
                <w:p w14:paraId="5DF3BBDF">
                  <w:pPr>
                    <w:widowControl/>
                    <w:jc w:val="center"/>
                    <w:rPr>
                      <w:color w:val="auto"/>
                      <w:kern w:val="0"/>
                      <w:szCs w:val="21"/>
                      <w:lang w:bidi="ar"/>
                    </w:rPr>
                  </w:pPr>
                  <w:r>
                    <w:rPr>
                      <w:rFonts w:hint="eastAsia"/>
                      <w:color w:val="auto"/>
                      <w:kern w:val="0"/>
                      <w:szCs w:val="21"/>
                      <w:lang w:bidi="ar"/>
                    </w:rPr>
                    <w:t>23.12</w:t>
                  </w:r>
                </w:p>
              </w:tc>
              <w:tc>
                <w:tcPr>
                  <w:tcW w:w="1435" w:type="dxa"/>
                  <w:vAlign w:val="center"/>
                </w:tcPr>
                <w:p w14:paraId="30E89CB8">
                  <w:pPr>
                    <w:widowControl/>
                    <w:jc w:val="center"/>
                    <w:rPr>
                      <w:color w:val="auto"/>
                      <w:kern w:val="0"/>
                      <w:szCs w:val="21"/>
                      <w:lang w:bidi="ar"/>
                    </w:rPr>
                  </w:pPr>
                  <w:r>
                    <w:rPr>
                      <w:rFonts w:hint="eastAsia"/>
                      <w:color w:val="auto"/>
                      <w:kern w:val="0"/>
                      <w:szCs w:val="21"/>
                      <w:lang w:bidi="ar"/>
                    </w:rPr>
                    <w:t>4.44</w:t>
                  </w:r>
                </w:p>
              </w:tc>
              <w:tc>
                <w:tcPr>
                  <w:tcW w:w="1340" w:type="dxa"/>
                  <w:vAlign w:val="center"/>
                </w:tcPr>
                <w:p w14:paraId="76F66FD2">
                  <w:pPr>
                    <w:widowControl/>
                    <w:jc w:val="center"/>
                    <w:rPr>
                      <w:color w:val="auto"/>
                      <w:kern w:val="0"/>
                      <w:szCs w:val="21"/>
                      <w:lang w:bidi="ar"/>
                    </w:rPr>
                  </w:pPr>
                  <w:r>
                    <w:rPr>
                      <w:rFonts w:hint="eastAsia"/>
                      <w:color w:val="auto"/>
                      <w:kern w:val="0"/>
                      <w:szCs w:val="21"/>
                      <w:lang w:bidi="ar"/>
                    </w:rPr>
                    <w:t>1.12</w:t>
                  </w:r>
                </w:p>
              </w:tc>
              <w:tc>
                <w:tcPr>
                  <w:tcW w:w="1245" w:type="dxa"/>
                  <w:vAlign w:val="center"/>
                </w:tcPr>
                <w:p w14:paraId="6ABD2F18">
                  <w:pPr>
                    <w:widowControl/>
                    <w:jc w:val="center"/>
                    <w:rPr>
                      <w:color w:val="auto"/>
                      <w:kern w:val="0"/>
                      <w:szCs w:val="21"/>
                      <w:lang w:bidi="ar"/>
                    </w:rPr>
                  </w:pPr>
                  <w:r>
                    <w:rPr>
                      <w:rFonts w:hint="eastAsia"/>
                      <w:color w:val="auto"/>
                      <w:kern w:val="0"/>
                      <w:szCs w:val="21"/>
                      <w:lang w:bidi="ar"/>
                    </w:rPr>
                    <w:t>0.50</w:t>
                  </w:r>
                </w:p>
              </w:tc>
              <w:tc>
                <w:tcPr>
                  <w:tcW w:w="1437" w:type="dxa"/>
                  <w:vAlign w:val="center"/>
                </w:tcPr>
                <w:p w14:paraId="207A4AFD">
                  <w:pPr>
                    <w:widowControl/>
                    <w:jc w:val="center"/>
                    <w:rPr>
                      <w:color w:val="auto"/>
                      <w:kern w:val="0"/>
                      <w:szCs w:val="21"/>
                      <w:lang w:bidi="ar"/>
                    </w:rPr>
                  </w:pPr>
                  <w:r>
                    <w:rPr>
                      <w:rFonts w:hint="eastAsia"/>
                      <w:color w:val="auto"/>
                      <w:kern w:val="0"/>
                      <w:szCs w:val="21"/>
                      <w:lang w:bidi="ar"/>
                    </w:rPr>
                    <w:t>72.44</w:t>
                  </w:r>
                </w:p>
              </w:tc>
            </w:tr>
          </w:tbl>
          <w:p w14:paraId="791EE485">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焦粉及除尘灰均为焦化项目生产的焦炭产品产生，其主要成分与焦炭相同，成分化</w:t>
            </w:r>
            <w:r>
              <w:rPr>
                <w:color w:val="auto"/>
                <w:kern w:val="0"/>
                <w:sz w:val="24"/>
                <w:lang w:bidi="ar"/>
              </w:rPr>
              <w:t>验单见附件</w:t>
            </w:r>
            <w:r>
              <w:rPr>
                <w:rFonts w:hint="eastAsia"/>
                <w:color w:val="auto"/>
                <w:kern w:val="0"/>
                <w:sz w:val="24"/>
                <w:lang w:val="en-US" w:eastAsia="zh-CN" w:bidi="ar"/>
              </w:rPr>
              <w:t>9</w:t>
            </w:r>
            <w:r>
              <w:rPr>
                <w:color w:val="auto"/>
                <w:kern w:val="0"/>
                <w:sz w:val="24"/>
                <w:lang w:bidi="ar"/>
              </w:rPr>
              <w:t>。</w:t>
            </w:r>
          </w:p>
          <w:p w14:paraId="35D14810">
            <w:pPr>
              <w:widowControl/>
              <w:spacing w:line="360" w:lineRule="auto"/>
              <w:ind w:firstLine="480" w:firstLineChars="200"/>
              <w:jc w:val="left"/>
              <w:rPr>
                <w:b/>
                <w:bCs/>
                <w:color w:val="auto"/>
                <w:kern w:val="0"/>
                <w:sz w:val="24"/>
              </w:rPr>
            </w:pPr>
            <w:r>
              <w:rPr>
                <w:rFonts w:hint="eastAsia" w:ascii="宋体" w:hAnsi="宋体" w:cs="宋体"/>
                <w:color w:val="auto"/>
                <w:kern w:val="0"/>
                <w:sz w:val="24"/>
                <w:lang w:bidi="ar"/>
              </w:rPr>
              <w:t>粘结剂主要成分见下表：</w:t>
            </w:r>
          </w:p>
          <w:p w14:paraId="699652FD">
            <w:pPr>
              <w:autoSpaceDE w:val="0"/>
              <w:autoSpaceDN w:val="0"/>
              <w:adjustRightInd w:val="0"/>
              <w:snapToGrid w:val="0"/>
              <w:ind w:firstLine="2168" w:firstLineChars="900"/>
              <w:rPr>
                <w:rFonts w:hint="eastAsia"/>
                <w:b/>
                <w:bCs/>
                <w:color w:val="auto"/>
                <w:kern w:val="0"/>
                <w:sz w:val="24"/>
              </w:rPr>
            </w:pPr>
            <w:r>
              <w:rPr>
                <w:rFonts w:hint="eastAsia"/>
                <w:b/>
                <w:bCs/>
                <w:color w:val="auto"/>
                <w:kern w:val="0"/>
                <w:sz w:val="24"/>
              </w:rPr>
              <w:t xml:space="preserve">表2-7    粘结剂指标表（%） </w:t>
            </w:r>
          </w:p>
          <w:tbl>
            <w:tblPr>
              <w:tblStyle w:val="23"/>
              <w:tblW w:w="8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1139"/>
              <w:gridCol w:w="984"/>
              <w:gridCol w:w="984"/>
              <w:gridCol w:w="984"/>
              <w:gridCol w:w="984"/>
              <w:gridCol w:w="986"/>
              <w:gridCol w:w="986"/>
            </w:tblGrid>
            <w:tr w14:paraId="4DAE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030" w:type="dxa"/>
                  <w:vMerge w:val="restart"/>
                  <w:vAlign w:val="center"/>
                </w:tcPr>
                <w:p w14:paraId="403E860B">
                  <w:pPr>
                    <w:pStyle w:val="58"/>
                    <w:ind w:left="0" w:leftChars="0" w:firstLine="0" w:firstLineChars="0"/>
                    <w:jc w:val="center"/>
                    <w:rPr>
                      <w:rFonts w:hint="eastAsia" w:eastAsia="宋体"/>
                      <w:color w:val="auto"/>
                      <w:vertAlign w:val="baseline"/>
                      <w:lang w:val="en-US" w:eastAsia="zh-CN"/>
                    </w:rPr>
                  </w:pPr>
                  <w:r>
                    <w:rPr>
                      <w:rFonts w:hint="eastAsia"/>
                      <w:color w:val="auto"/>
                      <w:vertAlign w:val="baseline"/>
                      <w:lang w:val="en-US" w:eastAsia="zh-CN"/>
                    </w:rPr>
                    <w:t>名称</w:t>
                  </w:r>
                </w:p>
              </w:tc>
              <w:tc>
                <w:tcPr>
                  <w:tcW w:w="1139" w:type="dxa"/>
                  <w:shd w:val="clear" w:color="auto" w:fill="auto"/>
                  <w:vAlign w:val="center"/>
                </w:tcPr>
                <w:p w14:paraId="3A7B63BE">
                  <w:pPr>
                    <w:widowControl/>
                    <w:jc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bidi="ar"/>
                    </w:rPr>
                    <w:t>灰分：</w:t>
                  </w:r>
                  <w:r>
                    <w:rPr>
                      <w:color w:val="auto"/>
                      <w:kern w:val="0"/>
                      <w:szCs w:val="21"/>
                      <w:lang w:bidi="ar"/>
                    </w:rPr>
                    <w:t>Ad</w:t>
                  </w:r>
                </w:p>
              </w:tc>
              <w:tc>
                <w:tcPr>
                  <w:tcW w:w="984" w:type="dxa"/>
                  <w:shd w:val="clear" w:color="auto" w:fill="auto"/>
                  <w:vAlign w:val="center"/>
                </w:tcPr>
                <w:p w14:paraId="49DACC5D">
                  <w:pPr>
                    <w:widowControl/>
                    <w:jc w:val="center"/>
                    <w:rPr>
                      <w:rFonts w:hint="eastAsia" w:ascii="Times New Roman" w:hAnsi="Times New Roman" w:eastAsia="宋体" w:cs="Times New Roman"/>
                      <w:color w:val="auto"/>
                      <w:kern w:val="0"/>
                      <w:sz w:val="21"/>
                      <w:szCs w:val="21"/>
                      <w:lang w:val="en-US" w:eastAsia="zh-CN" w:bidi="ar"/>
                    </w:rPr>
                  </w:pPr>
                  <w:r>
                    <w:rPr>
                      <w:color w:val="auto"/>
                      <w:kern w:val="0"/>
                      <w:szCs w:val="21"/>
                      <w:lang w:bidi="ar"/>
                    </w:rPr>
                    <w:t>挥发份</w:t>
                  </w:r>
                  <w:r>
                    <w:rPr>
                      <w:rFonts w:hint="eastAsia"/>
                      <w:color w:val="auto"/>
                      <w:kern w:val="0"/>
                      <w:szCs w:val="21"/>
                      <w:lang w:bidi="ar"/>
                    </w:rPr>
                    <w:t>：</w:t>
                  </w:r>
                  <w:r>
                    <w:rPr>
                      <w:color w:val="auto"/>
                      <w:kern w:val="0"/>
                      <w:szCs w:val="21"/>
                      <w:lang w:bidi="ar"/>
                    </w:rPr>
                    <w:t>Vdaf</w:t>
                  </w:r>
                </w:p>
              </w:tc>
              <w:tc>
                <w:tcPr>
                  <w:tcW w:w="984" w:type="dxa"/>
                  <w:shd w:val="clear" w:color="auto" w:fill="auto"/>
                  <w:vAlign w:val="center"/>
                </w:tcPr>
                <w:p w14:paraId="1B8C8A27">
                  <w:pPr>
                    <w:widowControl/>
                    <w:jc w:val="center"/>
                    <w:rPr>
                      <w:rFonts w:hint="eastAsia" w:ascii="Times New Roman" w:hAnsi="Times New Roman" w:eastAsia="宋体" w:cs="Times New Roman"/>
                      <w:color w:val="auto"/>
                      <w:kern w:val="0"/>
                      <w:sz w:val="21"/>
                      <w:szCs w:val="21"/>
                      <w:lang w:val="en-US" w:eastAsia="zh-CN" w:bidi="ar"/>
                    </w:rPr>
                  </w:pPr>
                  <w:r>
                    <w:rPr>
                      <w:color w:val="auto"/>
                      <w:kern w:val="0"/>
                      <w:szCs w:val="21"/>
                      <w:lang w:bidi="ar"/>
                    </w:rPr>
                    <w:t>硫份</w:t>
                  </w:r>
                  <w:r>
                    <w:rPr>
                      <w:rFonts w:hint="eastAsia"/>
                      <w:color w:val="auto"/>
                      <w:kern w:val="0"/>
                      <w:szCs w:val="21"/>
                      <w:lang w:bidi="ar"/>
                    </w:rPr>
                    <w:t>：</w:t>
                  </w:r>
                  <w:r>
                    <w:rPr>
                      <w:color w:val="auto"/>
                      <w:kern w:val="0"/>
                      <w:szCs w:val="21"/>
                      <w:lang w:bidi="ar"/>
                    </w:rPr>
                    <w:t>St.d</w:t>
                  </w:r>
                </w:p>
              </w:tc>
              <w:tc>
                <w:tcPr>
                  <w:tcW w:w="984" w:type="dxa"/>
                  <w:shd w:val="clear" w:color="auto" w:fill="auto"/>
                  <w:vAlign w:val="center"/>
                </w:tcPr>
                <w:p w14:paraId="08E89166">
                  <w:pPr>
                    <w:widowControl/>
                    <w:jc w:val="center"/>
                    <w:rPr>
                      <w:rFonts w:hint="eastAsia" w:ascii="Times New Roman" w:hAnsi="Times New Roman" w:eastAsia="宋体" w:cs="Times New Roman"/>
                      <w:color w:val="auto"/>
                      <w:kern w:val="0"/>
                      <w:sz w:val="21"/>
                      <w:szCs w:val="21"/>
                      <w:lang w:val="en-US" w:eastAsia="zh-CN" w:bidi="ar"/>
                    </w:rPr>
                  </w:pPr>
                  <w:r>
                    <w:rPr>
                      <w:color w:val="auto"/>
                      <w:kern w:val="0"/>
                      <w:szCs w:val="21"/>
                      <w:lang w:bidi="ar"/>
                    </w:rPr>
                    <w:t>全水</w:t>
                  </w:r>
                  <w:r>
                    <w:rPr>
                      <w:rFonts w:hint="eastAsia"/>
                      <w:color w:val="auto"/>
                      <w:kern w:val="0"/>
                      <w:szCs w:val="21"/>
                      <w:lang w:bidi="ar"/>
                    </w:rPr>
                    <w:t>：</w:t>
                  </w:r>
                  <w:r>
                    <w:rPr>
                      <w:color w:val="auto"/>
                      <w:kern w:val="0"/>
                      <w:szCs w:val="21"/>
                      <w:lang w:bidi="ar"/>
                    </w:rPr>
                    <w:t>Mt</w:t>
                  </w:r>
                </w:p>
              </w:tc>
              <w:tc>
                <w:tcPr>
                  <w:tcW w:w="984" w:type="dxa"/>
                  <w:shd w:val="clear" w:color="auto" w:fill="auto"/>
                  <w:vAlign w:val="center"/>
                </w:tcPr>
                <w:p w14:paraId="45CB698B">
                  <w:pPr>
                    <w:widowControl/>
                    <w:jc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bidi="ar"/>
                    </w:rPr>
                    <w:t>固定炭：Fcad</w:t>
                  </w:r>
                </w:p>
              </w:tc>
              <w:tc>
                <w:tcPr>
                  <w:tcW w:w="986" w:type="dxa"/>
                  <w:vAlign w:val="center"/>
                </w:tcPr>
                <w:p w14:paraId="3EC9EB85">
                  <w:pPr>
                    <w:pStyle w:val="58"/>
                    <w:ind w:left="0" w:leftChars="0" w:firstLine="0" w:firstLineChars="0"/>
                    <w:jc w:val="center"/>
                    <w:rPr>
                      <w:rFonts w:hint="default"/>
                      <w:color w:val="auto"/>
                      <w:vertAlign w:val="baseline"/>
                      <w:lang w:val="en-US" w:eastAsia="zh-CN"/>
                    </w:rPr>
                  </w:pPr>
                  <w:r>
                    <w:rPr>
                      <w:rFonts w:hint="eastAsia"/>
                      <w:color w:val="auto"/>
                      <w:vertAlign w:val="baseline"/>
                      <w:lang w:val="en-US" w:eastAsia="zh-CN"/>
                    </w:rPr>
                    <w:t>粘度mPas</w:t>
                  </w:r>
                </w:p>
              </w:tc>
              <w:tc>
                <w:tcPr>
                  <w:tcW w:w="986" w:type="dxa"/>
                  <w:vAlign w:val="center"/>
                </w:tcPr>
                <w:p w14:paraId="47E17A12">
                  <w:pPr>
                    <w:pStyle w:val="58"/>
                    <w:ind w:left="0" w:leftChars="0" w:firstLine="0" w:firstLineChars="0"/>
                    <w:jc w:val="center"/>
                    <w:rPr>
                      <w:rFonts w:hint="default" w:eastAsia="宋体"/>
                      <w:color w:val="auto"/>
                      <w:vertAlign w:val="baseline"/>
                      <w:lang w:val="en-US" w:eastAsia="zh-CN"/>
                    </w:rPr>
                  </w:pPr>
                  <w:r>
                    <w:rPr>
                      <w:rFonts w:hint="eastAsia"/>
                      <w:color w:val="auto"/>
                      <w:vertAlign w:val="baseline"/>
                      <w:lang w:val="en-US" w:eastAsia="zh-CN"/>
                    </w:rPr>
                    <w:t>PH</w:t>
                  </w:r>
                </w:p>
              </w:tc>
            </w:tr>
            <w:tr w14:paraId="4384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030" w:type="dxa"/>
                  <w:vMerge w:val="continue"/>
                  <w:vAlign w:val="center"/>
                </w:tcPr>
                <w:p w14:paraId="1D57F450">
                  <w:pPr>
                    <w:pStyle w:val="58"/>
                    <w:ind w:left="0" w:leftChars="0" w:firstLine="0" w:firstLineChars="0"/>
                    <w:jc w:val="center"/>
                    <w:rPr>
                      <w:rFonts w:hint="eastAsia"/>
                      <w:color w:val="auto"/>
                      <w:vertAlign w:val="baseline"/>
                      <w:lang w:val="en-US" w:eastAsia="zh-CN"/>
                    </w:rPr>
                  </w:pPr>
                </w:p>
              </w:tc>
              <w:tc>
                <w:tcPr>
                  <w:tcW w:w="4091" w:type="dxa"/>
                  <w:gridSpan w:val="4"/>
                  <w:shd w:val="clear" w:color="auto" w:fill="auto"/>
                  <w:vAlign w:val="center"/>
                </w:tcPr>
                <w:p w14:paraId="01AFE6AC">
                  <w:pPr>
                    <w:widowControl/>
                    <w:jc w:val="center"/>
                    <w:rPr>
                      <w:rFonts w:hint="default" w:eastAsia="宋体"/>
                      <w:color w:val="auto"/>
                      <w:kern w:val="0"/>
                      <w:szCs w:val="21"/>
                      <w:lang w:val="en-US" w:eastAsia="zh-CN" w:bidi="ar"/>
                    </w:rPr>
                  </w:pPr>
                  <w:r>
                    <w:rPr>
                      <w:rFonts w:hint="eastAsia"/>
                      <w:color w:val="auto"/>
                      <w:kern w:val="0"/>
                      <w:szCs w:val="21"/>
                      <w:lang w:val="en-US" w:eastAsia="zh-CN" w:bidi="ar"/>
                    </w:rPr>
                    <w:t>≤</w:t>
                  </w:r>
                </w:p>
              </w:tc>
              <w:tc>
                <w:tcPr>
                  <w:tcW w:w="1970" w:type="dxa"/>
                  <w:gridSpan w:val="2"/>
                  <w:shd w:val="clear" w:color="auto" w:fill="auto"/>
                  <w:vAlign w:val="center"/>
                </w:tcPr>
                <w:p w14:paraId="60AAD19A">
                  <w:pPr>
                    <w:pStyle w:val="58"/>
                    <w:ind w:left="0" w:leftChars="0" w:firstLine="0" w:firstLineChars="0"/>
                    <w:jc w:val="center"/>
                    <w:rPr>
                      <w:rFonts w:hint="eastAsia"/>
                      <w:color w:val="auto"/>
                      <w:vertAlign w:val="baseline"/>
                      <w:lang w:val="en-US" w:eastAsia="zh-CN"/>
                    </w:rPr>
                  </w:pPr>
                  <w:r>
                    <w:rPr>
                      <w:rFonts w:hint="eastAsia"/>
                      <w:color w:val="auto"/>
                      <w:vertAlign w:val="baseline"/>
                      <w:lang w:val="en-US" w:eastAsia="zh-CN"/>
                    </w:rPr>
                    <w:t>≥</w:t>
                  </w:r>
                </w:p>
              </w:tc>
              <w:tc>
                <w:tcPr>
                  <w:tcW w:w="986" w:type="dxa"/>
                  <w:vAlign w:val="center"/>
                </w:tcPr>
                <w:p w14:paraId="7F005842">
                  <w:pPr>
                    <w:pStyle w:val="58"/>
                    <w:ind w:left="0" w:leftChars="0" w:firstLine="0" w:firstLineChars="0"/>
                    <w:jc w:val="center"/>
                    <w:rPr>
                      <w:rFonts w:hint="default"/>
                      <w:color w:val="auto"/>
                      <w:vertAlign w:val="baseline"/>
                      <w:lang w:val="en-US" w:eastAsia="zh-CN"/>
                    </w:rPr>
                  </w:pPr>
                  <w:r>
                    <w:rPr>
                      <w:rFonts w:hint="eastAsia"/>
                      <w:color w:val="auto"/>
                      <w:vertAlign w:val="baseline"/>
                      <w:lang w:val="en-US" w:eastAsia="zh-CN"/>
                    </w:rPr>
                    <w:t>/</w:t>
                  </w:r>
                </w:p>
              </w:tc>
            </w:tr>
            <w:tr w14:paraId="0C6C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030" w:type="dxa"/>
                  <w:vAlign w:val="center"/>
                </w:tcPr>
                <w:p w14:paraId="15D734D4">
                  <w:pPr>
                    <w:pStyle w:val="58"/>
                    <w:ind w:left="0" w:leftChars="0" w:firstLine="0" w:firstLineChars="0"/>
                    <w:jc w:val="center"/>
                    <w:rPr>
                      <w:rFonts w:hint="eastAsia" w:eastAsia="宋体"/>
                      <w:color w:val="auto"/>
                      <w:vertAlign w:val="baseline"/>
                      <w:lang w:val="en-US" w:eastAsia="zh-CN"/>
                    </w:rPr>
                  </w:pPr>
                  <w:r>
                    <w:rPr>
                      <w:rFonts w:hint="eastAsia"/>
                      <w:color w:val="auto"/>
                      <w:vertAlign w:val="baseline"/>
                      <w:lang w:val="en-US" w:eastAsia="zh-CN"/>
                    </w:rPr>
                    <w:t>粘结剂</w:t>
                  </w:r>
                </w:p>
              </w:tc>
              <w:tc>
                <w:tcPr>
                  <w:tcW w:w="1139" w:type="dxa"/>
                  <w:vAlign w:val="center"/>
                </w:tcPr>
                <w:p w14:paraId="1A9B480A">
                  <w:pPr>
                    <w:pStyle w:val="58"/>
                    <w:ind w:left="0" w:leftChars="0" w:firstLine="0" w:firstLineChars="0"/>
                    <w:jc w:val="center"/>
                    <w:rPr>
                      <w:rFonts w:hint="default" w:eastAsia="宋体"/>
                      <w:color w:val="auto"/>
                      <w:vertAlign w:val="baseline"/>
                      <w:lang w:val="en-US" w:eastAsia="zh-CN"/>
                    </w:rPr>
                  </w:pPr>
                  <w:r>
                    <w:rPr>
                      <w:rFonts w:hint="eastAsia"/>
                      <w:color w:val="auto"/>
                      <w:vertAlign w:val="baseline"/>
                      <w:lang w:val="en-US" w:eastAsia="zh-CN"/>
                    </w:rPr>
                    <w:t>5</w:t>
                  </w:r>
                </w:p>
              </w:tc>
              <w:tc>
                <w:tcPr>
                  <w:tcW w:w="984" w:type="dxa"/>
                  <w:shd w:val="clear" w:color="auto" w:fill="auto"/>
                  <w:vAlign w:val="center"/>
                </w:tcPr>
                <w:p w14:paraId="6C965ACE">
                  <w:pPr>
                    <w:pStyle w:val="58"/>
                    <w:ind w:left="0" w:leftChars="0" w:firstLine="0" w:firstLineChars="0"/>
                    <w:jc w:val="center"/>
                    <w:rPr>
                      <w:rFonts w:hint="default" w:ascii="Times New Roman" w:hAnsi="Times New Roman" w:eastAsia="宋体" w:cs="Times New Roman"/>
                      <w:color w:val="auto"/>
                      <w:kern w:val="0"/>
                      <w:sz w:val="21"/>
                      <w:szCs w:val="24"/>
                      <w:vertAlign w:val="baseline"/>
                      <w:lang w:val="en-US" w:eastAsia="zh-CN" w:bidi="ar-SA"/>
                    </w:rPr>
                  </w:pPr>
                  <w:r>
                    <w:rPr>
                      <w:rFonts w:hint="eastAsia"/>
                      <w:color w:val="auto"/>
                      <w:vertAlign w:val="baseline"/>
                      <w:lang w:val="en-US" w:eastAsia="zh-CN"/>
                    </w:rPr>
                    <w:t>43</w:t>
                  </w:r>
                </w:p>
              </w:tc>
              <w:tc>
                <w:tcPr>
                  <w:tcW w:w="984" w:type="dxa"/>
                  <w:shd w:val="clear" w:color="auto" w:fill="auto"/>
                  <w:vAlign w:val="center"/>
                </w:tcPr>
                <w:p w14:paraId="2E50B45A">
                  <w:pPr>
                    <w:pStyle w:val="58"/>
                    <w:ind w:left="0" w:leftChars="0" w:firstLine="0" w:firstLineChars="0"/>
                    <w:jc w:val="center"/>
                    <w:rPr>
                      <w:rFonts w:hint="default" w:ascii="Times New Roman" w:hAnsi="Times New Roman" w:eastAsia="宋体" w:cs="Times New Roman"/>
                      <w:color w:val="auto"/>
                      <w:kern w:val="0"/>
                      <w:sz w:val="21"/>
                      <w:szCs w:val="24"/>
                      <w:vertAlign w:val="baseline"/>
                      <w:lang w:val="en-US" w:eastAsia="zh-CN" w:bidi="ar-SA"/>
                    </w:rPr>
                  </w:pPr>
                  <w:r>
                    <w:rPr>
                      <w:rFonts w:hint="eastAsia"/>
                      <w:color w:val="auto"/>
                      <w:vertAlign w:val="baseline"/>
                      <w:lang w:val="en-US" w:eastAsia="zh-CN"/>
                    </w:rPr>
                    <w:t>0.8</w:t>
                  </w:r>
                </w:p>
              </w:tc>
              <w:tc>
                <w:tcPr>
                  <w:tcW w:w="984" w:type="dxa"/>
                  <w:shd w:val="clear" w:color="auto" w:fill="auto"/>
                  <w:vAlign w:val="center"/>
                </w:tcPr>
                <w:p w14:paraId="050BA9F4">
                  <w:pPr>
                    <w:pStyle w:val="58"/>
                    <w:ind w:left="0" w:leftChars="0" w:firstLine="0" w:firstLineChars="0"/>
                    <w:jc w:val="center"/>
                    <w:rPr>
                      <w:rFonts w:hint="default" w:ascii="Times New Roman" w:hAnsi="Times New Roman" w:eastAsia="宋体" w:cs="Times New Roman"/>
                      <w:color w:val="auto"/>
                      <w:kern w:val="0"/>
                      <w:sz w:val="21"/>
                      <w:szCs w:val="24"/>
                      <w:vertAlign w:val="baseline"/>
                      <w:lang w:val="en-US" w:eastAsia="zh-CN" w:bidi="ar-SA"/>
                    </w:rPr>
                  </w:pPr>
                  <w:r>
                    <w:rPr>
                      <w:rFonts w:hint="eastAsia" w:cs="Times New Roman"/>
                      <w:color w:val="auto"/>
                      <w:kern w:val="0"/>
                      <w:sz w:val="21"/>
                      <w:szCs w:val="24"/>
                      <w:vertAlign w:val="baseline"/>
                      <w:lang w:val="en-US" w:eastAsia="zh-CN" w:bidi="ar-SA"/>
                    </w:rPr>
                    <w:t>2</w:t>
                  </w:r>
                </w:p>
              </w:tc>
              <w:tc>
                <w:tcPr>
                  <w:tcW w:w="984" w:type="dxa"/>
                  <w:shd w:val="clear" w:color="auto" w:fill="auto"/>
                  <w:vAlign w:val="center"/>
                </w:tcPr>
                <w:p w14:paraId="1277D9A2">
                  <w:pPr>
                    <w:pStyle w:val="58"/>
                    <w:ind w:left="0" w:leftChars="0" w:firstLine="0" w:firstLineChars="0"/>
                    <w:jc w:val="center"/>
                    <w:rPr>
                      <w:rFonts w:hint="default" w:ascii="Times New Roman" w:hAnsi="Times New Roman" w:eastAsia="宋体" w:cs="Times New Roman"/>
                      <w:color w:val="auto"/>
                      <w:kern w:val="0"/>
                      <w:sz w:val="21"/>
                      <w:szCs w:val="24"/>
                      <w:vertAlign w:val="baseline"/>
                      <w:lang w:val="en-US" w:eastAsia="zh-CN" w:bidi="ar-SA"/>
                    </w:rPr>
                  </w:pPr>
                  <w:r>
                    <w:rPr>
                      <w:rFonts w:hint="eastAsia"/>
                      <w:color w:val="auto"/>
                      <w:vertAlign w:val="baseline"/>
                      <w:lang w:val="en-US" w:eastAsia="zh-CN"/>
                    </w:rPr>
                    <w:t>50</w:t>
                  </w:r>
                </w:p>
              </w:tc>
              <w:tc>
                <w:tcPr>
                  <w:tcW w:w="986" w:type="dxa"/>
                  <w:vAlign w:val="center"/>
                </w:tcPr>
                <w:p w14:paraId="45A24AC2">
                  <w:pPr>
                    <w:pStyle w:val="58"/>
                    <w:ind w:left="0" w:leftChars="0" w:firstLine="0" w:firstLineChars="0"/>
                    <w:jc w:val="center"/>
                    <w:rPr>
                      <w:rFonts w:hint="default" w:eastAsia="宋体"/>
                      <w:color w:val="auto"/>
                      <w:vertAlign w:val="baseline"/>
                      <w:lang w:val="en-US" w:eastAsia="zh-CN"/>
                    </w:rPr>
                  </w:pPr>
                  <w:r>
                    <w:rPr>
                      <w:rFonts w:hint="eastAsia"/>
                      <w:color w:val="auto"/>
                      <w:vertAlign w:val="baseline"/>
                      <w:lang w:val="en-US" w:eastAsia="zh-CN"/>
                    </w:rPr>
                    <w:t>1000</w:t>
                  </w:r>
                </w:p>
              </w:tc>
              <w:tc>
                <w:tcPr>
                  <w:tcW w:w="986" w:type="dxa"/>
                  <w:vAlign w:val="center"/>
                </w:tcPr>
                <w:p w14:paraId="03834285">
                  <w:pPr>
                    <w:pStyle w:val="58"/>
                    <w:ind w:left="0" w:leftChars="0" w:firstLine="0" w:firstLineChars="0"/>
                    <w:jc w:val="center"/>
                    <w:rPr>
                      <w:rFonts w:hint="eastAsia" w:eastAsia="宋体"/>
                      <w:color w:val="auto"/>
                      <w:vertAlign w:val="baseline"/>
                      <w:lang w:val="en-US" w:eastAsia="zh-CN"/>
                    </w:rPr>
                  </w:pPr>
                  <w:r>
                    <w:rPr>
                      <w:rFonts w:hint="eastAsia"/>
                      <w:color w:val="auto"/>
                      <w:vertAlign w:val="baseline"/>
                      <w:lang w:val="en-US" w:eastAsia="zh-CN"/>
                    </w:rPr>
                    <w:t>8</w:t>
                  </w:r>
                </w:p>
              </w:tc>
            </w:tr>
          </w:tbl>
          <w:p w14:paraId="219CAE5F">
            <w:pPr>
              <w:pStyle w:val="58"/>
              <w:ind w:left="0" w:leftChars="0" w:firstLine="0" w:firstLineChars="0"/>
              <w:rPr>
                <w:rFonts w:hint="eastAsia"/>
                <w:color w:val="auto"/>
              </w:rPr>
            </w:pPr>
          </w:p>
          <w:p w14:paraId="3F99823E">
            <w:pPr>
              <w:widowControl/>
              <w:numPr>
                <w:ilvl w:val="0"/>
                <w:numId w:val="7"/>
              </w:numPr>
              <w:spacing w:line="360" w:lineRule="auto"/>
              <w:ind w:left="840" w:leftChars="0" w:firstLineChars="0"/>
              <w:rPr>
                <w:b/>
                <w:bCs/>
                <w:color w:val="auto"/>
                <w:sz w:val="24"/>
              </w:rPr>
            </w:pPr>
            <w:r>
              <w:rPr>
                <w:rFonts w:hint="eastAsia"/>
                <w:b/>
                <w:bCs/>
                <w:color w:val="auto"/>
                <w:sz w:val="24"/>
              </w:rPr>
              <w:t>主要生产设备</w:t>
            </w:r>
          </w:p>
          <w:p w14:paraId="22CF7AE9">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本项目设备清单详见下表：</w:t>
            </w:r>
          </w:p>
          <w:p w14:paraId="4AF92061">
            <w:pPr>
              <w:autoSpaceDE w:val="0"/>
              <w:autoSpaceDN w:val="0"/>
              <w:adjustRightInd w:val="0"/>
              <w:snapToGrid w:val="0"/>
              <w:ind w:firstLine="2168" w:firstLineChars="900"/>
              <w:rPr>
                <w:b/>
                <w:bCs/>
                <w:color w:val="auto"/>
                <w:kern w:val="0"/>
                <w:sz w:val="24"/>
              </w:rPr>
            </w:pPr>
            <w:r>
              <w:rPr>
                <w:rFonts w:hint="eastAsia"/>
                <w:b/>
                <w:bCs/>
                <w:color w:val="auto"/>
                <w:kern w:val="0"/>
                <w:sz w:val="24"/>
              </w:rPr>
              <w:t>表2-</w:t>
            </w:r>
            <w:r>
              <w:rPr>
                <w:rFonts w:hint="eastAsia"/>
                <w:b/>
                <w:bCs/>
                <w:color w:val="auto"/>
                <w:kern w:val="0"/>
                <w:sz w:val="24"/>
                <w:lang w:val="en-US" w:eastAsia="zh-CN"/>
              </w:rPr>
              <w:t>8</w:t>
            </w:r>
            <w:r>
              <w:rPr>
                <w:rFonts w:hint="eastAsia"/>
                <w:b/>
                <w:bCs/>
                <w:color w:val="auto"/>
                <w:kern w:val="0"/>
                <w:sz w:val="24"/>
              </w:rPr>
              <w:t xml:space="preserve">   主要生产设备一览表</w:t>
            </w:r>
          </w:p>
          <w:tbl>
            <w:tblPr>
              <w:tblStyle w:val="23"/>
              <w:tblW w:w="80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68"/>
              <w:gridCol w:w="3905"/>
              <w:gridCol w:w="758"/>
              <w:gridCol w:w="723"/>
              <w:gridCol w:w="653"/>
            </w:tblGrid>
            <w:tr w14:paraId="6024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6F9E12AD">
                  <w:pPr>
                    <w:widowControl/>
                    <w:jc w:val="center"/>
                    <w:rPr>
                      <w:color w:val="auto"/>
                      <w:kern w:val="0"/>
                      <w:szCs w:val="21"/>
                      <w:lang w:bidi="ar"/>
                    </w:rPr>
                  </w:pPr>
                  <w:r>
                    <w:rPr>
                      <w:color w:val="auto"/>
                      <w:kern w:val="0"/>
                      <w:szCs w:val="21"/>
                      <w:lang w:bidi="ar"/>
                    </w:rPr>
                    <w:t>序号</w:t>
                  </w:r>
                </w:p>
              </w:tc>
              <w:tc>
                <w:tcPr>
                  <w:tcW w:w="1268" w:type="dxa"/>
                  <w:vAlign w:val="center"/>
                </w:tcPr>
                <w:p w14:paraId="44ABD4FB">
                  <w:pPr>
                    <w:widowControl/>
                    <w:jc w:val="center"/>
                    <w:rPr>
                      <w:color w:val="auto"/>
                      <w:kern w:val="0"/>
                      <w:szCs w:val="21"/>
                      <w:lang w:bidi="ar"/>
                    </w:rPr>
                  </w:pPr>
                  <w:r>
                    <w:rPr>
                      <w:color w:val="auto"/>
                      <w:kern w:val="0"/>
                      <w:szCs w:val="21"/>
                      <w:lang w:bidi="ar"/>
                    </w:rPr>
                    <w:t>设备名称</w:t>
                  </w:r>
                </w:p>
              </w:tc>
              <w:tc>
                <w:tcPr>
                  <w:tcW w:w="3905" w:type="dxa"/>
                  <w:vAlign w:val="center"/>
                </w:tcPr>
                <w:p w14:paraId="023D3284">
                  <w:pPr>
                    <w:widowControl/>
                    <w:jc w:val="center"/>
                    <w:rPr>
                      <w:color w:val="auto"/>
                      <w:kern w:val="0"/>
                      <w:szCs w:val="21"/>
                      <w:lang w:bidi="ar"/>
                    </w:rPr>
                  </w:pPr>
                  <w:r>
                    <w:rPr>
                      <w:color w:val="auto"/>
                      <w:kern w:val="0"/>
                      <w:szCs w:val="21"/>
                      <w:lang w:bidi="ar"/>
                    </w:rPr>
                    <w:t>规格与型号</w:t>
                  </w:r>
                </w:p>
              </w:tc>
              <w:tc>
                <w:tcPr>
                  <w:tcW w:w="758" w:type="dxa"/>
                  <w:vAlign w:val="center"/>
                </w:tcPr>
                <w:p w14:paraId="0C9D5E68">
                  <w:pPr>
                    <w:widowControl/>
                    <w:jc w:val="center"/>
                    <w:rPr>
                      <w:color w:val="auto"/>
                      <w:kern w:val="0"/>
                      <w:szCs w:val="21"/>
                      <w:lang w:bidi="ar"/>
                    </w:rPr>
                  </w:pPr>
                  <w:r>
                    <w:rPr>
                      <w:color w:val="auto"/>
                      <w:kern w:val="0"/>
                      <w:szCs w:val="21"/>
                      <w:lang w:bidi="ar"/>
                    </w:rPr>
                    <w:t>单位</w:t>
                  </w:r>
                </w:p>
              </w:tc>
              <w:tc>
                <w:tcPr>
                  <w:tcW w:w="723" w:type="dxa"/>
                  <w:vAlign w:val="center"/>
                </w:tcPr>
                <w:p w14:paraId="06E549B4">
                  <w:pPr>
                    <w:widowControl/>
                    <w:jc w:val="center"/>
                    <w:rPr>
                      <w:color w:val="auto"/>
                      <w:kern w:val="0"/>
                      <w:szCs w:val="21"/>
                      <w:lang w:bidi="ar"/>
                    </w:rPr>
                  </w:pPr>
                  <w:r>
                    <w:rPr>
                      <w:color w:val="auto"/>
                      <w:kern w:val="0"/>
                      <w:szCs w:val="21"/>
                      <w:lang w:bidi="ar"/>
                    </w:rPr>
                    <w:t>数量</w:t>
                  </w:r>
                </w:p>
              </w:tc>
              <w:tc>
                <w:tcPr>
                  <w:tcW w:w="653" w:type="dxa"/>
                  <w:vAlign w:val="center"/>
                </w:tcPr>
                <w:p w14:paraId="5BF5583D">
                  <w:pPr>
                    <w:widowControl/>
                    <w:jc w:val="center"/>
                    <w:rPr>
                      <w:color w:val="auto"/>
                      <w:kern w:val="0"/>
                      <w:szCs w:val="21"/>
                      <w:lang w:bidi="ar"/>
                    </w:rPr>
                  </w:pPr>
                  <w:r>
                    <w:rPr>
                      <w:color w:val="auto"/>
                      <w:kern w:val="0"/>
                      <w:szCs w:val="21"/>
                      <w:lang w:bidi="ar"/>
                    </w:rPr>
                    <w:t>备注</w:t>
                  </w:r>
                </w:p>
              </w:tc>
            </w:tr>
            <w:tr w14:paraId="0157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4EA09BC3">
                  <w:pPr>
                    <w:widowControl/>
                    <w:jc w:val="center"/>
                    <w:rPr>
                      <w:color w:val="auto"/>
                      <w:kern w:val="0"/>
                      <w:szCs w:val="21"/>
                      <w:lang w:bidi="ar"/>
                    </w:rPr>
                  </w:pPr>
                  <w:r>
                    <w:rPr>
                      <w:color w:val="auto"/>
                      <w:kern w:val="0"/>
                      <w:szCs w:val="21"/>
                      <w:lang w:bidi="ar"/>
                    </w:rPr>
                    <w:t>1</w:t>
                  </w:r>
                </w:p>
              </w:tc>
              <w:tc>
                <w:tcPr>
                  <w:tcW w:w="1268" w:type="dxa"/>
                  <w:vAlign w:val="center"/>
                </w:tcPr>
                <w:p w14:paraId="201D30EF">
                  <w:pPr>
                    <w:widowControl/>
                    <w:jc w:val="center"/>
                    <w:rPr>
                      <w:color w:val="auto"/>
                      <w:kern w:val="0"/>
                      <w:szCs w:val="21"/>
                      <w:lang w:bidi="ar"/>
                    </w:rPr>
                  </w:pPr>
                  <w:r>
                    <w:rPr>
                      <w:color w:val="auto"/>
                      <w:kern w:val="0"/>
                      <w:szCs w:val="21"/>
                      <w:lang w:bidi="ar"/>
                    </w:rPr>
                    <w:t>型1带式</w:t>
                  </w:r>
                </w:p>
                <w:p w14:paraId="7CC358B3">
                  <w:pPr>
                    <w:widowControl/>
                    <w:jc w:val="center"/>
                    <w:rPr>
                      <w:color w:val="auto"/>
                      <w:kern w:val="0"/>
                      <w:szCs w:val="21"/>
                      <w:lang w:bidi="ar"/>
                    </w:rPr>
                  </w:pPr>
                  <w:r>
                    <w:rPr>
                      <w:color w:val="auto"/>
                      <w:kern w:val="0"/>
                      <w:szCs w:val="21"/>
                      <w:lang w:bidi="ar"/>
                    </w:rPr>
                    <w:t>输送机</w:t>
                  </w:r>
                </w:p>
              </w:tc>
              <w:tc>
                <w:tcPr>
                  <w:tcW w:w="3905" w:type="dxa"/>
                  <w:vAlign w:val="center"/>
                </w:tcPr>
                <w:p w14:paraId="01BFC425">
                  <w:pPr>
                    <w:widowControl/>
                    <w:jc w:val="center"/>
                    <w:rPr>
                      <w:color w:val="auto"/>
                      <w:kern w:val="0"/>
                      <w:szCs w:val="21"/>
                      <w:lang w:bidi="ar"/>
                    </w:rPr>
                  </w:pPr>
                  <w:r>
                    <w:rPr>
                      <w:color w:val="auto"/>
                      <w:kern w:val="0"/>
                      <w:szCs w:val="21"/>
                      <w:lang w:bidi="ar"/>
                    </w:rPr>
                    <w:t>B=800mm  v=1.25m/s  Q=120t/h</w:t>
                  </w:r>
                </w:p>
                <w:p w14:paraId="6955E9CD">
                  <w:pPr>
                    <w:widowControl/>
                    <w:jc w:val="center"/>
                    <w:rPr>
                      <w:color w:val="auto"/>
                      <w:kern w:val="0"/>
                      <w:szCs w:val="21"/>
                      <w:lang w:bidi="ar"/>
                    </w:rPr>
                  </w:pPr>
                  <w:r>
                    <w:rPr>
                      <w:color w:val="auto"/>
                      <w:kern w:val="0"/>
                      <w:szCs w:val="21"/>
                      <w:lang w:bidi="ar"/>
                    </w:rPr>
                    <w:t>电机功率：N=11kW</w:t>
                  </w:r>
                </w:p>
                <w:p w14:paraId="51E8886F">
                  <w:pPr>
                    <w:widowControl/>
                    <w:jc w:val="center"/>
                    <w:rPr>
                      <w:color w:val="auto"/>
                      <w:kern w:val="0"/>
                      <w:szCs w:val="21"/>
                      <w:lang w:bidi="ar"/>
                    </w:rPr>
                  </w:pPr>
                  <w:r>
                    <w:rPr>
                      <w:color w:val="auto"/>
                      <w:kern w:val="0"/>
                      <w:szCs w:val="21"/>
                      <w:lang w:bidi="ar"/>
                    </w:rPr>
                    <w:t>防护等级：IP55  绝缘等级：F</w:t>
                  </w:r>
                </w:p>
                <w:p w14:paraId="15CE9F80">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49CCE918">
                  <w:pPr>
                    <w:widowControl/>
                    <w:jc w:val="center"/>
                    <w:rPr>
                      <w:color w:val="auto"/>
                      <w:kern w:val="0"/>
                      <w:szCs w:val="21"/>
                      <w:lang w:bidi="ar"/>
                    </w:rPr>
                  </w:pPr>
                  <w:r>
                    <w:rPr>
                      <w:color w:val="auto"/>
                      <w:kern w:val="0"/>
                      <w:szCs w:val="21"/>
                      <w:lang w:bidi="ar"/>
                    </w:rPr>
                    <w:t>台</w:t>
                  </w:r>
                </w:p>
              </w:tc>
              <w:tc>
                <w:tcPr>
                  <w:tcW w:w="723" w:type="dxa"/>
                  <w:vAlign w:val="center"/>
                </w:tcPr>
                <w:p w14:paraId="7A42E070">
                  <w:pPr>
                    <w:widowControl/>
                    <w:jc w:val="center"/>
                    <w:rPr>
                      <w:color w:val="auto"/>
                      <w:kern w:val="0"/>
                      <w:szCs w:val="21"/>
                      <w:lang w:bidi="ar"/>
                    </w:rPr>
                  </w:pPr>
                  <w:r>
                    <w:rPr>
                      <w:color w:val="auto"/>
                      <w:kern w:val="0"/>
                      <w:szCs w:val="21"/>
                      <w:lang w:bidi="ar"/>
                    </w:rPr>
                    <w:t>1</w:t>
                  </w:r>
                </w:p>
              </w:tc>
              <w:tc>
                <w:tcPr>
                  <w:tcW w:w="653" w:type="dxa"/>
                  <w:vAlign w:val="center"/>
                </w:tcPr>
                <w:p w14:paraId="66421A9C">
                  <w:pPr>
                    <w:widowControl/>
                    <w:jc w:val="center"/>
                    <w:rPr>
                      <w:color w:val="auto"/>
                      <w:kern w:val="0"/>
                      <w:szCs w:val="21"/>
                      <w:lang w:bidi="ar"/>
                    </w:rPr>
                  </w:pPr>
                  <w:r>
                    <w:rPr>
                      <w:color w:val="auto"/>
                      <w:kern w:val="0"/>
                      <w:szCs w:val="21"/>
                      <w:lang w:bidi="ar"/>
                    </w:rPr>
                    <w:t>/</w:t>
                  </w:r>
                </w:p>
              </w:tc>
            </w:tr>
            <w:tr w14:paraId="60C5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4CE94C7A">
                  <w:pPr>
                    <w:widowControl/>
                    <w:jc w:val="center"/>
                    <w:rPr>
                      <w:color w:val="auto"/>
                      <w:kern w:val="0"/>
                      <w:szCs w:val="21"/>
                      <w:lang w:bidi="ar"/>
                    </w:rPr>
                  </w:pPr>
                  <w:r>
                    <w:rPr>
                      <w:color w:val="auto"/>
                      <w:kern w:val="0"/>
                      <w:szCs w:val="21"/>
                      <w:lang w:bidi="ar"/>
                    </w:rPr>
                    <w:t>2</w:t>
                  </w:r>
                </w:p>
              </w:tc>
              <w:tc>
                <w:tcPr>
                  <w:tcW w:w="1268" w:type="dxa"/>
                  <w:vAlign w:val="center"/>
                </w:tcPr>
                <w:p w14:paraId="5D82367D">
                  <w:pPr>
                    <w:widowControl/>
                    <w:jc w:val="center"/>
                    <w:rPr>
                      <w:color w:val="auto"/>
                      <w:kern w:val="0"/>
                      <w:szCs w:val="21"/>
                      <w:lang w:bidi="ar"/>
                    </w:rPr>
                  </w:pPr>
                  <w:r>
                    <w:rPr>
                      <w:color w:val="auto"/>
                      <w:kern w:val="0"/>
                      <w:szCs w:val="21"/>
                      <w:lang w:bidi="ar"/>
                    </w:rPr>
                    <w:t>型2带式</w:t>
                  </w:r>
                </w:p>
                <w:p w14:paraId="768EA8C6">
                  <w:pPr>
                    <w:widowControl/>
                    <w:jc w:val="center"/>
                    <w:rPr>
                      <w:color w:val="auto"/>
                      <w:kern w:val="0"/>
                      <w:szCs w:val="21"/>
                      <w:lang w:bidi="ar"/>
                    </w:rPr>
                  </w:pPr>
                  <w:r>
                    <w:rPr>
                      <w:color w:val="auto"/>
                      <w:kern w:val="0"/>
                      <w:szCs w:val="21"/>
                      <w:lang w:bidi="ar"/>
                    </w:rPr>
                    <w:t>输送机</w:t>
                  </w:r>
                </w:p>
              </w:tc>
              <w:tc>
                <w:tcPr>
                  <w:tcW w:w="3905" w:type="dxa"/>
                  <w:vAlign w:val="center"/>
                </w:tcPr>
                <w:p w14:paraId="26FD3575">
                  <w:pPr>
                    <w:widowControl/>
                    <w:jc w:val="center"/>
                    <w:rPr>
                      <w:color w:val="auto"/>
                      <w:kern w:val="0"/>
                      <w:szCs w:val="21"/>
                      <w:lang w:bidi="ar"/>
                    </w:rPr>
                  </w:pPr>
                  <w:r>
                    <w:rPr>
                      <w:color w:val="auto"/>
                      <w:kern w:val="0"/>
                      <w:szCs w:val="21"/>
                      <w:lang w:bidi="ar"/>
                    </w:rPr>
                    <w:t xml:space="preserve">B=800mm  v=1.25m/s  Q=120t/h </w:t>
                  </w:r>
                </w:p>
                <w:p w14:paraId="7F4EAE4E">
                  <w:pPr>
                    <w:widowControl/>
                    <w:jc w:val="center"/>
                    <w:rPr>
                      <w:color w:val="auto"/>
                      <w:kern w:val="0"/>
                      <w:szCs w:val="21"/>
                      <w:lang w:bidi="ar"/>
                    </w:rPr>
                  </w:pPr>
                  <w:r>
                    <w:rPr>
                      <w:color w:val="auto"/>
                      <w:kern w:val="0"/>
                      <w:szCs w:val="21"/>
                      <w:lang w:bidi="ar"/>
                    </w:rPr>
                    <w:t xml:space="preserve">电机功率：N=11kW </w:t>
                  </w:r>
                </w:p>
                <w:p w14:paraId="52F07ADE">
                  <w:pPr>
                    <w:widowControl/>
                    <w:jc w:val="center"/>
                    <w:rPr>
                      <w:color w:val="auto"/>
                      <w:kern w:val="0"/>
                      <w:szCs w:val="21"/>
                      <w:lang w:bidi="ar"/>
                    </w:rPr>
                  </w:pPr>
                  <w:r>
                    <w:rPr>
                      <w:color w:val="auto"/>
                      <w:kern w:val="0"/>
                      <w:szCs w:val="21"/>
                      <w:lang w:bidi="ar"/>
                    </w:rPr>
                    <w:t xml:space="preserve">防护等级：IP55  绝缘等级：F </w:t>
                  </w:r>
                </w:p>
                <w:p w14:paraId="0CC3D94D">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32641E39">
                  <w:pPr>
                    <w:widowControl/>
                    <w:jc w:val="center"/>
                    <w:rPr>
                      <w:color w:val="auto"/>
                      <w:kern w:val="0"/>
                      <w:szCs w:val="21"/>
                      <w:lang w:bidi="ar"/>
                    </w:rPr>
                  </w:pPr>
                  <w:r>
                    <w:rPr>
                      <w:color w:val="auto"/>
                      <w:kern w:val="0"/>
                      <w:szCs w:val="21"/>
                      <w:lang w:bidi="ar"/>
                    </w:rPr>
                    <w:t>台</w:t>
                  </w:r>
                </w:p>
              </w:tc>
              <w:tc>
                <w:tcPr>
                  <w:tcW w:w="723" w:type="dxa"/>
                  <w:vAlign w:val="center"/>
                </w:tcPr>
                <w:p w14:paraId="09CE9055">
                  <w:pPr>
                    <w:widowControl/>
                    <w:jc w:val="center"/>
                    <w:rPr>
                      <w:color w:val="auto"/>
                      <w:kern w:val="0"/>
                      <w:szCs w:val="21"/>
                      <w:lang w:bidi="ar"/>
                    </w:rPr>
                  </w:pPr>
                  <w:r>
                    <w:rPr>
                      <w:color w:val="auto"/>
                      <w:kern w:val="0"/>
                      <w:szCs w:val="21"/>
                      <w:lang w:bidi="ar"/>
                    </w:rPr>
                    <w:t>3</w:t>
                  </w:r>
                </w:p>
              </w:tc>
              <w:tc>
                <w:tcPr>
                  <w:tcW w:w="653" w:type="dxa"/>
                  <w:vAlign w:val="center"/>
                </w:tcPr>
                <w:p w14:paraId="4E6570E1">
                  <w:pPr>
                    <w:widowControl/>
                    <w:jc w:val="center"/>
                    <w:rPr>
                      <w:color w:val="auto"/>
                      <w:kern w:val="0"/>
                      <w:szCs w:val="21"/>
                      <w:lang w:bidi="ar"/>
                    </w:rPr>
                  </w:pPr>
                  <w:r>
                    <w:rPr>
                      <w:color w:val="auto"/>
                      <w:kern w:val="0"/>
                      <w:szCs w:val="21"/>
                      <w:lang w:bidi="ar"/>
                    </w:rPr>
                    <w:t>/</w:t>
                  </w:r>
                </w:p>
              </w:tc>
            </w:tr>
            <w:tr w14:paraId="6EE6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5C3FD039">
                  <w:pPr>
                    <w:widowControl/>
                    <w:jc w:val="center"/>
                    <w:rPr>
                      <w:color w:val="auto"/>
                      <w:kern w:val="0"/>
                      <w:szCs w:val="21"/>
                      <w:lang w:bidi="ar"/>
                    </w:rPr>
                  </w:pPr>
                  <w:r>
                    <w:rPr>
                      <w:color w:val="auto"/>
                      <w:kern w:val="0"/>
                      <w:szCs w:val="21"/>
                      <w:lang w:bidi="ar"/>
                    </w:rPr>
                    <w:t>3</w:t>
                  </w:r>
                </w:p>
              </w:tc>
              <w:tc>
                <w:tcPr>
                  <w:tcW w:w="1268" w:type="dxa"/>
                  <w:vAlign w:val="center"/>
                </w:tcPr>
                <w:p w14:paraId="6ED221A8">
                  <w:pPr>
                    <w:widowControl/>
                    <w:jc w:val="center"/>
                    <w:rPr>
                      <w:color w:val="auto"/>
                      <w:kern w:val="0"/>
                      <w:szCs w:val="21"/>
                      <w:lang w:bidi="ar"/>
                    </w:rPr>
                  </w:pPr>
                  <w:r>
                    <w:rPr>
                      <w:color w:val="auto"/>
                      <w:kern w:val="0"/>
                      <w:szCs w:val="21"/>
                      <w:lang w:bidi="ar"/>
                    </w:rPr>
                    <w:t>型3带式</w:t>
                  </w:r>
                </w:p>
                <w:p w14:paraId="15DF3DDC">
                  <w:pPr>
                    <w:widowControl/>
                    <w:jc w:val="center"/>
                    <w:rPr>
                      <w:color w:val="auto"/>
                      <w:kern w:val="0"/>
                      <w:szCs w:val="21"/>
                      <w:lang w:bidi="ar"/>
                    </w:rPr>
                  </w:pPr>
                  <w:r>
                    <w:rPr>
                      <w:color w:val="auto"/>
                      <w:kern w:val="0"/>
                      <w:szCs w:val="21"/>
                      <w:lang w:bidi="ar"/>
                    </w:rPr>
                    <w:t>输送机</w:t>
                  </w:r>
                </w:p>
              </w:tc>
              <w:tc>
                <w:tcPr>
                  <w:tcW w:w="3905" w:type="dxa"/>
                  <w:vAlign w:val="center"/>
                </w:tcPr>
                <w:p w14:paraId="3EB28D3A">
                  <w:pPr>
                    <w:widowControl/>
                    <w:jc w:val="center"/>
                    <w:rPr>
                      <w:color w:val="auto"/>
                      <w:kern w:val="0"/>
                      <w:szCs w:val="21"/>
                      <w:lang w:bidi="ar"/>
                    </w:rPr>
                  </w:pPr>
                  <w:r>
                    <w:rPr>
                      <w:color w:val="auto"/>
                      <w:kern w:val="0"/>
                      <w:szCs w:val="21"/>
                      <w:lang w:bidi="ar"/>
                    </w:rPr>
                    <w:t xml:space="preserve">B=800mm  v=1.25m/s  Q=23t/h </w:t>
                  </w:r>
                </w:p>
                <w:p w14:paraId="426878BF">
                  <w:pPr>
                    <w:widowControl/>
                    <w:jc w:val="center"/>
                    <w:rPr>
                      <w:color w:val="auto"/>
                      <w:kern w:val="0"/>
                      <w:szCs w:val="21"/>
                      <w:lang w:bidi="ar"/>
                    </w:rPr>
                  </w:pPr>
                  <w:r>
                    <w:rPr>
                      <w:color w:val="auto"/>
                      <w:kern w:val="0"/>
                      <w:szCs w:val="21"/>
                      <w:lang w:bidi="ar"/>
                    </w:rPr>
                    <w:t xml:space="preserve">电机功率：N=5.5kW </w:t>
                  </w:r>
                </w:p>
                <w:p w14:paraId="3015ED29">
                  <w:pPr>
                    <w:widowControl/>
                    <w:jc w:val="center"/>
                    <w:rPr>
                      <w:color w:val="auto"/>
                      <w:kern w:val="0"/>
                      <w:szCs w:val="21"/>
                      <w:lang w:bidi="ar"/>
                    </w:rPr>
                  </w:pPr>
                  <w:r>
                    <w:rPr>
                      <w:color w:val="auto"/>
                      <w:kern w:val="0"/>
                      <w:szCs w:val="21"/>
                      <w:lang w:bidi="ar"/>
                    </w:rPr>
                    <w:t xml:space="preserve">防护等级：IP55  绝缘等级：F </w:t>
                  </w:r>
                </w:p>
                <w:p w14:paraId="5EB25778">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5FB736BC">
                  <w:pPr>
                    <w:widowControl/>
                    <w:jc w:val="center"/>
                    <w:rPr>
                      <w:color w:val="auto"/>
                      <w:kern w:val="0"/>
                      <w:szCs w:val="21"/>
                      <w:lang w:bidi="ar"/>
                    </w:rPr>
                  </w:pPr>
                  <w:r>
                    <w:rPr>
                      <w:color w:val="auto"/>
                      <w:kern w:val="0"/>
                      <w:szCs w:val="21"/>
                      <w:lang w:bidi="ar"/>
                    </w:rPr>
                    <w:t>台</w:t>
                  </w:r>
                </w:p>
              </w:tc>
              <w:tc>
                <w:tcPr>
                  <w:tcW w:w="723" w:type="dxa"/>
                  <w:vAlign w:val="center"/>
                </w:tcPr>
                <w:p w14:paraId="2E6E130C">
                  <w:pPr>
                    <w:widowControl/>
                    <w:jc w:val="center"/>
                    <w:rPr>
                      <w:color w:val="auto"/>
                      <w:kern w:val="0"/>
                      <w:szCs w:val="21"/>
                      <w:lang w:bidi="ar"/>
                    </w:rPr>
                  </w:pPr>
                  <w:r>
                    <w:rPr>
                      <w:color w:val="auto"/>
                      <w:kern w:val="0"/>
                      <w:szCs w:val="21"/>
                      <w:lang w:bidi="ar"/>
                    </w:rPr>
                    <w:t>3</w:t>
                  </w:r>
                </w:p>
              </w:tc>
              <w:tc>
                <w:tcPr>
                  <w:tcW w:w="653" w:type="dxa"/>
                  <w:vAlign w:val="center"/>
                </w:tcPr>
                <w:p w14:paraId="38FF6211">
                  <w:pPr>
                    <w:widowControl/>
                    <w:jc w:val="center"/>
                    <w:rPr>
                      <w:color w:val="auto"/>
                      <w:kern w:val="0"/>
                      <w:szCs w:val="21"/>
                      <w:lang w:bidi="ar"/>
                    </w:rPr>
                  </w:pPr>
                  <w:r>
                    <w:rPr>
                      <w:color w:val="auto"/>
                      <w:kern w:val="0"/>
                      <w:szCs w:val="21"/>
                      <w:lang w:bidi="ar"/>
                    </w:rPr>
                    <w:t>/</w:t>
                  </w:r>
                </w:p>
              </w:tc>
            </w:tr>
            <w:tr w14:paraId="5782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50C25C52">
                  <w:pPr>
                    <w:widowControl/>
                    <w:jc w:val="center"/>
                    <w:rPr>
                      <w:color w:val="auto"/>
                      <w:kern w:val="0"/>
                      <w:szCs w:val="21"/>
                      <w:lang w:bidi="ar"/>
                    </w:rPr>
                  </w:pPr>
                  <w:r>
                    <w:rPr>
                      <w:color w:val="auto"/>
                      <w:kern w:val="0"/>
                      <w:szCs w:val="21"/>
                      <w:lang w:bidi="ar"/>
                    </w:rPr>
                    <w:t>4</w:t>
                  </w:r>
                </w:p>
              </w:tc>
              <w:tc>
                <w:tcPr>
                  <w:tcW w:w="1268" w:type="dxa"/>
                  <w:vAlign w:val="center"/>
                </w:tcPr>
                <w:p w14:paraId="03E3D866">
                  <w:pPr>
                    <w:widowControl/>
                    <w:jc w:val="center"/>
                    <w:rPr>
                      <w:color w:val="auto"/>
                      <w:kern w:val="0"/>
                      <w:szCs w:val="21"/>
                      <w:lang w:bidi="ar"/>
                    </w:rPr>
                  </w:pPr>
                  <w:r>
                    <w:rPr>
                      <w:color w:val="auto"/>
                      <w:kern w:val="0"/>
                      <w:szCs w:val="21"/>
                      <w:lang w:bidi="ar"/>
                    </w:rPr>
                    <w:t>型4带式</w:t>
                  </w:r>
                </w:p>
                <w:p w14:paraId="47D0867C">
                  <w:pPr>
                    <w:widowControl/>
                    <w:jc w:val="center"/>
                    <w:rPr>
                      <w:color w:val="auto"/>
                      <w:kern w:val="0"/>
                      <w:szCs w:val="21"/>
                      <w:lang w:bidi="ar"/>
                    </w:rPr>
                  </w:pPr>
                  <w:r>
                    <w:rPr>
                      <w:color w:val="auto"/>
                      <w:kern w:val="0"/>
                      <w:szCs w:val="21"/>
                      <w:lang w:bidi="ar"/>
                    </w:rPr>
                    <w:t>输送机</w:t>
                  </w:r>
                </w:p>
              </w:tc>
              <w:tc>
                <w:tcPr>
                  <w:tcW w:w="3905" w:type="dxa"/>
                  <w:vAlign w:val="center"/>
                </w:tcPr>
                <w:p w14:paraId="79A3B00A">
                  <w:pPr>
                    <w:widowControl/>
                    <w:jc w:val="center"/>
                    <w:rPr>
                      <w:color w:val="auto"/>
                      <w:kern w:val="0"/>
                      <w:szCs w:val="21"/>
                      <w:lang w:bidi="ar"/>
                    </w:rPr>
                  </w:pPr>
                  <w:r>
                    <w:rPr>
                      <w:color w:val="auto"/>
                      <w:kern w:val="0"/>
                      <w:szCs w:val="21"/>
                      <w:lang w:bidi="ar"/>
                    </w:rPr>
                    <w:t xml:space="preserve">B=800mm  v=1.25m/s  Q=23t/h </w:t>
                  </w:r>
                </w:p>
                <w:p w14:paraId="262423CB">
                  <w:pPr>
                    <w:widowControl/>
                    <w:jc w:val="center"/>
                    <w:rPr>
                      <w:color w:val="auto"/>
                      <w:kern w:val="0"/>
                      <w:szCs w:val="21"/>
                      <w:lang w:bidi="ar"/>
                    </w:rPr>
                  </w:pPr>
                  <w:r>
                    <w:rPr>
                      <w:color w:val="auto"/>
                      <w:kern w:val="0"/>
                      <w:szCs w:val="21"/>
                      <w:lang w:bidi="ar"/>
                    </w:rPr>
                    <w:t xml:space="preserve">电机功率：N=5.5kW </w:t>
                  </w:r>
                </w:p>
                <w:p w14:paraId="1D349B56">
                  <w:pPr>
                    <w:widowControl/>
                    <w:jc w:val="center"/>
                    <w:rPr>
                      <w:color w:val="auto"/>
                      <w:kern w:val="0"/>
                      <w:szCs w:val="21"/>
                      <w:lang w:bidi="ar"/>
                    </w:rPr>
                  </w:pPr>
                  <w:r>
                    <w:rPr>
                      <w:color w:val="auto"/>
                      <w:kern w:val="0"/>
                      <w:szCs w:val="21"/>
                      <w:lang w:bidi="ar"/>
                    </w:rPr>
                    <w:t xml:space="preserve">防护等级：IP55  绝缘等级：F </w:t>
                  </w:r>
                </w:p>
                <w:p w14:paraId="4B67F738">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0C806177">
                  <w:pPr>
                    <w:widowControl/>
                    <w:jc w:val="center"/>
                    <w:rPr>
                      <w:color w:val="auto"/>
                      <w:kern w:val="0"/>
                      <w:szCs w:val="21"/>
                      <w:lang w:bidi="ar"/>
                    </w:rPr>
                  </w:pPr>
                  <w:r>
                    <w:rPr>
                      <w:color w:val="auto"/>
                      <w:kern w:val="0"/>
                      <w:szCs w:val="21"/>
                      <w:lang w:bidi="ar"/>
                    </w:rPr>
                    <w:t>台</w:t>
                  </w:r>
                </w:p>
              </w:tc>
              <w:tc>
                <w:tcPr>
                  <w:tcW w:w="723" w:type="dxa"/>
                  <w:vAlign w:val="center"/>
                </w:tcPr>
                <w:p w14:paraId="4BD3DCAF">
                  <w:pPr>
                    <w:widowControl/>
                    <w:jc w:val="center"/>
                    <w:rPr>
                      <w:color w:val="auto"/>
                      <w:kern w:val="0"/>
                      <w:szCs w:val="21"/>
                      <w:lang w:bidi="ar"/>
                    </w:rPr>
                  </w:pPr>
                  <w:r>
                    <w:rPr>
                      <w:color w:val="auto"/>
                      <w:kern w:val="0"/>
                      <w:szCs w:val="21"/>
                      <w:lang w:bidi="ar"/>
                    </w:rPr>
                    <w:t>3</w:t>
                  </w:r>
                </w:p>
              </w:tc>
              <w:tc>
                <w:tcPr>
                  <w:tcW w:w="653" w:type="dxa"/>
                  <w:vAlign w:val="center"/>
                </w:tcPr>
                <w:p w14:paraId="4FA56B0A">
                  <w:pPr>
                    <w:widowControl/>
                    <w:jc w:val="center"/>
                    <w:rPr>
                      <w:color w:val="auto"/>
                      <w:kern w:val="0"/>
                      <w:szCs w:val="21"/>
                      <w:lang w:bidi="ar"/>
                    </w:rPr>
                  </w:pPr>
                  <w:r>
                    <w:rPr>
                      <w:color w:val="auto"/>
                      <w:kern w:val="0"/>
                      <w:szCs w:val="21"/>
                      <w:lang w:bidi="ar"/>
                    </w:rPr>
                    <w:t>/</w:t>
                  </w:r>
                </w:p>
              </w:tc>
            </w:tr>
            <w:tr w14:paraId="2D6B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0A9AA532">
                  <w:pPr>
                    <w:widowControl/>
                    <w:jc w:val="center"/>
                    <w:rPr>
                      <w:color w:val="auto"/>
                      <w:kern w:val="0"/>
                      <w:szCs w:val="21"/>
                      <w:lang w:bidi="ar"/>
                    </w:rPr>
                  </w:pPr>
                  <w:r>
                    <w:rPr>
                      <w:color w:val="auto"/>
                      <w:kern w:val="0"/>
                      <w:szCs w:val="21"/>
                      <w:lang w:bidi="ar"/>
                    </w:rPr>
                    <w:t>5</w:t>
                  </w:r>
                </w:p>
              </w:tc>
              <w:tc>
                <w:tcPr>
                  <w:tcW w:w="1268" w:type="dxa"/>
                  <w:vAlign w:val="center"/>
                </w:tcPr>
                <w:p w14:paraId="1D5B9276">
                  <w:pPr>
                    <w:widowControl/>
                    <w:jc w:val="center"/>
                    <w:rPr>
                      <w:color w:val="auto"/>
                      <w:kern w:val="0"/>
                      <w:szCs w:val="21"/>
                      <w:lang w:bidi="ar"/>
                    </w:rPr>
                  </w:pPr>
                  <w:r>
                    <w:rPr>
                      <w:color w:val="auto"/>
                      <w:kern w:val="0"/>
                      <w:szCs w:val="21"/>
                      <w:lang w:bidi="ar"/>
                    </w:rPr>
                    <w:t>型5带式</w:t>
                  </w:r>
                </w:p>
                <w:p w14:paraId="2C33D889">
                  <w:pPr>
                    <w:widowControl/>
                    <w:jc w:val="center"/>
                    <w:rPr>
                      <w:color w:val="auto"/>
                      <w:kern w:val="0"/>
                      <w:szCs w:val="21"/>
                      <w:lang w:bidi="ar"/>
                    </w:rPr>
                  </w:pPr>
                  <w:r>
                    <w:rPr>
                      <w:color w:val="auto"/>
                      <w:kern w:val="0"/>
                      <w:szCs w:val="21"/>
                      <w:lang w:bidi="ar"/>
                    </w:rPr>
                    <w:t>输送机</w:t>
                  </w:r>
                </w:p>
              </w:tc>
              <w:tc>
                <w:tcPr>
                  <w:tcW w:w="3905" w:type="dxa"/>
                  <w:vAlign w:val="center"/>
                </w:tcPr>
                <w:p w14:paraId="775D69DA">
                  <w:pPr>
                    <w:widowControl/>
                    <w:jc w:val="center"/>
                    <w:rPr>
                      <w:color w:val="auto"/>
                      <w:kern w:val="0"/>
                      <w:szCs w:val="21"/>
                      <w:lang w:bidi="ar"/>
                    </w:rPr>
                  </w:pPr>
                  <w:r>
                    <w:rPr>
                      <w:color w:val="auto"/>
                      <w:kern w:val="0"/>
                      <w:szCs w:val="21"/>
                      <w:lang w:bidi="ar"/>
                    </w:rPr>
                    <w:t xml:space="preserve">B=800mm  v=1.25m/s  Q=23t/h </w:t>
                  </w:r>
                </w:p>
                <w:p w14:paraId="4FB763C9">
                  <w:pPr>
                    <w:widowControl/>
                    <w:jc w:val="center"/>
                    <w:rPr>
                      <w:color w:val="auto"/>
                      <w:kern w:val="0"/>
                      <w:szCs w:val="21"/>
                      <w:lang w:bidi="ar"/>
                    </w:rPr>
                  </w:pPr>
                  <w:r>
                    <w:rPr>
                      <w:color w:val="auto"/>
                      <w:kern w:val="0"/>
                      <w:szCs w:val="21"/>
                      <w:lang w:bidi="ar"/>
                    </w:rPr>
                    <w:t xml:space="preserve">电机功率：N=5.5kW </w:t>
                  </w:r>
                </w:p>
                <w:p w14:paraId="7C419EDF">
                  <w:pPr>
                    <w:widowControl/>
                    <w:jc w:val="center"/>
                    <w:rPr>
                      <w:color w:val="auto"/>
                      <w:kern w:val="0"/>
                      <w:szCs w:val="21"/>
                      <w:lang w:bidi="ar"/>
                    </w:rPr>
                  </w:pPr>
                  <w:r>
                    <w:rPr>
                      <w:color w:val="auto"/>
                      <w:kern w:val="0"/>
                      <w:szCs w:val="21"/>
                      <w:lang w:bidi="ar"/>
                    </w:rPr>
                    <w:t xml:space="preserve">防护等级：IP55  绝缘等级：F </w:t>
                  </w:r>
                </w:p>
                <w:p w14:paraId="60BE2B76">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468D5F68">
                  <w:pPr>
                    <w:widowControl/>
                    <w:jc w:val="center"/>
                    <w:rPr>
                      <w:color w:val="auto"/>
                      <w:kern w:val="0"/>
                      <w:szCs w:val="21"/>
                      <w:lang w:bidi="ar"/>
                    </w:rPr>
                  </w:pPr>
                  <w:r>
                    <w:rPr>
                      <w:color w:val="auto"/>
                      <w:kern w:val="0"/>
                      <w:szCs w:val="21"/>
                      <w:lang w:bidi="ar"/>
                    </w:rPr>
                    <w:t>台</w:t>
                  </w:r>
                </w:p>
              </w:tc>
              <w:tc>
                <w:tcPr>
                  <w:tcW w:w="723" w:type="dxa"/>
                  <w:vAlign w:val="center"/>
                </w:tcPr>
                <w:p w14:paraId="7EEEBCC6">
                  <w:pPr>
                    <w:widowControl/>
                    <w:jc w:val="center"/>
                    <w:rPr>
                      <w:color w:val="auto"/>
                      <w:kern w:val="0"/>
                      <w:szCs w:val="21"/>
                      <w:lang w:bidi="ar"/>
                    </w:rPr>
                  </w:pPr>
                  <w:r>
                    <w:rPr>
                      <w:color w:val="auto"/>
                      <w:kern w:val="0"/>
                      <w:szCs w:val="21"/>
                      <w:lang w:bidi="ar"/>
                    </w:rPr>
                    <w:t>3</w:t>
                  </w:r>
                </w:p>
              </w:tc>
              <w:tc>
                <w:tcPr>
                  <w:tcW w:w="653" w:type="dxa"/>
                  <w:vAlign w:val="center"/>
                </w:tcPr>
                <w:p w14:paraId="6891D405">
                  <w:pPr>
                    <w:widowControl/>
                    <w:jc w:val="center"/>
                    <w:rPr>
                      <w:color w:val="auto"/>
                      <w:kern w:val="0"/>
                      <w:szCs w:val="21"/>
                      <w:lang w:bidi="ar"/>
                    </w:rPr>
                  </w:pPr>
                  <w:r>
                    <w:rPr>
                      <w:color w:val="auto"/>
                      <w:kern w:val="0"/>
                      <w:szCs w:val="21"/>
                      <w:lang w:bidi="ar"/>
                    </w:rPr>
                    <w:t>/</w:t>
                  </w:r>
                </w:p>
              </w:tc>
            </w:tr>
            <w:tr w14:paraId="5B0F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18233E95">
                  <w:pPr>
                    <w:widowControl/>
                    <w:jc w:val="center"/>
                    <w:rPr>
                      <w:color w:val="auto"/>
                      <w:kern w:val="0"/>
                      <w:szCs w:val="21"/>
                      <w:lang w:bidi="ar"/>
                    </w:rPr>
                  </w:pPr>
                  <w:r>
                    <w:rPr>
                      <w:color w:val="auto"/>
                      <w:kern w:val="0"/>
                      <w:szCs w:val="21"/>
                      <w:lang w:bidi="ar"/>
                    </w:rPr>
                    <w:t>6</w:t>
                  </w:r>
                </w:p>
              </w:tc>
              <w:tc>
                <w:tcPr>
                  <w:tcW w:w="1268" w:type="dxa"/>
                  <w:vAlign w:val="center"/>
                </w:tcPr>
                <w:p w14:paraId="72282FAC">
                  <w:pPr>
                    <w:widowControl/>
                    <w:jc w:val="center"/>
                    <w:rPr>
                      <w:color w:val="auto"/>
                      <w:kern w:val="0"/>
                      <w:szCs w:val="21"/>
                      <w:lang w:bidi="ar"/>
                    </w:rPr>
                  </w:pPr>
                  <w:r>
                    <w:rPr>
                      <w:color w:val="auto"/>
                      <w:kern w:val="0"/>
                      <w:szCs w:val="21"/>
                      <w:lang w:bidi="ar"/>
                    </w:rPr>
                    <w:t>型6带式</w:t>
                  </w:r>
                </w:p>
                <w:p w14:paraId="76E70714">
                  <w:pPr>
                    <w:widowControl/>
                    <w:jc w:val="center"/>
                    <w:rPr>
                      <w:color w:val="auto"/>
                      <w:kern w:val="0"/>
                      <w:szCs w:val="21"/>
                      <w:lang w:bidi="ar"/>
                    </w:rPr>
                  </w:pPr>
                  <w:r>
                    <w:rPr>
                      <w:color w:val="auto"/>
                      <w:kern w:val="0"/>
                      <w:szCs w:val="21"/>
                      <w:lang w:bidi="ar"/>
                    </w:rPr>
                    <w:t>输送机</w:t>
                  </w:r>
                </w:p>
              </w:tc>
              <w:tc>
                <w:tcPr>
                  <w:tcW w:w="3905" w:type="dxa"/>
                  <w:vAlign w:val="center"/>
                </w:tcPr>
                <w:p w14:paraId="287BB5CA">
                  <w:pPr>
                    <w:widowControl/>
                    <w:jc w:val="center"/>
                    <w:rPr>
                      <w:color w:val="auto"/>
                      <w:kern w:val="0"/>
                      <w:szCs w:val="21"/>
                      <w:lang w:bidi="ar"/>
                    </w:rPr>
                  </w:pPr>
                  <w:r>
                    <w:rPr>
                      <w:color w:val="auto"/>
                      <w:kern w:val="0"/>
                      <w:szCs w:val="21"/>
                      <w:lang w:bidi="ar"/>
                    </w:rPr>
                    <w:t xml:space="preserve">B=500mm  v=1.25m/s  Q=10t/h </w:t>
                  </w:r>
                </w:p>
                <w:p w14:paraId="61B04A71">
                  <w:pPr>
                    <w:widowControl/>
                    <w:jc w:val="center"/>
                    <w:rPr>
                      <w:color w:val="auto"/>
                      <w:kern w:val="0"/>
                      <w:szCs w:val="21"/>
                      <w:lang w:bidi="ar"/>
                    </w:rPr>
                  </w:pPr>
                  <w:r>
                    <w:rPr>
                      <w:color w:val="auto"/>
                      <w:kern w:val="0"/>
                      <w:szCs w:val="21"/>
                      <w:lang w:bidi="ar"/>
                    </w:rPr>
                    <w:t xml:space="preserve">电机功率：N=5.5kW </w:t>
                  </w:r>
                </w:p>
                <w:p w14:paraId="01C47AD4">
                  <w:pPr>
                    <w:widowControl/>
                    <w:jc w:val="center"/>
                    <w:rPr>
                      <w:color w:val="auto"/>
                      <w:kern w:val="0"/>
                      <w:szCs w:val="21"/>
                      <w:lang w:bidi="ar"/>
                    </w:rPr>
                  </w:pPr>
                  <w:r>
                    <w:rPr>
                      <w:color w:val="auto"/>
                      <w:kern w:val="0"/>
                      <w:szCs w:val="21"/>
                      <w:lang w:bidi="ar"/>
                    </w:rPr>
                    <w:t xml:space="preserve">防护等级：IP55  绝缘等级：F </w:t>
                  </w:r>
                </w:p>
                <w:p w14:paraId="6FDD5B8C">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0A4123D0">
                  <w:pPr>
                    <w:widowControl/>
                    <w:jc w:val="center"/>
                    <w:rPr>
                      <w:color w:val="auto"/>
                      <w:kern w:val="0"/>
                      <w:szCs w:val="21"/>
                      <w:lang w:bidi="ar"/>
                    </w:rPr>
                  </w:pPr>
                  <w:r>
                    <w:rPr>
                      <w:color w:val="auto"/>
                      <w:kern w:val="0"/>
                      <w:szCs w:val="21"/>
                      <w:lang w:bidi="ar"/>
                    </w:rPr>
                    <w:t>台</w:t>
                  </w:r>
                </w:p>
              </w:tc>
              <w:tc>
                <w:tcPr>
                  <w:tcW w:w="723" w:type="dxa"/>
                  <w:vAlign w:val="center"/>
                </w:tcPr>
                <w:p w14:paraId="5F05B5DB">
                  <w:pPr>
                    <w:widowControl/>
                    <w:jc w:val="center"/>
                    <w:rPr>
                      <w:color w:val="auto"/>
                      <w:kern w:val="0"/>
                      <w:szCs w:val="21"/>
                      <w:lang w:bidi="ar"/>
                    </w:rPr>
                  </w:pPr>
                  <w:r>
                    <w:rPr>
                      <w:color w:val="auto"/>
                      <w:kern w:val="0"/>
                      <w:szCs w:val="21"/>
                      <w:lang w:bidi="ar"/>
                    </w:rPr>
                    <w:t>3</w:t>
                  </w:r>
                </w:p>
              </w:tc>
              <w:tc>
                <w:tcPr>
                  <w:tcW w:w="653" w:type="dxa"/>
                  <w:vAlign w:val="center"/>
                </w:tcPr>
                <w:p w14:paraId="1A2CB7EB">
                  <w:pPr>
                    <w:widowControl/>
                    <w:jc w:val="center"/>
                    <w:rPr>
                      <w:color w:val="auto"/>
                      <w:kern w:val="0"/>
                      <w:szCs w:val="21"/>
                      <w:lang w:bidi="ar"/>
                    </w:rPr>
                  </w:pPr>
                  <w:r>
                    <w:rPr>
                      <w:color w:val="auto"/>
                      <w:kern w:val="0"/>
                      <w:szCs w:val="21"/>
                      <w:lang w:bidi="ar"/>
                    </w:rPr>
                    <w:t>/</w:t>
                  </w:r>
                </w:p>
              </w:tc>
            </w:tr>
            <w:tr w14:paraId="19B9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0B00B904">
                  <w:pPr>
                    <w:widowControl/>
                    <w:jc w:val="center"/>
                    <w:rPr>
                      <w:color w:val="auto"/>
                      <w:kern w:val="0"/>
                      <w:szCs w:val="21"/>
                      <w:lang w:bidi="ar"/>
                    </w:rPr>
                  </w:pPr>
                  <w:r>
                    <w:rPr>
                      <w:color w:val="auto"/>
                      <w:kern w:val="0"/>
                      <w:szCs w:val="21"/>
                      <w:lang w:bidi="ar"/>
                    </w:rPr>
                    <w:t>7</w:t>
                  </w:r>
                </w:p>
              </w:tc>
              <w:tc>
                <w:tcPr>
                  <w:tcW w:w="1268" w:type="dxa"/>
                  <w:vAlign w:val="center"/>
                </w:tcPr>
                <w:p w14:paraId="5A13B56D">
                  <w:pPr>
                    <w:widowControl/>
                    <w:jc w:val="center"/>
                    <w:rPr>
                      <w:color w:val="auto"/>
                      <w:kern w:val="0"/>
                      <w:szCs w:val="21"/>
                      <w:lang w:bidi="ar"/>
                    </w:rPr>
                  </w:pPr>
                  <w:r>
                    <w:rPr>
                      <w:color w:val="auto"/>
                      <w:kern w:val="0"/>
                      <w:szCs w:val="21"/>
                      <w:lang w:bidi="ar"/>
                    </w:rPr>
                    <w:t>电子自动配料秤</w:t>
                  </w:r>
                </w:p>
              </w:tc>
              <w:tc>
                <w:tcPr>
                  <w:tcW w:w="3905" w:type="dxa"/>
                  <w:vAlign w:val="center"/>
                </w:tcPr>
                <w:p w14:paraId="267FDC1A">
                  <w:pPr>
                    <w:widowControl/>
                    <w:jc w:val="center"/>
                    <w:rPr>
                      <w:color w:val="auto"/>
                      <w:kern w:val="0"/>
                      <w:szCs w:val="21"/>
                      <w:lang w:bidi="ar"/>
                    </w:rPr>
                  </w:pPr>
                  <w:r>
                    <w:rPr>
                      <w:color w:val="auto"/>
                      <w:kern w:val="0"/>
                      <w:szCs w:val="21"/>
                      <w:lang w:bidi="ar"/>
                    </w:rPr>
                    <w:t>秤体皮带:B=800mm   L=4300mm</w:t>
                  </w:r>
                </w:p>
                <w:p w14:paraId="2AEE3FD7">
                  <w:pPr>
                    <w:widowControl/>
                    <w:jc w:val="center"/>
                    <w:rPr>
                      <w:color w:val="auto"/>
                      <w:kern w:val="0"/>
                      <w:szCs w:val="21"/>
                      <w:lang w:bidi="ar"/>
                    </w:rPr>
                  </w:pPr>
                  <w:r>
                    <w:rPr>
                      <w:color w:val="auto"/>
                      <w:kern w:val="0"/>
                      <w:szCs w:val="21"/>
                      <w:lang w:bidi="ar"/>
                    </w:rPr>
                    <w:t xml:space="preserve"> （头尾改向滚筒中心距） </w:t>
                  </w:r>
                </w:p>
                <w:p w14:paraId="3E390787">
                  <w:pPr>
                    <w:widowControl/>
                    <w:jc w:val="center"/>
                    <w:rPr>
                      <w:color w:val="auto"/>
                      <w:kern w:val="0"/>
                      <w:szCs w:val="21"/>
                      <w:lang w:bidi="ar"/>
                    </w:rPr>
                  </w:pPr>
                  <w:r>
                    <w:rPr>
                      <w:color w:val="auto"/>
                      <w:kern w:val="0"/>
                      <w:szCs w:val="21"/>
                      <w:lang w:bidi="ar"/>
                    </w:rPr>
                    <w:t xml:space="preserve">称量范围： 0~110t/h.台 </w:t>
                  </w:r>
                </w:p>
                <w:p w14:paraId="357DAA4D">
                  <w:pPr>
                    <w:widowControl/>
                    <w:jc w:val="center"/>
                    <w:rPr>
                      <w:color w:val="auto"/>
                      <w:kern w:val="0"/>
                      <w:szCs w:val="21"/>
                      <w:lang w:bidi="ar"/>
                    </w:rPr>
                  </w:pPr>
                  <w:r>
                    <w:rPr>
                      <w:color w:val="auto"/>
                      <w:kern w:val="0"/>
                      <w:szCs w:val="21"/>
                      <w:lang w:bidi="ar"/>
                    </w:rPr>
                    <w:t xml:space="preserve">计量精度：±0.5%  变频电机：N=5.5kW </w:t>
                  </w:r>
                </w:p>
                <w:p w14:paraId="6C127D6D">
                  <w:pPr>
                    <w:widowControl/>
                    <w:jc w:val="center"/>
                    <w:rPr>
                      <w:color w:val="auto"/>
                      <w:kern w:val="0"/>
                      <w:szCs w:val="21"/>
                      <w:lang w:bidi="ar"/>
                    </w:rPr>
                  </w:pPr>
                  <w:r>
                    <w:rPr>
                      <w:color w:val="auto"/>
                      <w:kern w:val="0"/>
                      <w:szCs w:val="21"/>
                      <w:lang w:bidi="ar"/>
                    </w:rPr>
                    <w:t xml:space="preserve">防护等级：IP55   绝缘等级：F </w:t>
                  </w:r>
                </w:p>
                <w:p w14:paraId="6609CE0D">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08645CD1">
                  <w:pPr>
                    <w:widowControl/>
                    <w:jc w:val="center"/>
                    <w:rPr>
                      <w:color w:val="auto"/>
                      <w:kern w:val="0"/>
                      <w:szCs w:val="21"/>
                      <w:lang w:bidi="ar"/>
                    </w:rPr>
                  </w:pPr>
                  <w:r>
                    <w:rPr>
                      <w:color w:val="auto"/>
                      <w:kern w:val="0"/>
                      <w:szCs w:val="21"/>
                      <w:lang w:bidi="ar"/>
                    </w:rPr>
                    <w:t>台</w:t>
                  </w:r>
                </w:p>
              </w:tc>
              <w:tc>
                <w:tcPr>
                  <w:tcW w:w="723" w:type="dxa"/>
                  <w:vAlign w:val="center"/>
                </w:tcPr>
                <w:p w14:paraId="0DFAF426">
                  <w:pPr>
                    <w:widowControl/>
                    <w:jc w:val="center"/>
                    <w:rPr>
                      <w:color w:val="auto"/>
                      <w:kern w:val="0"/>
                      <w:szCs w:val="21"/>
                      <w:lang w:bidi="ar"/>
                    </w:rPr>
                  </w:pPr>
                  <w:r>
                    <w:rPr>
                      <w:color w:val="auto"/>
                      <w:kern w:val="0"/>
                      <w:szCs w:val="21"/>
                      <w:lang w:bidi="ar"/>
                    </w:rPr>
                    <w:t>2</w:t>
                  </w:r>
                </w:p>
              </w:tc>
              <w:tc>
                <w:tcPr>
                  <w:tcW w:w="653" w:type="dxa"/>
                  <w:vAlign w:val="center"/>
                </w:tcPr>
                <w:p w14:paraId="6740C74F">
                  <w:pPr>
                    <w:widowControl/>
                    <w:jc w:val="center"/>
                    <w:rPr>
                      <w:color w:val="auto"/>
                      <w:kern w:val="0"/>
                      <w:szCs w:val="21"/>
                      <w:lang w:bidi="ar"/>
                    </w:rPr>
                  </w:pPr>
                  <w:r>
                    <w:rPr>
                      <w:color w:val="auto"/>
                      <w:kern w:val="0"/>
                      <w:szCs w:val="21"/>
                      <w:lang w:bidi="ar"/>
                    </w:rPr>
                    <w:t>/</w:t>
                  </w:r>
                </w:p>
              </w:tc>
            </w:tr>
            <w:tr w14:paraId="6A0F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341DFA8A">
                  <w:pPr>
                    <w:widowControl/>
                    <w:jc w:val="center"/>
                    <w:rPr>
                      <w:color w:val="auto"/>
                      <w:kern w:val="0"/>
                      <w:szCs w:val="21"/>
                      <w:lang w:bidi="ar"/>
                    </w:rPr>
                  </w:pPr>
                  <w:r>
                    <w:rPr>
                      <w:color w:val="auto"/>
                      <w:kern w:val="0"/>
                      <w:szCs w:val="21"/>
                      <w:lang w:bidi="ar"/>
                    </w:rPr>
                    <w:t>8</w:t>
                  </w:r>
                </w:p>
              </w:tc>
              <w:tc>
                <w:tcPr>
                  <w:tcW w:w="1268" w:type="dxa"/>
                  <w:vAlign w:val="center"/>
                </w:tcPr>
                <w:p w14:paraId="3DFC3C3B">
                  <w:pPr>
                    <w:widowControl/>
                    <w:jc w:val="center"/>
                    <w:rPr>
                      <w:color w:val="auto"/>
                      <w:kern w:val="0"/>
                      <w:szCs w:val="21"/>
                      <w:lang w:bidi="ar"/>
                    </w:rPr>
                  </w:pPr>
                  <w:r>
                    <w:rPr>
                      <w:color w:val="auto"/>
                      <w:kern w:val="0"/>
                      <w:szCs w:val="21"/>
                      <w:lang w:bidi="ar"/>
                    </w:rPr>
                    <w:t>电子自动配料秤</w:t>
                  </w:r>
                </w:p>
              </w:tc>
              <w:tc>
                <w:tcPr>
                  <w:tcW w:w="3905" w:type="dxa"/>
                  <w:vAlign w:val="center"/>
                </w:tcPr>
                <w:p w14:paraId="17DC5FFA">
                  <w:pPr>
                    <w:widowControl/>
                    <w:jc w:val="center"/>
                    <w:rPr>
                      <w:color w:val="auto"/>
                      <w:kern w:val="0"/>
                      <w:szCs w:val="21"/>
                      <w:lang w:bidi="ar"/>
                    </w:rPr>
                  </w:pPr>
                  <w:r>
                    <w:rPr>
                      <w:color w:val="auto"/>
                      <w:kern w:val="0"/>
                      <w:szCs w:val="21"/>
                      <w:lang w:bidi="ar"/>
                    </w:rPr>
                    <w:t xml:space="preserve">秤体皮带:B=800mm    L=2700mm     （头尾改向滚筒中心距） </w:t>
                  </w:r>
                </w:p>
                <w:p w14:paraId="096BAE99">
                  <w:pPr>
                    <w:widowControl/>
                    <w:jc w:val="center"/>
                    <w:rPr>
                      <w:color w:val="auto"/>
                      <w:kern w:val="0"/>
                      <w:szCs w:val="21"/>
                      <w:lang w:bidi="ar"/>
                    </w:rPr>
                  </w:pPr>
                  <w:r>
                    <w:rPr>
                      <w:color w:val="auto"/>
                      <w:kern w:val="0"/>
                      <w:szCs w:val="21"/>
                      <w:lang w:bidi="ar"/>
                    </w:rPr>
                    <w:t xml:space="preserve">称量范围： 0~30t/h.台 </w:t>
                  </w:r>
                </w:p>
                <w:p w14:paraId="6958F220">
                  <w:pPr>
                    <w:widowControl/>
                    <w:jc w:val="center"/>
                    <w:rPr>
                      <w:color w:val="auto"/>
                      <w:kern w:val="0"/>
                      <w:szCs w:val="21"/>
                      <w:lang w:bidi="ar"/>
                    </w:rPr>
                  </w:pPr>
                  <w:r>
                    <w:rPr>
                      <w:color w:val="auto"/>
                      <w:kern w:val="0"/>
                      <w:szCs w:val="21"/>
                      <w:lang w:bidi="ar"/>
                    </w:rPr>
                    <w:t xml:space="preserve">计量精度：±0.5%  变频电机：N=5.5kW </w:t>
                  </w:r>
                </w:p>
                <w:p w14:paraId="2DA15DA4">
                  <w:pPr>
                    <w:widowControl/>
                    <w:jc w:val="center"/>
                    <w:rPr>
                      <w:color w:val="auto"/>
                      <w:kern w:val="0"/>
                      <w:szCs w:val="21"/>
                      <w:lang w:bidi="ar"/>
                    </w:rPr>
                  </w:pPr>
                  <w:r>
                    <w:rPr>
                      <w:color w:val="auto"/>
                      <w:kern w:val="0"/>
                      <w:szCs w:val="21"/>
                      <w:lang w:bidi="ar"/>
                    </w:rPr>
                    <w:t xml:space="preserve">防护等级：IP55   绝缘等级：F </w:t>
                  </w:r>
                </w:p>
                <w:p w14:paraId="7B9AD9DE">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417F67DD">
                  <w:pPr>
                    <w:widowControl/>
                    <w:jc w:val="center"/>
                    <w:rPr>
                      <w:color w:val="auto"/>
                      <w:kern w:val="0"/>
                      <w:szCs w:val="21"/>
                      <w:lang w:bidi="ar"/>
                    </w:rPr>
                  </w:pPr>
                  <w:r>
                    <w:rPr>
                      <w:color w:val="auto"/>
                      <w:kern w:val="0"/>
                      <w:szCs w:val="21"/>
                      <w:lang w:bidi="ar"/>
                    </w:rPr>
                    <w:t>台</w:t>
                  </w:r>
                </w:p>
              </w:tc>
              <w:tc>
                <w:tcPr>
                  <w:tcW w:w="723" w:type="dxa"/>
                  <w:vAlign w:val="center"/>
                </w:tcPr>
                <w:p w14:paraId="7004C97C">
                  <w:pPr>
                    <w:widowControl/>
                    <w:jc w:val="center"/>
                    <w:rPr>
                      <w:color w:val="auto"/>
                      <w:kern w:val="0"/>
                      <w:szCs w:val="21"/>
                      <w:lang w:bidi="ar"/>
                    </w:rPr>
                  </w:pPr>
                  <w:r>
                    <w:rPr>
                      <w:color w:val="auto"/>
                      <w:kern w:val="0"/>
                      <w:szCs w:val="21"/>
                      <w:lang w:bidi="ar"/>
                    </w:rPr>
                    <w:t>2</w:t>
                  </w:r>
                </w:p>
              </w:tc>
              <w:tc>
                <w:tcPr>
                  <w:tcW w:w="653" w:type="dxa"/>
                  <w:vAlign w:val="center"/>
                </w:tcPr>
                <w:p w14:paraId="1646AF46">
                  <w:pPr>
                    <w:widowControl/>
                    <w:jc w:val="center"/>
                    <w:rPr>
                      <w:color w:val="auto"/>
                      <w:kern w:val="0"/>
                      <w:szCs w:val="21"/>
                      <w:lang w:bidi="ar"/>
                    </w:rPr>
                  </w:pPr>
                  <w:r>
                    <w:rPr>
                      <w:color w:val="auto"/>
                      <w:kern w:val="0"/>
                      <w:szCs w:val="21"/>
                      <w:lang w:bidi="ar"/>
                    </w:rPr>
                    <w:t>/</w:t>
                  </w:r>
                </w:p>
              </w:tc>
            </w:tr>
            <w:tr w14:paraId="622D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05B6565F">
                  <w:pPr>
                    <w:widowControl/>
                    <w:jc w:val="center"/>
                    <w:rPr>
                      <w:color w:val="auto"/>
                      <w:kern w:val="0"/>
                      <w:szCs w:val="21"/>
                      <w:lang w:bidi="ar"/>
                    </w:rPr>
                  </w:pPr>
                  <w:r>
                    <w:rPr>
                      <w:color w:val="auto"/>
                      <w:kern w:val="0"/>
                      <w:szCs w:val="21"/>
                      <w:lang w:bidi="ar"/>
                    </w:rPr>
                    <w:t>9</w:t>
                  </w:r>
                </w:p>
              </w:tc>
              <w:tc>
                <w:tcPr>
                  <w:tcW w:w="1268" w:type="dxa"/>
                  <w:vAlign w:val="center"/>
                </w:tcPr>
                <w:p w14:paraId="512E6116">
                  <w:pPr>
                    <w:widowControl/>
                    <w:jc w:val="center"/>
                    <w:rPr>
                      <w:color w:val="auto"/>
                      <w:kern w:val="0"/>
                      <w:szCs w:val="21"/>
                      <w:lang w:bidi="ar"/>
                    </w:rPr>
                  </w:pPr>
                  <w:r>
                    <w:rPr>
                      <w:color w:val="auto"/>
                      <w:kern w:val="0"/>
                      <w:szCs w:val="21"/>
                      <w:lang w:bidi="ar"/>
                    </w:rPr>
                    <w:t>定量给料秤</w:t>
                  </w:r>
                </w:p>
              </w:tc>
              <w:tc>
                <w:tcPr>
                  <w:tcW w:w="3905" w:type="dxa"/>
                  <w:vAlign w:val="center"/>
                </w:tcPr>
                <w:p w14:paraId="443210CE">
                  <w:pPr>
                    <w:widowControl/>
                    <w:jc w:val="center"/>
                    <w:rPr>
                      <w:color w:val="auto"/>
                      <w:kern w:val="0"/>
                      <w:szCs w:val="21"/>
                      <w:lang w:bidi="ar"/>
                    </w:rPr>
                  </w:pPr>
                  <w:r>
                    <w:rPr>
                      <w:color w:val="auto"/>
                      <w:kern w:val="0"/>
                      <w:szCs w:val="21"/>
                      <w:lang w:bidi="ar"/>
                    </w:rPr>
                    <w:t xml:space="preserve">秤体皮带:B=800mm    L=2700mm     （头尾改向滚筒中心距） </w:t>
                  </w:r>
                </w:p>
                <w:p w14:paraId="5A202C74">
                  <w:pPr>
                    <w:widowControl/>
                    <w:jc w:val="center"/>
                    <w:rPr>
                      <w:color w:val="auto"/>
                      <w:kern w:val="0"/>
                      <w:szCs w:val="21"/>
                      <w:lang w:bidi="ar"/>
                    </w:rPr>
                  </w:pPr>
                  <w:r>
                    <w:rPr>
                      <w:color w:val="auto"/>
                      <w:kern w:val="0"/>
                      <w:szCs w:val="21"/>
                      <w:lang w:bidi="ar"/>
                    </w:rPr>
                    <w:t xml:space="preserve">称量范围： 0~30t/h.台 </w:t>
                  </w:r>
                </w:p>
                <w:p w14:paraId="3D4108BD">
                  <w:pPr>
                    <w:widowControl/>
                    <w:jc w:val="center"/>
                    <w:rPr>
                      <w:color w:val="auto"/>
                      <w:kern w:val="0"/>
                      <w:szCs w:val="21"/>
                      <w:lang w:bidi="ar"/>
                    </w:rPr>
                  </w:pPr>
                  <w:r>
                    <w:rPr>
                      <w:color w:val="auto"/>
                      <w:kern w:val="0"/>
                      <w:szCs w:val="21"/>
                      <w:lang w:bidi="ar"/>
                    </w:rPr>
                    <w:t xml:space="preserve">计量精度：±0.5%  变频电机：N=5.5kW </w:t>
                  </w:r>
                </w:p>
                <w:p w14:paraId="578436FA">
                  <w:pPr>
                    <w:widowControl/>
                    <w:jc w:val="center"/>
                    <w:rPr>
                      <w:color w:val="auto"/>
                      <w:kern w:val="0"/>
                      <w:szCs w:val="21"/>
                      <w:lang w:bidi="ar"/>
                    </w:rPr>
                  </w:pPr>
                  <w:r>
                    <w:rPr>
                      <w:color w:val="auto"/>
                      <w:kern w:val="0"/>
                      <w:szCs w:val="21"/>
                      <w:lang w:bidi="ar"/>
                    </w:rPr>
                    <w:t xml:space="preserve">防护等级：IP55   绝缘等级：F </w:t>
                  </w:r>
                </w:p>
                <w:p w14:paraId="401B6896">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592BA30F">
                  <w:pPr>
                    <w:widowControl/>
                    <w:jc w:val="center"/>
                    <w:rPr>
                      <w:color w:val="auto"/>
                      <w:kern w:val="0"/>
                      <w:szCs w:val="21"/>
                      <w:lang w:bidi="ar"/>
                    </w:rPr>
                  </w:pPr>
                  <w:r>
                    <w:rPr>
                      <w:color w:val="auto"/>
                      <w:kern w:val="0"/>
                      <w:szCs w:val="21"/>
                      <w:lang w:bidi="ar"/>
                    </w:rPr>
                    <w:t>台</w:t>
                  </w:r>
                </w:p>
              </w:tc>
              <w:tc>
                <w:tcPr>
                  <w:tcW w:w="723" w:type="dxa"/>
                  <w:vAlign w:val="center"/>
                </w:tcPr>
                <w:p w14:paraId="1851F74F">
                  <w:pPr>
                    <w:widowControl/>
                    <w:jc w:val="center"/>
                    <w:rPr>
                      <w:color w:val="auto"/>
                      <w:kern w:val="0"/>
                      <w:szCs w:val="21"/>
                      <w:lang w:bidi="ar"/>
                    </w:rPr>
                  </w:pPr>
                  <w:r>
                    <w:rPr>
                      <w:color w:val="auto"/>
                      <w:kern w:val="0"/>
                      <w:szCs w:val="21"/>
                      <w:lang w:bidi="ar"/>
                    </w:rPr>
                    <w:t>3</w:t>
                  </w:r>
                </w:p>
              </w:tc>
              <w:tc>
                <w:tcPr>
                  <w:tcW w:w="653" w:type="dxa"/>
                  <w:vAlign w:val="center"/>
                </w:tcPr>
                <w:p w14:paraId="21D330D6">
                  <w:pPr>
                    <w:widowControl/>
                    <w:jc w:val="center"/>
                    <w:rPr>
                      <w:color w:val="auto"/>
                      <w:kern w:val="0"/>
                      <w:szCs w:val="21"/>
                      <w:lang w:bidi="ar"/>
                    </w:rPr>
                  </w:pPr>
                  <w:r>
                    <w:rPr>
                      <w:color w:val="auto"/>
                      <w:kern w:val="0"/>
                      <w:szCs w:val="21"/>
                      <w:lang w:bidi="ar"/>
                    </w:rPr>
                    <w:t>/</w:t>
                  </w:r>
                </w:p>
              </w:tc>
            </w:tr>
            <w:tr w14:paraId="78C1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51EAA301">
                  <w:pPr>
                    <w:widowControl/>
                    <w:jc w:val="center"/>
                    <w:rPr>
                      <w:color w:val="auto"/>
                      <w:kern w:val="0"/>
                      <w:szCs w:val="21"/>
                      <w:lang w:bidi="ar"/>
                    </w:rPr>
                  </w:pPr>
                  <w:r>
                    <w:rPr>
                      <w:color w:val="auto"/>
                      <w:kern w:val="0"/>
                      <w:szCs w:val="21"/>
                      <w:lang w:bidi="ar"/>
                    </w:rPr>
                    <w:t>10</w:t>
                  </w:r>
                </w:p>
              </w:tc>
              <w:tc>
                <w:tcPr>
                  <w:tcW w:w="1268" w:type="dxa"/>
                  <w:vAlign w:val="center"/>
                </w:tcPr>
                <w:p w14:paraId="505D52BF">
                  <w:pPr>
                    <w:widowControl/>
                    <w:jc w:val="center"/>
                    <w:rPr>
                      <w:color w:val="auto"/>
                      <w:kern w:val="0"/>
                      <w:szCs w:val="21"/>
                      <w:lang w:bidi="ar"/>
                    </w:rPr>
                  </w:pPr>
                  <w:r>
                    <w:rPr>
                      <w:color w:val="auto"/>
                      <w:kern w:val="0"/>
                      <w:szCs w:val="21"/>
                      <w:lang w:bidi="ar"/>
                    </w:rPr>
                    <w:t>振动给料机</w:t>
                  </w:r>
                </w:p>
              </w:tc>
              <w:tc>
                <w:tcPr>
                  <w:tcW w:w="3905" w:type="dxa"/>
                  <w:vAlign w:val="center"/>
                </w:tcPr>
                <w:p w14:paraId="6D843018">
                  <w:pPr>
                    <w:widowControl/>
                    <w:jc w:val="center"/>
                    <w:rPr>
                      <w:color w:val="auto"/>
                      <w:kern w:val="0"/>
                      <w:szCs w:val="21"/>
                      <w:lang w:bidi="ar"/>
                    </w:rPr>
                  </w:pPr>
                  <w:r>
                    <w:rPr>
                      <w:color w:val="auto"/>
                      <w:kern w:val="0"/>
                      <w:szCs w:val="21"/>
                      <w:lang w:bidi="ar"/>
                    </w:rPr>
                    <w:t xml:space="preserve">处理能力：Q=10t/h  功率：N=5.5kw </w:t>
                  </w:r>
                </w:p>
                <w:p w14:paraId="69B6021C">
                  <w:pPr>
                    <w:widowControl/>
                    <w:jc w:val="center"/>
                    <w:rPr>
                      <w:color w:val="auto"/>
                      <w:kern w:val="0"/>
                      <w:szCs w:val="21"/>
                      <w:lang w:bidi="ar"/>
                    </w:rPr>
                  </w:pPr>
                  <w:r>
                    <w:rPr>
                      <w:color w:val="auto"/>
                      <w:kern w:val="0"/>
                      <w:szCs w:val="21"/>
                      <w:lang w:bidi="ar"/>
                    </w:rPr>
                    <w:t xml:space="preserve">防护等级：IP55   绝缘等级：F </w:t>
                  </w:r>
                </w:p>
                <w:p w14:paraId="15CEF322">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4F31ED61">
                  <w:pPr>
                    <w:widowControl/>
                    <w:jc w:val="center"/>
                    <w:rPr>
                      <w:color w:val="auto"/>
                      <w:kern w:val="0"/>
                      <w:szCs w:val="21"/>
                      <w:lang w:bidi="ar"/>
                    </w:rPr>
                  </w:pPr>
                  <w:r>
                    <w:rPr>
                      <w:color w:val="auto"/>
                      <w:kern w:val="0"/>
                      <w:szCs w:val="21"/>
                      <w:lang w:bidi="ar"/>
                    </w:rPr>
                    <w:t>台</w:t>
                  </w:r>
                </w:p>
              </w:tc>
              <w:tc>
                <w:tcPr>
                  <w:tcW w:w="723" w:type="dxa"/>
                  <w:vAlign w:val="center"/>
                </w:tcPr>
                <w:p w14:paraId="3CAC4BC3">
                  <w:pPr>
                    <w:widowControl/>
                    <w:jc w:val="center"/>
                    <w:rPr>
                      <w:color w:val="auto"/>
                      <w:kern w:val="0"/>
                      <w:szCs w:val="21"/>
                      <w:lang w:bidi="ar"/>
                    </w:rPr>
                  </w:pPr>
                  <w:r>
                    <w:rPr>
                      <w:color w:val="auto"/>
                      <w:kern w:val="0"/>
                      <w:szCs w:val="21"/>
                      <w:lang w:bidi="ar"/>
                    </w:rPr>
                    <w:t>3</w:t>
                  </w:r>
                </w:p>
              </w:tc>
              <w:tc>
                <w:tcPr>
                  <w:tcW w:w="653" w:type="dxa"/>
                  <w:vAlign w:val="center"/>
                </w:tcPr>
                <w:p w14:paraId="2D70B74D">
                  <w:pPr>
                    <w:widowControl/>
                    <w:jc w:val="center"/>
                    <w:rPr>
                      <w:color w:val="auto"/>
                      <w:kern w:val="0"/>
                      <w:szCs w:val="21"/>
                      <w:lang w:bidi="ar"/>
                    </w:rPr>
                  </w:pPr>
                  <w:r>
                    <w:rPr>
                      <w:color w:val="auto"/>
                      <w:kern w:val="0"/>
                      <w:szCs w:val="21"/>
                      <w:lang w:bidi="ar"/>
                    </w:rPr>
                    <w:t>/</w:t>
                  </w:r>
                </w:p>
              </w:tc>
            </w:tr>
            <w:tr w14:paraId="6B05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5FA622B8">
                  <w:pPr>
                    <w:widowControl/>
                    <w:jc w:val="center"/>
                    <w:rPr>
                      <w:color w:val="auto"/>
                      <w:kern w:val="0"/>
                      <w:szCs w:val="21"/>
                      <w:lang w:bidi="ar"/>
                    </w:rPr>
                  </w:pPr>
                  <w:r>
                    <w:rPr>
                      <w:color w:val="auto"/>
                      <w:kern w:val="0"/>
                      <w:szCs w:val="21"/>
                      <w:lang w:bidi="ar"/>
                    </w:rPr>
                    <w:t>11</w:t>
                  </w:r>
                </w:p>
              </w:tc>
              <w:tc>
                <w:tcPr>
                  <w:tcW w:w="1268" w:type="dxa"/>
                  <w:vAlign w:val="center"/>
                </w:tcPr>
                <w:p w14:paraId="74B5C855">
                  <w:pPr>
                    <w:widowControl/>
                    <w:jc w:val="center"/>
                    <w:rPr>
                      <w:color w:val="auto"/>
                      <w:kern w:val="0"/>
                      <w:szCs w:val="21"/>
                      <w:lang w:bidi="ar"/>
                    </w:rPr>
                  </w:pPr>
                  <w:r>
                    <w:rPr>
                      <w:color w:val="auto"/>
                      <w:kern w:val="0"/>
                      <w:szCs w:val="21"/>
                      <w:lang w:bidi="ar"/>
                    </w:rPr>
                    <w:t>轮辗搅拌机</w:t>
                  </w:r>
                </w:p>
              </w:tc>
              <w:tc>
                <w:tcPr>
                  <w:tcW w:w="3905" w:type="dxa"/>
                  <w:vAlign w:val="center"/>
                </w:tcPr>
                <w:p w14:paraId="2C57513B">
                  <w:pPr>
                    <w:widowControl/>
                    <w:jc w:val="center"/>
                    <w:rPr>
                      <w:color w:val="auto"/>
                      <w:kern w:val="0"/>
                      <w:szCs w:val="21"/>
                      <w:lang w:bidi="ar"/>
                    </w:rPr>
                  </w:pPr>
                  <w:r>
                    <w:rPr>
                      <w:color w:val="auto"/>
                      <w:kern w:val="0"/>
                      <w:szCs w:val="21"/>
                      <w:lang w:bidi="ar"/>
                    </w:rPr>
                    <w:t xml:space="preserve">混合盘规格（mm）：Φ3100×500 </w:t>
                  </w:r>
                </w:p>
                <w:p w14:paraId="7B0AACC1">
                  <w:pPr>
                    <w:widowControl/>
                    <w:jc w:val="center"/>
                    <w:rPr>
                      <w:color w:val="auto"/>
                      <w:kern w:val="0"/>
                      <w:szCs w:val="21"/>
                      <w:lang w:bidi="ar"/>
                    </w:rPr>
                  </w:pPr>
                  <w:r>
                    <w:rPr>
                      <w:color w:val="auto"/>
                      <w:kern w:val="0"/>
                      <w:szCs w:val="21"/>
                      <w:lang w:bidi="ar"/>
                    </w:rPr>
                    <w:t xml:space="preserve">碾轮规格（mm）：Φ1000×350 </w:t>
                  </w:r>
                </w:p>
                <w:p w14:paraId="1B5C3CC2">
                  <w:pPr>
                    <w:widowControl/>
                    <w:jc w:val="center"/>
                    <w:rPr>
                      <w:color w:val="auto"/>
                      <w:kern w:val="0"/>
                      <w:szCs w:val="21"/>
                      <w:lang w:bidi="ar"/>
                    </w:rPr>
                  </w:pPr>
                  <w:r>
                    <w:rPr>
                      <w:color w:val="auto"/>
                      <w:kern w:val="0"/>
                      <w:szCs w:val="21"/>
                      <w:lang w:bidi="ar"/>
                    </w:rPr>
                    <w:t xml:space="preserve">行星搅拌铲数量：2×（每组 4 块）×2 </w:t>
                  </w:r>
                </w:p>
                <w:p w14:paraId="79AB27A8">
                  <w:pPr>
                    <w:widowControl/>
                    <w:jc w:val="center"/>
                    <w:rPr>
                      <w:color w:val="auto"/>
                      <w:kern w:val="0"/>
                      <w:szCs w:val="21"/>
                      <w:lang w:bidi="ar"/>
                    </w:rPr>
                  </w:pPr>
                  <w:r>
                    <w:rPr>
                      <w:color w:val="auto"/>
                      <w:kern w:val="0"/>
                      <w:szCs w:val="21"/>
                      <w:lang w:bidi="ar"/>
                    </w:rPr>
                    <w:t xml:space="preserve">电机功率：N=55kw </w:t>
                  </w:r>
                </w:p>
                <w:p w14:paraId="05BF30AF">
                  <w:pPr>
                    <w:widowControl/>
                    <w:jc w:val="center"/>
                    <w:rPr>
                      <w:color w:val="auto"/>
                      <w:kern w:val="0"/>
                      <w:szCs w:val="21"/>
                      <w:lang w:bidi="ar"/>
                    </w:rPr>
                  </w:pPr>
                  <w:r>
                    <w:rPr>
                      <w:color w:val="auto"/>
                      <w:kern w:val="0"/>
                      <w:szCs w:val="21"/>
                      <w:lang w:bidi="ar"/>
                    </w:rPr>
                    <w:t xml:space="preserve">规格型号：LNX-2500 型 </w:t>
                  </w:r>
                </w:p>
                <w:p w14:paraId="4AD83517">
                  <w:pPr>
                    <w:widowControl/>
                    <w:jc w:val="center"/>
                    <w:rPr>
                      <w:color w:val="auto"/>
                      <w:kern w:val="0"/>
                      <w:szCs w:val="21"/>
                      <w:lang w:bidi="ar"/>
                    </w:rPr>
                  </w:pPr>
                  <w:r>
                    <w:rPr>
                      <w:color w:val="auto"/>
                      <w:kern w:val="0"/>
                      <w:szCs w:val="21"/>
                      <w:lang w:bidi="ar"/>
                    </w:rPr>
                    <w:t xml:space="preserve">防护等级：IP55   绝缘等级：F </w:t>
                  </w:r>
                </w:p>
                <w:p w14:paraId="66AC75F5">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44CAD9A2">
                  <w:pPr>
                    <w:widowControl/>
                    <w:jc w:val="center"/>
                    <w:rPr>
                      <w:color w:val="auto"/>
                      <w:kern w:val="0"/>
                      <w:szCs w:val="21"/>
                      <w:lang w:bidi="ar"/>
                    </w:rPr>
                  </w:pPr>
                  <w:r>
                    <w:rPr>
                      <w:color w:val="auto"/>
                      <w:kern w:val="0"/>
                      <w:szCs w:val="21"/>
                      <w:lang w:bidi="ar"/>
                    </w:rPr>
                    <w:t>台</w:t>
                  </w:r>
                </w:p>
              </w:tc>
              <w:tc>
                <w:tcPr>
                  <w:tcW w:w="723" w:type="dxa"/>
                  <w:vAlign w:val="center"/>
                </w:tcPr>
                <w:p w14:paraId="55942995">
                  <w:pPr>
                    <w:widowControl/>
                    <w:jc w:val="center"/>
                    <w:rPr>
                      <w:color w:val="auto"/>
                      <w:kern w:val="0"/>
                      <w:szCs w:val="21"/>
                      <w:lang w:bidi="ar"/>
                    </w:rPr>
                  </w:pPr>
                  <w:r>
                    <w:rPr>
                      <w:color w:val="auto"/>
                      <w:kern w:val="0"/>
                      <w:szCs w:val="21"/>
                      <w:lang w:bidi="ar"/>
                    </w:rPr>
                    <w:t>3</w:t>
                  </w:r>
                </w:p>
              </w:tc>
              <w:tc>
                <w:tcPr>
                  <w:tcW w:w="653" w:type="dxa"/>
                  <w:vAlign w:val="center"/>
                </w:tcPr>
                <w:p w14:paraId="0A5DDA91">
                  <w:pPr>
                    <w:widowControl/>
                    <w:jc w:val="center"/>
                    <w:rPr>
                      <w:color w:val="auto"/>
                      <w:kern w:val="0"/>
                      <w:szCs w:val="21"/>
                      <w:lang w:bidi="ar"/>
                    </w:rPr>
                  </w:pPr>
                  <w:r>
                    <w:rPr>
                      <w:color w:val="auto"/>
                      <w:kern w:val="0"/>
                      <w:szCs w:val="21"/>
                      <w:lang w:bidi="ar"/>
                    </w:rPr>
                    <w:t>/</w:t>
                  </w:r>
                </w:p>
              </w:tc>
            </w:tr>
            <w:tr w14:paraId="2015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57602D89">
                  <w:pPr>
                    <w:widowControl/>
                    <w:jc w:val="center"/>
                    <w:rPr>
                      <w:color w:val="auto"/>
                      <w:kern w:val="0"/>
                      <w:szCs w:val="21"/>
                      <w:lang w:bidi="ar"/>
                    </w:rPr>
                  </w:pPr>
                  <w:r>
                    <w:rPr>
                      <w:color w:val="auto"/>
                      <w:kern w:val="0"/>
                      <w:szCs w:val="21"/>
                      <w:lang w:bidi="ar"/>
                    </w:rPr>
                    <w:t>12</w:t>
                  </w:r>
                </w:p>
              </w:tc>
              <w:tc>
                <w:tcPr>
                  <w:tcW w:w="1268" w:type="dxa"/>
                  <w:vAlign w:val="center"/>
                </w:tcPr>
                <w:p w14:paraId="4E1FA44E">
                  <w:pPr>
                    <w:widowControl/>
                    <w:jc w:val="center"/>
                    <w:rPr>
                      <w:color w:val="auto"/>
                      <w:kern w:val="0"/>
                      <w:szCs w:val="21"/>
                      <w:lang w:bidi="ar"/>
                    </w:rPr>
                  </w:pPr>
                  <w:r>
                    <w:rPr>
                      <w:color w:val="auto"/>
                      <w:kern w:val="0"/>
                      <w:szCs w:val="21"/>
                      <w:lang w:bidi="ar"/>
                    </w:rPr>
                    <w:t>压球机</w:t>
                  </w:r>
                </w:p>
              </w:tc>
              <w:tc>
                <w:tcPr>
                  <w:tcW w:w="3905" w:type="dxa"/>
                  <w:vAlign w:val="center"/>
                </w:tcPr>
                <w:p w14:paraId="71E8A5E4">
                  <w:pPr>
                    <w:widowControl/>
                    <w:jc w:val="center"/>
                    <w:rPr>
                      <w:color w:val="auto"/>
                      <w:kern w:val="0"/>
                      <w:szCs w:val="21"/>
                      <w:lang w:bidi="ar"/>
                    </w:rPr>
                  </w:pPr>
                  <w:r>
                    <w:rPr>
                      <w:color w:val="auto"/>
                      <w:kern w:val="0"/>
                      <w:szCs w:val="21"/>
                      <w:lang w:bidi="ar"/>
                    </w:rPr>
                    <w:t xml:space="preserve">处理能力：23t/h </w:t>
                  </w:r>
                </w:p>
                <w:p w14:paraId="6D821E55">
                  <w:pPr>
                    <w:widowControl/>
                    <w:jc w:val="center"/>
                    <w:rPr>
                      <w:color w:val="auto"/>
                      <w:kern w:val="0"/>
                      <w:szCs w:val="21"/>
                      <w:lang w:bidi="ar"/>
                    </w:rPr>
                  </w:pPr>
                  <w:r>
                    <w:rPr>
                      <w:color w:val="auto"/>
                      <w:kern w:val="0"/>
                      <w:szCs w:val="21"/>
                      <w:lang w:bidi="ar"/>
                    </w:rPr>
                    <w:t xml:space="preserve">型焦规格：扁球形Φ50mm，厚度 30mm </w:t>
                  </w:r>
                </w:p>
                <w:p w14:paraId="0B4B6A7E">
                  <w:pPr>
                    <w:widowControl/>
                    <w:jc w:val="center"/>
                    <w:rPr>
                      <w:color w:val="auto"/>
                      <w:kern w:val="0"/>
                      <w:szCs w:val="21"/>
                      <w:lang w:bidi="ar"/>
                    </w:rPr>
                  </w:pPr>
                  <w:r>
                    <w:rPr>
                      <w:color w:val="auto"/>
                      <w:kern w:val="0"/>
                      <w:szCs w:val="21"/>
                      <w:lang w:bidi="ar"/>
                    </w:rPr>
                    <w:t xml:space="preserve">规格型号：750 型 </w:t>
                  </w:r>
                  <w:r>
                    <w:rPr>
                      <w:rFonts w:hint="eastAsia"/>
                      <w:color w:val="auto"/>
                      <w:kern w:val="0"/>
                      <w:szCs w:val="21"/>
                      <w:lang w:bidi="ar"/>
                    </w:rPr>
                    <w:t xml:space="preserve">  </w:t>
                  </w:r>
                  <w:r>
                    <w:rPr>
                      <w:color w:val="auto"/>
                      <w:kern w:val="0"/>
                      <w:szCs w:val="21"/>
                      <w:lang w:bidi="ar"/>
                    </w:rPr>
                    <w:t xml:space="preserve">变频电机：N=75kW </w:t>
                  </w:r>
                </w:p>
                <w:p w14:paraId="09F6B277">
                  <w:pPr>
                    <w:widowControl/>
                    <w:jc w:val="center"/>
                    <w:rPr>
                      <w:color w:val="auto"/>
                      <w:kern w:val="0"/>
                      <w:szCs w:val="21"/>
                      <w:lang w:bidi="ar"/>
                    </w:rPr>
                  </w:pPr>
                  <w:r>
                    <w:rPr>
                      <w:color w:val="auto"/>
                      <w:kern w:val="0"/>
                      <w:szCs w:val="21"/>
                      <w:lang w:bidi="ar"/>
                    </w:rPr>
                    <w:t xml:space="preserve">防护等级：IP55   绝缘等级：F </w:t>
                  </w:r>
                </w:p>
                <w:p w14:paraId="48CE13D7">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022AF49B">
                  <w:pPr>
                    <w:widowControl/>
                    <w:jc w:val="center"/>
                    <w:rPr>
                      <w:color w:val="auto"/>
                      <w:kern w:val="0"/>
                      <w:szCs w:val="21"/>
                      <w:lang w:bidi="ar"/>
                    </w:rPr>
                  </w:pPr>
                  <w:r>
                    <w:rPr>
                      <w:color w:val="auto"/>
                      <w:kern w:val="0"/>
                      <w:szCs w:val="21"/>
                      <w:lang w:bidi="ar"/>
                    </w:rPr>
                    <w:t>台</w:t>
                  </w:r>
                </w:p>
              </w:tc>
              <w:tc>
                <w:tcPr>
                  <w:tcW w:w="723" w:type="dxa"/>
                  <w:vAlign w:val="center"/>
                </w:tcPr>
                <w:p w14:paraId="3B6E60B6">
                  <w:pPr>
                    <w:widowControl/>
                    <w:jc w:val="center"/>
                    <w:rPr>
                      <w:color w:val="auto"/>
                      <w:kern w:val="0"/>
                      <w:szCs w:val="21"/>
                      <w:lang w:bidi="ar"/>
                    </w:rPr>
                  </w:pPr>
                  <w:r>
                    <w:rPr>
                      <w:color w:val="auto"/>
                      <w:kern w:val="0"/>
                      <w:szCs w:val="21"/>
                      <w:lang w:bidi="ar"/>
                    </w:rPr>
                    <w:t>6</w:t>
                  </w:r>
                </w:p>
              </w:tc>
              <w:tc>
                <w:tcPr>
                  <w:tcW w:w="653" w:type="dxa"/>
                  <w:vAlign w:val="center"/>
                </w:tcPr>
                <w:p w14:paraId="13083A63">
                  <w:pPr>
                    <w:widowControl/>
                    <w:jc w:val="center"/>
                    <w:rPr>
                      <w:color w:val="auto"/>
                      <w:kern w:val="0"/>
                      <w:szCs w:val="21"/>
                      <w:lang w:bidi="ar"/>
                    </w:rPr>
                  </w:pPr>
                  <w:r>
                    <w:rPr>
                      <w:color w:val="auto"/>
                      <w:kern w:val="0"/>
                      <w:szCs w:val="21"/>
                      <w:lang w:bidi="ar"/>
                    </w:rPr>
                    <w:t>/</w:t>
                  </w:r>
                </w:p>
              </w:tc>
            </w:tr>
            <w:tr w14:paraId="5F39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53DE1A8D">
                  <w:pPr>
                    <w:widowControl/>
                    <w:jc w:val="center"/>
                    <w:rPr>
                      <w:color w:val="auto"/>
                      <w:kern w:val="0"/>
                      <w:szCs w:val="21"/>
                      <w:lang w:bidi="ar"/>
                    </w:rPr>
                  </w:pPr>
                  <w:r>
                    <w:rPr>
                      <w:color w:val="auto"/>
                      <w:kern w:val="0"/>
                      <w:szCs w:val="21"/>
                      <w:lang w:bidi="ar"/>
                    </w:rPr>
                    <w:t>13</w:t>
                  </w:r>
                </w:p>
              </w:tc>
              <w:tc>
                <w:tcPr>
                  <w:tcW w:w="1268" w:type="dxa"/>
                  <w:vAlign w:val="center"/>
                </w:tcPr>
                <w:p w14:paraId="7510162E">
                  <w:pPr>
                    <w:widowControl/>
                    <w:jc w:val="center"/>
                    <w:rPr>
                      <w:color w:val="auto"/>
                      <w:kern w:val="0"/>
                      <w:szCs w:val="21"/>
                      <w:lang w:bidi="ar"/>
                    </w:rPr>
                  </w:pPr>
                  <w:r>
                    <w:rPr>
                      <w:color w:val="auto"/>
                      <w:kern w:val="0"/>
                      <w:szCs w:val="21"/>
                      <w:lang w:bidi="ar"/>
                    </w:rPr>
                    <w:t>烘干机</w:t>
                  </w:r>
                </w:p>
              </w:tc>
              <w:tc>
                <w:tcPr>
                  <w:tcW w:w="3905" w:type="dxa"/>
                  <w:vAlign w:val="center"/>
                </w:tcPr>
                <w:p w14:paraId="02C356BC">
                  <w:pPr>
                    <w:widowControl/>
                    <w:jc w:val="center"/>
                    <w:rPr>
                      <w:color w:val="auto"/>
                      <w:kern w:val="0"/>
                      <w:szCs w:val="21"/>
                      <w:lang w:bidi="ar"/>
                    </w:rPr>
                  </w:pPr>
                  <w:r>
                    <w:rPr>
                      <w:color w:val="auto"/>
                      <w:kern w:val="0"/>
                      <w:szCs w:val="21"/>
                      <w:lang w:bidi="ar"/>
                    </w:rPr>
                    <w:t xml:space="preserve">入料产量：23t/h </w:t>
                  </w:r>
                </w:p>
                <w:p w14:paraId="3B7B035A">
                  <w:pPr>
                    <w:widowControl/>
                    <w:jc w:val="center"/>
                    <w:rPr>
                      <w:color w:val="auto"/>
                      <w:kern w:val="0"/>
                      <w:szCs w:val="21"/>
                      <w:lang w:bidi="ar"/>
                    </w:rPr>
                  </w:pPr>
                  <w:r>
                    <w:rPr>
                      <w:color w:val="auto"/>
                      <w:kern w:val="0"/>
                      <w:szCs w:val="21"/>
                      <w:lang w:bidi="ar"/>
                    </w:rPr>
                    <w:t xml:space="preserve">入料水分为：15%，出料水分：＜0.5% </w:t>
                  </w:r>
                </w:p>
                <w:p w14:paraId="79485F0F">
                  <w:pPr>
                    <w:widowControl/>
                    <w:jc w:val="center"/>
                    <w:rPr>
                      <w:color w:val="auto"/>
                      <w:kern w:val="0"/>
                      <w:szCs w:val="21"/>
                      <w:lang w:bidi="ar"/>
                    </w:rPr>
                  </w:pPr>
                  <w:r>
                    <w:rPr>
                      <w:color w:val="auto"/>
                      <w:kern w:val="0"/>
                      <w:szCs w:val="21"/>
                      <w:lang w:bidi="ar"/>
                    </w:rPr>
                    <w:t xml:space="preserve">进风温度：160℃ </w:t>
                  </w:r>
                </w:p>
                <w:p w14:paraId="304EF6C8">
                  <w:pPr>
                    <w:widowControl/>
                    <w:jc w:val="center"/>
                    <w:rPr>
                      <w:color w:val="auto"/>
                      <w:kern w:val="0"/>
                      <w:szCs w:val="21"/>
                      <w:lang w:bidi="ar"/>
                    </w:rPr>
                  </w:pPr>
                  <w:r>
                    <w:rPr>
                      <w:color w:val="auto"/>
                      <w:kern w:val="0"/>
                      <w:szCs w:val="21"/>
                      <w:lang w:bidi="ar"/>
                    </w:rPr>
                    <w:t xml:space="preserve">变频电机：N=7.5kW×4 台 </w:t>
                  </w:r>
                </w:p>
                <w:p w14:paraId="7495FC74">
                  <w:pPr>
                    <w:widowControl/>
                    <w:jc w:val="center"/>
                    <w:rPr>
                      <w:color w:val="auto"/>
                      <w:kern w:val="0"/>
                      <w:szCs w:val="21"/>
                      <w:lang w:bidi="ar"/>
                    </w:rPr>
                  </w:pPr>
                  <w:r>
                    <w:rPr>
                      <w:color w:val="auto"/>
                      <w:kern w:val="0"/>
                      <w:szCs w:val="21"/>
                      <w:lang w:bidi="ar"/>
                    </w:rPr>
                    <w:t xml:space="preserve">防护等级：IP55   绝缘等级：F </w:t>
                  </w:r>
                </w:p>
                <w:p w14:paraId="555F82F8">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19B2D099">
                  <w:pPr>
                    <w:widowControl/>
                    <w:jc w:val="center"/>
                    <w:rPr>
                      <w:color w:val="auto"/>
                      <w:kern w:val="0"/>
                      <w:szCs w:val="21"/>
                      <w:lang w:bidi="ar"/>
                    </w:rPr>
                  </w:pPr>
                  <w:r>
                    <w:rPr>
                      <w:color w:val="auto"/>
                      <w:kern w:val="0"/>
                      <w:szCs w:val="21"/>
                      <w:lang w:bidi="ar"/>
                    </w:rPr>
                    <w:t>台</w:t>
                  </w:r>
                </w:p>
              </w:tc>
              <w:tc>
                <w:tcPr>
                  <w:tcW w:w="723" w:type="dxa"/>
                  <w:vAlign w:val="center"/>
                </w:tcPr>
                <w:p w14:paraId="58018FBB">
                  <w:pPr>
                    <w:widowControl/>
                    <w:jc w:val="center"/>
                    <w:rPr>
                      <w:color w:val="auto"/>
                      <w:kern w:val="0"/>
                      <w:szCs w:val="21"/>
                      <w:lang w:bidi="ar"/>
                    </w:rPr>
                  </w:pPr>
                  <w:r>
                    <w:rPr>
                      <w:color w:val="auto"/>
                      <w:kern w:val="0"/>
                      <w:szCs w:val="21"/>
                      <w:lang w:bidi="ar"/>
                    </w:rPr>
                    <w:t>3</w:t>
                  </w:r>
                </w:p>
              </w:tc>
              <w:tc>
                <w:tcPr>
                  <w:tcW w:w="653" w:type="dxa"/>
                  <w:vAlign w:val="center"/>
                </w:tcPr>
                <w:p w14:paraId="60279860">
                  <w:pPr>
                    <w:widowControl/>
                    <w:jc w:val="center"/>
                    <w:rPr>
                      <w:color w:val="auto"/>
                      <w:kern w:val="0"/>
                      <w:szCs w:val="21"/>
                      <w:lang w:bidi="ar"/>
                    </w:rPr>
                  </w:pPr>
                  <w:r>
                    <w:rPr>
                      <w:color w:val="auto"/>
                      <w:kern w:val="0"/>
                      <w:szCs w:val="21"/>
                      <w:lang w:bidi="ar"/>
                    </w:rPr>
                    <w:t>/</w:t>
                  </w:r>
                </w:p>
              </w:tc>
            </w:tr>
            <w:tr w14:paraId="1290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6DE3442D">
                  <w:pPr>
                    <w:widowControl/>
                    <w:jc w:val="center"/>
                    <w:rPr>
                      <w:color w:val="auto"/>
                      <w:kern w:val="0"/>
                      <w:szCs w:val="21"/>
                      <w:lang w:bidi="ar"/>
                    </w:rPr>
                  </w:pPr>
                  <w:r>
                    <w:rPr>
                      <w:color w:val="auto"/>
                      <w:kern w:val="0"/>
                      <w:szCs w:val="21"/>
                      <w:lang w:bidi="ar"/>
                    </w:rPr>
                    <w:t>14</w:t>
                  </w:r>
                </w:p>
              </w:tc>
              <w:tc>
                <w:tcPr>
                  <w:tcW w:w="1268" w:type="dxa"/>
                  <w:vAlign w:val="center"/>
                </w:tcPr>
                <w:p w14:paraId="298C08F1">
                  <w:pPr>
                    <w:widowControl/>
                    <w:jc w:val="center"/>
                    <w:rPr>
                      <w:color w:val="auto"/>
                      <w:kern w:val="0"/>
                      <w:szCs w:val="21"/>
                      <w:lang w:bidi="ar"/>
                    </w:rPr>
                  </w:pPr>
                  <w:r>
                    <w:rPr>
                      <w:color w:val="auto"/>
                      <w:kern w:val="0"/>
                      <w:szCs w:val="21"/>
                      <w:lang w:bidi="ar"/>
                    </w:rPr>
                    <w:t>换热器</w:t>
                  </w:r>
                </w:p>
              </w:tc>
              <w:tc>
                <w:tcPr>
                  <w:tcW w:w="3905" w:type="dxa"/>
                  <w:vAlign w:val="center"/>
                </w:tcPr>
                <w:p w14:paraId="16F4343C">
                  <w:pPr>
                    <w:widowControl/>
                    <w:jc w:val="center"/>
                    <w:rPr>
                      <w:color w:val="auto"/>
                      <w:kern w:val="0"/>
                      <w:szCs w:val="21"/>
                      <w:lang w:bidi="ar"/>
                    </w:rPr>
                  </w:pPr>
                  <w:r>
                    <w:rPr>
                      <w:color w:val="auto"/>
                      <w:kern w:val="0"/>
                      <w:szCs w:val="21"/>
                      <w:lang w:bidi="ar"/>
                    </w:rPr>
                    <w:t>换热面积：800m2</w:t>
                  </w:r>
                </w:p>
              </w:tc>
              <w:tc>
                <w:tcPr>
                  <w:tcW w:w="758" w:type="dxa"/>
                  <w:vAlign w:val="center"/>
                </w:tcPr>
                <w:p w14:paraId="2D5FD419">
                  <w:pPr>
                    <w:widowControl/>
                    <w:jc w:val="center"/>
                    <w:rPr>
                      <w:color w:val="auto"/>
                      <w:kern w:val="0"/>
                      <w:szCs w:val="21"/>
                      <w:lang w:bidi="ar"/>
                    </w:rPr>
                  </w:pPr>
                  <w:r>
                    <w:rPr>
                      <w:color w:val="auto"/>
                      <w:kern w:val="0"/>
                      <w:szCs w:val="21"/>
                      <w:lang w:bidi="ar"/>
                    </w:rPr>
                    <w:t>台</w:t>
                  </w:r>
                </w:p>
              </w:tc>
              <w:tc>
                <w:tcPr>
                  <w:tcW w:w="723" w:type="dxa"/>
                  <w:vAlign w:val="center"/>
                </w:tcPr>
                <w:p w14:paraId="668B3FCE">
                  <w:pPr>
                    <w:widowControl/>
                    <w:jc w:val="center"/>
                    <w:rPr>
                      <w:color w:val="auto"/>
                      <w:kern w:val="0"/>
                      <w:szCs w:val="21"/>
                      <w:lang w:bidi="ar"/>
                    </w:rPr>
                  </w:pPr>
                  <w:r>
                    <w:rPr>
                      <w:color w:val="auto"/>
                      <w:kern w:val="0"/>
                      <w:szCs w:val="21"/>
                      <w:lang w:bidi="ar"/>
                    </w:rPr>
                    <w:t>3</w:t>
                  </w:r>
                </w:p>
              </w:tc>
              <w:tc>
                <w:tcPr>
                  <w:tcW w:w="653" w:type="dxa"/>
                  <w:vAlign w:val="center"/>
                </w:tcPr>
                <w:p w14:paraId="35591684">
                  <w:pPr>
                    <w:widowControl/>
                    <w:jc w:val="center"/>
                    <w:rPr>
                      <w:color w:val="auto"/>
                      <w:kern w:val="0"/>
                      <w:szCs w:val="21"/>
                      <w:lang w:bidi="ar"/>
                    </w:rPr>
                  </w:pPr>
                  <w:r>
                    <w:rPr>
                      <w:color w:val="auto"/>
                      <w:kern w:val="0"/>
                      <w:szCs w:val="21"/>
                      <w:lang w:bidi="ar"/>
                    </w:rPr>
                    <w:t>/</w:t>
                  </w:r>
                </w:p>
              </w:tc>
            </w:tr>
            <w:tr w14:paraId="0B25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0DC25F67">
                  <w:pPr>
                    <w:widowControl/>
                    <w:jc w:val="center"/>
                    <w:rPr>
                      <w:color w:val="auto"/>
                      <w:kern w:val="0"/>
                      <w:szCs w:val="21"/>
                      <w:lang w:bidi="ar"/>
                    </w:rPr>
                  </w:pPr>
                  <w:r>
                    <w:rPr>
                      <w:color w:val="auto"/>
                      <w:kern w:val="0"/>
                      <w:szCs w:val="21"/>
                      <w:lang w:bidi="ar"/>
                    </w:rPr>
                    <w:t>15</w:t>
                  </w:r>
                </w:p>
              </w:tc>
              <w:tc>
                <w:tcPr>
                  <w:tcW w:w="1268" w:type="dxa"/>
                  <w:vAlign w:val="center"/>
                </w:tcPr>
                <w:p w14:paraId="25F61F34">
                  <w:pPr>
                    <w:widowControl/>
                    <w:jc w:val="center"/>
                    <w:rPr>
                      <w:color w:val="auto"/>
                      <w:kern w:val="0"/>
                      <w:szCs w:val="21"/>
                      <w:lang w:bidi="ar"/>
                    </w:rPr>
                  </w:pPr>
                  <w:r>
                    <w:rPr>
                      <w:color w:val="auto"/>
                      <w:kern w:val="0"/>
                      <w:szCs w:val="21"/>
                      <w:lang w:bidi="ar"/>
                    </w:rPr>
                    <w:t>高温风机</w:t>
                  </w:r>
                </w:p>
                <w:p w14:paraId="27452863">
                  <w:pPr>
                    <w:widowControl/>
                    <w:jc w:val="center"/>
                    <w:rPr>
                      <w:color w:val="auto"/>
                      <w:kern w:val="0"/>
                      <w:szCs w:val="21"/>
                      <w:lang w:bidi="ar"/>
                    </w:rPr>
                  </w:pPr>
                </w:p>
              </w:tc>
              <w:tc>
                <w:tcPr>
                  <w:tcW w:w="3905" w:type="dxa"/>
                  <w:vAlign w:val="center"/>
                </w:tcPr>
                <w:p w14:paraId="7484249F">
                  <w:pPr>
                    <w:widowControl/>
                    <w:jc w:val="center"/>
                    <w:rPr>
                      <w:color w:val="auto"/>
                      <w:kern w:val="0"/>
                      <w:szCs w:val="21"/>
                      <w:lang w:bidi="ar"/>
                    </w:rPr>
                  </w:pPr>
                  <w:r>
                    <w:rPr>
                      <w:color w:val="auto"/>
                      <w:kern w:val="0"/>
                      <w:szCs w:val="21"/>
                      <w:lang w:bidi="ar"/>
                    </w:rPr>
                    <w:t xml:space="preserve">介质：高温空气 风量：100000m³/h </w:t>
                  </w:r>
                </w:p>
                <w:p w14:paraId="13CC84EC">
                  <w:pPr>
                    <w:widowControl/>
                    <w:jc w:val="center"/>
                    <w:rPr>
                      <w:color w:val="auto"/>
                      <w:kern w:val="0"/>
                      <w:szCs w:val="21"/>
                      <w:lang w:bidi="ar"/>
                    </w:rPr>
                  </w:pPr>
                  <w:r>
                    <w:rPr>
                      <w:color w:val="auto"/>
                      <w:kern w:val="0"/>
                      <w:szCs w:val="21"/>
                      <w:lang w:bidi="ar"/>
                    </w:rPr>
                    <w:t xml:space="preserve">全压：3000Pa </w:t>
                  </w:r>
                  <w:r>
                    <w:rPr>
                      <w:rFonts w:hint="eastAsia"/>
                      <w:color w:val="auto"/>
                      <w:kern w:val="0"/>
                      <w:szCs w:val="21"/>
                      <w:lang w:bidi="ar"/>
                    </w:rPr>
                    <w:t xml:space="preserve"> </w:t>
                  </w:r>
                  <w:r>
                    <w:rPr>
                      <w:color w:val="auto"/>
                      <w:kern w:val="0"/>
                      <w:szCs w:val="21"/>
                      <w:lang w:bidi="ar"/>
                    </w:rPr>
                    <w:t xml:space="preserve">变频风机功率：N=160kw </w:t>
                  </w:r>
                </w:p>
                <w:p w14:paraId="1378E425">
                  <w:pPr>
                    <w:widowControl/>
                    <w:jc w:val="center"/>
                    <w:rPr>
                      <w:color w:val="auto"/>
                      <w:kern w:val="0"/>
                      <w:szCs w:val="21"/>
                      <w:lang w:bidi="ar"/>
                    </w:rPr>
                  </w:pPr>
                  <w:r>
                    <w:rPr>
                      <w:color w:val="auto"/>
                      <w:kern w:val="0"/>
                      <w:szCs w:val="21"/>
                      <w:lang w:bidi="ar"/>
                    </w:rPr>
                    <w:t xml:space="preserve">冷却风扇功率：N=0.75kw </w:t>
                  </w:r>
                </w:p>
                <w:p w14:paraId="6293DC4E">
                  <w:pPr>
                    <w:widowControl/>
                    <w:jc w:val="center"/>
                    <w:rPr>
                      <w:color w:val="auto"/>
                      <w:kern w:val="0"/>
                      <w:szCs w:val="21"/>
                      <w:lang w:bidi="ar"/>
                    </w:rPr>
                  </w:pPr>
                  <w:r>
                    <w:rPr>
                      <w:color w:val="auto"/>
                      <w:kern w:val="0"/>
                      <w:szCs w:val="21"/>
                      <w:lang w:bidi="ar"/>
                    </w:rPr>
                    <w:t xml:space="preserve">防护等级：IP55   绝缘等级：F </w:t>
                  </w:r>
                </w:p>
                <w:p w14:paraId="637F0829">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1C873EBE">
                  <w:pPr>
                    <w:widowControl/>
                    <w:jc w:val="center"/>
                    <w:rPr>
                      <w:color w:val="auto"/>
                      <w:kern w:val="0"/>
                      <w:szCs w:val="21"/>
                      <w:lang w:bidi="ar"/>
                    </w:rPr>
                  </w:pPr>
                  <w:r>
                    <w:rPr>
                      <w:color w:val="auto"/>
                      <w:kern w:val="0"/>
                      <w:szCs w:val="21"/>
                      <w:lang w:bidi="ar"/>
                    </w:rPr>
                    <w:t>台</w:t>
                  </w:r>
                </w:p>
              </w:tc>
              <w:tc>
                <w:tcPr>
                  <w:tcW w:w="723" w:type="dxa"/>
                  <w:vAlign w:val="center"/>
                </w:tcPr>
                <w:p w14:paraId="18E62BCE">
                  <w:pPr>
                    <w:widowControl/>
                    <w:jc w:val="center"/>
                    <w:rPr>
                      <w:color w:val="auto"/>
                      <w:kern w:val="0"/>
                      <w:szCs w:val="21"/>
                      <w:lang w:bidi="ar"/>
                    </w:rPr>
                  </w:pPr>
                  <w:r>
                    <w:rPr>
                      <w:color w:val="auto"/>
                      <w:kern w:val="0"/>
                      <w:szCs w:val="21"/>
                      <w:lang w:bidi="ar"/>
                    </w:rPr>
                    <w:t>3</w:t>
                  </w:r>
                </w:p>
              </w:tc>
              <w:tc>
                <w:tcPr>
                  <w:tcW w:w="653" w:type="dxa"/>
                  <w:vAlign w:val="center"/>
                </w:tcPr>
                <w:p w14:paraId="2C7EB73D">
                  <w:pPr>
                    <w:widowControl/>
                    <w:jc w:val="center"/>
                    <w:rPr>
                      <w:color w:val="auto"/>
                      <w:kern w:val="0"/>
                      <w:szCs w:val="21"/>
                      <w:lang w:bidi="ar"/>
                    </w:rPr>
                  </w:pPr>
                  <w:r>
                    <w:rPr>
                      <w:color w:val="auto"/>
                      <w:kern w:val="0"/>
                      <w:szCs w:val="21"/>
                      <w:lang w:bidi="ar"/>
                    </w:rPr>
                    <w:t>/</w:t>
                  </w:r>
                </w:p>
              </w:tc>
            </w:tr>
            <w:tr w14:paraId="3624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2FD3BE20">
                  <w:pPr>
                    <w:widowControl/>
                    <w:jc w:val="center"/>
                    <w:rPr>
                      <w:color w:val="auto"/>
                      <w:kern w:val="0"/>
                      <w:szCs w:val="21"/>
                      <w:lang w:bidi="ar"/>
                    </w:rPr>
                  </w:pPr>
                  <w:r>
                    <w:rPr>
                      <w:color w:val="auto"/>
                      <w:kern w:val="0"/>
                      <w:szCs w:val="21"/>
                      <w:lang w:bidi="ar"/>
                    </w:rPr>
                    <w:t>16</w:t>
                  </w:r>
                </w:p>
              </w:tc>
              <w:tc>
                <w:tcPr>
                  <w:tcW w:w="1268" w:type="dxa"/>
                  <w:vAlign w:val="center"/>
                </w:tcPr>
                <w:p w14:paraId="3FF97DEA">
                  <w:pPr>
                    <w:widowControl/>
                    <w:jc w:val="center"/>
                    <w:rPr>
                      <w:color w:val="auto"/>
                      <w:kern w:val="0"/>
                      <w:szCs w:val="21"/>
                      <w:lang w:bidi="ar"/>
                    </w:rPr>
                  </w:pPr>
                  <w:r>
                    <w:rPr>
                      <w:color w:val="auto"/>
                      <w:kern w:val="0"/>
                      <w:szCs w:val="21"/>
                      <w:lang w:bidi="ar"/>
                    </w:rPr>
                    <w:t>尾气风机</w:t>
                  </w:r>
                </w:p>
                <w:p w14:paraId="3A18E910">
                  <w:pPr>
                    <w:widowControl/>
                    <w:jc w:val="center"/>
                    <w:rPr>
                      <w:color w:val="auto"/>
                      <w:kern w:val="0"/>
                      <w:szCs w:val="21"/>
                      <w:lang w:bidi="ar"/>
                    </w:rPr>
                  </w:pPr>
                </w:p>
              </w:tc>
              <w:tc>
                <w:tcPr>
                  <w:tcW w:w="3905" w:type="dxa"/>
                  <w:vAlign w:val="center"/>
                </w:tcPr>
                <w:p w14:paraId="2642DE34">
                  <w:pPr>
                    <w:widowControl/>
                    <w:jc w:val="center"/>
                    <w:rPr>
                      <w:color w:val="auto"/>
                      <w:kern w:val="0"/>
                      <w:szCs w:val="21"/>
                      <w:lang w:bidi="ar"/>
                    </w:rPr>
                  </w:pPr>
                  <w:r>
                    <w:rPr>
                      <w:color w:val="auto"/>
                      <w:kern w:val="0"/>
                      <w:szCs w:val="21"/>
                      <w:lang w:bidi="ar"/>
                    </w:rPr>
                    <w:t xml:space="preserve">介质：烟气 风量：100000m³/h </w:t>
                  </w:r>
                </w:p>
                <w:p w14:paraId="36C73994">
                  <w:pPr>
                    <w:widowControl/>
                    <w:jc w:val="center"/>
                    <w:rPr>
                      <w:color w:val="auto"/>
                      <w:kern w:val="0"/>
                      <w:szCs w:val="21"/>
                      <w:lang w:bidi="ar"/>
                    </w:rPr>
                  </w:pPr>
                  <w:r>
                    <w:rPr>
                      <w:color w:val="auto"/>
                      <w:kern w:val="0"/>
                      <w:szCs w:val="21"/>
                      <w:lang w:bidi="ar"/>
                    </w:rPr>
                    <w:t xml:space="preserve">风压：1500pa </w:t>
                  </w:r>
                  <w:r>
                    <w:rPr>
                      <w:rFonts w:hint="eastAsia"/>
                      <w:color w:val="auto"/>
                      <w:kern w:val="0"/>
                      <w:szCs w:val="21"/>
                      <w:lang w:bidi="ar"/>
                    </w:rPr>
                    <w:t xml:space="preserve"> </w:t>
                  </w:r>
                  <w:r>
                    <w:rPr>
                      <w:color w:val="auto"/>
                      <w:kern w:val="0"/>
                      <w:szCs w:val="21"/>
                      <w:lang w:bidi="ar"/>
                    </w:rPr>
                    <w:t xml:space="preserve">变频风机功率：N=90kw </w:t>
                  </w:r>
                </w:p>
                <w:p w14:paraId="2C579198">
                  <w:pPr>
                    <w:widowControl/>
                    <w:jc w:val="center"/>
                    <w:rPr>
                      <w:color w:val="auto"/>
                      <w:kern w:val="0"/>
                      <w:szCs w:val="21"/>
                      <w:lang w:bidi="ar"/>
                    </w:rPr>
                  </w:pPr>
                  <w:r>
                    <w:rPr>
                      <w:color w:val="auto"/>
                      <w:kern w:val="0"/>
                      <w:szCs w:val="21"/>
                      <w:lang w:bidi="ar"/>
                    </w:rPr>
                    <w:t xml:space="preserve">冷却风扇功率：N=0.75kw </w:t>
                  </w:r>
                </w:p>
                <w:p w14:paraId="52158331">
                  <w:pPr>
                    <w:widowControl/>
                    <w:jc w:val="center"/>
                    <w:rPr>
                      <w:color w:val="auto"/>
                      <w:kern w:val="0"/>
                      <w:szCs w:val="21"/>
                      <w:lang w:bidi="ar"/>
                    </w:rPr>
                  </w:pPr>
                  <w:r>
                    <w:rPr>
                      <w:color w:val="auto"/>
                      <w:kern w:val="0"/>
                      <w:szCs w:val="21"/>
                      <w:lang w:bidi="ar"/>
                    </w:rPr>
                    <w:t xml:space="preserve">防护等级：IP55  </w:t>
                  </w:r>
                  <w:r>
                    <w:rPr>
                      <w:rFonts w:hint="eastAsia"/>
                      <w:color w:val="auto"/>
                      <w:kern w:val="0"/>
                      <w:szCs w:val="21"/>
                      <w:lang w:bidi="ar"/>
                    </w:rPr>
                    <w:t xml:space="preserve"> </w:t>
                  </w:r>
                  <w:r>
                    <w:rPr>
                      <w:color w:val="auto"/>
                      <w:kern w:val="0"/>
                      <w:szCs w:val="21"/>
                      <w:lang w:bidi="ar"/>
                    </w:rPr>
                    <w:t xml:space="preserve"> 绝缘等级：F </w:t>
                  </w:r>
                </w:p>
                <w:p w14:paraId="7E4DC690">
                  <w:pPr>
                    <w:widowControl/>
                    <w:jc w:val="center"/>
                    <w:rPr>
                      <w:color w:val="auto"/>
                      <w:kern w:val="0"/>
                      <w:szCs w:val="21"/>
                      <w:lang w:bidi="ar"/>
                    </w:rPr>
                  </w:pPr>
                  <w:r>
                    <w:rPr>
                      <w:color w:val="auto"/>
                      <w:kern w:val="0"/>
                      <w:szCs w:val="21"/>
                      <w:lang w:bidi="ar"/>
                    </w:rPr>
                    <w:t>粉尘防爆等级：Ex tD IIIC T135℃ Db</w:t>
                  </w:r>
                </w:p>
              </w:tc>
              <w:tc>
                <w:tcPr>
                  <w:tcW w:w="758" w:type="dxa"/>
                  <w:vAlign w:val="center"/>
                </w:tcPr>
                <w:p w14:paraId="7F3A32C7">
                  <w:pPr>
                    <w:widowControl/>
                    <w:jc w:val="center"/>
                    <w:rPr>
                      <w:color w:val="auto"/>
                      <w:kern w:val="0"/>
                      <w:szCs w:val="21"/>
                      <w:lang w:bidi="ar"/>
                    </w:rPr>
                  </w:pPr>
                  <w:r>
                    <w:rPr>
                      <w:color w:val="auto"/>
                      <w:kern w:val="0"/>
                      <w:szCs w:val="21"/>
                      <w:lang w:bidi="ar"/>
                    </w:rPr>
                    <w:t>台</w:t>
                  </w:r>
                </w:p>
              </w:tc>
              <w:tc>
                <w:tcPr>
                  <w:tcW w:w="723" w:type="dxa"/>
                  <w:vAlign w:val="center"/>
                </w:tcPr>
                <w:p w14:paraId="6CCE76EE">
                  <w:pPr>
                    <w:widowControl/>
                    <w:jc w:val="center"/>
                    <w:rPr>
                      <w:color w:val="auto"/>
                      <w:kern w:val="0"/>
                      <w:szCs w:val="21"/>
                      <w:lang w:bidi="ar"/>
                    </w:rPr>
                  </w:pPr>
                  <w:r>
                    <w:rPr>
                      <w:color w:val="auto"/>
                      <w:kern w:val="0"/>
                      <w:szCs w:val="21"/>
                      <w:lang w:bidi="ar"/>
                    </w:rPr>
                    <w:t>3</w:t>
                  </w:r>
                </w:p>
              </w:tc>
              <w:tc>
                <w:tcPr>
                  <w:tcW w:w="653" w:type="dxa"/>
                  <w:vAlign w:val="center"/>
                </w:tcPr>
                <w:p w14:paraId="069B3CB5">
                  <w:pPr>
                    <w:widowControl/>
                    <w:jc w:val="center"/>
                    <w:rPr>
                      <w:color w:val="auto"/>
                      <w:kern w:val="0"/>
                      <w:szCs w:val="21"/>
                      <w:lang w:bidi="ar"/>
                    </w:rPr>
                  </w:pPr>
                  <w:r>
                    <w:rPr>
                      <w:color w:val="auto"/>
                      <w:kern w:val="0"/>
                      <w:szCs w:val="21"/>
                      <w:lang w:bidi="ar"/>
                    </w:rPr>
                    <w:t>/</w:t>
                  </w:r>
                </w:p>
              </w:tc>
            </w:tr>
            <w:tr w14:paraId="39F2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735" w:type="dxa"/>
                  <w:vAlign w:val="center"/>
                </w:tcPr>
                <w:p w14:paraId="5C6584F9">
                  <w:pPr>
                    <w:widowControl/>
                    <w:jc w:val="center"/>
                    <w:rPr>
                      <w:color w:val="auto"/>
                      <w:kern w:val="0"/>
                      <w:szCs w:val="21"/>
                      <w:lang w:bidi="ar"/>
                    </w:rPr>
                  </w:pPr>
                  <w:r>
                    <w:rPr>
                      <w:color w:val="auto"/>
                      <w:kern w:val="0"/>
                      <w:szCs w:val="21"/>
                      <w:lang w:bidi="ar"/>
                    </w:rPr>
                    <w:t>17</w:t>
                  </w:r>
                </w:p>
              </w:tc>
              <w:tc>
                <w:tcPr>
                  <w:tcW w:w="1268" w:type="dxa"/>
                  <w:vAlign w:val="center"/>
                </w:tcPr>
                <w:p w14:paraId="1527EF30">
                  <w:pPr>
                    <w:widowControl/>
                    <w:jc w:val="center"/>
                    <w:rPr>
                      <w:color w:val="auto"/>
                      <w:kern w:val="0"/>
                      <w:szCs w:val="21"/>
                      <w:lang w:bidi="ar"/>
                    </w:rPr>
                  </w:pPr>
                  <w:r>
                    <w:rPr>
                      <w:rFonts w:hint="eastAsia"/>
                      <w:color w:val="auto"/>
                      <w:kern w:val="0"/>
                      <w:szCs w:val="21"/>
                      <w:lang w:val="en-US" w:eastAsia="zh-CN" w:bidi="ar"/>
                    </w:rPr>
                    <w:t>烘干</w:t>
                  </w:r>
                  <w:r>
                    <w:rPr>
                      <w:color w:val="auto"/>
                      <w:kern w:val="0"/>
                      <w:szCs w:val="21"/>
                      <w:lang w:bidi="ar"/>
                    </w:rPr>
                    <w:t>布袋除尘器</w:t>
                  </w:r>
                </w:p>
              </w:tc>
              <w:tc>
                <w:tcPr>
                  <w:tcW w:w="3905" w:type="dxa"/>
                  <w:vAlign w:val="center"/>
                </w:tcPr>
                <w:p w14:paraId="514B19FF">
                  <w:pPr>
                    <w:widowControl/>
                    <w:jc w:val="center"/>
                    <w:rPr>
                      <w:color w:val="auto"/>
                      <w:kern w:val="0"/>
                      <w:szCs w:val="21"/>
                      <w:lang w:bidi="ar"/>
                    </w:rPr>
                  </w:pPr>
                  <w:r>
                    <w:rPr>
                      <w:color w:val="auto"/>
                      <w:kern w:val="0"/>
                      <w:szCs w:val="21"/>
                      <w:lang w:bidi="ar"/>
                    </w:rPr>
                    <w:t>介质：烟气</w:t>
                  </w:r>
                  <w:r>
                    <w:rPr>
                      <w:rFonts w:hint="eastAsia"/>
                      <w:color w:val="auto"/>
                      <w:kern w:val="0"/>
                      <w:szCs w:val="21"/>
                      <w:lang w:bidi="ar"/>
                    </w:rPr>
                    <w:t xml:space="preserve">  </w:t>
                  </w:r>
                  <w:r>
                    <w:rPr>
                      <w:color w:val="auto"/>
                      <w:kern w:val="0"/>
                      <w:szCs w:val="21"/>
                      <w:lang w:bidi="ar"/>
                    </w:rPr>
                    <w:t xml:space="preserve"> 风量：100000m</w:t>
                  </w:r>
                  <w:r>
                    <w:rPr>
                      <w:color w:val="auto"/>
                      <w:kern w:val="0"/>
                      <w:szCs w:val="21"/>
                      <w:vertAlign w:val="superscript"/>
                      <w:lang w:bidi="ar"/>
                    </w:rPr>
                    <w:t>3</w:t>
                  </w:r>
                  <w:r>
                    <w:rPr>
                      <w:color w:val="auto"/>
                      <w:kern w:val="0"/>
                      <w:szCs w:val="21"/>
                      <w:lang w:bidi="ar"/>
                    </w:rPr>
                    <w:t xml:space="preserve">/h </w:t>
                  </w:r>
                </w:p>
              </w:tc>
              <w:tc>
                <w:tcPr>
                  <w:tcW w:w="758" w:type="dxa"/>
                  <w:vAlign w:val="center"/>
                </w:tcPr>
                <w:p w14:paraId="1230A174">
                  <w:pPr>
                    <w:widowControl/>
                    <w:jc w:val="center"/>
                    <w:rPr>
                      <w:color w:val="auto"/>
                      <w:kern w:val="0"/>
                      <w:szCs w:val="21"/>
                      <w:lang w:bidi="ar"/>
                    </w:rPr>
                  </w:pPr>
                  <w:r>
                    <w:rPr>
                      <w:color w:val="auto"/>
                      <w:kern w:val="0"/>
                      <w:szCs w:val="21"/>
                      <w:lang w:bidi="ar"/>
                    </w:rPr>
                    <w:t>台</w:t>
                  </w:r>
                </w:p>
              </w:tc>
              <w:tc>
                <w:tcPr>
                  <w:tcW w:w="723" w:type="dxa"/>
                  <w:vAlign w:val="center"/>
                </w:tcPr>
                <w:p w14:paraId="14A4595A">
                  <w:pPr>
                    <w:widowControl/>
                    <w:jc w:val="center"/>
                    <w:rPr>
                      <w:color w:val="auto"/>
                      <w:kern w:val="0"/>
                      <w:szCs w:val="21"/>
                      <w:lang w:bidi="ar"/>
                    </w:rPr>
                  </w:pPr>
                  <w:r>
                    <w:rPr>
                      <w:rFonts w:hint="eastAsia"/>
                      <w:color w:val="auto"/>
                      <w:kern w:val="0"/>
                      <w:szCs w:val="21"/>
                      <w:lang w:bidi="ar"/>
                    </w:rPr>
                    <w:t>3</w:t>
                  </w:r>
                </w:p>
              </w:tc>
              <w:tc>
                <w:tcPr>
                  <w:tcW w:w="653" w:type="dxa"/>
                  <w:vAlign w:val="center"/>
                </w:tcPr>
                <w:p w14:paraId="78B6166A">
                  <w:pPr>
                    <w:widowControl/>
                    <w:jc w:val="center"/>
                    <w:rPr>
                      <w:color w:val="auto"/>
                      <w:kern w:val="0"/>
                      <w:szCs w:val="21"/>
                      <w:lang w:bidi="ar"/>
                    </w:rPr>
                  </w:pPr>
                  <w:r>
                    <w:rPr>
                      <w:color w:val="auto"/>
                      <w:kern w:val="0"/>
                      <w:szCs w:val="21"/>
                      <w:lang w:bidi="ar"/>
                    </w:rPr>
                    <w:t>/</w:t>
                  </w:r>
                </w:p>
              </w:tc>
            </w:tr>
            <w:tr w14:paraId="0CBA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735" w:type="dxa"/>
                  <w:vAlign w:val="center"/>
                </w:tcPr>
                <w:p w14:paraId="4D3923D4">
                  <w:pPr>
                    <w:widowControl/>
                    <w:jc w:val="center"/>
                    <w:rPr>
                      <w:color w:val="auto"/>
                      <w:kern w:val="0"/>
                      <w:szCs w:val="21"/>
                      <w:lang w:bidi="ar"/>
                    </w:rPr>
                  </w:pPr>
                  <w:r>
                    <w:rPr>
                      <w:rFonts w:hint="eastAsia"/>
                      <w:color w:val="auto"/>
                      <w:kern w:val="0"/>
                      <w:szCs w:val="21"/>
                      <w:lang w:bidi="ar"/>
                    </w:rPr>
                    <w:t>18</w:t>
                  </w:r>
                </w:p>
              </w:tc>
              <w:tc>
                <w:tcPr>
                  <w:tcW w:w="1268" w:type="dxa"/>
                  <w:vAlign w:val="center"/>
                </w:tcPr>
                <w:p w14:paraId="7520DA5A">
                  <w:pPr>
                    <w:widowControl/>
                    <w:jc w:val="center"/>
                    <w:rPr>
                      <w:color w:val="auto"/>
                      <w:kern w:val="0"/>
                      <w:szCs w:val="21"/>
                      <w:lang w:bidi="ar"/>
                    </w:rPr>
                  </w:pPr>
                  <w:r>
                    <w:rPr>
                      <w:rFonts w:hint="eastAsia"/>
                      <w:color w:val="auto"/>
                      <w:kern w:val="0"/>
                      <w:szCs w:val="21"/>
                      <w:lang w:val="en-US" w:eastAsia="zh-CN" w:bidi="ar"/>
                    </w:rPr>
                    <w:t>原料仓库</w:t>
                  </w:r>
                  <w:r>
                    <w:rPr>
                      <w:color w:val="auto"/>
                      <w:kern w:val="0"/>
                      <w:szCs w:val="21"/>
                      <w:lang w:bidi="ar"/>
                    </w:rPr>
                    <w:t>布袋除尘器</w:t>
                  </w:r>
                </w:p>
              </w:tc>
              <w:tc>
                <w:tcPr>
                  <w:tcW w:w="3905" w:type="dxa"/>
                  <w:vAlign w:val="center"/>
                </w:tcPr>
                <w:p w14:paraId="21F28C3C">
                  <w:pPr>
                    <w:widowControl/>
                    <w:jc w:val="center"/>
                    <w:rPr>
                      <w:color w:val="auto"/>
                      <w:kern w:val="0"/>
                      <w:szCs w:val="21"/>
                      <w:lang w:bidi="ar"/>
                    </w:rPr>
                  </w:pPr>
                  <w:r>
                    <w:rPr>
                      <w:color w:val="auto"/>
                      <w:kern w:val="0"/>
                      <w:szCs w:val="21"/>
                      <w:lang w:bidi="ar"/>
                    </w:rPr>
                    <w:t>介质：烟气</w:t>
                  </w:r>
                  <w:r>
                    <w:rPr>
                      <w:rFonts w:hint="eastAsia"/>
                      <w:color w:val="auto"/>
                      <w:kern w:val="0"/>
                      <w:szCs w:val="21"/>
                      <w:lang w:bidi="ar"/>
                    </w:rPr>
                    <w:t xml:space="preserve">  </w:t>
                  </w:r>
                  <w:r>
                    <w:rPr>
                      <w:color w:val="auto"/>
                      <w:kern w:val="0"/>
                      <w:szCs w:val="21"/>
                      <w:lang w:bidi="ar"/>
                    </w:rPr>
                    <w:t xml:space="preserve"> 风量：10000m</w:t>
                  </w:r>
                  <w:r>
                    <w:rPr>
                      <w:color w:val="auto"/>
                      <w:kern w:val="0"/>
                      <w:szCs w:val="21"/>
                      <w:vertAlign w:val="superscript"/>
                      <w:lang w:bidi="ar"/>
                    </w:rPr>
                    <w:t>3</w:t>
                  </w:r>
                  <w:r>
                    <w:rPr>
                      <w:color w:val="auto"/>
                      <w:kern w:val="0"/>
                      <w:szCs w:val="21"/>
                      <w:lang w:bidi="ar"/>
                    </w:rPr>
                    <w:t xml:space="preserve">/h </w:t>
                  </w:r>
                </w:p>
              </w:tc>
              <w:tc>
                <w:tcPr>
                  <w:tcW w:w="758" w:type="dxa"/>
                  <w:vAlign w:val="center"/>
                </w:tcPr>
                <w:p w14:paraId="4DA32B7B">
                  <w:pPr>
                    <w:widowControl/>
                    <w:jc w:val="center"/>
                    <w:rPr>
                      <w:color w:val="auto"/>
                      <w:kern w:val="0"/>
                      <w:szCs w:val="21"/>
                      <w:lang w:bidi="ar"/>
                    </w:rPr>
                  </w:pPr>
                  <w:r>
                    <w:rPr>
                      <w:color w:val="auto"/>
                      <w:kern w:val="0"/>
                      <w:szCs w:val="21"/>
                      <w:lang w:bidi="ar"/>
                    </w:rPr>
                    <w:t>台</w:t>
                  </w:r>
                </w:p>
              </w:tc>
              <w:tc>
                <w:tcPr>
                  <w:tcW w:w="723" w:type="dxa"/>
                  <w:vAlign w:val="center"/>
                </w:tcPr>
                <w:p w14:paraId="0AF6EA42">
                  <w:pPr>
                    <w:widowControl/>
                    <w:jc w:val="center"/>
                    <w:rPr>
                      <w:color w:val="auto"/>
                      <w:kern w:val="0"/>
                      <w:szCs w:val="21"/>
                      <w:lang w:bidi="ar"/>
                    </w:rPr>
                  </w:pPr>
                  <w:r>
                    <w:rPr>
                      <w:rFonts w:hint="eastAsia"/>
                      <w:color w:val="auto"/>
                      <w:kern w:val="0"/>
                      <w:szCs w:val="21"/>
                      <w:lang w:bidi="ar"/>
                    </w:rPr>
                    <w:t>1</w:t>
                  </w:r>
                </w:p>
              </w:tc>
              <w:tc>
                <w:tcPr>
                  <w:tcW w:w="653" w:type="dxa"/>
                  <w:vAlign w:val="center"/>
                </w:tcPr>
                <w:p w14:paraId="7BF47DEF">
                  <w:pPr>
                    <w:widowControl/>
                    <w:jc w:val="center"/>
                    <w:rPr>
                      <w:color w:val="auto"/>
                      <w:kern w:val="0"/>
                      <w:szCs w:val="21"/>
                      <w:lang w:bidi="ar"/>
                    </w:rPr>
                  </w:pPr>
                  <w:r>
                    <w:rPr>
                      <w:rFonts w:hint="eastAsia"/>
                      <w:color w:val="auto"/>
                      <w:kern w:val="0"/>
                      <w:szCs w:val="21"/>
                      <w:lang w:bidi="ar"/>
                    </w:rPr>
                    <w:t>/</w:t>
                  </w:r>
                </w:p>
              </w:tc>
            </w:tr>
            <w:tr w14:paraId="248B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735" w:type="dxa"/>
                  <w:shd w:val="clear" w:color="auto" w:fill="auto"/>
                  <w:vAlign w:val="center"/>
                </w:tcPr>
                <w:p w14:paraId="038F0028">
                  <w:pPr>
                    <w:widowControl/>
                    <w:jc w:val="center"/>
                    <w:rPr>
                      <w:rFonts w:hint="eastAsia" w:ascii="Times New Roman" w:hAnsi="Times New Roman" w:eastAsia="宋体" w:cs="Times New Roman"/>
                      <w:color w:val="auto"/>
                      <w:kern w:val="0"/>
                      <w:sz w:val="21"/>
                      <w:szCs w:val="21"/>
                      <w:lang w:val="en-US" w:eastAsia="zh-CN" w:bidi="ar"/>
                    </w:rPr>
                  </w:pPr>
                  <w:r>
                    <w:rPr>
                      <w:color w:val="auto"/>
                      <w:kern w:val="0"/>
                      <w:szCs w:val="21"/>
                      <w:lang w:bidi="ar"/>
                    </w:rPr>
                    <w:t>19</w:t>
                  </w:r>
                </w:p>
              </w:tc>
              <w:tc>
                <w:tcPr>
                  <w:tcW w:w="1268" w:type="dxa"/>
                  <w:vAlign w:val="center"/>
                </w:tcPr>
                <w:p w14:paraId="063198CF">
                  <w:pPr>
                    <w:widowControl/>
                    <w:jc w:val="center"/>
                    <w:rPr>
                      <w:rFonts w:hint="eastAsia"/>
                      <w:color w:val="auto"/>
                      <w:kern w:val="0"/>
                      <w:szCs w:val="21"/>
                      <w:lang w:val="en-US" w:eastAsia="zh-CN" w:bidi="ar"/>
                    </w:rPr>
                  </w:pPr>
                  <w:r>
                    <w:rPr>
                      <w:rFonts w:hint="eastAsia"/>
                      <w:color w:val="auto"/>
                      <w:kern w:val="0"/>
                      <w:szCs w:val="21"/>
                      <w:lang w:val="en-US" w:eastAsia="zh-CN" w:bidi="ar"/>
                    </w:rPr>
                    <w:t>钢仓仓顶</w:t>
                  </w:r>
                  <w:r>
                    <w:rPr>
                      <w:color w:val="auto"/>
                      <w:kern w:val="0"/>
                      <w:szCs w:val="21"/>
                      <w:lang w:bidi="ar"/>
                    </w:rPr>
                    <w:t>布袋除尘器</w:t>
                  </w:r>
                </w:p>
              </w:tc>
              <w:tc>
                <w:tcPr>
                  <w:tcW w:w="3905" w:type="dxa"/>
                  <w:vAlign w:val="center"/>
                </w:tcPr>
                <w:p w14:paraId="10FD338B">
                  <w:pPr>
                    <w:widowControl/>
                    <w:jc w:val="center"/>
                    <w:rPr>
                      <w:color w:val="auto"/>
                      <w:kern w:val="0"/>
                      <w:szCs w:val="21"/>
                      <w:lang w:bidi="ar"/>
                    </w:rPr>
                  </w:pPr>
                  <w:r>
                    <w:rPr>
                      <w:color w:val="auto"/>
                      <w:kern w:val="0"/>
                      <w:szCs w:val="21"/>
                      <w:lang w:bidi="ar"/>
                    </w:rPr>
                    <w:t>介质：烟气</w:t>
                  </w:r>
                  <w:r>
                    <w:rPr>
                      <w:rFonts w:hint="eastAsia"/>
                      <w:color w:val="auto"/>
                      <w:kern w:val="0"/>
                      <w:szCs w:val="21"/>
                      <w:lang w:bidi="ar"/>
                    </w:rPr>
                    <w:t xml:space="preserve">  </w:t>
                  </w:r>
                  <w:r>
                    <w:rPr>
                      <w:color w:val="auto"/>
                      <w:kern w:val="0"/>
                      <w:szCs w:val="21"/>
                      <w:lang w:bidi="ar"/>
                    </w:rPr>
                    <w:t xml:space="preserve"> 风量：</w:t>
                  </w:r>
                  <w:r>
                    <w:rPr>
                      <w:rFonts w:hint="eastAsia"/>
                      <w:color w:val="auto"/>
                      <w:kern w:val="0"/>
                      <w:szCs w:val="21"/>
                      <w:lang w:val="en-US" w:eastAsia="zh-CN" w:bidi="ar"/>
                    </w:rPr>
                    <w:t>7000</w:t>
                  </w:r>
                  <w:r>
                    <w:rPr>
                      <w:color w:val="auto"/>
                      <w:kern w:val="0"/>
                      <w:szCs w:val="21"/>
                      <w:lang w:bidi="ar"/>
                    </w:rPr>
                    <w:t>m</w:t>
                  </w:r>
                  <w:r>
                    <w:rPr>
                      <w:color w:val="auto"/>
                      <w:kern w:val="0"/>
                      <w:szCs w:val="21"/>
                      <w:vertAlign w:val="superscript"/>
                      <w:lang w:bidi="ar"/>
                    </w:rPr>
                    <w:t>3</w:t>
                  </w:r>
                  <w:r>
                    <w:rPr>
                      <w:color w:val="auto"/>
                      <w:kern w:val="0"/>
                      <w:szCs w:val="21"/>
                      <w:lang w:bidi="ar"/>
                    </w:rPr>
                    <w:t xml:space="preserve">/h </w:t>
                  </w:r>
                </w:p>
              </w:tc>
              <w:tc>
                <w:tcPr>
                  <w:tcW w:w="758" w:type="dxa"/>
                  <w:shd w:val="clear" w:color="auto" w:fill="auto"/>
                  <w:vAlign w:val="center"/>
                </w:tcPr>
                <w:p w14:paraId="3D15036B">
                  <w:pPr>
                    <w:widowControl/>
                    <w:jc w:val="center"/>
                    <w:rPr>
                      <w:rFonts w:ascii="Times New Roman" w:hAnsi="Times New Roman" w:eastAsia="宋体" w:cs="Times New Roman"/>
                      <w:color w:val="auto"/>
                      <w:kern w:val="0"/>
                      <w:sz w:val="21"/>
                      <w:szCs w:val="21"/>
                      <w:lang w:val="en-US" w:eastAsia="zh-CN" w:bidi="ar"/>
                    </w:rPr>
                  </w:pPr>
                  <w:r>
                    <w:rPr>
                      <w:rFonts w:hint="eastAsia"/>
                      <w:color w:val="auto"/>
                      <w:kern w:val="0"/>
                      <w:szCs w:val="21"/>
                      <w:lang w:bidi="ar"/>
                    </w:rPr>
                    <w:t>台</w:t>
                  </w:r>
                </w:p>
              </w:tc>
              <w:tc>
                <w:tcPr>
                  <w:tcW w:w="723" w:type="dxa"/>
                  <w:shd w:val="clear" w:color="auto" w:fill="auto"/>
                  <w:vAlign w:val="center"/>
                </w:tcPr>
                <w:p w14:paraId="4EEECF69">
                  <w:pPr>
                    <w:widowControl/>
                    <w:jc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val="en-US" w:eastAsia="zh-CN" w:bidi="ar"/>
                    </w:rPr>
                    <w:t>3</w:t>
                  </w:r>
                </w:p>
              </w:tc>
              <w:tc>
                <w:tcPr>
                  <w:tcW w:w="653" w:type="dxa"/>
                  <w:vAlign w:val="center"/>
                </w:tcPr>
                <w:p w14:paraId="026481EC">
                  <w:pPr>
                    <w:widowControl/>
                    <w:jc w:val="center"/>
                    <w:rPr>
                      <w:rFonts w:hint="eastAsia" w:eastAsia="宋体"/>
                      <w:color w:val="auto"/>
                      <w:kern w:val="0"/>
                      <w:szCs w:val="21"/>
                      <w:lang w:val="en-US" w:eastAsia="zh-CN" w:bidi="ar"/>
                    </w:rPr>
                  </w:pPr>
                  <w:r>
                    <w:rPr>
                      <w:rFonts w:hint="eastAsia"/>
                      <w:color w:val="auto"/>
                      <w:kern w:val="0"/>
                      <w:szCs w:val="21"/>
                      <w:lang w:val="en-US" w:eastAsia="zh-CN" w:bidi="ar"/>
                    </w:rPr>
                    <w:t>/</w:t>
                  </w:r>
                </w:p>
              </w:tc>
            </w:tr>
            <w:tr w14:paraId="7679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735" w:type="dxa"/>
                  <w:shd w:val="clear" w:color="auto" w:fill="auto"/>
                  <w:vAlign w:val="center"/>
                </w:tcPr>
                <w:p w14:paraId="353B468D">
                  <w:pPr>
                    <w:widowControl/>
                    <w:jc w:val="center"/>
                    <w:rPr>
                      <w:rFonts w:ascii="Times New Roman" w:hAnsi="Times New Roman" w:eastAsia="宋体" w:cs="Times New Roman"/>
                      <w:color w:val="auto"/>
                      <w:kern w:val="0"/>
                      <w:sz w:val="21"/>
                      <w:szCs w:val="21"/>
                      <w:lang w:val="en-US" w:eastAsia="zh-CN" w:bidi="ar"/>
                    </w:rPr>
                  </w:pPr>
                  <w:r>
                    <w:rPr>
                      <w:color w:val="auto"/>
                      <w:kern w:val="0"/>
                      <w:szCs w:val="21"/>
                      <w:lang w:bidi="ar"/>
                    </w:rPr>
                    <w:t>20</w:t>
                  </w:r>
                </w:p>
              </w:tc>
              <w:tc>
                <w:tcPr>
                  <w:tcW w:w="1268" w:type="dxa"/>
                  <w:vAlign w:val="center"/>
                </w:tcPr>
                <w:p w14:paraId="57CD9C1D">
                  <w:pPr>
                    <w:widowControl/>
                    <w:jc w:val="center"/>
                    <w:rPr>
                      <w:color w:val="auto"/>
                      <w:kern w:val="0"/>
                      <w:szCs w:val="21"/>
                      <w:lang w:bidi="ar"/>
                    </w:rPr>
                  </w:pPr>
                  <w:r>
                    <w:rPr>
                      <w:rFonts w:hint="eastAsia"/>
                      <w:color w:val="auto"/>
                      <w:kern w:val="0"/>
                      <w:szCs w:val="21"/>
                      <w:lang w:bidi="ar"/>
                    </w:rPr>
                    <w:t>固定式射雾器（雾炮机）</w:t>
                  </w:r>
                </w:p>
              </w:tc>
              <w:tc>
                <w:tcPr>
                  <w:tcW w:w="3905" w:type="dxa"/>
                  <w:vAlign w:val="center"/>
                </w:tcPr>
                <w:p w14:paraId="3E833744">
                  <w:pPr>
                    <w:widowControl/>
                    <w:jc w:val="center"/>
                    <w:rPr>
                      <w:color w:val="auto"/>
                      <w:kern w:val="0"/>
                      <w:szCs w:val="21"/>
                      <w:lang w:bidi="ar"/>
                    </w:rPr>
                  </w:pPr>
                  <w:r>
                    <w:rPr>
                      <w:rFonts w:hint="eastAsia"/>
                      <w:color w:val="auto"/>
                      <w:kern w:val="0"/>
                      <w:szCs w:val="21"/>
                      <w:lang w:bidi="ar"/>
                    </w:rPr>
                    <w:t>射程100m</w:t>
                  </w:r>
                </w:p>
              </w:tc>
              <w:tc>
                <w:tcPr>
                  <w:tcW w:w="758" w:type="dxa"/>
                  <w:vAlign w:val="center"/>
                </w:tcPr>
                <w:p w14:paraId="40AAD48A">
                  <w:pPr>
                    <w:widowControl/>
                    <w:jc w:val="center"/>
                    <w:rPr>
                      <w:color w:val="auto"/>
                      <w:kern w:val="0"/>
                      <w:szCs w:val="21"/>
                      <w:lang w:bidi="ar"/>
                    </w:rPr>
                  </w:pPr>
                  <w:r>
                    <w:rPr>
                      <w:rFonts w:hint="eastAsia"/>
                      <w:color w:val="auto"/>
                      <w:kern w:val="0"/>
                      <w:szCs w:val="21"/>
                      <w:lang w:bidi="ar"/>
                    </w:rPr>
                    <w:t>台</w:t>
                  </w:r>
                </w:p>
              </w:tc>
              <w:tc>
                <w:tcPr>
                  <w:tcW w:w="723" w:type="dxa"/>
                  <w:vAlign w:val="center"/>
                </w:tcPr>
                <w:p w14:paraId="10E92821">
                  <w:pPr>
                    <w:widowControl/>
                    <w:jc w:val="center"/>
                    <w:rPr>
                      <w:color w:val="auto"/>
                      <w:kern w:val="0"/>
                      <w:szCs w:val="21"/>
                      <w:lang w:bidi="ar"/>
                    </w:rPr>
                  </w:pPr>
                  <w:r>
                    <w:rPr>
                      <w:rFonts w:hint="eastAsia"/>
                      <w:color w:val="auto"/>
                      <w:kern w:val="0"/>
                      <w:szCs w:val="21"/>
                      <w:lang w:bidi="ar"/>
                    </w:rPr>
                    <w:t>1</w:t>
                  </w:r>
                </w:p>
              </w:tc>
              <w:tc>
                <w:tcPr>
                  <w:tcW w:w="653" w:type="dxa"/>
                  <w:vAlign w:val="center"/>
                </w:tcPr>
                <w:p w14:paraId="79E1518C">
                  <w:pPr>
                    <w:widowControl/>
                    <w:jc w:val="center"/>
                    <w:rPr>
                      <w:color w:val="auto"/>
                      <w:kern w:val="0"/>
                      <w:szCs w:val="21"/>
                      <w:lang w:bidi="ar"/>
                    </w:rPr>
                  </w:pPr>
                  <w:r>
                    <w:rPr>
                      <w:color w:val="auto"/>
                      <w:kern w:val="0"/>
                      <w:szCs w:val="21"/>
                      <w:lang w:bidi="ar"/>
                    </w:rPr>
                    <w:t>/</w:t>
                  </w:r>
                </w:p>
              </w:tc>
            </w:tr>
            <w:tr w14:paraId="3C5D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735" w:type="dxa"/>
                  <w:shd w:val="clear" w:color="auto" w:fill="auto"/>
                  <w:vAlign w:val="center"/>
                </w:tcPr>
                <w:p w14:paraId="32A14D31">
                  <w:pPr>
                    <w:widowControl/>
                    <w:jc w:val="center"/>
                    <w:rPr>
                      <w:rFonts w:ascii="Times New Roman" w:hAnsi="Times New Roman" w:eastAsia="宋体" w:cs="Times New Roman"/>
                      <w:color w:val="auto"/>
                      <w:kern w:val="0"/>
                      <w:sz w:val="21"/>
                      <w:szCs w:val="21"/>
                      <w:lang w:val="en-US" w:eastAsia="zh-CN" w:bidi="ar"/>
                    </w:rPr>
                  </w:pPr>
                  <w:r>
                    <w:rPr>
                      <w:color w:val="auto"/>
                      <w:kern w:val="0"/>
                      <w:szCs w:val="21"/>
                      <w:lang w:bidi="ar"/>
                    </w:rPr>
                    <w:t>21</w:t>
                  </w:r>
                </w:p>
              </w:tc>
              <w:tc>
                <w:tcPr>
                  <w:tcW w:w="1268" w:type="dxa"/>
                  <w:vAlign w:val="center"/>
                </w:tcPr>
                <w:p w14:paraId="5731EDDA">
                  <w:pPr>
                    <w:widowControl/>
                    <w:jc w:val="center"/>
                    <w:rPr>
                      <w:color w:val="auto"/>
                      <w:kern w:val="0"/>
                      <w:szCs w:val="21"/>
                      <w:lang w:bidi="ar"/>
                    </w:rPr>
                  </w:pPr>
                  <w:r>
                    <w:rPr>
                      <w:rFonts w:hint="eastAsia"/>
                      <w:color w:val="auto"/>
                      <w:kern w:val="0"/>
                      <w:szCs w:val="21"/>
                      <w:lang w:bidi="ar"/>
                    </w:rPr>
                    <w:t>干雾抑尘器</w:t>
                  </w:r>
                </w:p>
              </w:tc>
              <w:tc>
                <w:tcPr>
                  <w:tcW w:w="3905" w:type="dxa"/>
                  <w:vAlign w:val="center"/>
                </w:tcPr>
                <w:p w14:paraId="75781A5A">
                  <w:pPr>
                    <w:widowControl/>
                    <w:jc w:val="center"/>
                    <w:rPr>
                      <w:color w:val="auto"/>
                      <w:kern w:val="0"/>
                      <w:szCs w:val="21"/>
                      <w:lang w:bidi="ar"/>
                    </w:rPr>
                  </w:pPr>
                  <w:r>
                    <w:rPr>
                      <w:rFonts w:hint="eastAsia"/>
                      <w:color w:val="auto"/>
                      <w:kern w:val="0"/>
                      <w:szCs w:val="21"/>
                      <w:lang w:bidi="ar"/>
                    </w:rPr>
                    <w:t>型号：DS-60</w:t>
                  </w:r>
                </w:p>
              </w:tc>
              <w:tc>
                <w:tcPr>
                  <w:tcW w:w="758" w:type="dxa"/>
                  <w:vAlign w:val="center"/>
                </w:tcPr>
                <w:p w14:paraId="63B97AF5">
                  <w:pPr>
                    <w:widowControl/>
                    <w:jc w:val="center"/>
                    <w:rPr>
                      <w:color w:val="auto"/>
                      <w:kern w:val="0"/>
                      <w:szCs w:val="21"/>
                      <w:lang w:bidi="ar"/>
                    </w:rPr>
                  </w:pPr>
                  <w:r>
                    <w:rPr>
                      <w:rFonts w:hint="eastAsia"/>
                      <w:color w:val="auto"/>
                      <w:kern w:val="0"/>
                      <w:szCs w:val="21"/>
                      <w:lang w:bidi="ar"/>
                    </w:rPr>
                    <w:t>台</w:t>
                  </w:r>
                </w:p>
              </w:tc>
              <w:tc>
                <w:tcPr>
                  <w:tcW w:w="723" w:type="dxa"/>
                  <w:vAlign w:val="center"/>
                </w:tcPr>
                <w:p w14:paraId="33DB78EA">
                  <w:pPr>
                    <w:widowControl/>
                    <w:jc w:val="center"/>
                    <w:rPr>
                      <w:color w:val="auto"/>
                      <w:kern w:val="0"/>
                      <w:szCs w:val="21"/>
                      <w:lang w:bidi="ar"/>
                    </w:rPr>
                  </w:pPr>
                  <w:r>
                    <w:rPr>
                      <w:rFonts w:hint="eastAsia"/>
                      <w:color w:val="auto"/>
                      <w:kern w:val="0"/>
                      <w:szCs w:val="21"/>
                      <w:lang w:bidi="ar"/>
                    </w:rPr>
                    <w:t>1</w:t>
                  </w:r>
                </w:p>
              </w:tc>
              <w:tc>
                <w:tcPr>
                  <w:tcW w:w="653" w:type="dxa"/>
                  <w:vAlign w:val="center"/>
                </w:tcPr>
                <w:p w14:paraId="39F2C541">
                  <w:pPr>
                    <w:widowControl/>
                    <w:jc w:val="center"/>
                    <w:rPr>
                      <w:color w:val="auto"/>
                      <w:kern w:val="0"/>
                      <w:szCs w:val="21"/>
                      <w:lang w:bidi="ar"/>
                    </w:rPr>
                  </w:pPr>
                  <w:r>
                    <w:rPr>
                      <w:rFonts w:hint="eastAsia"/>
                      <w:color w:val="auto"/>
                      <w:kern w:val="0"/>
                      <w:szCs w:val="21"/>
                      <w:lang w:bidi="ar"/>
                    </w:rPr>
                    <w:t>/</w:t>
                  </w:r>
                </w:p>
              </w:tc>
            </w:tr>
            <w:tr w14:paraId="62D9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shd w:val="clear" w:color="auto" w:fill="auto"/>
                  <w:vAlign w:val="center"/>
                </w:tcPr>
                <w:p w14:paraId="72A438D6">
                  <w:pPr>
                    <w:widowControl/>
                    <w:jc w:val="center"/>
                    <w:rPr>
                      <w:rFonts w:ascii="Times New Roman" w:hAnsi="Times New Roman" w:eastAsia="宋体" w:cs="Times New Roman"/>
                      <w:color w:val="auto"/>
                      <w:kern w:val="0"/>
                      <w:sz w:val="21"/>
                      <w:szCs w:val="21"/>
                      <w:lang w:val="en-US" w:eastAsia="zh-CN" w:bidi="ar"/>
                    </w:rPr>
                  </w:pPr>
                  <w:r>
                    <w:rPr>
                      <w:color w:val="auto"/>
                      <w:kern w:val="0"/>
                      <w:szCs w:val="21"/>
                      <w:lang w:bidi="ar"/>
                    </w:rPr>
                    <w:t>22</w:t>
                  </w:r>
                </w:p>
              </w:tc>
              <w:tc>
                <w:tcPr>
                  <w:tcW w:w="1268" w:type="dxa"/>
                  <w:vAlign w:val="center"/>
                </w:tcPr>
                <w:p w14:paraId="6235A36E">
                  <w:pPr>
                    <w:widowControl/>
                    <w:jc w:val="center"/>
                    <w:rPr>
                      <w:color w:val="auto"/>
                      <w:kern w:val="0"/>
                      <w:szCs w:val="21"/>
                      <w:lang w:bidi="ar"/>
                    </w:rPr>
                  </w:pPr>
                  <w:r>
                    <w:rPr>
                      <w:color w:val="auto"/>
                      <w:kern w:val="0"/>
                      <w:szCs w:val="21"/>
                      <w:lang w:bidi="ar"/>
                    </w:rPr>
                    <w:t>余热回收上升管</w:t>
                  </w:r>
                </w:p>
              </w:tc>
              <w:tc>
                <w:tcPr>
                  <w:tcW w:w="3905" w:type="dxa"/>
                  <w:vAlign w:val="center"/>
                </w:tcPr>
                <w:p w14:paraId="6F42C0EA">
                  <w:pPr>
                    <w:widowControl/>
                    <w:jc w:val="center"/>
                    <w:rPr>
                      <w:color w:val="auto"/>
                      <w:kern w:val="0"/>
                      <w:szCs w:val="21"/>
                      <w:lang w:bidi="ar"/>
                    </w:rPr>
                  </w:pPr>
                  <w:r>
                    <w:rPr>
                      <w:color w:val="auto"/>
                      <w:kern w:val="0"/>
                      <w:szCs w:val="21"/>
                      <w:lang w:bidi="ar"/>
                    </w:rPr>
                    <w:t>Φ500×2170</w:t>
                  </w:r>
                </w:p>
              </w:tc>
              <w:tc>
                <w:tcPr>
                  <w:tcW w:w="758" w:type="dxa"/>
                  <w:vAlign w:val="center"/>
                </w:tcPr>
                <w:p w14:paraId="6E059ED9">
                  <w:pPr>
                    <w:widowControl/>
                    <w:jc w:val="center"/>
                    <w:rPr>
                      <w:color w:val="auto"/>
                      <w:kern w:val="0"/>
                      <w:szCs w:val="21"/>
                      <w:lang w:bidi="ar"/>
                    </w:rPr>
                  </w:pPr>
                  <w:r>
                    <w:rPr>
                      <w:color w:val="auto"/>
                      <w:kern w:val="0"/>
                      <w:szCs w:val="21"/>
                      <w:lang w:bidi="ar"/>
                    </w:rPr>
                    <w:t>台</w:t>
                  </w:r>
                </w:p>
              </w:tc>
              <w:tc>
                <w:tcPr>
                  <w:tcW w:w="723" w:type="dxa"/>
                  <w:vAlign w:val="center"/>
                </w:tcPr>
                <w:p w14:paraId="2C0C1D3A">
                  <w:pPr>
                    <w:widowControl/>
                    <w:jc w:val="center"/>
                    <w:rPr>
                      <w:color w:val="auto"/>
                      <w:kern w:val="0"/>
                      <w:szCs w:val="21"/>
                      <w:lang w:bidi="ar"/>
                    </w:rPr>
                  </w:pPr>
                  <w:r>
                    <w:rPr>
                      <w:color w:val="auto"/>
                      <w:kern w:val="0"/>
                      <w:szCs w:val="21"/>
                      <w:lang w:bidi="ar"/>
                    </w:rPr>
                    <w:t>2*60</w:t>
                  </w:r>
                </w:p>
              </w:tc>
              <w:tc>
                <w:tcPr>
                  <w:tcW w:w="653" w:type="dxa"/>
                  <w:vAlign w:val="center"/>
                </w:tcPr>
                <w:p w14:paraId="4AB1013C">
                  <w:pPr>
                    <w:widowControl/>
                    <w:jc w:val="center"/>
                    <w:rPr>
                      <w:color w:val="auto"/>
                      <w:kern w:val="0"/>
                      <w:szCs w:val="21"/>
                      <w:lang w:bidi="ar"/>
                    </w:rPr>
                  </w:pPr>
                  <w:r>
                    <w:rPr>
                      <w:color w:val="auto"/>
                      <w:kern w:val="0"/>
                      <w:szCs w:val="21"/>
                      <w:lang w:bidi="ar"/>
                    </w:rPr>
                    <w:t>/</w:t>
                  </w:r>
                </w:p>
              </w:tc>
            </w:tr>
            <w:tr w14:paraId="1925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shd w:val="clear" w:color="auto" w:fill="auto"/>
                  <w:vAlign w:val="center"/>
                </w:tcPr>
                <w:p w14:paraId="0E6F07B0">
                  <w:pPr>
                    <w:widowControl/>
                    <w:jc w:val="center"/>
                    <w:rPr>
                      <w:rFonts w:ascii="Times New Roman" w:hAnsi="Times New Roman" w:eastAsia="宋体" w:cs="Times New Roman"/>
                      <w:color w:val="auto"/>
                      <w:kern w:val="0"/>
                      <w:sz w:val="21"/>
                      <w:szCs w:val="21"/>
                      <w:lang w:val="en-US" w:eastAsia="zh-CN" w:bidi="ar"/>
                    </w:rPr>
                  </w:pPr>
                  <w:r>
                    <w:rPr>
                      <w:color w:val="auto"/>
                      <w:kern w:val="0"/>
                      <w:szCs w:val="21"/>
                      <w:lang w:bidi="ar"/>
                    </w:rPr>
                    <w:t>23</w:t>
                  </w:r>
                </w:p>
              </w:tc>
              <w:tc>
                <w:tcPr>
                  <w:tcW w:w="1268" w:type="dxa"/>
                  <w:vAlign w:val="center"/>
                </w:tcPr>
                <w:p w14:paraId="5959740B">
                  <w:pPr>
                    <w:widowControl/>
                    <w:jc w:val="center"/>
                    <w:rPr>
                      <w:color w:val="auto"/>
                      <w:kern w:val="0"/>
                      <w:szCs w:val="21"/>
                      <w:lang w:bidi="ar"/>
                    </w:rPr>
                  </w:pPr>
                  <w:r>
                    <w:rPr>
                      <w:color w:val="auto"/>
                      <w:kern w:val="0"/>
                      <w:szCs w:val="21"/>
                      <w:lang w:bidi="ar"/>
                    </w:rPr>
                    <w:t>汽包本体</w:t>
                  </w:r>
                </w:p>
              </w:tc>
              <w:tc>
                <w:tcPr>
                  <w:tcW w:w="3905" w:type="dxa"/>
                  <w:vAlign w:val="center"/>
                </w:tcPr>
                <w:p w14:paraId="287B63D7">
                  <w:pPr>
                    <w:widowControl/>
                    <w:jc w:val="center"/>
                    <w:rPr>
                      <w:color w:val="auto"/>
                      <w:kern w:val="0"/>
                      <w:szCs w:val="21"/>
                      <w:lang w:bidi="ar"/>
                    </w:rPr>
                  </w:pPr>
                  <w:r>
                    <w:rPr>
                      <w:color w:val="auto"/>
                      <w:kern w:val="0"/>
                      <w:szCs w:val="21"/>
                      <w:lang w:bidi="ar"/>
                    </w:rPr>
                    <w:t>设计压力：1.0Mpa； 设计温度：190℃</w:t>
                  </w:r>
                </w:p>
              </w:tc>
              <w:tc>
                <w:tcPr>
                  <w:tcW w:w="758" w:type="dxa"/>
                  <w:vAlign w:val="center"/>
                </w:tcPr>
                <w:p w14:paraId="391B6E43">
                  <w:pPr>
                    <w:widowControl/>
                    <w:jc w:val="center"/>
                    <w:rPr>
                      <w:color w:val="auto"/>
                      <w:kern w:val="0"/>
                      <w:szCs w:val="21"/>
                      <w:lang w:bidi="ar"/>
                    </w:rPr>
                  </w:pPr>
                  <w:r>
                    <w:rPr>
                      <w:color w:val="auto"/>
                      <w:kern w:val="0"/>
                      <w:szCs w:val="21"/>
                      <w:lang w:bidi="ar"/>
                    </w:rPr>
                    <w:t>台</w:t>
                  </w:r>
                </w:p>
              </w:tc>
              <w:tc>
                <w:tcPr>
                  <w:tcW w:w="723" w:type="dxa"/>
                  <w:vAlign w:val="center"/>
                </w:tcPr>
                <w:p w14:paraId="6BCEE485">
                  <w:pPr>
                    <w:widowControl/>
                    <w:jc w:val="center"/>
                    <w:rPr>
                      <w:color w:val="auto"/>
                      <w:kern w:val="0"/>
                      <w:szCs w:val="21"/>
                      <w:lang w:bidi="ar"/>
                    </w:rPr>
                  </w:pPr>
                  <w:r>
                    <w:rPr>
                      <w:color w:val="auto"/>
                      <w:kern w:val="0"/>
                      <w:szCs w:val="21"/>
                      <w:lang w:bidi="ar"/>
                    </w:rPr>
                    <w:t>2</w:t>
                  </w:r>
                </w:p>
              </w:tc>
              <w:tc>
                <w:tcPr>
                  <w:tcW w:w="653" w:type="dxa"/>
                  <w:vAlign w:val="center"/>
                </w:tcPr>
                <w:p w14:paraId="3C731033">
                  <w:pPr>
                    <w:widowControl/>
                    <w:jc w:val="center"/>
                    <w:rPr>
                      <w:color w:val="auto"/>
                      <w:kern w:val="0"/>
                      <w:szCs w:val="21"/>
                      <w:lang w:bidi="ar"/>
                    </w:rPr>
                  </w:pPr>
                  <w:r>
                    <w:rPr>
                      <w:color w:val="auto"/>
                      <w:kern w:val="0"/>
                      <w:szCs w:val="21"/>
                      <w:lang w:bidi="ar"/>
                    </w:rPr>
                    <w:t>/</w:t>
                  </w:r>
                </w:p>
              </w:tc>
            </w:tr>
            <w:tr w14:paraId="43DE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shd w:val="clear" w:color="auto" w:fill="auto"/>
                  <w:vAlign w:val="center"/>
                </w:tcPr>
                <w:p w14:paraId="7142A636">
                  <w:pPr>
                    <w:widowControl/>
                    <w:jc w:val="center"/>
                    <w:rPr>
                      <w:rFonts w:ascii="Times New Roman" w:hAnsi="Times New Roman" w:eastAsia="宋体" w:cs="Times New Roman"/>
                      <w:color w:val="auto"/>
                      <w:kern w:val="0"/>
                      <w:sz w:val="21"/>
                      <w:szCs w:val="21"/>
                      <w:lang w:val="en-US" w:eastAsia="zh-CN" w:bidi="ar"/>
                    </w:rPr>
                  </w:pPr>
                  <w:r>
                    <w:rPr>
                      <w:color w:val="auto"/>
                      <w:kern w:val="0"/>
                      <w:szCs w:val="21"/>
                      <w:lang w:bidi="ar"/>
                    </w:rPr>
                    <w:t>24</w:t>
                  </w:r>
                </w:p>
              </w:tc>
              <w:tc>
                <w:tcPr>
                  <w:tcW w:w="1268" w:type="dxa"/>
                  <w:vAlign w:val="center"/>
                </w:tcPr>
                <w:p w14:paraId="70ADB8EE">
                  <w:pPr>
                    <w:widowControl/>
                    <w:jc w:val="center"/>
                    <w:rPr>
                      <w:color w:val="auto"/>
                      <w:kern w:val="0"/>
                      <w:szCs w:val="21"/>
                      <w:lang w:bidi="ar"/>
                    </w:rPr>
                  </w:pPr>
                  <w:r>
                    <w:rPr>
                      <w:color w:val="auto"/>
                      <w:kern w:val="0"/>
                      <w:szCs w:val="21"/>
                      <w:lang w:bidi="ar"/>
                    </w:rPr>
                    <w:t>除氧器</w:t>
                  </w:r>
                </w:p>
              </w:tc>
              <w:tc>
                <w:tcPr>
                  <w:tcW w:w="3905" w:type="dxa"/>
                  <w:vAlign w:val="center"/>
                </w:tcPr>
                <w:p w14:paraId="017D9D56">
                  <w:pPr>
                    <w:widowControl/>
                    <w:jc w:val="center"/>
                    <w:rPr>
                      <w:color w:val="auto"/>
                      <w:kern w:val="0"/>
                      <w:szCs w:val="21"/>
                      <w:lang w:bidi="ar"/>
                    </w:rPr>
                  </w:pPr>
                  <w:r>
                    <w:rPr>
                      <w:color w:val="auto"/>
                      <w:kern w:val="0"/>
                      <w:szCs w:val="21"/>
                      <w:lang w:bidi="ar"/>
                    </w:rPr>
                    <w:t>工作压力：0.078Mpa；</w:t>
                  </w:r>
                </w:p>
                <w:p w14:paraId="6FF1EBA9">
                  <w:pPr>
                    <w:widowControl/>
                    <w:jc w:val="center"/>
                    <w:rPr>
                      <w:color w:val="auto"/>
                      <w:szCs w:val="21"/>
                    </w:rPr>
                  </w:pPr>
                  <w:r>
                    <w:rPr>
                      <w:color w:val="auto"/>
                      <w:kern w:val="0"/>
                      <w:szCs w:val="21"/>
                      <w:lang w:bidi="ar"/>
                    </w:rPr>
                    <w:t>设计压力：0.098Mpa；</w:t>
                  </w:r>
                </w:p>
                <w:p w14:paraId="5AECBC30">
                  <w:pPr>
                    <w:widowControl/>
                    <w:jc w:val="center"/>
                    <w:rPr>
                      <w:color w:val="auto"/>
                      <w:szCs w:val="21"/>
                    </w:rPr>
                  </w:pPr>
                  <w:r>
                    <w:rPr>
                      <w:color w:val="auto"/>
                      <w:kern w:val="0"/>
                      <w:szCs w:val="21"/>
                      <w:lang w:bidi="ar"/>
                    </w:rPr>
                    <w:t>工作温度：104℃   设计温度：120℃</w:t>
                  </w:r>
                </w:p>
                <w:p w14:paraId="556D1CB0">
                  <w:pPr>
                    <w:widowControl/>
                    <w:jc w:val="center"/>
                    <w:rPr>
                      <w:b/>
                      <w:bCs/>
                      <w:color w:val="auto"/>
                      <w:kern w:val="0"/>
                      <w:szCs w:val="21"/>
                      <w:lang w:bidi="ar"/>
                    </w:rPr>
                  </w:pPr>
                  <w:r>
                    <w:rPr>
                      <w:color w:val="auto"/>
                      <w:kern w:val="0"/>
                      <w:szCs w:val="21"/>
                      <w:lang w:bidi="ar"/>
                    </w:rPr>
                    <w:t>材质：Q235B V=20m3</w:t>
                  </w:r>
                </w:p>
              </w:tc>
              <w:tc>
                <w:tcPr>
                  <w:tcW w:w="758" w:type="dxa"/>
                  <w:vAlign w:val="center"/>
                </w:tcPr>
                <w:p w14:paraId="74458CFB">
                  <w:pPr>
                    <w:widowControl/>
                    <w:jc w:val="center"/>
                    <w:rPr>
                      <w:color w:val="auto"/>
                      <w:kern w:val="0"/>
                      <w:szCs w:val="21"/>
                      <w:lang w:bidi="ar"/>
                    </w:rPr>
                  </w:pPr>
                  <w:r>
                    <w:rPr>
                      <w:color w:val="auto"/>
                      <w:kern w:val="0"/>
                      <w:szCs w:val="21"/>
                      <w:lang w:bidi="ar"/>
                    </w:rPr>
                    <w:t>台</w:t>
                  </w:r>
                </w:p>
              </w:tc>
              <w:tc>
                <w:tcPr>
                  <w:tcW w:w="723" w:type="dxa"/>
                  <w:vAlign w:val="center"/>
                </w:tcPr>
                <w:p w14:paraId="6DAFDA23">
                  <w:pPr>
                    <w:widowControl/>
                    <w:jc w:val="center"/>
                    <w:rPr>
                      <w:color w:val="auto"/>
                      <w:kern w:val="0"/>
                      <w:szCs w:val="21"/>
                      <w:lang w:bidi="ar"/>
                    </w:rPr>
                  </w:pPr>
                  <w:r>
                    <w:rPr>
                      <w:color w:val="auto"/>
                      <w:kern w:val="0"/>
                      <w:szCs w:val="21"/>
                      <w:lang w:bidi="ar"/>
                    </w:rPr>
                    <w:t>1</w:t>
                  </w:r>
                </w:p>
              </w:tc>
              <w:tc>
                <w:tcPr>
                  <w:tcW w:w="653" w:type="dxa"/>
                  <w:vAlign w:val="center"/>
                </w:tcPr>
                <w:p w14:paraId="0246A6EB">
                  <w:pPr>
                    <w:widowControl/>
                    <w:jc w:val="center"/>
                    <w:rPr>
                      <w:color w:val="auto"/>
                      <w:kern w:val="0"/>
                      <w:szCs w:val="21"/>
                      <w:lang w:bidi="ar"/>
                    </w:rPr>
                  </w:pPr>
                  <w:r>
                    <w:rPr>
                      <w:color w:val="auto"/>
                      <w:kern w:val="0"/>
                      <w:szCs w:val="21"/>
                      <w:lang w:bidi="ar"/>
                    </w:rPr>
                    <w:t>/</w:t>
                  </w:r>
                </w:p>
              </w:tc>
            </w:tr>
            <w:tr w14:paraId="708E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shd w:val="clear" w:color="auto" w:fill="auto"/>
                  <w:vAlign w:val="center"/>
                </w:tcPr>
                <w:p w14:paraId="4A970A07">
                  <w:pPr>
                    <w:widowControl/>
                    <w:jc w:val="center"/>
                    <w:rPr>
                      <w:rFonts w:ascii="Times New Roman" w:hAnsi="Times New Roman" w:eastAsia="宋体" w:cs="Times New Roman"/>
                      <w:color w:val="auto"/>
                      <w:kern w:val="0"/>
                      <w:sz w:val="21"/>
                      <w:szCs w:val="21"/>
                      <w:lang w:val="en-US" w:eastAsia="zh-CN" w:bidi="ar"/>
                    </w:rPr>
                  </w:pPr>
                  <w:r>
                    <w:rPr>
                      <w:color w:val="auto"/>
                      <w:kern w:val="0"/>
                      <w:szCs w:val="21"/>
                      <w:lang w:bidi="ar"/>
                    </w:rPr>
                    <w:t>25</w:t>
                  </w:r>
                </w:p>
              </w:tc>
              <w:tc>
                <w:tcPr>
                  <w:tcW w:w="1268" w:type="dxa"/>
                  <w:vAlign w:val="center"/>
                </w:tcPr>
                <w:p w14:paraId="696A630A">
                  <w:pPr>
                    <w:widowControl/>
                    <w:jc w:val="center"/>
                    <w:rPr>
                      <w:color w:val="auto"/>
                      <w:kern w:val="0"/>
                      <w:szCs w:val="21"/>
                      <w:lang w:bidi="ar"/>
                    </w:rPr>
                  </w:pPr>
                  <w:r>
                    <w:rPr>
                      <w:color w:val="auto"/>
                      <w:kern w:val="0"/>
                      <w:szCs w:val="21"/>
                      <w:lang w:bidi="ar"/>
                    </w:rPr>
                    <w:t>除盐水槽</w:t>
                  </w:r>
                </w:p>
              </w:tc>
              <w:tc>
                <w:tcPr>
                  <w:tcW w:w="3905" w:type="dxa"/>
                  <w:vAlign w:val="center"/>
                </w:tcPr>
                <w:p w14:paraId="1AB7109E">
                  <w:pPr>
                    <w:widowControl/>
                    <w:jc w:val="center"/>
                    <w:rPr>
                      <w:color w:val="auto"/>
                      <w:szCs w:val="21"/>
                    </w:rPr>
                  </w:pPr>
                  <w:r>
                    <w:rPr>
                      <w:color w:val="auto"/>
                      <w:kern w:val="0"/>
                      <w:szCs w:val="21"/>
                      <w:lang w:bidi="ar"/>
                    </w:rPr>
                    <w:t>工作压力：常压；  设计压力：常压</w:t>
                  </w:r>
                </w:p>
                <w:p w14:paraId="0D16933C">
                  <w:pPr>
                    <w:widowControl/>
                    <w:jc w:val="center"/>
                    <w:rPr>
                      <w:color w:val="auto"/>
                      <w:szCs w:val="21"/>
                    </w:rPr>
                  </w:pPr>
                  <w:r>
                    <w:rPr>
                      <w:color w:val="auto"/>
                      <w:kern w:val="0"/>
                      <w:szCs w:val="21"/>
                      <w:lang w:bidi="ar"/>
                    </w:rPr>
                    <w:t>工作温度：25℃   设计温度：50℃</w:t>
                  </w:r>
                </w:p>
                <w:p w14:paraId="104247AB">
                  <w:pPr>
                    <w:widowControl/>
                    <w:jc w:val="center"/>
                    <w:rPr>
                      <w:color w:val="auto"/>
                      <w:kern w:val="0"/>
                      <w:szCs w:val="21"/>
                      <w:lang w:bidi="ar"/>
                    </w:rPr>
                  </w:pPr>
                  <w:r>
                    <w:rPr>
                      <w:color w:val="auto"/>
                      <w:kern w:val="0"/>
                      <w:szCs w:val="21"/>
                      <w:lang w:bidi="ar"/>
                    </w:rPr>
                    <w:t>材质：304</w:t>
                  </w:r>
                  <w:r>
                    <w:rPr>
                      <w:rFonts w:hint="eastAsia"/>
                      <w:color w:val="auto"/>
                      <w:kern w:val="0"/>
                      <w:szCs w:val="21"/>
                      <w:lang w:bidi="ar"/>
                    </w:rPr>
                    <w:t xml:space="preserve">     </w:t>
                  </w:r>
                  <w:r>
                    <w:rPr>
                      <w:color w:val="auto"/>
                      <w:kern w:val="0"/>
                      <w:szCs w:val="21"/>
                      <w:lang w:bidi="ar"/>
                    </w:rPr>
                    <w:t>V=70m</w:t>
                  </w:r>
                  <w:r>
                    <w:rPr>
                      <w:color w:val="auto"/>
                      <w:kern w:val="0"/>
                      <w:szCs w:val="21"/>
                      <w:vertAlign w:val="superscript"/>
                      <w:lang w:bidi="ar"/>
                    </w:rPr>
                    <w:t>3</w:t>
                  </w:r>
                </w:p>
              </w:tc>
              <w:tc>
                <w:tcPr>
                  <w:tcW w:w="758" w:type="dxa"/>
                  <w:vAlign w:val="center"/>
                </w:tcPr>
                <w:p w14:paraId="20C8EAC1">
                  <w:pPr>
                    <w:widowControl/>
                    <w:jc w:val="center"/>
                    <w:rPr>
                      <w:color w:val="auto"/>
                      <w:kern w:val="0"/>
                      <w:szCs w:val="21"/>
                      <w:lang w:bidi="ar"/>
                    </w:rPr>
                  </w:pPr>
                  <w:r>
                    <w:rPr>
                      <w:color w:val="auto"/>
                      <w:kern w:val="0"/>
                      <w:szCs w:val="21"/>
                      <w:lang w:bidi="ar"/>
                    </w:rPr>
                    <w:t>台</w:t>
                  </w:r>
                </w:p>
              </w:tc>
              <w:tc>
                <w:tcPr>
                  <w:tcW w:w="723" w:type="dxa"/>
                  <w:vAlign w:val="center"/>
                </w:tcPr>
                <w:p w14:paraId="40CDAA04">
                  <w:pPr>
                    <w:widowControl/>
                    <w:jc w:val="center"/>
                    <w:rPr>
                      <w:color w:val="auto"/>
                      <w:kern w:val="0"/>
                      <w:szCs w:val="21"/>
                      <w:lang w:bidi="ar"/>
                    </w:rPr>
                  </w:pPr>
                  <w:r>
                    <w:rPr>
                      <w:color w:val="auto"/>
                      <w:kern w:val="0"/>
                      <w:szCs w:val="21"/>
                      <w:lang w:bidi="ar"/>
                    </w:rPr>
                    <w:t>1</w:t>
                  </w:r>
                </w:p>
              </w:tc>
              <w:tc>
                <w:tcPr>
                  <w:tcW w:w="653" w:type="dxa"/>
                  <w:vAlign w:val="center"/>
                </w:tcPr>
                <w:p w14:paraId="006EA74D">
                  <w:pPr>
                    <w:widowControl/>
                    <w:jc w:val="center"/>
                    <w:rPr>
                      <w:color w:val="auto"/>
                      <w:kern w:val="0"/>
                      <w:szCs w:val="21"/>
                      <w:lang w:bidi="ar"/>
                    </w:rPr>
                  </w:pPr>
                  <w:r>
                    <w:rPr>
                      <w:color w:val="auto"/>
                      <w:kern w:val="0"/>
                      <w:szCs w:val="21"/>
                      <w:lang w:bidi="ar"/>
                    </w:rPr>
                    <w:t>/</w:t>
                  </w:r>
                </w:p>
              </w:tc>
            </w:tr>
            <w:tr w14:paraId="1CB3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shd w:val="clear" w:color="auto" w:fill="auto"/>
                  <w:vAlign w:val="center"/>
                </w:tcPr>
                <w:p w14:paraId="59B1E9EE">
                  <w:pPr>
                    <w:widowControl/>
                    <w:jc w:val="center"/>
                    <w:rPr>
                      <w:rFonts w:ascii="Times New Roman" w:hAnsi="Times New Roman" w:eastAsia="宋体" w:cs="Times New Roman"/>
                      <w:color w:val="auto"/>
                      <w:kern w:val="0"/>
                      <w:sz w:val="21"/>
                      <w:szCs w:val="21"/>
                      <w:lang w:val="en-US" w:eastAsia="zh-CN" w:bidi="ar"/>
                    </w:rPr>
                  </w:pPr>
                  <w:r>
                    <w:rPr>
                      <w:color w:val="auto"/>
                      <w:kern w:val="0"/>
                      <w:szCs w:val="21"/>
                      <w:lang w:bidi="ar"/>
                    </w:rPr>
                    <w:t>2</w:t>
                  </w:r>
                  <w:r>
                    <w:rPr>
                      <w:rFonts w:hint="eastAsia"/>
                      <w:color w:val="auto"/>
                      <w:kern w:val="0"/>
                      <w:szCs w:val="21"/>
                      <w:lang w:bidi="ar"/>
                    </w:rPr>
                    <w:t>6</w:t>
                  </w:r>
                </w:p>
              </w:tc>
              <w:tc>
                <w:tcPr>
                  <w:tcW w:w="1268" w:type="dxa"/>
                  <w:vAlign w:val="center"/>
                </w:tcPr>
                <w:p w14:paraId="04F24F13">
                  <w:pPr>
                    <w:widowControl/>
                    <w:jc w:val="center"/>
                    <w:rPr>
                      <w:color w:val="auto"/>
                      <w:kern w:val="0"/>
                      <w:szCs w:val="21"/>
                      <w:lang w:bidi="ar"/>
                    </w:rPr>
                  </w:pPr>
                  <w:r>
                    <w:rPr>
                      <w:color w:val="auto"/>
                      <w:kern w:val="0"/>
                      <w:szCs w:val="21"/>
                      <w:lang w:bidi="ar"/>
                    </w:rPr>
                    <w:t>排污扩容器</w:t>
                  </w:r>
                </w:p>
              </w:tc>
              <w:tc>
                <w:tcPr>
                  <w:tcW w:w="3905" w:type="dxa"/>
                  <w:vAlign w:val="center"/>
                </w:tcPr>
                <w:p w14:paraId="51F3574B">
                  <w:pPr>
                    <w:widowControl/>
                    <w:jc w:val="center"/>
                    <w:rPr>
                      <w:color w:val="auto"/>
                      <w:kern w:val="0"/>
                      <w:szCs w:val="21"/>
                      <w:lang w:bidi="ar"/>
                    </w:rPr>
                  </w:pPr>
                  <w:r>
                    <w:rPr>
                      <w:color w:val="auto"/>
                      <w:kern w:val="0"/>
                      <w:szCs w:val="21"/>
                      <w:lang w:bidi="ar"/>
                    </w:rPr>
                    <w:t>材质：Q345R V=2.0m3</w:t>
                  </w:r>
                </w:p>
              </w:tc>
              <w:tc>
                <w:tcPr>
                  <w:tcW w:w="758" w:type="dxa"/>
                  <w:vAlign w:val="center"/>
                </w:tcPr>
                <w:p w14:paraId="4B3A4E01">
                  <w:pPr>
                    <w:widowControl/>
                    <w:jc w:val="center"/>
                    <w:rPr>
                      <w:color w:val="auto"/>
                      <w:kern w:val="0"/>
                      <w:szCs w:val="21"/>
                      <w:lang w:bidi="ar"/>
                    </w:rPr>
                  </w:pPr>
                  <w:r>
                    <w:rPr>
                      <w:color w:val="auto"/>
                      <w:kern w:val="0"/>
                      <w:szCs w:val="21"/>
                      <w:lang w:bidi="ar"/>
                    </w:rPr>
                    <w:t>台</w:t>
                  </w:r>
                </w:p>
              </w:tc>
              <w:tc>
                <w:tcPr>
                  <w:tcW w:w="723" w:type="dxa"/>
                  <w:vAlign w:val="center"/>
                </w:tcPr>
                <w:p w14:paraId="21D19CA1">
                  <w:pPr>
                    <w:widowControl/>
                    <w:jc w:val="center"/>
                    <w:rPr>
                      <w:color w:val="auto"/>
                      <w:kern w:val="0"/>
                      <w:szCs w:val="21"/>
                      <w:lang w:bidi="ar"/>
                    </w:rPr>
                  </w:pPr>
                  <w:r>
                    <w:rPr>
                      <w:color w:val="auto"/>
                      <w:kern w:val="0"/>
                      <w:szCs w:val="21"/>
                      <w:lang w:bidi="ar"/>
                    </w:rPr>
                    <w:t>2</w:t>
                  </w:r>
                </w:p>
              </w:tc>
              <w:tc>
                <w:tcPr>
                  <w:tcW w:w="653" w:type="dxa"/>
                  <w:vAlign w:val="center"/>
                </w:tcPr>
                <w:p w14:paraId="3A2FA50C">
                  <w:pPr>
                    <w:widowControl/>
                    <w:jc w:val="center"/>
                    <w:rPr>
                      <w:color w:val="auto"/>
                      <w:kern w:val="0"/>
                      <w:szCs w:val="21"/>
                      <w:lang w:bidi="ar"/>
                    </w:rPr>
                  </w:pPr>
                  <w:r>
                    <w:rPr>
                      <w:color w:val="auto"/>
                      <w:kern w:val="0"/>
                      <w:szCs w:val="21"/>
                      <w:lang w:bidi="ar"/>
                    </w:rPr>
                    <w:t>/</w:t>
                  </w:r>
                </w:p>
              </w:tc>
            </w:tr>
            <w:tr w14:paraId="2800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shd w:val="clear" w:color="auto" w:fill="auto"/>
                  <w:vAlign w:val="center"/>
                </w:tcPr>
                <w:p w14:paraId="12E65A5B">
                  <w:pPr>
                    <w:widowControl/>
                    <w:jc w:val="center"/>
                    <w:rPr>
                      <w:rFonts w:ascii="Times New Roman" w:hAnsi="Times New Roman" w:eastAsia="宋体" w:cs="Times New Roman"/>
                      <w:color w:val="auto"/>
                      <w:kern w:val="0"/>
                      <w:sz w:val="21"/>
                      <w:szCs w:val="21"/>
                      <w:lang w:val="en-US" w:eastAsia="zh-CN" w:bidi="ar"/>
                    </w:rPr>
                  </w:pPr>
                  <w:r>
                    <w:rPr>
                      <w:color w:val="auto"/>
                      <w:kern w:val="0"/>
                      <w:szCs w:val="21"/>
                      <w:lang w:bidi="ar"/>
                    </w:rPr>
                    <w:t>2</w:t>
                  </w:r>
                  <w:r>
                    <w:rPr>
                      <w:rFonts w:hint="eastAsia"/>
                      <w:color w:val="auto"/>
                      <w:kern w:val="0"/>
                      <w:szCs w:val="21"/>
                      <w:lang w:bidi="ar"/>
                    </w:rPr>
                    <w:t>7</w:t>
                  </w:r>
                </w:p>
              </w:tc>
              <w:tc>
                <w:tcPr>
                  <w:tcW w:w="1268" w:type="dxa"/>
                  <w:vAlign w:val="center"/>
                </w:tcPr>
                <w:p w14:paraId="41CE4843">
                  <w:pPr>
                    <w:widowControl/>
                    <w:jc w:val="center"/>
                    <w:rPr>
                      <w:color w:val="auto"/>
                      <w:kern w:val="0"/>
                      <w:szCs w:val="21"/>
                      <w:lang w:bidi="ar"/>
                    </w:rPr>
                  </w:pPr>
                  <w:r>
                    <w:rPr>
                      <w:color w:val="auto"/>
                      <w:kern w:val="0"/>
                      <w:szCs w:val="21"/>
                      <w:lang w:bidi="ar"/>
                    </w:rPr>
                    <w:t>加药装置</w:t>
                  </w:r>
                </w:p>
              </w:tc>
              <w:tc>
                <w:tcPr>
                  <w:tcW w:w="3905" w:type="dxa"/>
                  <w:vAlign w:val="center"/>
                </w:tcPr>
                <w:p w14:paraId="5472574D">
                  <w:pPr>
                    <w:widowControl/>
                    <w:jc w:val="center"/>
                    <w:rPr>
                      <w:color w:val="auto"/>
                      <w:kern w:val="0"/>
                      <w:szCs w:val="21"/>
                      <w:lang w:bidi="ar"/>
                    </w:rPr>
                  </w:pPr>
                  <w:r>
                    <w:rPr>
                      <w:color w:val="auto"/>
                      <w:kern w:val="0"/>
                      <w:szCs w:val="21"/>
                      <w:lang w:bidi="ar"/>
                    </w:rPr>
                    <w:t>加药泵：0.75KW 380V</w:t>
                  </w:r>
                </w:p>
              </w:tc>
              <w:tc>
                <w:tcPr>
                  <w:tcW w:w="758" w:type="dxa"/>
                  <w:vAlign w:val="center"/>
                </w:tcPr>
                <w:p w14:paraId="0F38D98C">
                  <w:pPr>
                    <w:widowControl/>
                    <w:jc w:val="center"/>
                    <w:rPr>
                      <w:color w:val="auto"/>
                      <w:kern w:val="0"/>
                      <w:szCs w:val="21"/>
                      <w:lang w:bidi="ar"/>
                    </w:rPr>
                  </w:pPr>
                  <w:r>
                    <w:rPr>
                      <w:color w:val="auto"/>
                      <w:kern w:val="0"/>
                      <w:szCs w:val="21"/>
                      <w:lang w:bidi="ar"/>
                    </w:rPr>
                    <w:t>套</w:t>
                  </w:r>
                </w:p>
              </w:tc>
              <w:tc>
                <w:tcPr>
                  <w:tcW w:w="723" w:type="dxa"/>
                  <w:vAlign w:val="center"/>
                </w:tcPr>
                <w:p w14:paraId="42A9FF04">
                  <w:pPr>
                    <w:widowControl/>
                    <w:jc w:val="center"/>
                    <w:rPr>
                      <w:color w:val="auto"/>
                      <w:kern w:val="0"/>
                      <w:szCs w:val="21"/>
                      <w:lang w:bidi="ar"/>
                    </w:rPr>
                  </w:pPr>
                  <w:r>
                    <w:rPr>
                      <w:color w:val="auto"/>
                      <w:kern w:val="0"/>
                      <w:szCs w:val="21"/>
                      <w:lang w:bidi="ar"/>
                    </w:rPr>
                    <w:t>1</w:t>
                  </w:r>
                </w:p>
              </w:tc>
              <w:tc>
                <w:tcPr>
                  <w:tcW w:w="653" w:type="dxa"/>
                  <w:vAlign w:val="center"/>
                </w:tcPr>
                <w:p w14:paraId="3E3D1723">
                  <w:pPr>
                    <w:widowControl/>
                    <w:jc w:val="center"/>
                    <w:rPr>
                      <w:color w:val="auto"/>
                      <w:kern w:val="0"/>
                      <w:szCs w:val="21"/>
                      <w:lang w:bidi="ar"/>
                    </w:rPr>
                  </w:pPr>
                  <w:r>
                    <w:rPr>
                      <w:color w:val="auto"/>
                      <w:kern w:val="0"/>
                      <w:szCs w:val="21"/>
                      <w:lang w:bidi="ar"/>
                    </w:rPr>
                    <w:t>/</w:t>
                  </w:r>
                </w:p>
              </w:tc>
            </w:tr>
            <w:tr w14:paraId="1344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shd w:val="clear" w:color="auto" w:fill="auto"/>
                  <w:vAlign w:val="center"/>
                </w:tcPr>
                <w:p w14:paraId="770723C9">
                  <w:pPr>
                    <w:widowControl/>
                    <w:jc w:val="center"/>
                    <w:rPr>
                      <w:rFonts w:ascii="Times New Roman" w:hAnsi="Times New Roman" w:eastAsia="宋体" w:cs="Times New Roman"/>
                      <w:color w:val="auto"/>
                      <w:kern w:val="0"/>
                      <w:sz w:val="21"/>
                      <w:szCs w:val="21"/>
                      <w:lang w:val="en-US" w:eastAsia="zh-CN" w:bidi="ar"/>
                    </w:rPr>
                  </w:pPr>
                  <w:r>
                    <w:rPr>
                      <w:color w:val="auto"/>
                      <w:kern w:val="0"/>
                      <w:szCs w:val="21"/>
                      <w:lang w:bidi="ar"/>
                    </w:rPr>
                    <w:t>2</w:t>
                  </w:r>
                  <w:r>
                    <w:rPr>
                      <w:rFonts w:hint="eastAsia"/>
                      <w:color w:val="auto"/>
                      <w:kern w:val="0"/>
                      <w:szCs w:val="21"/>
                      <w:lang w:bidi="ar"/>
                    </w:rPr>
                    <w:t>8</w:t>
                  </w:r>
                </w:p>
              </w:tc>
              <w:tc>
                <w:tcPr>
                  <w:tcW w:w="1268" w:type="dxa"/>
                  <w:vAlign w:val="center"/>
                </w:tcPr>
                <w:p w14:paraId="478E2977">
                  <w:pPr>
                    <w:widowControl/>
                    <w:jc w:val="center"/>
                    <w:rPr>
                      <w:color w:val="auto"/>
                      <w:kern w:val="0"/>
                      <w:szCs w:val="21"/>
                      <w:lang w:bidi="ar"/>
                    </w:rPr>
                  </w:pPr>
                  <w:r>
                    <w:rPr>
                      <w:color w:val="auto"/>
                      <w:kern w:val="0"/>
                      <w:szCs w:val="21"/>
                      <w:lang w:bidi="ar"/>
                    </w:rPr>
                    <w:t>给水泵</w:t>
                  </w:r>
                </w:p>
              </w:tc>
              <w:tc>
                <w:tcPr>
                  <w:tcW w:w="3905" w:type="dxa"/>
                  <w:vAlign w:val="center"/>
                </w:tcPr>
                <w:p w14:paraId="32682B9B">
                  <w:pPr>
                    <w:widowControl/>
                    <w:jc w:val="center"/>
                    <w:rPr>
                      <w:color w:val="auto"/>
                      <w:kern w:val="0"/>
                      <w:szCs w:val="21"/>
                      <w:lang w:bidi="ar"/>
                    </w:rPr>
                  </w:pPr>
                  <w:r>
                    <w:rPr>
                      <w:color w:val="auto"/>
                      <w:kern w:val="0"/>
                      <w:szCs w:val="21"/>
                      <w:lang w:bidi="ar"/>
                    </w:rPr>
                    <w:t>Q=20m</w:t>
                  </w:r>
                  <w:r>
                    <w:rPr>
                      <w:color w:val="auto"/>
                      <w:kern w:val="0"/>
                      <w:szCs w:val="21"/>
                      <w:vertAlign w:val="superscript"/>
                      <w:lang w:bidi="ar"/>
                    </w:rPr>
                    <w:t>3</w:t>
                  </w:r>
                  <w:r>
                    <w:rPr>
                      <w:color w:val="auto"/>
                      <w:kern w:val="0"/>
                      <w:szCs w:val="21"/>
                      <w:lang w:bidi="ar"/>
                    </w:rPr>
                    <w:t>/h H=100m N=22kw；</w:t>
                  </w:r>
                </w:p>
              </w:tc>
              <w:tc>
                <w:tcPr>
                  <w:tcW w:w="758" w:type="dxa"/>
                  <w:vAlign w:val="center"/>
                </w:tcPr>
                <w:p w14:paraId="24DD86F6">
                  <w:pPr>
                    <w:widowControl/>
                    <w:jc w:val="center"/>
                    <w:rPr>
                      <w:color w:val="auto"/>
                      <w:kern w:val="0"/>
                      <w:szCs w:val="21"/>
                      <w:lang w:bidi="ar"/>
                    </w:rPr>
                  </w:pPr>
                  <w:r>
                    <w:rPr>
                      <w:color w:val="auto"/>
                      <w:kern w:val="0"/>
                      <w:szCs w:val="21"/>
                      <w:lang w:bidi="ar"/>
                    </w:rPr>
                    <w:t>台</w:t>
                  </w:r>
                </w:p>
              </w:tc>
              <w:tc>
                <w:tcPr>
                  <w:tcW w:w="723" w:type="dxa"/>
                  <w:vAlign w:val="center"/>
                </w:tcPr>
                <w:p w14:paraId="315D05AE">
                  <w:pPr>
                    <w:widowControl/>
                    <w:jc w:val="center"/>
                    <w:rPr>
                      <w:color w:val="auto"/>
                      <w:kern w:val="0"/>
                      <w:szCs w:val="21"/>
                      <w:lang w:bidi="ar"/>
                    </w:rPr>
                  </w:pPr>
                  <w:r>
                    <w:rPr>
                      <w:color w:val="auto"/>
                      <w:kern w:val="0"/>
                      <w:szCs w:val="21"/>
                      <w:lang w:bidi="ar"/>
                    </w:rPr>
                    <w:t>2</w:t>
                  </w:r>
                </w:p>
              </w:tc>
              <w:tc>
                <w:tcPr>
                  <w:tcW w:w="653" w:type="dxa"/>
                  <w:vAlign w:val="center"/>
                </w:tcPr>
                <w:p w14:paraId="542BCD33">
                  <w:pPr>
                    <w:widowControl/>
                    <w:jc w:val="center"/>
                    <w:rPr>
                      <w:color w:val="auto"/>
                      <w:kern w:val="0"/>
                      <w:szCs w:val="21"/>
                      <w:lang w:bidi="ar"/>
                    </w:rPr>
                  </w:pPr>
                  <w:r>
                    <w:rPr>
                      <w:color w:val="auto"/>
                      <w:kern w:val="0"/>
                      <w:szCs w:val="21"/>
                      <w:lang w:bidi="ar"/>
                    </w:rPr>
                    <w:t>/</w:t>
                  </w:r>
                </w:p>
              </w:tc>
            </w:tr>
            <w:tr w14:paraId="3478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0BB272E2">
                  <w:pPr>
                    <w:widowControl/>
                    <w:jc w:val="center"/>
                    <w:rPr>
                      <w:rFonts w:hint="eastAsia" w:eastAsia="宋体"/>
                      <w:color w:val="auto"/>
                      <w:kern w:val="0"/>
                      <w:szCs w:val="21"/>
                      <w:lang w:val="en-US" w:eastAsia="zh-CN" w:bidi="ar"/>
                    </w:rPr>
                  </w:pPr>
                  <w:r>
                    <w:rPr>
                      <w:color w:val="auto"/>
                      <w:kern w:val="0"/>
                      <w:szCs w:val="21"/>
                      <w:lang w:bidi="ar"/>
                    </w:rPr>
                    <w:t>2</w:t>
                  </w:r>
                  <w:r>
                    <w:rPr>
                      <w:rFonts w:hint="eastAsia"/>
                      <w:color w:val="auto"/>
                      <w:kern w:val="0"/>
                      <w:szCs w:val="21"/>
                      <w:lang w:val="en-US" w:eastAsia="zh-CN" w:bidi="ar"/>
                    </w:rPr>
                    <w:t>9</w:t>
                  </w:r>
                </w:p>
              </w:tc>
              <w:tc>
                <w:tcPr>
                  <w:tcW w:w="1268" w:type="dxa"/>
                  <w:vAlign w:val="center"/>
                </w:tcPr>
                <w:p w14:paraId="3916D998">
                  <w:pPr>
                    <w:widowControl/>
                    <w:jc w:val="center"/>
                    <w:rPr>
                      <w:color w:val="auto"/>
                      <w:kern w:val="0"/>
                      <w:szCs w:val="21"/>
                      <w:lang w:bidi="ar"/>
                    </w:rPr>
                  </w:pPr>
                  <w:r>
                    <w:rPr>
                      <w:color w:val="auto"/>
                      <w:kern w:val="0"/>
                      <w:szCs w:val="21"/>
                      <w:lang w:bidi="ar"/>
                    </w:rPr>
                    <w:t>强制循环泵</w:t>
                  </w:r>
                </w:p>
              </w:tc>
              <w:tc>
                <w:tcPr>
                  <w:tcW w:w="3905" w:type="dxa"/>
                  <w:vAlign w:val="center"/>
                </w:tcPr>
                <w:p w14:paraId="37297CBA">
                  <w:pPr>
                    <w:widowControl/>
                    <w:jc w:val="center"/>
                    <w:rPr>
                      <w:color w:val="auto"/>
                      <w:kern w:val="0"/>
                      <w:szCs w:val="21"/>
                      <w:lang w:bidi="ar"/>
                    </w:rPr>
                  </w:pPr>
                  <w:r>
                    <w:rPr>
                      <w:color w:val="auto"/>
                      <w:kern w:val="0"/>
                      <w:szCs w:val="21"/>
                      <w:lang w:bidi="ar"/>
                    </w:rPr>
                    <w:t>Q=150m</w:t>
                  </w:r>
                  <w:r>
                    <w:rPr>
                      <w:color w:val="auto"/>
                      <w:kern w:val="0"/>
                      <w:szCs w:val="21"/>
                      <w:vertAlign w:val="superscript"/>
                      <w:lang w:bidi="ar"/>
                    </w:rPr>
                    <w:t>3</w:t>
                  </w:r>
                  <w:r>
                    <w:rPr>
                      <w:color w:val="auto"/>
                      <w:kern w:val="0"/>
                      <w:szCs w:val="21"/>
                      <w:lang w:bidi="ar"/>
                    </w:rPr>
                    <w:t>/h H=50m N=37kw；</w:t>
                  </w:r>
                </w:p>
              </w:tc>
              <w:tc>
                <w:tcPr>
                  <w:tcW w:w="758" w:type="dxa"/>
                  <w:vAlign w:val="center"/>
                </w:tcPr>
                <w:p w14:paraId="6C27A165">
                  <w:pPr>
                    <w:widowControl/>
                    <w:jc w:val="center"/>
                    <w:rPr>
                      <w:color w:val="auto"/>
                      <w:kern w:val="0"/>
                      <w:szCs w:val="21"/>
                      <w:lang w:bidi="ar"/>
                    </w:rPr>
                  </w:pPr>
                  <w:r>
                    <w:rPr>
                      <w:color w:val="auto"/>
                      <w:kern w:val="0"/>
                      <w:szCs w:val="21"/>
                      <w:lang w:bidi="ar"/>
                    </w:rPr>
                    <w:t>台</w:t>
                  </w:r>
                </w:p>
              </w:tc>
              <w:tc>
                <w:tcPr>
                  <w:tcW w:w="723" w:type="dxa"/>
                  <w:vAlign w:val="center"/>
                </w:tcPr>
                <w:p w14:paraId="2D7B64AE">
                  <w:pPr>
                    <w:widowControl/>
                    <w:jc w:val="center"/>
                    <w:rPr>
                      <w:color w:val="auto"/>
                      <w:kern w:val="0"/>
                      <w:szCs w:val="21"/>
                      <w:lang w:bidi="ar"/>
                    </w:rPr>
                  </w:pPr>
                  <w:r>
                    <w:rPr>
                      <w:color w:val="auto"/>
                      <w:kern w:val="0"/>
                      <w:szCs w:val="21"/>
                      <w:lang w:bidi="ar"/>
                    </w:rPr>
                    <w:t>2</w:t>
                  </w:r>
                </w:p>
              </w:tc>
              <w:tc>
                <w:tcPr>
                  <w:tcW w:w="653" w:type="dxa"/>
                  <w:vAlign w:val="center"/>
                </w:tcPr>
                <w:p w14:paraId="3CBDBCB0">
                  <w:pPr>
                    <w:widowControl/>
                    <w:jc w:val="center"/>
                    <w:rPr>
                      <w:color w:val="auto"/>
                      <w:kern w:val="0"/>
                      <w:szCs w:val="21"/>
                      <w:lang w:bidi="ar"/>
                    </w:rPr>
                  </w:pPr>
                  <w:r>
                    <w:rPr>
                      <w:color w:val="auto"/>
                      <w:kern w:val="0"/>
                      <w:szCs w:val="21"/>
                      <w:lang w:bidi="ar"/>
                    </w:rPr>
                    <w:t>/</w:t>
                  </w:r>
                </w:p>
              </w:tc>
            </w:tr>
            <w:tr w14:paraId="5D29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14:paraId="213F5B33">
                  <w:pPr>
                    <w:widowControl/>
                    <w:jc w:val="center"/>
                    <w:rPr>
                      <w:rFonts w:hint="default" w:eastAsia="宋体"/>
                      <w:color w:val="auto"/>
                      <w:kern w:val="0"/>
                      <w:szCs w:val="21"/>
                      <w:lang w:val="en-US" w:eastAsia="zh-CN" w:bidi="ar"/>
                    </w:rPr>
                  </w:pPr>
                  <w:r>
                    <w:rPr>
                      <w:rFonts w:hint="eastAsia"/>
                      <w:color w:val="auto"/>
                      <w:kern w:val="0"/>
                      <w:szCs w:val="21"/>
                      <w:lang w:val="en-US" w:eastAsia="zh-CN" w:bidi="ar"/>
                    </w:rPr>
                    <w:t>30</w:t>
                  </w:r>
                </w:p>
              </w:tc>
              <w:tc>
                <w:tcPr>
                  <w:tcW w:w="1268" w:type="dxa"/>
                  <w:vAlign w:val="center"/>
                </w:tcPr>
                <w:p w14:paraId="2FF77078">
                  <w:pPr>
                    <w:widowControl/>
                    <w:jc w:val="center"/>
                    <w:rPr>
                      <w:rFonts w:ascii="Times New Roman" w:hAnsi="Times New Roman" w:eastAsia="宋体" w:cs="Times New Roman"/>
                      <w:color w:val="auto"/>
                      <w:kern w:val="0"/>
                      <w:szCs w:val="21"/>
                      <w:lang w:bidi="ar"/>
                    </w:rPr>
                  </w:pPr>
                  <w:r>
                    <w:rPr>
                      <w:rFonts w:ascii="Times New Roman" w:hAnsi="Times New Roman" w:eastAsia="宋体" w:cs="Times New Roman"/>
                      <w:color w:val="auto"/>
                      <w:kern w:val="0"/>
                      <w:szCs w:val="21"/>
                      <w:lang w:bidi="ar"/>
                    </w:rPr>
                    <w:t>全自动定量包装机</w:t>
                  </w:r>
                </w:p>
              </w:tc>
              <w:tc>
                <w:tcPr>
                  <w:tcW w:w="3905" w:type="dxa"/>
                  <w:vAlign w:val="center"/>
                </w:tcPr>
                <w:p w14:paraId="517AA8EF">
                  <w:pPr>
                    <w:widowControl/>
                    <w:jc w:val="center"/>
                    <w:rPr>
                      <w:rFonts w:ascii="Times New Roman" w:hAnsi="Times New Roman" w:eastAsia="宋体" w:cs="Times New Roman"/>
                      <w:color w:val="auto"/>
                      <w:kern w:val="0"/>
                      <w:szCs w:val="21"/>
                      <w:lang w:bidi="ar"/>
                    </w:rPr>
                  </w:pPr>
                  <w:r>
                    <w:rPr>
                      <w:rFonts w:ascii="Times New Roman" w:hAnsi="Times New Roman" w:eastAsia="宋体" w:cs="Times New Roman"/>
                      <w:color w:val="auto"/>
                      <w:kern w:val="0"/>
                      <w:szCs w:val="21"/>
                      <w:lang w:bidi="ar"/>
                    </w:rPr>
                    <w:t>DCS-50W 型双斗电子定量包装机</w:t>
                  </w:r>
                </w:p>
              </w:tc>
              <w:tc>
                <w:tcPr>
                  <w:tcW w:w="758" w:type="dxa"/>
                  <w:vAlign w:val="center"/>
                </w:tcPr>
                <w:p w14:paraId="22BB13C4">
                  <w:pPr>
                    <w:widowControl/>
                    <w:jc w:val="center"/>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台</w:t>
                  </w:r>
                </w:p>
              </w:tc>
              <w:tc>
                <w:tcPr>
                  <w:tcW w:w="723" w:type="dxa"/>
                  <w:vAlign w:val="center"/>
                </w:tcPr>
                <w:p w14:paraId="5325428A">
                  <w:pPr>
                    <w:widowControl/>
                    <w:jc w:val="center"/>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2</w:t>
                  </w:r>
                </w:p>
              </w:tc>
              <w:tc>
                <w:tcPr>
                  <w:tcW w:w="653" w:type="dxa"/>
                  <w:vAlign w:val="center"/>
                </w:tcPr>
                <w:p w14:paraId="73F667F5">
                  <w:pPr>
                    <w:widowControl/>
                    <w:jc w:val="center"/>
                    <w:rPr>
                      <w:rFonts w:hint="eastAsia" w:eastAsia="宋体"/>
                      <w:color w:val="auto"/>
                      <w:kern w:val="0"/>
                      <w:szCs w:val="21"/>
                      <w:lang w:val="en-US" w:eastAsia="zh-CN" w:bidi="ar"/>
                    </w:rPr>
                  </w:pPr>
                  <w:r>
                    <w:rPr>
                      <w:rFonts w:hint="eastAsia"/>
                      <w:color w:val="auto"/>
                      <w:kern w:val="0"/>
                      <w:szCs w:val="21"/>
                      <w:lang w:val="en-US" w:eastAsia="zh-CN" w:bidi="ar"/>
                    </w:rPr>
                    <w:t>/</w:t>
                  </w:r>
                </w:p>
              </w:tc>
            </w:tr>
          </w:tbl>
          <w:p w14:paraId="75DE4013">
            <w:pPr>
              <w:widowControl/>
              <w:numPr>
                <w:ilvl w:val="0"/>
                <w:numId w:val="7"/>
              </w:numPr>
              <w:spacing w:line="360" w:lineRule="auto"/>
              <w:ind w:left="840" w:leftChars="0" w:firstLineChars="0"/>
              <w:rPr>
                <w:b/>
                <w:bCs/>
                <w:color w:val="auto"/>
                <w:sz w:val="24"/>
              </w:rPr>
            </w:pPr>
            <w:r>
              <w:rPr>
                <w:rFonts w:hint="eastAsia"/>
                <w:b/>
                <w:bCs/>
                <w:color w:val="auto"/>
                <w:sz w:val="24"/>
              </w:rPr>
              <w:t>公用工程</w:t>
            </w:r>
          </w:p>
          <w:p w14:paraId="40B7C8E4">
            <w:pPr>
              <w:widowControl/>
              <w:numPr>
                <w:ilvl w:val="0"/>
                <w:numId w:val="8"/>
              </w:numPr>
              <w:spacing w:line="360" w:lineRule="auto"/>
              <w:ind w:firstLine="480" w:firstLineChars="200"/>
              <w:rPr>
                <w:color w:val="auto"/>
                <w:sz w:val="24"/>
              </w:rPr>
            </w:pPr>
            <w:r>
              <w:rPr>
                <w:rFonts w:hint="eastAsia"/>
                <w:color w:val="auto"/>
                <w:sz w:val="24"/>
              </w:rPr>
              <w:t>给排水</w:t>
            </w:r>
          </w:p>
          <w:p w14:paraId="257118A6">
            <w:pPr>
              <w:snapToGrid w:val="0"/>
              <w:spacing w:line="360" w:lineRule="auto"/>
              <w:ind w:firstLine="480" w:firstLineChars="200"/>
              <w:rPr>
                <w:color w:val="auto"/>
                <w:sz w:val="24"/>
              </w:rPr>
            </w:pPr>
            <w:r>
              <w:rPr>
                <w:rFonts w:hint="eastAsia"/>
                <w:color w:val="auto"/>
                <w:sz w:val="24"/>
              </w:rPr>
              <w:t>1）生活用水</w:t>
            </w:r>
          </w:p>
          <w:p w14:paraId="3327BD1E">
            <w:pPr>
              <w:snapToGrid w:val="0"/>
              <w:spacing w:line="360" w:lineRule="auto"/>
              <w:ind w:firstLine="480" w:firstLineChars="200"/>
              <w:rPr>
                <w:color w:val="auto"/>
              </w:rPr>
            </w:pPr>
            <w:r>
              <w:rPr>
                <w:rFonts w:hint="eastAsia"/>
                <w:color w:val="auto"/>
                <w:sz w:val="24"/>
              </w:rPr>
              <w:t>本项目劳动定员20人，用水量采用《内蒙古自治区行业用水定额标准》（DB15/T 385-2020）</w:t>
            </w:r>
            <w:r>
              <w:rPr>
                <w:color w:val="auto"/>
                <w:sz w:val="24"/>
              </w:rPr>
              <w:t>中</w:t>
            </w:r>
            <w:r>
              <w:rPr>
                <w:rFonts w:hint="eastAsia"/>
                <w:color w:val="auto"/>
                <w:sz w:val="24"/>
              </w:rPr>
              <w:t>集体宿舍</w:t>
            </w:r>
            <w:r>
              <w:rPr>
                <w:color w:val="auto"/>
                <w:sz w:val="24"/>
              </w:rPr>
              <w:t>用水定额</w:t>
            </w:r>
            <w:r>
              <w:rPr>
                <w:rFonts w:hint="eastAsia"/>
                <w:color w:val="auto"/>
                <w:sz w:val="24"/>
              </w:rPr>
              <w:t>60</w:t>
            </w:r>
            <w:r>
              <w:rPr>
                <w:color w:val="auto"/>
                <w:sz w:val="24"/>
              </w:rPr>
              <w:t>L/人·d，年工作时间为</w:t>
            </w:r>
            <w:r>
              <w:rPr>
                <w:rFonts w:hint="eastAsia"/>
                <w:color w:val="auto"/>
                <w:sz w:val="24"/>
              </w:rPr>
              <w:t>333</w:t>
            </w:r>
            <w:r>
              <w:rPr>
                <w:color w:val="auto"/>
                <w:sz w:val="24"/>
              </w:rPr>
              <w:t>d，则生活用水量</w:t>
            </w:r>
            <w:r>
              <w:rPr>
                <w:rFonts w:hint="eastAsia"/>
                <w:color w:val="auto"/>
                <w:sz w:val="24"/>
              </w:rPr>
              <w:t>1.2</w:t>
            </w:r>
            <w:r>
              <w:rPr>
                <w:color w:val="auto"/>
                <w:sz w:val="24"/>
              </w:rPr>
              <w:t>m</w:t>
            </w:r>
            <w:r>
              <w:rPr>
                <w:color w:val="auto"/>
                <w:sz w:val="24"/>
                <w:vertAlign w:val="superscript"/>
              </w:rPr>
              <w:t>3</w:t>
            </w:r>
            <w:r>
              <w:rPr>
                <w:color w:val="auto"/>
                <w:sz w:val="24"/>
              </w:rPr>
              <w:t>/d（</w:t>
            </w:r>
            <w:r>
              <w:rPr>
                <w:rFonts w:hint="eastAsia"/>
                <w:color w:val="auto"/>
                <w:sz w:val="24"/>
              </w:rPr>
              <w:t>399.6t</w:t>
            </w:r>
            <w:r>
              <w:rPr>
                <w:color w:val="auto"/>
                <w:sz w:val="24"/>
              </w:rPr>
              <w:t>/a）。生活污水的排放系数按0.8计算，则生活污水的产生量为</w:t>
            </w:r>
            <w:r>
              <w:rPr>
                <w:rFonts w:hint="eastAsia"/>
                <w:color w:val="auto"/>
                <w:sz w:val="24"/>
              </w:rPr>
              <w:t>0.96</w:t>
            </w:r>
            <w:r>
              <w:rPr>
                <w:color w:val="auto"/>
                <w:sz w:val="24"/>
              </w:rPr>
              <w:t>m</w:t>
            </w:r>
            <w:r>
              <w:rPr>
                <w:color w:val="auto"/>
                <w:sz w:val="24"/>
                <w:vertAlign w:val="superscript"/>
              </w:rPr>
              <w:t>3</w:t>
            </w:r>
            <w:r>
              <w:rPr>
                <w:color w:val="auto"/>
                <w:sz w:val="24"/>
              </w:rPr>
              <w:t>/d</w:t>
            </w:r>
            <w:r>
              <w:rPr>
                <w:rFonts w:hint="eastAsia"/>
                <w:color w:val="auto"/>
                <w:sz w:val="24"/>
              </w:rPr>
              <w:t>（319.68t</w:t>
            </w:r>
            <w:r>
              <w:rPr>
                <w:color w:val="auto"/>
                <w:sz w:val="24"/>
              </w:rPr>
              <w:t>/a</w:t>
            </w:r>
            <w:r>
              <w:rPr>
                <w:rFonts w:hint="eastAsia"/>
                <w:color w:val="auto"/>
                <w:sz w:val="24"/>
              </w:rPr>
              <w:t>）</w:t>
            </w:r>
            <w:r>
              <w:rPr>
                <w:color w:val="auto"/>
                <w:sz w:val="24"/>
              </w:rPr>
              <w:t>。生活污水</w:t>
            </w:r>
            <w:r>
              <w:rPr>
                <w:rFonts w:hint="eastAsia"/>
                <w:color w:val="auto"/>
                <w:sz w:val="24"/>
              </w:rPr>
              <w:t>排入新航焦化污水处理站，出水送至污水深度处理系统进行深度处理后回用厂区。</w:t>
            </w:r>
          </w:p>
          <w:p w14:paraId="24BE9FA3">
            <w:pPr>
              <w:snapToGrid w:val="0"/>
              <w:spacing w:line="360" w:lineRule="auto"/>
              <w:ind w:firstLine="480" w:firstLineChars="200"/>
              <w:rPr>
                <w:color w:val="auto"/>
                <w:sz w:val="24"/>
              </w:rPr>
            </w:pPr>
            <w:r>
              <w:rPr>
                <w:rFonts w:hint="eastAsia"/>
                <w:color w:val="auto"/>
                <w:sz w:val="24"/>
              </w:rPr>
              <w:t>2）生产用水</w:t>
            </w:r>
          </w:p>
          <w:p w14:paraId="478F312B">
            <w:pPr>
              <w:snapToGrid w:val="0"/>
              <w:spacing w:line="360" w:lineRule="auto"/>
              <w:ind w:firstLine="480" w:firstLineChars="200"/>
              <w:rPr>
                <w:color w:val="auto"/>
                <w:sz w:val="24"/>
              </w:rPr>
            </w:pPr>
            <w:r>
              <w:rPr>
                <w:rFonts w:hint="eastAsia"/>
                <w:color w:val="auto"/>
                <w:sz w:val="24"/>
              </w:rPr>
              <w:t>主要为</w:t>
            </w:r>
            <w:r>
              <w:rPr>
                <w:rFonts w:hint="eastAsia"/>
                <w:color w:val="auto"/>
                <w:sz w:val="24"/>
                <w:lang w:val="en-US" w:eastAsia="zh-CN"/>
              </w:rPr>
              <w:t>厂区全部建设完成投入使用：包括</w:t>
            </w:r>
            <w:r>
              <w:rPr>
                <w:rFonts w:hint="eastAsia"/>
                <w:color w:val="auto"/>
                <w:sz w:val="24"/>
              </w:rPr>
              <w:t>储存抑尘用水、焦粉及兰炭粉上料时抑尘用水 、搅拌工序加湿用水、车辆冲洗水。</w:t>
            </w:r>
          </w:p>
          <w:p w14:paraId="41371F9C">
            <w:pPr>
              <w:widowControl/>
              <w:spacing w:line="360" w:lineRule="auto"/>
              <w:ind w:left="480"/>
              <w:rPr>
                <w:color w:val="auto"/>
                <w:sz w:val="24"/>
              </w:rPr>
            </w:pPr>
            <w:r>
              <w:rPr>
                <w:rFonts w:hint="eastAsia"/>
                <w:color w:val="auto"/>
                <w:sz w:val="24"/>
              </w:rPr>
              <w:t>①储存抑尘用水</w:t>
            </w:r>
          </w:p>
          <w:p w14:paraId="515DA0F4">
            <w:pPr>
              <w:snapToGrid w:val="0"/>
              <w:spacing w:line="360" w:lineRule="auto"/>
              <w:ind w:firstLine="480" w:firstLineChars="200"/>
              <w:rPr>
                <w:color w:val="auto"/>
                <w:sz w:val="24"/>
              </w:rPr>
            </w:pPr>
            <w:r>
              <w:rPr>
                <w:rFonts w:hint="eastAsia" w:ascii="Times New Roman" w:hAnsi="Times New Roman" w:cs="Times New Roman"/>
                <w:color w:val="auto"/>
                <w:sz w:val="24"/>
                <w:lang w:val="en-US" w:eastAsia="zh-CN"/>
              </w:rPr>
              <w:t>原料仓库为</w:t>
            </w:r>
            <w:r>
              <w:rPr>
                <w:rFonts w:hint="eastAsia" w:ascii="Times New Roman" w:hAnsi="Times New Roman" w:cs="Times New Roman"/>
                <w:color w:val="auto"/>
                <w:sz w:val="24"/>
              </w:rPr>
              <w:t>全封闭厂房</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使用固定式射雾器（雾炮机）抑尘，抑尘效率90%</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每日运行2次，单次运行1h，</w:t>
            </w:r>
            <w:r>
              <w:rPr>
                <w:rFonts w:hint="eastAsia"/>
                <w:color w:val="auto"/>
                <w:sz w:val="24"/>
              </w:rPr>
              <w:t>雾炮耗水量</w:t>
            </w:r>
            <w:r>
              <w:rPr>
                <w:rFonts w:hint="eastAsia"/>
                <w:color w:val="auto"/>
                <w:sz w:val="24"/>
                <w:lang w:val="en-US" w:eastAsia="zh-CN"/>
              </w:rPr>
              <w:t>为3</w:t>
            </w:r>
            <w:r>
              <w:rPr>
                <w:rFonts w:hint="eastAsia"/>
                <w:color w:val="auto"/>
                <w:sz w:val="24"/>
              </w:rPr>
              <w:t>m</w:t>
            </w:r>
            <w:r>
              <w:rPr>
                <w:rFonts w:hint="eastAsia"/>
                <w:color w:val="auto"/>
                <w:sz w:val="24"/>
                <w:vertAlign w:val="superscript"/>
              </w:rPr>
              <w:t>3</w:t>
            </w:r>
            <w:r>
              <w:rPr>
                <w:rFonts w:hint="eastAsia"/>
                <w:color w:val="auto"/>
                <w:sz w:val="24"/>
                <w:vertAlign w:val="baseline"/>
                <w:lang w:val="en-US" w:eastAsia="zh-CN"/>
              </w:rPr>
              <w:t xml:space="preserve"> /h</w:t>
            </w:r>
            <w:r>
              <w:rPr>
                <w:rFonts w:hint="eastAsia"/>
                <w:color w:val="auto"/>
                <w:sz w:val="24"/>
              </w:rPr>
              <w:t>，</w:t>
            </w:r>
            <w:r>
              <w:rPr>
                <w:color w:val="auto"/>
                <w:sz w:val="24"/>
              </w:rPr>
              <w:t>，</w:t>
            </w:r>
            <w:r>
              <w:rPr>
                <w:rFonts w:hint="eastAsia"/>
                <w:color w:val="auto"/>
                <w:sz w:val="24"/>
              </w:rPr>
              <w:t>则</w:t>
            </w:r>
            <w:r>
              <w:rPr>
                <w:color w:val="auto"/>
                <w:sz w:val="24"/>
              </w:rPr>
              <w:t>抑尘洒水量为</w:t>
            </w:r>
            <w:r>
              <w:rPr>
                <w:rFonts w:hint="eastAsia"/>
                <w:color w:val="auto"/>
                <w:sz w:val="24"/>
                <w:lang w:val="en-US" w:eastAsia="zh-CN"/>
              </w:rPr>
              <w:t>6</w:t>
            </w:r>
            <w:r>
              <w:rPr>
                <w:color w:val="auto"/>
                <w:sz w:val="24"/>
              </w:rPr>
              <w:t>m</w:t>
            </w:r>
            <w:r>
              <w:rPr>
                <w:color w:val="auto"/>
                <w:sz w:val="24"/>
                <w:vertAlign w:val="superscript"/>
              </w:rPr>
              <w:t>3</w:t>
            </w:r>
            <w:r>
              <w:rPr>
                <w:color w:val="auto"/>
                <w:sz w:val="24"/>
              </w:rPr>
              <w:t>/d</w:t>
            </w:r>
            <w:r>
              <w:rPr>
                <w:rFonts w:hint="eastAsia"/>
                <w:color w:val="auto"/>
                <w:sz w:val="24"/>
              </w:rPr>
              <w:t>（</w:t>
            </w:r>
            <w:r>
              <w:rPr>
                <w:rFonts w:hint="eastAsia"/>
                <w:color w:val="auto"/>
                <w:sz w:val="24"/>
                <w:lang w:val="en-US" w:eastAsia="zh-CN"/>
              </w:rPr>
              <w:t>1998</w:t>
            </w:r>
            <w:r>
              <w:rPr>
                <w:rFonts w:hint="eastAsia"/>
                <w:color w:val="auto"/>
                <w:sz w:val="24"/>
              </w:rPr>
              <w:t>t</w:t>
            </w:r>
            <w:r>
              <w:rPr>
                <w:color w:val="auto"/>
                <w:sz w:val="24"/>
              </w:rPr>
              <w:t>/a</w:t>
            </w:r>
            <w:r>
              <w:rPr>
                <w:rFonts w:hint="eastAsia"/>
                <w:color w:val="auto"/>
                <w:sz w:val="24"/>
              </w:rPr>
              <w:t>）</w:t>
            </w:r>
            <w:r>
              <w:rPr>
                <w:color w:val="auto"/>
                <w:sz w:val="24"/>
              </w:rPr>
              <w:t>。</w:t>
            </w:r>
          </w:p>
          <w:p w14:paraId="618A9961">
            <w:pPr>
              <w:widowControl/>
              <w:spacing w:line="360" w:lineRule="auto"/>
              <w:ind w:left="480"/>
              <w:rPr>
                <w:color w:val="auto"/>
                <w:sz w:val="24"/>
              </w:rPr>
            </w:pPr>
            <w:r>
              <w:rPr>
                <w:rFonts w:hint="eastAsia"/>
                <w:color w:val="auto"/>
                <w:sz w:val="24"/>
              </w:rPr>
              <w:t>②焦粉及兰炭粉上料时抑尘用水</w:t>
            </w:r>
          </w:p>
          <w:p w14:paraId="43FD4269">
            <w:pPr>
              <w:widowControl/>
              <w:spacing w:line="360" w:lineRule="auto"/>
              <w:ind w:firstLine="480" w:firstLineChars="200"/>
              <w:rPr>
                <w:color w:val="auto"/>
              </w:rPr>
            </w:pPr>
            <w:r>
              <w:rPr>
                <w:rFonts w:hint="eastAsia"/>
                <w:color w:val="auto"/>
                <w:sz w:val="24"/>
              </w:rPr>
              <w:t>焦粉及兰炭粉上料时抑尘用水使用干雾抑尘器，</w:t>
            </w:r>
            <w:r>
              <w:rPr>
                <w:rFonts w:hint="eastAsia"/>
                <w:color w:val="auto"/>
                <w:sz w:val="24"/>
                <w:lang w:val="en-US" w:eastAsia="zh-CN"/>
              </w:rPr>
              <w:t>上料时间不确定，根据建设单位提供，</w:t>
            </w:r>
            <w:r>
              <w:rPr>
                <w:rFonts w:hint="eastAsia"/>
                <w:color w:val="auto"/>
                <w:sz w:val="24"/>
              </w:rPr>
              <w:t>用水量约10m</w:t>
            </w:r>
            <w:r>
              <w:rPr>
                <w:rFonts w:hint="eastAsia"/>
                <w:color w:val="auto"/>
                <w:sz w:val="24"/>
                <w:vertAlign w:val="superscript"/>
              </w:rPr>
              <w:t>3</w:t>
            </w:r>
            <w:r>
              <w:rPr>
                <w:rFonts w:hint="eastAsia"/>
                <w:color w:val="auto"/>
                <w:sz w:val="24"/>
              </w:rPr>
              <w:t>/d（3330t/</w:t>
            </w:r>
            <w:r>
              <w:rPr>
                <w:color w:val="auto"/>
                <w:sz w:val="24"/>
              </w:rPr>
              <w:t>a</w:t>
            </w:r>
            <w:r>
              <w:rPr>
                <w:rFonts w:hint="eastAsia"/>
                <w:color w:val="auto"/>
                <w:sz w:val="24"/>
              </w:rPr>
              <w:t>）。</w:t>
            </w:r>
          </w:p>
          <w:p w14:paraId="7BD8E383">
            <w:pPr>
              <w:widowControl/>
              <w:spacing w:line="360" w:lineRule="auto"/>
              <w:ind w:left="480"/>
              <w:rPr>
                <w:color w:val="auto"/>
                <w:sz w:val="24"/>
              </w:rPr>
            </w:pPr>
            <w:r>
              <w:rPr>
                <w:rFonts w:hint="eastAsia"/>
                <w:color w:val="auto"/>
                <w:sz w:val="24"/>
              </w:rPr>
              <w:t>③搅拌工序加湿用水</w:t>
            </w:r>
          </w:p>
          <w:p w14:paraId="264A352C">
            <w:pPr>
              <w:widowControl/>
              <w:spacing w:line="360" w:lineRule="auto"/>
              <w:ind w:firstLine="480" w:firstLineChars="200"/>
              <w:rPr>
                <w:color w:val="auto"/>
                <w:sz w:val="24"/>
              </w:rPr>
            </w:pPr>
            <w:r>
              <w:rPr>
                <w:rFonts w:hint="eastAsia"/>
                <w:color w:val="auto"/>
                <w:sz w:val="24"/>
              </w:rPr>
              <w:t>型焦搅拌工序加湿用水量按干基原料量的5%计，项目</w:t>
            </w:r>
            <w:r>
              <w:rPr>
                <w:rFonts w:hint="eastAsia"/>
                <w:color w:val="auto"/>
                <w:sz w:val="24"/>
                <w:lang w:val="en-US" w:eastAsia="zh-CN"/>
              </w:rPr>
              <w:t>原辅料为</w:t>
            </w:r>
            <w:r>
              <w:rPr>
                <w:rFonts w:hint="eastAsia"/>
                <w:color w:val="auto"/>
                <w:sz w:val="24"/>
              </w:rPr>
              <w:t>45.636万吨，年运行333天，24小时连续生产，则搅拌加湿用水量为68.52</w:t>
            </w:r>
            <w:r>
              <w:rPr>
                <w:color w:val="auto"/>
                <w:sz w:val="24"/>
              </w:rPr>
              <w:t>m</w:t>
            </w:r>
            <w:r>
              <w:rPr>
                <w:color w:val="auto"/>
                <w:sz w:val="24"/>
                <w:vertAlign w:val="superscript"/>
              </w:rPr>
              <w:t>3</w:t>
            </w:r>
            <w:r>
              <w:rPr>
                <w:color w:val="auto"/>
                <w:sz w:val="24"/>
              </w:rPr>
              <w:t>/d</w:t>
            </w:r>
            <w:r>
              <w:rPr>
                <w:rFonts w:hint="eastAsia"/>
                <w:color w:val="auto"/>
                <w:sz w:val="24"/>
              </w:rPr>
              <w:t>（22818t/a）。</w:t>
            </w:r>
          </w:p>
          <w:p w14:paraId="0694540A">
            <w:pPr>
              <w:widowControl/>
              <w:spacing w:line="360" w:lineRule="auto"/>
              <w:ind w:firstLine="480" w:firstLineChars="200"/>
              <w:rPr>
                <w:color w:val="auto"/>
                <w:sz w:val="24"/>
              </w:rPr>
            </w:pPr>
            <w:r>
              <w:rPr>
                <w:rFonts w:hint="eastAsia"/>
                <w:color w:val="auto"/>
                <w:sz w:val="24"/>
              </w:rPr>
              <w:t>④车辆冲洗水</w:t>
            </w:r>
          </w:p>
          <w:p w14:paraId="2021F701">
            <w:pPr>
              <w:widowControl/>
              <w:spacing w:line="360" w:lineRule="auto"/>
              <w:ind w:firstLine="480" w:firstLineChars="200"/>
              <w:rPr>
                <w:color w:val="auto"/>
                <w:sz w:val="24"/>
              </w:rPr>
            </w:pPr>
            <w:r>
              <w:rPr>
                <w:rFonts w:hint="eastAsia"/>
                <w:color w:val="auto"/>
                <w:sz w:val="24"/>
              </w:rPr>
              <w:t>本项目需要对进出厂区车辆进行冲洗、车辆冲洗用水按</w:t>
            </w:r>
            <w:r>
              <w:rPr>
                <w:color w:val="auto"/>
                <w:sz w:val="24"/>
              </w:rPr>
              <w:t>30L/</w:t>
            </w:r>
            <w:r>
              <w:rPr>
                <w:rFonts w:hint="eastAsia"/>
                <w:color w:val="auto"/>
                <w:sz w:val="24"/>
              </w:rPr>
              <w:t>辆计算，项目建成运行后，年运输量约为</w:t>
            </w:r>
            <w:r>
              <w:rPr>
                <w:rFonts w:hint="eastAsia"/>
                <w:color w:val="auto"/>
                <w:sz w:val="24"/>
                <w:lang w:val="en-US" w:eastAsia="zh-CN"/>
              </w:rPr>
              <w:t>74.8902</w:t>
            </w:r>
            <w:r>
              <w:rPr>
                <w:rFonts w:hint="eastAsia"/>
                <w:color w:val="auto"/>
                <w:sz w:val="24"/>
              </w:rPr>
              <w:t>万吨（其中运入量为45.636万吨</w:t>
            </w:r>
            <w:r>
              <w:rPr>
                <w:rFonts w:hint="eastAsia"/>
                <w:color w:val="auto"/>
                <w:sz w:val="24"/>
                <w:lang w:eastAsia="zh-CN"/>
              </w:rPr>
              <w:t>（</w:t>
            </w:r>
            <w:r>
              <w:rPr>
                <w:rFonts w:hint="eastAsia"/>
                <w:color w:val="auto"/>
                <w:sz w:val="24"/>
                <w:lang w:val="en-US" w:eastAsia="zh-CN"/>
              </w:rPr>
              <w:t>为外购的焦粉、除尘灰、兰碳粉、粘结剂</w:t>
            </w:r>
            <w:r>
              <w:rPr>
                <w:rFonts w:hint="eastAsia"/>
                <w:color w:val="auto"/>
                <w:sz w:val="24"/>
                <w:lang w:eastAsia="zh-CN"/>
              </w:rPr>
              <w:t>）</w:t>
            </w:r>
            <w:r>
              <w:rPr>
                <w:rFonts w:hint="eastAsia"/>
                <w:color w:val="auto"/>
                <w:sz w:val="24"/>
              </w:rPr>
              <w:t>，运出量为45万吨），车辆载重为35t，年需运输辆次约为</w:t>
            </w:r>
            <w:r>
              <w:rPr>
                <w:rFonts w:hint="eastAsia"/>
                <w:color w:val="auto"/>
                <w:sz w:val="24"/>
                <w:lang w:val="en-US" w:eastAsia="zh-CN"/>
              </w:rPr>
              <w:t>21398</w:t>
            </w:r>
            <w:r>
              <w:rPr>
                <w:rFonts w:hint="eastAsia"/>
                <w:color w:val="auto"/>
                <w:sz w:val="24"/>
              </w:rPr>
              <w:t>次，年运营333天，每天进出约</w:t>
            </w:r>
            <w:r>
              <w:rPr>
                <w:rFonts w:hint="eastAsia"/>
                <w:color w:val="auto"/>
                <w:sz w:val="24"/>
                <w:lang w:val="en-US" w:eastAsia="zh-CN"/>
              </w:rPr>
              <w:t>65</w:t>
            </w:r>
            <w:r>
              <w:rPr>
                <w:rFonts w:hint="eastAsia"/>
                <w:color w:val="auto"/>
                <w:sz w:val="24"/>
              </w:rPr>
              <w:t>次，用水量约为</w:t>
            </w:r>
            <w:r>
              <w:rPr>
                <w:rFonts w:hint="eastAsia"/>
                <w:color w:val="auto"/>
                <w:sz w:val="24"/>
                <w:lang w:val="en-US" w:eastAsia="zh-CN"/>
              </w:rPr>
              <w:t>1.95</w:t>
            </w:r>
            <w:r>
              <w:rPr>
                <w:color w:val="auto"/>
                <w:sz w:val="24"/>
              </w:rPr>
              <w:t>m</w:t>
            </w:r>
            <w:r>
              <w:rPr>
                <w:color w:val="auto"/>
                <w:sz w:val="24"/>
                <w:vertAlign w:val="superscript"/>
              </w:rPr>
              <w:t>3</w:t>
            </w:r>
            <w:r>
              <w:rPr>
                <w:color w:val="auto"/>
                <w:sz w:val="24"/>
              </w:rPr>
              <w:t>/d</w:t>
            </w:r>
            <w:r>
              <w:rPr>
                <w:rFonts w:hint="eastAsia"/>
                <w:color w:val="auto"/>
                <w:sz w:val="24"/>
              </w:rPr>
              <w:t>（</w:t>
            </w:r>
            <w:r>
              <w:rPr>
                <w:rFonts w:hint="eastAsia"/>
                <w:color w:val="auto"/>
                <w:sz w:val="24"/>
                <w:lang w:val="en-US" w:eastAsia="zh-CN"/>
              </w:rPr>
              <w:t>641.94</w:t>
            </w:r>
            <w:r>
              <w:rPr>
                <w:rFonts w:hint="eastAsia"/>
                <w:color w:val="auto"/>
                <w:sz w:val="24"/>
              </w:rPr>
              <w:t>t/a）；车辆冲洗废水按用水量的80%计，则损耗量为</w:t>
            </w:r>
            <w:r>
              <w:rPr>
                <w:rFonts w:hint="eastAsia"/>
                <w:color w:val="auto"/>
                <w:sz w:val="24"/>
                <w:lang w:val="en-US" w:eastAsia="zh-CN"/>
              </w:rPr>
              <w:t>0.39</w:t>
            </w:r>
            <w:r>
              <w:rPr>
                <w:color w:val="auto"/>
                <w:sz w:val="24"/>
              </w:rPr>
              <w:t>m</w:t>
            </w:r>
            <w:r>
              <w:rPr>
                <w:color w:val="auto"/>
                <w:sz w:val="24"/>
                <w:vertAlign w:val="superscript"/>
              </w:rPr>
              <w:t>3</w:t>
            </w:r>
            <w:r>
              <w:rPr>
                <w:color w:val="auto"/>
                <w:sz w:val="24"/>
              </w:rPr>
              <w:t>/d</w:t>
            </w:r>
            <w:r>
              <w:rPr>
                <w:rFonts w:hint="eastAsia"/>
                <w:color w:val="auto"/>
                <w:sz w:val="24"/>
              </w:rPr>
              <w:t>（</w:t>
            </w:r>
            <w:r>
              <w:rPr>
                <w:rFonts w:hint="eastAsia"/>
                <w:color w:val="auto"/>
                <w:sz w:val="24"/>
                <w:lang w:val="en-US" w:eastAsia="zh-CN"/>
              </w:rPr>
              <w:t>128.39</w:t>
            </w:r>
            <w:r>
              <w:rPr>
                <w:rFonts w:hint="eastAsia"/>
                <w:color w:val="auto"/>
                <w:sz w:val="24"/>
              </w:rPr>
              <w:t>t/a），废水量为</w:t>
            </w:r>
            <w:r>
              <w:rPr>
                <w:rFonts w:hint="eastAsia"/>
                <w:color w:val="auto"/>
                <w:sz w:val="24"/>
                <w:lang w:val="en-US" w:eastAsia="zh-CN"/>
              </w:rPr>
              <w:t>1.56</w:t>
            </w:r>
            <w:r>
              <w:rPr>
                <w:color w:val="auto"/>
                <w:sz w:val="24"/>
              </w:rPr>
              <w:t>m</w:t>
            </w:r>
            <w:r>
              <w:rPr>
                <w:color w:val="auto"/>
                <w:sz w:val="24"/>
                <w:vertAlign w:val="superscript"/>
              </w:rPr>
              <w:t>3</w:t>
            </w:r>
            <w:r>
              <w:rPr>
                <w:color w:val="auto"/>
                <w:sz w:val="24"/>
              </w:rPr>
              <w:t>/d</w:t>
            </w:r>
            <w:r>
              <w:rPr>
                <w:rFonts w:hint="eastAsia"/>
                <w:color w:val="auto"/>
                <w:sz w:val="24"/>
              </w:rPr>
              <w:t>（</w:t>
            </w:r>
            <w:r>
              <w:rPr>
                <w:rFonts w:hint="eastAsia"/>
                <w:color w:val="auto"/>
                <w:sz w:val="24"/>
                <w:lang w:val="en-US" w:eastAsia="zh-CN"/>
              </w:rPr>
              <w:t>513.55</w:t>
            </w:r>
            <w:r>
              <w:rPr>
                <w:rFonts w:hint="eastAsia"/>
                <w:color w:val="auto"/>
                <w:sz w:val="24"/>
              </w:rPr>
              <w:t>t/a），车辆冲洗废水收集至沉淀池处理后循循环使用，不外排。</w:t>
            </w:r>
          </w:p>
          <w:p w14:paraId="795BE59D">
            <w:pPr>
              <w:widowControl/>
              <w:spacing w:line="360" w:lineRule="auto"/>
              <w:ind w:left="480"/>
              <w:rPr>
                <w:color w:val="auto"/>
                <w:sz w:val="24"/>
              </w:rPr>
            </w:pPr>
            <w:r>
              <w:rPr>
                <w:rFonts w:hint="eastAsia"/>
                <w:color w:val="auto"/>
                <w:sz w:val="24"/>
              </w:rPr>
              <w:t>⑤洒水车抑尘</w:t>
            </w:r>
          </w:p>
          <w:p w14:paraId="2EC1534C">
            <w:pPr>
              <w:widowControl/>
              <w:spacing w:line="360" w:lineRule="auto"/>
              <w:ind w:firstLine="480" w:firstLineChars="200"/>
              <w:rPr>
                <w:color w:val="auto"/>
                <w:sz w:val="24"/>
              </w:rPr>
            </w:pPr>
            <w:r>
              <w:rPr>
                <w:rFonts w:hint="default" w:ascii="Times New Roman" w:hAnsi="Times New Roman" w:eastAsia="宋体" w:cs="Times New Roman"/>
                <w:color w:val="auto"/>
                <w:sz w:val="24"/>
              </w:rPr>
              <w:t>本项目设置1台洒水车洒水抑尘，</w:t>
            </w:r>
            <w:r>
              <w:rPr>
                <w:rFonts w:hint="default" w:ascii="Times New Roman" w:hAnsi="Times New Roman" w:eastAsia="宋体" w:cs="Times New Roman"/>
                <w:color w:val="auto"/>
                <w:sz w:val="24"/>
                <w:szCs w:val="24"/>
              </w:rPr>
              <w:t>厂区道路洒水面积为9000 m²，洒水强度0.5 L/m²・次，每日洒水 2 次，年作业330 d</w:t>
            </w:r>
            <w:r>
              <w:rPr>
                <w:rFonts w:hint="eastAsia" w:ascii="Times New Roman" w:hAnsi="Times New Roman" w:eastAsia="宋体" w:cs="Times New Roman"/>
                <w:color w:val="auto"/>
                <w:sz w:val="24"/>
                <w:szCs w:val="24"/>
                <w:lang w:eastAsia="zh-CN"/>
              </w:rPr>
              <w:t>，</w:t>
            </w:r>
            <w:r>
              <w:rPr>
                <w:color w:val="auto"/>
                <w:sz w:val="24"/>
              </w:rPr>
              <w:t>洒水车洒水用水量为</w:t>
            </w:r>
            <w:r>
              <w:rPr>
                <w:rFonts w:hint="eastAsia"/>
                <w:color w:val="auto"/>
                <w:sz w:val="24"/>
                <w:lang w:val="en-US" w:eastAsia="zh-CN"/>
              </w:rPr>
              <w:t>9</w:t>
            </w:r>
            <w:r>
              <w:rPr>
                <w:color w:val="auto"/>
                <w:sz w:val="24"/>
              </w:rPr>
              <w:t>m</w:t>
            </w:r>
            <w:r>
              <w:rPr>
                <w:color w:val="auto"/>
                <w:sz w:val="24"/>
                <w:vertAlign w:val="superscript"/>
              </w:rPr>
              <w:t>3</w:t>
            </w:r>
            <w:r>
              <w:rPr>
                <w:color w:val="auto"/>
                <w:sz w:val="24"/>
              </w:rPr>
              <w:t>/d</w:t>
            </w:r>
            <w:r>
              <w:rPr>
                <w:rFonts w:hint="eastAsia"/>
                <w:color w:val="auto"/>
                <w:sz w:val="24"/>
              </w:rPr>
              <w:t>（</w:t>
            </w:r>
            <w:r>
              <w:rPr>
                <w:rFonts w:hint="eastAsia"/>
                <w:color w:val="auto"/>
                <w:sz w:val="24"/>
                <w:lang w:val="en-US" w:eastAsia="zh-CN"/>
              </w:rPr>
              <w:t>2970</w:t>
            </w:r>
            <w:r>
              <w:rPr>
                <w:rFonts w:hint="eastAsia"/>
                <w:color w:val="auto"/>
                <w:sz w:val="24"/>
              </w:rPr>
              <w:t>t/a）</w:t>
            </w:r>
            <w:r>
              <w:rPr>
                <w:color w:val="auto"/>
                <w:sz w:val="24"/>
              </w:rPr>
              <w:t>。</w:t>
            </w:r>
          </w:p>
          <w:p w14:paraId="1603A477">
            <w:pPr>
              <w:widowControl/>
              <w:spacing w:line="360" w:lineRule="auto"/>
              <w:ind w:firstLine="480" w:firstLineChars="200"/>
              <w:rPr>
                <w:rFonts w:hint="eastAsia"/>
                <w:color w:val="auto"/>
                <w:sz w:val="24"/>
                <w:lang w:val="en-US" w:eastAsia="zh-CN"/>
              </w:rPr>
            </w:pPr>
            <w:r>
              <w:rPr>
                <w:rFonts w:hint="eastAsia"/>
                <w:color w:val="auto"/>
                <w:sz w:val="24"/>
                <w:lang w:val="en-US" w:eastAsia="zh-CN"/>
              </w:rPr>
              <w:t>⑥脱盐水</w:t>
            </w:r>
          </w:p>
          <w:p w14:paraId="0751C283">
            <w:pPr>
              <w:widowControl/>
              <w:spacing w:line="360" w:lineRule="auto"/>
              <w:ind w:firstLine="480" w:firstLineChars="200"/>
              <w:rPr>
                <w:rFonts w:hint="default"/>
                <w:color w:val="auto"/>
                <w:sz w:val="24"/>
                <w:lang w:val="en-US" w:eastAsia="zh-CN"/>
              </w:rPr>
            </w:pPr>
            <w:r>
              <w:rPr>
                <w:rFonts w:hint="eastAsia"/>
                <w:color w:val="auto"/>
                <w:sz w:val="24"/>
              </w:rPr>
              <w:t>本项目干燥热源采用在新航焦化新设上升管余热回收装置产生的饱和蒸汽，其中需要使用脱盐水，脱盐水由新航焦化提供，用量为300</w:t>
            </w:r>
            <w:r>
              <w:rPr>
                <w:color w:val="auto"/>
                <w:sz w:val="24"/>
              </w:rPr>
              <w:t>m</w:t>
            </w:r>
            <w:r>
              <w:rPr>
                <w:color w:val="auto"/>
                <w:sz w:val="24"/>
                <w:vertAlign w:val="superscript"/>
              </w:rPr>
              <w:t>3</w:t>
            </w:r>
            <w:r>
              <w:rPr>
                <w:rFonts w:hint="eastAsia"/>
                <w:color w:val="auto"/>
                <w:sz w:val="24"/>
              </w:rPr>
              <w:t>/d，损耗量为30</w:t>
            </w:r>
            <w:r>
              <w:rPr>
                <w:color w:val="auto"/>
                <w:sz w:val="24"/>
              </w:rPr>
              <w:t>m</w:t>
            </w:r>
            <w:r>
              <w:rPr>
                <w:color w:val="auto"/>
                <w:sz w:val="24"/>
                <w:vertAlign w:val="superscript"/>
              </w:rPr>
              <w:t>3</w:t>
            </w:r>
            <w:r>
              <w:rPr>
                <w:color w:val="auto"/>
                <w:sz w:val="24"/>
              </w:rPr>
              <w:t>/d</w:t>
            </w:r>
            <w:r>
              <w:rPr>
                <w:rFonts w:hint="eastAsia"/>
                <w:color w:val="auto"/>
                <w:sz w:val="24"/>
              </w:rPr>
              <w:t>，则需要补充水量9960t/a，共需要10260t/a，脱盐水循环使用，不外排。</w:t>
            </w:r>
          </w:p>
          <w:p w14:paraId="4AAB3958">
            <w:pPr>
              <w:autoSpaceDE w:val="0"/>
              <w:autoSpaceDN w:val="0"/>
              <w:adjustRightInd w:val="0"/>
              <w:snapToGrid w:val="0"/>
              <w:ind w:firstLine="1928" w:firstLineChars="800"/>
              <w:rPr>
                <w:b/>
                <w:bCs/>
                <w:color w:val="auto"/>
                <w:kern w:val="0"/>
                <w:sz w:val="24"/>
              </w:rPr>
            </w:pPr>
            <w:r>
              <w:rPr>
                <w:rFonts w:hint="eastAsia"/>
                <w:b/>
                <w:bCs/>
                <w:color w:val="auto"/>
                <w:kern w:val="0"/>
                <w:sz w:val="24"/>
              </w:rPr>
              <w:t>表2-10    项目水量平衡一览表</w:t>
            </w:r>
          </w:p>
          <w:tbl>
            <w:tblPr>
              <w:tblStyle w:val="23"/>
              <w:tblW w:w="8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30"/>
              <w:gridCol w:w="1364"/>
              <w:gridCol w:w="1139"/>
              <w:gridCol w:w="1139"/>
              <w:gridCol w:w="1139"/>
              <w:gridCol w:w="1249"/>
            </w:tblGrid>
            <w:tr w14:paraId="6C2A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523" w:type="dxa"/>
                  <w:vAlign w:val="center"/>
                </w:tcPr>
                <w:p w14:paraId="2C3DC5D0">
                  <w:pPr>
                    <w:snapToGrid w:val="0"/>
                    <w:jc w:val="center"/>
                    <w:rPr>
                      <w:bCs/>
                      <w:color w:val="auto"/>
                      <w:szCs w:val="21"/>
                    </w:rPr>
                  </w:pPr>
                  <w:r>
                    <w:rPr>
                      <w:bCs/>
                      <w:color w:val="auto"/>
                      <w:szCs w:val="21"/>
                    </w:rPr>
                    <w:t>序号</w:t>
                  </w:r>
                </w:p>
              </w:tc>
              <w:tc>
                <w:tcPr>
                  <w:tcW w:w="1530" w:type="dxa"/>
                  <w:vAlign w:val="center"/>
                </w:tcPr>
                <w:p w14:paraId="08C9F007">
                  <w:pPr>
                    <w:snapToGrid w:val="0"/>
                    <w:jc w:val="center"/>
                    <w:rPr>
                      <w:bCs/>
                      <w:color w:val="auto"/>
                      <w:szCs w:val="21"/>
                    </w:rPr>
                  </w:pPr>
                  <w:r>
                    <w:rPr>
                      <w:bCs/>
                      <w:color w:val="auto"/>
                      <w:szCs w:val="21"/>
                    </w:rPr>
                    <w:t>用水工序</w:t>
                  </w:r>
                </w:p>
              </w:tc>
              <w:tc>
                <w:tcPr>
                  <w:tcW w:w="1364" w:type="dxa"/>
                  <w:vAlign w:val="center"/>
                </w:tcPr>
                <w:p w14:paraId="0FC59884">
                  <w:pPr>
                    <w:snapToGrid w:val="0"/>
                    <w:jc w:val="center"/>
                    <w:rPr>
                      <w:bCs/>
                      <w:color w:val="auto"/>
                      <w:szCs w:val="21"/>
                    </w:rPr>
                  </w:pPr>
                  <w:r>
                    <w:rPr>
                      <w:bCs/>
                      <w:color w:val="auto"/>
                      <w:szCs w:val="21"/>
                    </w:rPr>
                    <w:t>用水量m</w:t>
                  </w:r>
                  <w:r>
                    <w:rPr>
                      <w:bCs/>
                      <w:color w:val="auto"/>
                      <w:szCs w:val="21"/>
                      <w:vertAlign w:val="superscript"/>
                    </w:rPr>
                    <w:t>3</w:t>
                  </w:r>
                  <w:r>
                    <w:rPr>
                      <w:bCs/>
                      <w:color w:val="auto"/>
                      <w:szCs w:val="21"/>
                    </w:rPr>
                    <w:t>/</w:t>
                  </w:r>
                  <w:r>
                    <w:rPr>
                      <w:rFonts w:hint="eastAsia"/>
                      <w:bCs/>
                      <w:color w:val="auto"/>
                      <w:szCs w:val="21"/>
                    </w:rPr>
                    <w:t>d</w:t>
                  </w:r>
                </w:p>
              </w:tc>
              <w:tc>
                <w:tcPr>
                  <w:tcW w:w="1139" w:type="dxa"/>
                  <w:vAlign w:val="center"/>
                </w:tcPr>
                <w:p w14:paraId="2D2CE23C">
                  <w:pPr>
                    <w:snapToGrid w:val="0"/>
                    <w:jc w:val="center"/>
                    <w:rPr>
                      <w:bCs/>
                      <w:color w:val="auto"/>
                      <w:szCs w:val="21"/>
                    </w:rPr>
                  </w:pPr>
                  <w:r>
                    <w:rPr>
                      <w:rFonts w:hint="eastAsia"/>
                      <w:bCs/>
                      <w:color w:val="auto"/>
                      <w:szCs w:val="21"/>
                    </w:rPr>
                    <w:t>损耗水量</w:t>
                  </w:r>
                  <w:r>
                    <w:rPr>
                      <w:bCs/>
                      <w:color w:val="auto"/>
                      <w:szCs w:val="21"/>
                    </w:rPr>
                    <w:t>m</w:t>
                  </w:r>
                  <w:r>
                    <w:rPr>
                      <w:bCs/>
                      <w:color w:val="auto"/>
                      <w:szCs w:val="21"/>
                      <w:vertAlign w:val="superscript"/>
                    </w:rPr>
                    <w:t>3</w:t>
                  </w:r>
                  <w:r>
                    <w:rPr>
                      <w:bCs/>
                      <w:color w:val="auto"/>
                      <w:szCs w:val="21"/>
                    </w:rPr>
                    <w:t>/</w:t>
                  </w:r>
                  <w:r>
                    <w:rPr>
                      <w:rFonts w:hint="eastAsia"/>
                      <w:bCs/>
                      <w:color w:val="auto"/>
                      <w:szCs w:val="21"/>
                    </w:rPr>
                    <w:t>d</w:t>
                  </w:r>
                </w:p>
              </w:tc>
              <w:tc>
                <w:tcPr>
                  <w:tcW w:w="1139" w:type="dxa"/>
                  <w:vAlign w:val="center"/>
                </w:tcPr>
                <w:p w14:paraId="775180E9">
                  <w:pPr>
                    <w:snapToGrid w:val="0"/>
                    <w:jc w:val="center"/>
                    <w:rPr>
                      <w:bCs/>
                      <w:color w:val="auto"/>
                      <w:szCs w:val="21"/>
                    </w:rPr>
                  </w:pPr>
                  <w:r>
                    <w:rPr>
                      <w:bCs/>
                      <w:color w:val="auto"/>
                      <w:szCs w:val="21"/>
                    </w:rPr>
                    <w:t>废水产生量m</w:t>
                  </w:r>
                  <w:r>
                    <w:rPr>
                      <w:bCs/>
                      <w:color w:val="auto"/>
                      <w:szCs w:val="21"/>
                      <w:vertAlign w:val="superscript"/>
                    </w:rPr>
                    <w:t>3</w:t>
                  </w:r>
                  <w:r>
                    <w:rPr>
                      <w:bCs/>
                      <w:color w:val="auto"/>
                      <w:szCs w:val="21"/>
                    </w:rPr>
                    <w:t>/</w:t>
                  </w:r>
                  <w:r>
                    <w:rPr>
                      <w:rFonts w:hint="eastAsia"/>
                      <w:bCs/>
                      <w:color w:val="auto"/>
                      <w:szCs w:val="21"/>
                    </w:rPr>
                    <w:t>d</w:t>
                  </w:r>
                </w:p>
              </w:tc>
              <w:tc>
                <w:tcPr>
                  <w:tcW w:w="1139" w:type="dxa"/>
                  <w:vAlign w:val="center"/>
                </w:tcPr>
                <w:p w14:paraId="4D29D291">
                  <w:pPr>
                    <w:snapToGrid w:val="0"/>
                    <w:jc w:val="center"/>
                    <w:rPr>
                      <w:bCs/>
                      <w:color w:val="auto"/>
                      <w:szCs w:val="21"/>
                    </w:rPr>
                  </w:pPr>
                  <w:r>
                    <w:rPr>
                      <w:rFonts w:hint="eastAsia"/>
                      <w:bCs/>
                      <w:color w:val="auto"/>
                      <w:szCs w:val="21"/>
                    </w:rPr>
                    <w:t>用水来源</w:t>
                  </w:r>
                </w:p>
              </w:tc>
              <w:tc>
                <w:tcPr>
                  <w:tcW w:w="1249" w:type="dxa"/>
                  <w:vAlign w:val="center"/>
                </w:tcPr>
                <w:p w14:paraId="0CE29640">
                  <w:pPr>
                    <w:snapToGrid w:val="0"/>
                    <w:jc w:val="center"/>
                    <w:rPr>
                      <w:bCs/>
                      <w:color w:val="auto"/>
                      <w:szCs w:val="21"/>
                    </w:rPr>
                  </w:pPr>
                  <w:r>
                    <w:rPr>
                      <w:rFonts w:hint="eastAsia"/>
                      <w:bCs/>
                      <w:color w:val="auto"/>
                      <w:szCs w:val="21"/>
                    </w:rPr>
                    <w:t>排水去向</w:t>
                  </w:r>
                </w:p>
              </w:tc>
            </w:tr>
            <w:tr w14:paraId="0F6D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23" w:type="dxa"/>
                  <w:vAlign w:val="center"/>
                </w:tcPr>
                <w:p w14:paraId="2C112969">
                  <w:pPr>
                    <w:snapToGrid w:val="0"/>
                    <w:jc w:val="center"/>
                    <w:rPr>
                      <w:color w:val="auto"/>
                      <w:szCs w:val="21"/>
                    </w:rPr>
                  </w:pPr>
                  <w:r>
                    <w:rPr>
                      <w:rFonts w:hint="eastAsia"/>
                      <w:color w:val="auto"/>
                      <w:szCs w:val="21"/>
                    </w:rPr>
                    <w:t>1</w:t>
                  </w:r>
                </w:p>
              </w:tc>
              <w:tc>
                <w:tcPr>
                  <w:tcW w:w="1530" w:type="dxa"/>
                  <w:vAlign w:val="center"/>
                </w:tcPr>
                <w:p w14:paraId="56C58901">
                  <w:pPr>
                    <w:snapToGrid w:val="0"/>
                    <w:jc w:val="center"/>
                    <w:rPr>
                      <w:bCs/>
                      <w:color w:val="auto"/>
                      <w:szCs w:val="21"/>
                    </w:rPr>
                  </w:pPr>
                  <w:r>
                    <w:rPr>
                      <w:rFonts w:hint="eastAsia"/>
                      <w:bCs/>
                      <w:color w:val="auto"/>
                      <w:szCs w:val="21"/>
                    </w:rPr>
                    <w:t>生活用水</w:t>
                  </w:r>
                </w:p>
              </w:tc>
              <w:tc>
                <w:tcPr>
                  <w:tcW w:w="1364" w:type="dxa"/>
                  <w:vAlign w:val="center"/>
                </w:tcPr>
                <w:p w14:paraId="64E449C1">
                  <w:pPr>
                    <w:snapToGrid w:val="0"/>
                    <w:jc w:val="center"/>
                    <w:rPr>
                      <w:bCs/>
                      <w:color w:val="auto"/>
                      <w:szCs w:val="21"/>
                    </w:rPr>
                  </w:pPr>
                  <w:r>
                    <w:rPr>
                      <w:rFonts w:hint="eastAsia"/>
                      <w:bCs/>
                      <w:color w:val="auto"/>
                      <w:szCs w:val="21"/>
                    </w:rPr>
                    <w:t>1.2</w:t>
                  </w:r>
                </w:p>
              </w:tc>
              <w:tc>
                <w:tcPr>
                  <w:tcW w:w="1139" w:type="dxa"/>
                  <w:vAlign w:val="center"/>
                </w:tcPr>
                <w:p w14:paraId="7AB70DBD">
                  <w:pPr>
                    <w:snapToGrid w:val="0"/>
                    <w:jc w:val="center"/>
                    <w:rPr>
                      <w:bCs/>
                      <w:color w:val="auto"/>
                      <w:szCs w:val="21"/>
                    </w:rPr>
                  </w:pPr>
                  <w:r>
                    <w:rPr>
                      <w:rFonts w:hint="eastAsia"/>
                      <w:bCs/>
                      <w:color w:val="auto"/>
                      <w:szCs w:val="21"/>
                    </w:rPr>
                    <w:t>0.24</w:t>
                  </w:r>
                </w:p>
              </w:tc>
              <w:tc>
                <w:tcPr>
                  <w:tcW w:w="1139" w:type="dxa"/>
                  <w:vAlign w:val="center"/>
                </w:tcPr>
                <w:p w14:paraId="483B248F">
                  <w:pPr>
                    <w:snapToGrid w:val="0"/>
                    <w:jc w:val="center"/>
                    <w:rPr>
                      <w:bCs/>
                      <w:color w:val="auto"/>
                      <w:szCs w:val="21"/>
                    </w:rPr>
                  </w:pPr>
                  <w:r>
                    <w:rPr>
                      <w:rFonts w:hint="eastAsia"/>
                      <w:bCs/>
                      <w:color w:val="auto"/>
                      <w:szCs w:val="21"/>
                    </w:rPr>
                    <w:t>0.96</w:t>
                  </w:r>
                </w:p>
              </w:tc>
              <w:tc>
                <w:tcPr>
                  <w:tcW w:w="1139" w:type="dxa"/>
                  <w:vMerge w:val="restart"/>
                  <w:vAlign w:val="center"/>
                </w:tcPr>
                <w:p w14:paraId="3A940C2C">
                  <w:pPr>
                    <w:snapToGrid w:val="0"/>
                    <w:jc w:val="center"/>
                    <w:rPr>
                      <w:bCs/>
                      <w:color w:val="auto"/>
                      <w:szCs w:val="21"/>
                    </w:rPr>
                  </w:pPr>
                  <w:r>
                    <w:rPr>
                      <w:rFonts w:hint="eastAsia"/>
                      <w:bCs/>
                      <w:color w:val="auto"/>
                      <w:szCs w:val="21"/>
                    </w:rPr>
                    <w:t>新鲜水来源为新航焦化厂现有的供水系统</w:t>
                  </w:r>
                </w:p>
              </w:tc>
              <w:tc>
                <w:tcPr>
                  <w:tcW w:w="1249" w:type="dxa"/>
                  <w:vAlign w:val="center"/>
                </w:tcPr>
                <w:p w14:paraId="2ABB6ECE">
                  <w:pPr>
                    <w:snapToGrid w:val="0"/>
                    <w:jc w:val="center"/>
                    <w:rPr>
                      <w:bCs/>
                      <w:color w:val="auto"/>
                      <w:szCs w:val="21"/>
                    </w:rPr>
                  </w:pPr>
                  <w:r>
                    <w:rPr>
                      <w:rFonts w:hint="eastAsia"/>
                      <w:bCs/>
                      <w:color w:val="auto"/>
                      <w:szCs w:val="21"/>
                    </w:rPr>
                    <w:t>新航焦化污水处理厂</w:t>
                  </w:r>
                </w:p>
              </w:tc>
            </w:tr>
            <w:tr w14:paraId="1EF0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23" w:type="dxa"/>
                  <w:vAlign w:val="center"/>
                </w:tcPr>
                <w:p w14:paraId="6FFAA20A">
                  <w:pPr>
                    <w:snapToGrid w:val="0"/>
                    <w:jc w:val="center"/>
                    <w:rPr>
                      <w:color w:val="auto"/>
                      <w:szCs w:val="21"/>
                    </w:rPr>
                  </w:pPr>
                  <w:r>
                    <w:rPr>
                      <w:rFonts w:hint="eastAsia"/>
                      <w:color w:val="auto"/>
                      <w:szCs w:val="21"/>
                    </w:rPr>
                    <w:t>2</w:t>
                  </w:r>
                </w:p>
              </w:tc>
              <w:tc>
                <w:tcPr>
                  <w:tcW w:w="1530" w:type="dxa"/>
                  <w:vAlign w:val="center"/>
                </w:tcPr>
                <w:p w14:paraId="5AAD9E67">
                  <w:pPr>
                    <w:snapToGrid w:val="0"/>
                    <w:jc w:val="center"/>
                    <w:rPr>
                      <w:bCs/>
                      <w:color w:val="auto"/>
                      <w:szCs w:val="21"/>
                    </w:rPr>
                  </w:pPr>
                  <w:r>
                    <w:rPr>
                      <w:rFonts w:hint="eastAsia"/>
                      <w:bCs/>
                      <w:color w:val="auto"/>
                      <w:szCs w:val="21"/>
                    </w:rPr>
                    <w:t>储存抑尘用水</w:t>
                  </w:r>
                </w:p>
              </w:tc>
              <w:tc>
                <w:tcPr>
                  <w:tcW w:w="1364" w:type="dxa"/>
                  <w:vAlign w:val="center"/>
                </w:tcPr>
                <w:p w14:paraId="788E4CC2">
                  <w:pPr>
                    <w:snapToGrid w:val="0"/>
                    <w:jc w:val="center"/>
                    <w:rPr>
                      <w:rFonts w:hint="default"/>
                      <w:bCs/>
                      <w:color w:val="auto"/>
                      <w:szCs w:val="21"/>
                      <w:lang w:val="en-US" w:eastAsia="zh-CN"/>
                    </w:rPr>
                  </w:pPr>
                  <w:r>
                    <w:rPr>
                      <w:rFonts w:hint="eastAsia"/>
                      <w:bCs/>
                      <w:color w:val="auto"/>
                      <w:szCs w:val="21"/>
                      <w:lang w:val="en-US" w:eastAsia="zh-CN"/>
                    </w:rPr>
                    <w:t>6</w:t>
                  </w:r>
                </w:p>
              </w:tc>
              <w:tc>
                <w:tcPr>
                  <w:tcW w:w="1139" w:type="dxa"/>
                  <w:vAlign w:val="center"/>
                </w:tcPr>
                <w:p w14:paraId="65C8D157">
                  <w:pPr>
                    <w:snapToGrid w:val="0"/>
                    <w:jc w:val="center"/>
                    <w:rPr>
                      <w:rFonts w:hint="eastAsia"/>
                      <w:bCs/>
                      <w:color w:val="auto"/>
                      <w:szCs w:val="21"/>
                    </w:rPr>
                  </w:pPr>
                  <w:r>
                    <w:rPr>
                      <w:rFonts w:hint="eastAsia"/>
                      <w:bCs/>
                      <w:color w:val="auto"/>
                      <w:szCs w:val="21"/>
                      <w:lang w:val="en-US" w:eastAsia="zh-CN"/>
                    </w:rPr>
                    <w:t>6</w:t>
                  </w:r>
                </w:p>
              </w:tc>
              <w:tc>
                <w:tcPr>
                  <w:tcW w:w="1139" w:type="dxa"/>
                  <w:vAlign w:val="center"/>
                </w:tcPr>
                <w:p w14:paraId="6E9A8CF8">
                  <w:pPr>
                    <w:snapToGrid w:val="0"/>
                    <w:jc w:val="center"/>
                    <w:rPr>
                      <w:rFonts w:hint="eastAsia"/>
                      <w:bCs/>
                      <w:color w:val="auto"/>
                      <w:szCs w:val="21"/>
                    </w:rPr>
                  </w:pPr>
                  <w:r>
                    <w:rPr>
                      <w:rFonts w:hint="eastAsia"/>
                      <w:bCs/>
                      <w:color w:val="auto"/>
                      <w:szCs w:val="21"/>
                    </w:rPr>
                    <w:t>0</w:t>
                  </w:r>
                </w:p>
              </w:tc>
              <w:tc>
                <w:tcPr>
                  <w:tcW w:w="1139" w:type="dxa"/>
                  <w:vMerge w:val="continue"/>
                  <w:vAlign w:val="center"/>
                </w:tcPr>
                <w:p w14:paraId="07033413">
                  <w:pPr>
                    <w:snapToGrid w:val="0"/>
                    <w:jc w:val="center"/>
                    <w:rPr>
                      <w:bCs/>
                      <w:color w:val="auto"/>
                      <w:szCs w:val="21"/>
                    </w:rPr>
                  </w:pPr>
                </w:p>
              </w:tc>
              <w:tc>
                <w:tcPr>
                  <w:tcW w:w="1249" w:type="dxa"/>
                  <w:vAlign w:val="center"/>
                </w:tcPr>
                <w:p w14:paraId="39E90A33">
                  <w:pPr>
                    <w:snapToGrid w:val="0"/>
                    <w:jc w:val="center"/>
                    <w:rPr>
                      <w:bCs/>
                      <w:color w:val="auto"/>
                      <w:szCs w:val="21"/>
                    </w:rPr>
                  </w:pPr>
                  <w:r>
                    <w:rPr>
                      <w:rFonts w:hint="eastAsia"/>
                      <w:bCs/>
                      <w:color w:val="auto"/>
                      <w:szCs w:val="21"/>
                      <w:lang w:val="en-US" w:eastAsia="zh-CN"/>
                    </w:rPr>
                    <w:t>蒸发</w:t>
                  </w:r>
                </w:p>
              </w:tc>
            </w:tr>
            <w:tr w14:paraId="1C13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23" w:type="dxa"/>
                  <w:vAlign w:val="center"/>
                </w:tcPr>
                <w:p w14:paraId="0D0C9503">
                  <w:pPr>
                    <w:snapToGrid w:val="0"/>
                    <w:jc w:val="center"/>
                    <w:rPr>
                      <w:color w:val="auto"/>
                      <w:szCs w:val="21"/>
                    </w:rPr>
                  </w:pPr>
                  <w:r>
                    <w:rPr>
                      <w:rFonts w:hint="eastAsia"/>
                      <w:color w:val="auto"/>
                      <w:szCs w:val="21"/>
                    </w:rPr>
                    <w:t>3</w:t>
                  </w:r>
                </w:p>
              </w:tc>
              <w:tc>
                <w:tcPr>
                  <w:tcW w:w="1530" w:type="dxa"/>
                  <w:vAlign w:val="center"/>
                </w:tcPr>
                <w:p w14:paraId="2646DAB0">
                  <w:pPr>
                    <w:snapToGrid w:val="0"/>
                    <w:jc w:val="center"/>
                    <w:rPr>
                      <w:bCs/>
                      <w:color w:val="auto"/>
                      <w:szCs w:val="21"/>
                    </w:rPr>
                  </w:pPr>
                  <w:r>
                    <w:rPr>
                      <w:rFonts w:hint="eastAsia"/>
                      <w:bCs/>
                      <w:color w:val="auto"/>
                      <w:szCs w:val="21"/>
                    </w:rPr>
                    <w:t>焦粉及兰炭粉上料抑尘用水</w:t>
                  </w:r>
                </w:p>
              </w:tc>
              <w:tc>
                <w:tcPr>
                  <w:tcW w:w="1364" w:type="dxa"/>
                  <w:vAlign w:val="center"/>
                </w:tcPr>
                <w:p w14:paraId="45254219">
                  <w:pPr>
                    <w:snapToGrid w:val="0"/>
                    <w:jc w:val="center"/>
                    <w:rPr>
                      <w:bCs/>
                      <w:color w:val="auto"/>
                      <w:szCs w:val="21"/>
                    </w:rPr>
                  </w:pPr>
                  <w:r>
                    <w:rPr>
                      <w:rFonts w:hint="eastAsia"/>
                      <w:bCs/>
                      <w:color w:val="auto"/>
                      <w:szCs w:val="21"/>
                    </w:rPr>
                    <w:t>10</w:t>
                  </w:r>
                </w:p>
              </w:tc>
              <w:tc>
                <w:tcPr>
                  <w:tcW w:w="1139" w:type="dxa"/>
                  <w:vAlign w:val="center"/>
                </w:tcPr>
                <w:p w14:paraId="5C8D84C6">
                  <w:pPr>
                    <w:snapToGrid w:val="0"/>
                    <w:jc w:val="center"/>
                    <w:rPr>
                      <w:bCs/>
                      <w:color w:val="auto"/>
                      <w:szCs w:val="21"/>
                    </w:rPr>
                  </w:pPr>
                  <w:r>
                    <w:rPr>
                      <w:rFonts w:hint="eastAsia"/>
                      <w:bCs/>
                      <w:color w:val="auto"/>
                      <w:szCs w:val="21"/>
                    </w:rPr>
                    <w:t>10</w:t>
                  </w:r>
                </w:p>
              </w:tc>
              <w:tc>
                <w:tcPr>
                  <w:tcW w:w="1139" w:type="dxa"/>
                  <w:vAlign w:val="center"/>
                </w:tcPr>
                <w:p w14:paraId="628EC1F9">
                  <w:pPr>
                    <w:snapToGrid w:val="0"/>
                    <w:jc w:val="center"/>
                    <w:rPr>
                      <w:bCs/>
                      <w:color w:val="auto"/>
                      <w:szCs w:val="21"/>
                    </w:rPr>
                  </w:pPr>
                  <w:r>
                    <w:rPr>
                      <w:rFonts w:hint="eastAsia"/>
                      <w:bCs/>
                      <w:color w:val="auto"/>
                      <w:szCs w:val="21"/>
                    </w:rPr>
                    <w:t>0</w:t>
                  </w:r>
                </w:p>
              </w:tc>
              <w:tc>
                <w:tcPr>
                  <w:tcW w:w="1139" w:type="dxa"/>
                  <w:vMerge w:val="continue"/>
                  <w:vAlign w:val="center"/>
                </w:tcPr>
                <w:p w14:paraId="00B51FC3">
                  <w:pPr>
                    <w:snapToGrid w:val="0"/>
                    <w:jc w:val="center"/>
                    <w:rPr>
                      <w:bCs/>
                      <w:color w:val="auto"/>
                      <w:szCs w:val="21"/>
                    </w:rPr>
                  </w:pPr>
                </w:p>
              </w:tc>
              <w:tc>
                <w:tcPr>
                  <w:tcW w:w="1249" w:type="dxa"/>
                  <w:vAlign w:val="center"/>
                </w:tcPr>
                <w:p w14:paraId="045E61BF">
                  <w:pPr>
                    <w:snapToGrid w:val="0"/>
                    <w:jc w:val="center"/>
                    <w:rPr>
                      <w:bCs/>
                      <w:color w:val="auto"/>
                      <w:szCs w:val="21"/>
                    </w:rPr>
                  </w:pPr>
                  <w:r>
                    <w:rPr>
                      <w:rFonts w:hint="eastAsia"/>
                      <w:bCs/>
                      <w:color w:val="auto"/>
                      <w:szCs w:val="21"/>
                      <w:lang w:val="en-US" w:eastAsia="zh-CN"/>
                    </w:rPr>
                    <w:t>蒸发</w:t>
                  </w:r>
                </w:p>
              </w:tc>
            </w:tr>
            <w:tr w14:paraId="6D0A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23" w:type="dxa"/>
                  <w:vAlign w:val="center"/>
                </w:tcPr>
                <w:p w14:paraId="0CCCE9A8">
                  <w:pPr>
                    <w:snapToGrid w:val="0"/>
                    <w:jc w:val="center"/>
                    <w:rPr>
                      <w:color w:val="auto"/>
                      <w:szCs w:val="21"/>
                    </w:rPr>
                  </w:pPr>
                  <w:r>
                    <w:rPr>
                      <w:rFonts w:hint="eastAsia"/>
                      <w:color w:val="auto"/>
                      <w:szCs w:val="21"/>
                    </w:rPr>
                    <w:t>4</w:t>
                  </w:r>
                </w:p>
              </w:tc>
              <w:tc>
                <w:tcPr>
                  <w:tcW w:w="1530" w:type="dxa"/>
                  <w:vAlign w:val="center"/>
                </w:tcPr>
                <w:p w14:paraId="7CD2AB46">
                  <w:pPr>
                    <w:snapToGrid w:val="0"/>
                    <w:jc w:val="center"/>
                    <w:rPr>
                      <w:bCs/>
                      <w:color w:val="auto"/>
                      <w:szCs w:val="21"/>
                    </w:rPr>
                  </w:pPr>
                  <w:r>
                    <w:rPr>
                      <w:rFonts w:hint="eastAsia"/>
                      <w:bCs/>
                      <w:color w:val="auto"/>
                      <w:szCs w:val="21"/>
                    </w:rPr>
                    <w:t>搅拌工序加湿用水</w:t>
                  </w:r>
                </w:p>
              </w:tc>
              <w:tc>
                <w:tcPr>
                  <w:tcW w:w="1364" w:type="dxa"/>
                  <w:vAlign w:val="center"/>
                </w:tcPr>
                <w:p w14:paraId="7445A905">
                  <w:pPr>
                    <w:snapToGrid w:val="0"/>
                    <w:jc w:val="center"/>
                    <w:rPr>
                      <w:bCs/>
                      <w:color w:val="auto"/>
                      <w:szCs w:val="21"/>
                    </w:rPr>
                  </w:pPr>
                  <w:r>
                    <w:rPr>
                      <w:rFonts w:hint="eastAsia"/>
                      <w:bCs/>
                      <w:color w:val="auto"/>
                      <w:szCs w:val="21"/>
                    </w:rPr>
                    <w:t>68.52</w:t>
                  </w:r>
                </w:p>
              </w:tc>
              <w:tc>
                <w:tcPr>
                  <w:tcW w:w="1139" w:type="dxa"/>
                  <w:vAlign w:val="center"/>
                </w:tcPr>
                <w:p w14:paraId="6799082D">
                  <w:pPr>
                    <w:snapToGrid w:val="0"/>
                    <w:jc w:val="center"/>
                    <w:rPr>
                      <w:bCs/>
                      <w:color w:val="auto"/>
                      <w:szCs w:val="21"/>
                    </w:rPr>
                  </w:pPr>
                  <w:r>
                    <w:rPr>
                      <w:rFonts w:hint="eastAsia"/>
                      <w:bCs/>
                      <w:color w:val="auto"/>
                      <w:szCs w:val="21"/>
                    </w:rPr>
                    <w:t>68.52</w:t>
                  </w:r>
                </w:p>
              </w:tc>
              <w:tc>
                <w:tcPr>
                  <w:tcW w:w="1139" w:type="dxa"/>
                  <w:vAlign w:val="center"/>
                </w:tcPr>
                <w:p w14:paraId="5C917D05">
                  <w:pPr>
                    <w:snapToGrid w:val="0"/>
                    <w:jc w:val="center"/>
                    <w:rPr>
                      <w:bCs/>
                      <w:color w:val="auto"/>
                      <w:szCs w:val="21"/>
                    </w:rPr>
                  </w:pPr>
                  <w:r>
                    <w:rPr>
                      <w:rFonts w:hint="eastAsia"/>
                      <w:bCs/>
                      <w:color w:val="auto"/>
                      <w:szCs w:val="21"/>
                    </w:rPr>
                    <w:t>0</w:t>
                  </w:r>
                </w:p>
              </w:tc>
              <w:tc>
                <w:tcPr>
                  <w:tcW w:w="1139" w:type="dxa"/>
                  <w:vMerge w:val="continue"/>
                  <w:vAlign w:val="center"/>
                </w:tcPr>
                <w:p w14:paraId="724DB2BF">
                  <w:pPr>
                    <w:snapToGrid w:val="0"/>
                    <w:jc w:val="center"/>
                    <w:rPr>
                      <w:bCs/>
                      <w:color w:val="auto"/>
                      <w:szCs w:val="21"/>
                    </w:rPr>
                  </w:pPr>
                </w:p>
              </w:tc>
              <w:tc>
                <w:tcPr>
                  <w:tcW w:w="1249" w:type="dxa"/>
                  <w:vAlign w:val="center"/>
                </w:tcPr>
                <w:p w14:paraId="173BBB4F">
                  <w:pPr>
                    <w:snapToGrid w:val="0"/>
                    <w:jc w:val="center"/>
                    <w:rPr>
                      <w:bCs/>
                      <w:color w:val="auto"/>
                      <w:szCs w:val="21"/>
                    </w:rPr>
                  </w:pPr>
                  <w:r>
                    <w:rPr>
                      <w:rFonts w:hint="eastAsia"/>
                      <w:bCs/>
                      <w:color w:val="auto"/>
                      <w:szCs w:val="21"/>
                    </w:rPr>
                    <w:t>/</w:t>
                  </w:r>
                </w:p>
              </w:tc>
            </w:tr>
            <w:tr w14:paraId="76DB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23" w:type="dxa"/>
                  <w:vAlign w:val="center"/>
                </w:tcPr>
                <w:p w14:paraId="06E80F47">
                  <w:pPr>
                    <w:snapToGrid w:val="0"/>
                    <w:jc w:val="center"/>
                    <w:rPr>
                      <w:color w:val="auto"/>
                      <w:szCs w:val="21"/>
                    </w:rPr>
                  </w:pPr>
                  <w:r>
                    <w:rPr>
                      <w:rFonts w:hint="eastAsia"/>
                      <w:color w:val="auto"/>
                      <w:szCs w:val="21"/>
                    </w:rPr>
                    <w:t>5</w:t>
                  </w:r>
                </w:p>
              </w:tc>
              <w:tc>
                <w:tcPr>
                  <w:tcW w:w="1530" w:type="dxa"/>
                  <w:vAlign w:val="center"/>
                </w:tcPr>
                <w:p w14:paraId="648AE153">
                  <w:pPr>
                    <w:snapToGrid w:val="0"/>
                    <w:jc w:val="center"/>
                    <w:rPr>
                      <w:bCs/>
                      <w:color w:val="auto"/>
                      <w:szCs w:val="21"/>
                    </w:rPr>
                  </w:pPr>
                  <w:r>
                    <w:rPr>
                      <w:rFonts w:hint="eastAsia"/>
                      <w:bCs/>
                      <w:color w:val="auto"/>
                      <w:szCs w:val="21"/>
                    </w:rPr>
                    <w:t>车辆冲洗水</w:t>
                  </w:r>
                </w:p>
              </w:tc>
              <w:tc>
                <w:tcPr>
                  <w:tcW w:w="1364" w:type="dxa"/>
                  <w:vAlign w:val="center"/>
                </w:tcPr>
                <w:p w14:paraId="32F73E93">
                  <w:pPr>
                    <w:snapToGrid w:val="0"/>
                    <w:jc w:val="center"/>
                    <w:rPr>
                      <w:rFonts w:hint="default"/>
                      <w:bCs/>
                      <w:color w:val="auto"/>
                      <w:szCs w:val="21"/>
                      <w:lang w:val="en-US" w:eastAsia="zh-CN"/>
                    </w:rPr>
                  </w:pPr>
                  <w:r>
                    <w:rPr>
                      <w:rFonts w:hint="eastAsia"/>
                      <w:bCs/>
                      <w:color w:val="auto"/>
                      <w:szCs w:val="21"/>
                      <w:lang w:val="en-US" w:eastAsia="zh-CN"/>
                    </w:rPr>
                    <w:t>0.39</w:t>
                  </w:r>
                </w:p>
              </w:tc>
              <w:tc>
                <w:tcPr>
                  <w:tcW w:w="1139" w:type="dxa"/>
                  <w:vAlign w:val="center"/>
                </w:tcPr>
                <w:p w14:paraId="04A4A332">
                  <w:pPr>
                    <w:snapToGrid w:val="0"/>
                    <w:jc w:val="center"/>
                    <w:rPr>
                      <w:rFonts w:hint="default"/>
                      <w:bCs/>
                      <w:color w:val="auto"/>
                      <w:szCs w:val="21"/>
                      <w:lang w:val="en-US"/>
                    </w:rPr>
                  </w:pPr>
                  <w:r>
                    <w:rPr>
                      <w:rFonts w:hint="eastAsia"/>
                      <w:bCs/>
                      <w:color w:val="auto"/>
                      <w:szCs w:val="21"/>
                      <w:lang w:val="en-US" w:eastAsia="zh-CN"/>
                    </w:rPr>
                    <w:t>0.39</w:t>
                  </w:r>
                </w:p>
              </w:tc>
              <w:tc>
                <w:tcPr>
                  <w:tcW w:w="1139" w:type="dxa"/>
                  <w:vAlign w:val="center"/>
                </w:tcPr>
                <w:p w14:paraId="4A6A4EE1">
                  <w:pPr>
                    <w:snapToGrid w:val="0"/>
                    <w:jc w:val="center"/>
                    <w:rPr>
                      <w:rFonts w:hint="eastAsia"/>
                      <w:bCs/>
                      <w:color w:val="auto"/>
                      <w:szCs w:val="21"/>
                    </w:rPr>
                  </w:pPr>
                  <w:r>
                    <w:rPr>
                      <w:rFonts w:hint="eastAsia"/>
                      <w:bCs/>
                      <w:color w:val="auto"/>
                      <w:szCs w:val="21"/>
                      <w:lang w:val="en-US" w:eastAsia="zh-CN"/>
                    </w:rPr>
                    <w:t>0</w:t>
                  </w:r>
                </w:p>
              </w:tc>
              <w:tc>
                <w:tcPr>
                  <w:tcW w:w="1139" w:type="dxa"/>
                  <w:vMerge w:val="continue"/>
                  <w:vAlign w:val="center"/>
                </w:tcPr>
                <w:p w14:paraId="02F21F1F">
                  <w:pPr>
                    <w:snapToGrid w:val="0"/>
                    <w:jc w:val="center"/>
                    <w:rPr>
                      <w:bCs/>
                      <w:color w:val="auto"/>
                      <w:szCs w:val="21"/>
                    </w:rPr>
                  </w:pPr>
                </w:p>
              </w:tc>
              <w:tc>
                <w:tcPr>
                  <w:tcW w:w="1249" w:type="dxa"/>
                  <w:vAlign w:val="center"/>
                </w:tcPr>
                <w:p w14:paraId="16C4500C">
                  <w:pPr>
                    <w:snapToGrid w:val="0"/>
                    <w:jc w:val="center"/>
                    <w:rPr>
                      <w:bCs/>
                      <w:color w:val="auto"/>
                      <w:szCs w:val="21"/>
                    </w:rPr>
                  </w:pPr>
                  <w:r>
                    <w:rPr>
                      <w:rFonts w:hint="eastAsia"/>
                      <w:bCs/>
                      <w:color w:val="auto"/>
                      <w:szCs w:val="21"/>
                    </w:rPr>
                    <w:t>/</w:t>
                  </w:r>
                </w:p>
              </w:tc>
            </w:tr>
            <w:tr w14:paraId="199A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23" w:type="dxa"/>
                  <w:vAlign w:val="center"/>
                </w:tcPr>
                <w:p w14:paraId="58313D03">
                  <w:pPr>
                    <w:snapToGrid w:val="0"/>
                    <w:jc w:val="center"/>
                    <w:rPr>
                      <w:color w:val="auto"/>
                      <w:szCs w:val="21"/>
                    </w:rPr>
                  </w:pPr>
                  <w:r>
                    <w:rPr>
                      <w:rFonts w:hint="eastAsia"/>
                      <w:color w:val="auto"/>
                      <w:szCs w:val="21"/>
                    </w:rPr>
                    <w:t>6</w:t>
                  </w:r>
                </w:p>
              </w:tc>
              <w:tc>
                <w:tcPr>
                  <w:tcW w:w="1530" w:type="dxa"/>
                  <w:vAlign w:val="center"/>
                </w:tcPr>
                <w:p w14:paraId="09062A14">
                  <w:pPr>
                    <w:snapToGrid w:val="0"/>
                    <w:jc w:val="center"/>
                    <w:rPr>
                      <w:bCs/>
                      <w:color w:val="auto"/>
                      <w:szCs w:val="21"/>
                    </w:rPr>
                  </w:pPr>
                  <w:r>
                    <w:rPr>
                      <w:rFonts w:hint="eastAsia"/>
                      <w:bCs/>
                      <w:color w:val="auto"/>
                      <w:szCs w:val="21"/>
                    </w:rPr>
                    <w:t>洒水车抑尘</w:t>
                  </w:r>
                </w:p>
              </w:tc>
              <w:tc>
                <w:tcPr>
                  <w:tcW w:w="1364" w:type="dxa"/>
                  <w:vAlign w:val="center"/>
                </w:tcPr>
                <w:p w14:paraId="19A926A7">
                  <w:pPr>
                    <w:snapToGrid w:val="0"/>
                    <w:jc w:val="center"/>
                    <w:rPr>
                      <w:rFonts w:hint="eastAsia" w:eastAsia="宋体"/>
                      <w:bCs/>
                      <w:color w:val="auto"/>
                      <w:szCs w:val="21"/>
                      <w:lang w:eastAsia="zh-CN"/>
                    </w:rPr>
                  </w:pPr>
                  <w:r>
                    <w:rPr>
                      <w:rFonts w:hint="eastAsia"/>
                      <w:bCs/>
                      <w:color w:val="auto"/>
                      <w:szCs w:val="21"/>
                      <w:lang w:val="en-US" w:eastAsia="zh-CN"/>
                    </w:rPr>
                    <w:t>9</w:t>
                  </w:r>
                </w:p>
              </w:tc>
              <w:tc>
                <w:tcPr>
                  <w:tcW w:w="1139" w:type="dxa"/>
                  <w:vAlign w:val="center"/>
                </w:tcPr>
                <w:p w14:paraId="0B8CCABC">
                  <w:pPr>
                    <w:snapToGrid w:val="0"/>
                    <w:jc w:val="center"/>
                    <w:rPr>
                      <w:rFonts w:hint="default" w:eastAsia="宋体"/>
                      <w:bCs/>
                      <w:color w:val="auto"/>
                      <w:szCs w:val="21"/>
                      <w:lang w:val="en-US" w:eastAsia="zh-CN"/>
                    </w:rPr>
                  </w:pPr>
                  <w:r>
                    <w:rPr>
                      <w:rFonts w:hint="eastAsia"/>
                      <w:bCs/>
                      <w:color w:val="auto"/>
                      <w:szCs w:val="21"/>
                      <w:lang w:val="en-US" w:eastAsia="zh-CN"/>
                    </w:rPr>
                    <w:t>9</w:t>
                  </w:r>
                </w:p>
              </w:tc>
              <w:tc>
                <w:tcPr>
                  <w:tcW w:w="1139" w:type="dxa"/>
                  <w:vAlign w:val="center"/>
                </w:tcPr>
                <w:p w14:paraId="41C96A25">
                  <w:pPr>
                    <w:snapToGrid w:val="0"/>
                    <w:jc w:val="center"/>
                    <w:rPr>
                      <w:bCs/>
                      <w:color w:val="auto"/>
                      <w:szCs w:val="21"/>
                    </w:rPr>
                  </w:pPr>
                  <w:r>
                    <w:rPr>
                      <w:rFonts w:hint="eastAsia"/>
                      <w:bCs/>
                      <w:color w:val="auto"/>
                      <w:szCs w:val="21"/>
                    </w:rPr>
                    <w:t>0</w:t>
                  </w:r>
                </w:p>
              </w:tc>
              <w:tc>
                <w:tcPr>
                  <w:tcW w:w="1139" w:type="dxa"/>
                  <w:vMerge w:val="continue"/>
                  <w:vAlign w:val="center"/>
                </w:tcPr>
                <w:p w14:paraId="4D5E8DB5">
                  <w:pPr>
                    <w:snapToGrid w:val="0"/>
                    <w:jc w:val="center"/>
                    <w:rPr>
                      <w:bCs/>
                      <w:color w:val="auto"/>
                      <w:szCs w:val="21"/>
                    </w:rPr>
                  </w:pPr>
                </w:p>
              </w:tc>
              <w:tc>
                <w:tcPr>
                  <w:tcW w:w="1249" w:type="dxa"/>
                  <w:vAlign w:val="center"/>
                </w:tcPr>
                <w:p w14:paraId="6F4A263A">
                  <w:pPr>
                    <w:snapToGrid w:val="0"/>
                    <w:jc w:val="center"/>
                    <w:rPr>
                      <w:bCs/>
                      <w:color w:val="auto"/>
                      <w:szCs w:val="21"/>
                    </w:rPr>
                  </w:pPr>
                  <w:r>
                    <w:rPr>
                      <w:rFonts w:hint="eastAsia"/>
                      <w:bCs/>
                      <w:color w:val="auto"/>
                      <w:szCs w:val="21"/>
                      <w:lang w:val="en-US" w:eastAsia="zh-CN"/>
                    </w:rPr>
                    <w:t>蒸发</w:t>
                  </w:r>
                </w:p>
              </w:tc>
            </w:tr>
            <w:tr w14:paraId="243E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23" w:type="dxa"/>
                  <w:vAlign w:val="center"/>
                </w:tcPr>
                <w:p w14:paraId="3E840D66">
                  <w:pPr>
                    <w:snapToGrid w:val="0"/>
                    <w:jc w:val="center"/>
                    <w:rPr>
                      <w:rFonts w:hint="eastAsia" w:eastAsia="宋体"/>
                      <w:color w:val="auto"/>
                      <w:szCs w:val="21"/>
                      <w:lang w:val="en-US" w:eastAsia="zh-CN"/>
                    </w:rPr>
                  </w:pPr>
                  <w:r>
                    <w:rPr>
                      <w:rFonts w:hint="eastAsia"/>
                      <w:color w:val="auto"/>
                      <w:szCs w:val="21"/>
                      <w:lang w:val="en-US" w:eastAsia="zh-CN"/>
                    </w:rPr>
                    <w:t>7</w:t>
                  </w:r>
                </w:p>
              </w:tc>
              <w:tc>
                <w:tcPr>
                  <w:tcW w:w="1530" w:type="dxa"/>
                  <w:vAlign w:val="center"/>
                </w:tcPr>
                <w:p w14:paraId="1F35358D">
                  <w:pPr>
                    <w:snapToGrid w:val="0"/>
                    <w:jc w:val="center"/>
                    <w:rPr>
                      <w:rFonts w:hint="eastAsia" w:eastAsia="宋体"/>
                      <w:bCs/>
                      <w:color w:val="auto"/>
                      <w:szCs w:val="21"/>
                      <w:lang w:val="en-US" w:eastAsia="zh-CN"/>
                    </w:rPr>
                  </w:pPr>
                  <w:r>
                    <w:rPr>
                      <w:rFonts w:hint="eastAsia"/>
                      <w:bCs/>
                      <w:color w:val="auto"/>
                      <w:szCs w:val="21"/>
                      <w:lang w:val="en-US" w:eastAsia="zh-CN"/>
                    </w:rPr>
                    <w:t>脱盐水</w:t>
                  </w:r>
                </w:p>
              </w:tc>
              <w:tc>
                <w:tcPr>
                  <w:tcW w:w="1364" w:type="dxa"/>
                  <w:vAlign w:val="center"/>
                </w:tcPr>
                <w:p w14:paraId="6A6007B7">
                  <w:pPr>
                    <w:snapToGrid w:val="0"/>
                    <w:jc w:val="center"/>
                    <w:rPr>
                      <w:rFonts w:hint="default"/>
                      <w:bCs/>
                      <w:color w:val="auto"/>
                      <w:szCs w:val="21"/>
                      <w:lang w:val="en-US" w:eastAsia="zh-CN"/>
                    </w:rPr>
                  </w:pPr>
                  <w:r>
                    <w:rPr>
                      <w:rFonts w:hint="eastAsia"/>
                      <w:bCs/>
                      <w:color w:val="auto"/>
                      <w:szCs w:val="21"/>
                      <w:lang w:val="en-US" w:eastAsia="zh-CN"/>
                    </w:rPr>
                    <w:t>30</w:t>
                  </w:r>
                </w:p>
              </w:tc>
              <w:tc>
                <w:tcPr>
                  <w:tcW w:w="1139" w:type="dxa"/>
                  <w:vAlign w:val="center"/>
                </w:tcPr>
                <w:p w14:paraId="7BDC93B8">
                  <w:pPr>
                    <w:snapToGrid w:val="0"/>
                    <w:jc w:val="center"/>
                    <w:rPr>
                      <w:rFonts w:hint="default"/>
                      <w:bCs/>
                      <w:color w:val="auto"/>
                      <w:szCs w:val="21"/>
                      <w:lang w:val="en-US" w:eastAsia="zh-CN"/>
                    </w:rPr>
                  </w:pPr>
                  <w:r>
                    <w:rPr>
                      <w:rFonts w:hint="eastAsia"/>
                      <w:bCs/>
                      <w:color w:val="auto"/>
                      <w:szCs w:val="21"/>
                      <w:lang w:val="en-US" w:eastAsia="zh-CN"/>
                    </w:rPr>
                    <w:t>30</w:t>
                  </w:r>
                </w:p>
              </w:tc>
              <w:tc>
                <w:tcPr>
                  <w:tcW w:w="1139" w:type="dxa"/>
                  <w:vAlign w:val="center"/>
                </w:tcPr>
                <w:p w14:paraId="21D0E9A9">
                  <w:pPr>
                    <w:snapToGrid w:val="0"/>
                    <w:jc w:val="center"/>
                    <w:rPr>
                      <w:rFonts w:hint="eastAsia" w:eastAsia="宋体"/>
                      <w:bCs/>
                      <w:color w:val="auto"/>
                      <w:szCs w:val="21"/>
                      <w:lang w:val="en-US" w:eastAsia="zh-CN"/>
                    </w:rPr>
                  </w:pPr>
                  <w:r>
                    <w:rPr>
                      <w:rFonts w:hint="eastAsia"/>
                      <w:bCs/>
                      <w:color w:val="auto"/>
                      <w:szCs w:val="21"/>
                      <w:lang w:val="en-US" w:eastAsia="zh-CN"/>
                    </w:rPr>
                    <w:t>0</w:t>
                  </w:r>
                </w:p>
              </w:tc>
              <w:tc>
                <w:tcPr>
                  <w:tcW w:w="1139" w:type="dxa"/>
                  <w:vAlign w:val="center"/>
                </w:tcPr>
                <w:p w14:paraId="1122369D">
                  <w:pPr>
                    <w:snapToGrid w:val="0"/>
                    <w:jc w:val="center"/>
                    <w:rPr>
                      <w:rFonts w:hint="default" w:eastAsia="宋体"/>
                      <w:bCs/>
                      <w:color w:val="auto"/>
                      <w:szCs w:val="21"/>
                      <w:lang w:val="en-US" w:eastAsia="zh-CN"/>
                    </w:rPr>
                  </w:pPr>
                  <w:r>
                    <w:rPr>
                      <w:rFonts w:hint="eastAsia"/>
                      <w:bCs/>
                      <w:color w:val="auto"/>
                      <w:szCs w:val="21"/>
                      <w:lang w:val="en-US" w:eastAsia="zh-CN"/>
                    </w:rPr>
                    <w:t>新航焦化</w:t>
                  </w:r>
                </w:p>
              </w:tc>
              <w:tc>
                <w:tcPr>
                  <w:tcW w:w="1249" w:type="dxa"/>
                  <w:vAlign w:val="center"/>
                </w:tcPr>
                <w:p w14:paraId="0FF03228">
                  <w:pPr>
                    <w:snapToGrid w:val="0"/>
                    <w:jc w:val="center"/>
                    <w:rPr>
                      <w:rFonts w:hint="default"/>
                      <w:bCs/>
                      <w:color w:val="auto"/>
                      <w:szCs w:val="21"/>
                      <w:lang w:val="en-US" w:eastAsia="zh-CN"/>
                    </w:rPr>
                  </w:pPr>
                  <w:r>
                    <w:rPr>
                      <w:rFonts w:hint="eastAsia"/>
                      <w:bCs/>
                      <w:color w:val="auto"/>
                      <w:szCs w:val="21"/>
                      <w:lang w:val="en-US" w:eastAsia="zh-CN"/>
                    </w:rPr>
                    <w:t>蒸发</w:t>
                  </w:r>
                </w:p>
              </w:tc>
            </w:tr>
            <w:tr w14:paraId="5B84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053" w:type="dxa"/>
                  <w:gridSpan w:val="2"/>
                  <w:vAlign w:val="center"/>
                </w:tcPr>
                <w:p w14:paraId="038B29E4">
                  <w:pPr>
                    <w:snapToGrid w:val="0"/>
                    <w:jc w:val="center"/>
                    <w:rPr>
                      <w:bCs/>
                      <w:color w:val="auto"/>
                      <w:szCs w:val="21"/>
                    </w:rPr>
                  </w:pPr>
                  <w:r>
                    <w:rPr>
                      <w:rFonts w:hint="eastAsia"/>
                      <w:bCs/>
                      <w:color w:val="auto"/>
                      <w:szCs w:val="21"/>
                    </w:rPr>
                    <w:t>总计：</w:t>
                  </w:r>
                </w:p>
              </w:tc>
              <w:tc>
                <w:tcPr>
                  <w:tcW w:w="1364" w:type="dxa"/>
                  <w:vAlign w:val="center"/>
                </w:tcPr>
                <w:p w14:paraId="18BD1D31">
                  <w:pPr>
                    <w:snapToGrid w:val="0"/>
                    <w:jc w:val="center"/>
                    <w:rPr>
                      <w:rFonts w:hint="default"/>
                      <w:bCs/>
                      <w:color w:val="auto"/>
                      <w:szCs w:val="21"/>
                      <w:lang w:val="en-US" w:eastAsia="zh-CN"/>
                    </w:rPr>
                  </w:pPr>
                  <w:r>
                    <w:rPr>
                      <w:rFonts w:hint="eastAsia"/>
                      <w:bCs/>
                      <w:color w:val="auto"/>
                      <w:szCs w:val="21"/>
                      <w:lang w:val="en-US" w:eastAsia="zh-CN"/>
                    </w:rPr>
                    <w:t>125.11</w:t>
                  </w:r>
                </w:p>
              </w:tc>
              <w:tc>
                <w:tcPr>
                  <w:tcW w:w="1139" w:type="dxa"/>
                  <w:vAlign w:val="center"/>
                </w:tcPr>
                <w:p w14:paraId="69C859AA">
                  <w:pPr>
                    <w:snapToGrid w:val="0"/>
                    <w:jc w:val="center"/>
                    <w:rPr>
                      <w:rFonts w:hint="default"/>
                      <w:bCs/>
                      <w:color w:val="auto"/>
                      <w:szCs w:val="21"/>
                      <w:lang w:val="en-US" w:eastAsia="zh-CN"/>
                    </w:rPr>
                  </w:pPr>
                  <w:r>
                    <w:rPr>
                      <w:rFonts w:hint="eastAsia"/>
                      <w:bCs/>
                      <w:color w:val="auto"/>
                      <w:szCs w:val="21"/>
                      <w:lang w:val="en-US" w:eastAsia="zh-CN"/>
                    </w:rPr>
                    <w:t>124.15</w:t>
                  </w:r>
                </w:p>
              </w:tc>
              <w:tc>
                <w:tcPr>
                  <w:tcW w:w="1139" w:type="dxa"/>
                  <w:vAlign w:val="center"/>
                </w:tcPr>
                <w:p w14:paraId="2A254266">
                  <w:pPr>
                    <w:snapToGrid w:val="0"/>
                    <w:jc w:val="center"/>
                    <w:rPr>
                      <w:rFonts w:hint="default"/>
                      <w:bCs/>
                      <w:color w:val="auto"/>
                      <w:szCs w:val="21"/>
                      <w:lang w:val="en-US" w:eastAsia="zh-CN"/>
                    </w:rPr>
                  </w:pPr>
                  <w:r>
                    <w:rPr>
                      <w:rFonts w:hint="eastAsia"/>
                      <w:bCs/>
                      <w:color w:val="auto"/>
                      <w:szCs w:val="21"/>
                      <w:lang w:val="en-US" w:eastAsia="zh-CN"/>
                    </w:rPr>
                    <w:t>0.96</w:t>
                  </w:r>
                </w:p>
              </w:tc>
              <w:tc>
                <w:tcPr>
                  <w:tcW w:w="1139" w:type="dxa"/>
                  <w:vAlign w:val="center"/>
                </w:tcPr>
                <w:p w14:paraId="54F85374">
                  <w:pPr>
                    <w:snapToGrid w:val="0"/>
                    <w:jc w:val="center"/>
                    <w:rPr>
                      <w:bCs/>
                      <w:color w:val="auto"/>
                      <w:szCs w:val="21"/>
                    </w:rPr>
                  </w:pPr>
                  <w:r>
                    <w:rPr>
                      <w:rFonts w:hint="eastAsia"/>
                      <w:bCs/>
                      <w:color w:val="auto"/>
                      <w:szCs w:val="21"/>
                    </w:rPr>
                    <w:t>/</w:t>
                  </w:r>
                </w:p>
              </w:tc>
              <w:tc>
                <w:tcPr>
                  <w:tcW w:w="1249" w:type="dxa"/>
                  <w:vAlign w:val="center"/>
                </w:tcPr>
                <w:p w14:paraId="5DC693C7">
                  <w:pPr>
                    <w:snapToGrid w:val="0"/>
                    <w:jc w:val="center"/>
                    <w:rPr>
                      <w:bCs/>
                      <w:color w:val="auto"/>
                      <w:szCs w:val="21"/>
                    </w:rPr>
                  </w:pPr>
                  <w:r>
                    <w:rPr>
                      <w:rFonts w:hint="eastAsia"/>
                      <w:bCs/>
                      <w:color w:val="auto"/>
                      <w:szCs w:val="21"/>
                    </w:rPr>
                    <w:t>/</w:t>
                  </w:r>
                </w:p>
              </w:tc>
            </w:tr>
          </w:tbl>
          <w:p w14:paraId="6210126D">
            <w:pPr>
              <w:widowControl/>
              <w:ind w:firstLine="1470" w:firstLineChars="700"/>
              <w:rPr>
                <w:color w:val="auto"/>
              </w:rPr>
            </w:pPr>
            <w:r>
              <w:rPr>
                <w:rFonts w:hint="eastAsia"/>
                <w:color w:val="auto"/>
                <w:lang w:val="en-US" w:eastAsia="zh-CN"/>
              </w:rPr>
              <w:t xml:space="preserve">    </w:t>
            </w:r>
          </w:p>
          <w:p w14:paraId="7B8C14D9">
            <w:pPr>
              <w:pStyle w:val="15"/>
              <w:rPr>
                <w:color w:val="auto"/>
              </w:rPr>
            </w:pPr>
          </w:p>
          <w:p w14:paraId="48800C89">
            <w:pPr>
              <w:widowControl/>
              <w:rPr>
                <w:color w:val="auto"/>
              </w:rPr>
            </w:pPr>
            <w:r>
              <w:rPr>
                <w:color w:val="auto"/>
              </w:rPr>
              <w:drawing>
                <wp:inline distT="0" distB="0" distL="114300" distR="114300">
                  <wp:extent cx="5104765" cy="3783965"/>
                  <wp:effectExtent l="0" t="0" r="635" b="10795"/>
                  <wp:docPr id="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
                          <pic:cNvPicPr>
                            <a:picLocks noChangeAspect="1"/>
                          </pic:cNvPicPr>
                        </pic:nvPicPr>
                        <pic:blipFill>
                          <a:blip r:embed="rId14"/>
                          <a:stretch>
                            <a:fillRect/>
                          </a:stretch>
                        </pic:blipFill>
                        <pic:spPr>
                          <a:xfrm>
                            <a:off x="0" y="0"/>
                            <a:ext cx="5104765" cy="3783965"/>
                          </a:xfrm>
                          <a:prstGeom prst="rect">
                            <a:avLst/>
                          </a:prstGeom>
                          <a:noFill/>
                          <a:ln>
                            <a:noFill/>
                          </a:ln>
                        </pic:spPr>
                      </pic:pic>
                    </a:graphicData>
                  </a:graphic>
                </wp:inline>
              </w:drawing>
            </w:r>
          </w:p>
          <w:p w14:paraId="3A4F63DB">
            <w:pPr>
              <w:widowControl/>
              <w:ind w:firstLine="2409" w:firstLineChars="1000"/>
              <w:rPr>
                <w:color w:val="auto"/>
              </w:rPr>
            </w:pPr>
            <w:r>
              <w:rPr>
                <w:b/>
                <w:color w:val="auto"/>
                <w:sz w:val="24"/>
              </w:rPr>
              <w:t>图2-</w:t>
            </w:r>
            <w:r>
              <w:rPr>
                <w:rFonts w:hint="eastAsia"/>
                <w:b/>
                <w:color w:val="auto"/>
                <w:sz w:val="24"/>
                <w:lang w:val="en-US" w:eastAsia="zh-CN"/>
              </w:rPr>
              <w:t>1</w:t>
            </w:r>
            <w:r>
              <w:rPr>
                <w:b/>
                <w:color w:val="auto"/>
                <w:sz w:val="24"/>
              </w:rPr>
              <w:t xml:space="preserve"> </w:t>
            </w:r>
            <w:r>
              <w:rPr>
                <w:rFonts w:hint="eastAsia"/>
                <w:b/>
                <w:color w:val="auto"/>
                <w:sz w:val="24"/>
              </w:rPr>
              <w:t xml:space="preserve"> </w:t>
            </w:r>
            <w:r>
              <w:rPr>
                <w:b/>
                <w:color w:val="auto"/>
                <w:sz w:val="24"/>
              </w:rPr>
              <w:t xml:space="preserve">  </w:t>
            </w:r>
            <w:r>
              <w:rPr>
                <w:rFonts w:hint="eastAsia"/>
                <w:b/>
                <w:color w:val="auto"/>
                <w:sz w:val="24"/>
                <w:lang w:val="en-US" w:eastAsia="zh-CN"/>
              </w:rPr>
              <w:t>本项目</w:t>
            </w:r>
            <w:r>
              <w:rPr>
                <w:b/>
                <w:color w:val="auto"/>
                <w:sz w:val="24"/>
              </w:rPr>
              <w:t>水量平衡图（m</w:t>
            </w:r>
            <w:r>
              <w:rPr>
                <w:b/>
                <w:color w:val="auto"/>
                <w:sz w:val="24"/>
                <w:vertAlign w:val="superscript"/>
              </w:rPr>
              <w:t>3</w:t>
            </w:r>
            <w:r>
              <w:rPr>
                <w:b/>
                <w:color w:val="auto"/>
                <w:sz w:val="24"/>
              </w:rPr>
              <w:t>/d）</w:t>
            </w:r>
          </w:p>
          <w:p w14:paraId="51D13691">
            <w:pPr>
              <w:widowControl/>
              <w:numPr>
                <w:ilvl w:val="0"/>
                <w:numId w:val="8"/>
              </w:numPr>
              <w:spacing w:line="360" w:lineRule="auto"/>
              <w:ind w:firstLine="480" w:firstLineChars="200"/>
              <w:rPr>
                <w:color w:val="auto"/>
                <w:sz w:val="24"/>
              </w:rPr>
            </w:pPr>
            <w:r>
              <w:rPr>
                <w:rFonts w:hint="eastAsia"/>
                <w:color w:val="auto"/>
                <w:sz w:val="24"/>
              </w:rPr>
              <w:t>供电</w:t>
            </w:r>
          </w:p>
          <w:p w14:paraId="20E0F504">
            <w:pPr>
              <w:widowControl/>
              <w:spacing w:line="360" w:lineRule="auto"/>
              <w:ind w:firstLine="480" w:firstLineChars="200"/>
              <w:rPr>
                <w:color w:val="auto"/>
                <w:sz w:val="24"/>
              </w:rPr>
            </w:pPr>
            <w:r>
              <w:rPr>
                <w:rFonts w:hint="eastAsia"/>
                <w:color w:val="auto"/>
                <w:sz w:val="24"/>
              </w:rPr>
              <w:t>本项目型焦变电所采用单电源进线，电源进线引自现有新航焦化备煤炼焦变电所10kV侧任一母线段。</w:t>
            </w:r>
          </w:p>
          <w:p w14:paraId="42DEEAF2">
            <w:pPr>
              <w:widowControl/>
              <w:numPr>
                <w:ilvl w:val="0"/>
                <w:numId w:val="8"/>
              </w:numPr>
              <w:spacing w:line="360" w:lineRule="auto"/>
              <w:ind w:firstLine="480" w:firstLineChars="200"/>
              <w:rPr>
                <w:color w:val="auto"/>
                <w:sz w:val="24"/>
              </w:rPr>
            </w:pPr>
            <w:r>
              <w:rPr>
                <w:rFonts w:hint="eastAsia"/>
                <w:color w:val="auto"/>
                <w:sz w:val="24"/>
              </w:rPr>
              <w:t>供热</w:t>
            </w:r>
          </w:p>
          <w:p w14:paraId="61DE3B7B">
            <w:pPr>
              <w:widowControl/>
              <w:spacing w:line="360" w:lineRule="auto"/>
              <w:ind w:firstLine="480" w:firstLineChars="200"/>
              <w:rPr>
                <w:b/>
                <w:bCs/>
                <w:color w:val="auto"/>
                <w:kern w:val="0"/>
                <w:sz w:val="24"/>
                <w:lang w:bidi="ar"/>
              </w:rPr>
            </w:pPr>
            <w:r>
              <w:rPr>
                <w:rFonts w:hint="eastAsia"/>
                <w:color w:val="auto"/>
                <w:sz w:val="24"/>
              </w:rPr>
              <w:t>本项目型焦生产车</w:t>
            </w:r>
            <w:r>
              <w:rPr>
                <w:rFonts w:hint="eastAsia" w:ascii="Times New Roman" w:hAnsi="Times New Roman" w:eastAsia="宋体" w:cs="Times New Roman"/>
                <w:color w:val="auto"/>
                <w:sz w:val="24"/>
                <w:lang w:val="en-US" w:eastAsia="zh-CN"/>
              </w:rPr>
              <w:t>间供热热源为新航</w:t>
            </w:r>
            <w:r>
              <w:rPr>
                <w:rFonts w:hint="eastAsia"/>
                <w:color w:val="auto"/>
                <w:sz w:val="24"/>
                <w:lang w:val="en-US" w:eastAsia="zh-CN"/>
              </w:rPr>
              <w:t>焦化现有工程</w:t>
            </w:r>
            <w:r>
              <w:rPr>
                <w:rFonts w:hint="eastAsia"/>
                <w:color w:val="auto"/>
                <w:sz w:val="24"/>
              </w:rPr>
              <w:t>焦炉集气管的高温氨水经过换热站换热产生热水。型焦控制室设置空调。</w:t>
            </w:r>
          </w:p>
          <w:p w14:paraId="74FC37FB">
            <w:pPr>
              <w:pStyle w:val="46"/>
              <w:numPr>
                <w:ilvl w:val="0"/>
                <w:numId w:val="7"/>
              </w:numPr>
              <w:spacing w:line="360" w:lineRule="auto"/>
              <w:ind w:left="840" w:leftChars="0" w:firstLineChars="0"/>
              <w:rPr>
                <w:rFonts w:hint="eastAsia"/>
                <w:b/>
                <w:bCs/>
                <w:color w:val="auto"/>
                <w:kern w:val="0"/>
                <w:sz w:val="24"/>
                <w:szCs w:val="24"/>
                <w:lang w:eastAsia="zh-CN" w:bidi="ar"/>
              </w:rPr>
            </w:pPr>
            <w:r>
              <w:rPr>
                <w:rFonts w:ascii="Times New Roman" w:hAnsi="Times New Roman" w:cs="Times New Roman"/>
                <w:b/>
                <w:bCs/>
                <w:color w:val="auto"/>
                <w:kern w:val="0"/>
                <w:sz w:val="24"/>
                <w:szCs w:val="24"/>
                <w:lang w:eastAsia="zh-CN" w:bidi="ar"/>
              </w:rPr>
              <w:t>劳动定员及工作制度</w:t>
            </w:r>
          </w:p>
          <w:p w14:paraId="1EBE9476">
            <w:pPr>
              <w:widowControl/>
              <w:spacing w:line="360" w:lineRule="auto"/>
              <w:ind w:firstLine="480" w:firstLineChars="200"/>
              <w:rPr>
                <w:color w:val="auto"/>
                <w:sz w:val="24"/>
              </w:rPr>
            </w:pPr>
            <w:r>
              <w:rPr>
                <w:rFonts w:hint="eastAsia"/>
                <w:color w:val="auto"/>
                <w:sz w:val="24"/>
              </w:rPr>
              <w:t>本项目劳动定员20人，管理人员2人，生产人员15人，辅助人员3人，为五班三运行制</w:t>
            </w:r>
            <w:r>
              <w:rPr>
                <w:rFonts w:hint="eastAsia"/>
                <w:color w:val="auto"/>
                <w:sz w:val="24"/>
              </w:rPr>
              <w:t>度，</w:t>
            </w:r>
            <w:r>
              <w:rPr>
                <w:rFonts w:hint="eastAsia"/>
                <w:color w:val="auto"/>
                <w:sz w:val="24"/>
                <w:lang w:val="en-US" w:eastAsia="zh-CN"/>
              </w:rPr>
              <w:t>全厂24h运行，每班8h；</w:t>
            </w:r>
            <w:r>
              <w:rPr>
                <w:rFonts w:hint="eastAsia"/>
                <w:color w:val="auto"/>
                <w:sz w:val="24"/>
              </w:rPr>
              <w:t>维修人员及车间管理人员采用白班兼值班制，年工作时间333天。</w:t>
            </w:r>
          </w:p>
          <w:p w14:paraId="577C6B60">
            <w:pPr>
              <w:pStyle w:val="46"/>
              <w:numPr>
                <w:ilvl w:val="0"/>
                <w:numId w:val="7"/>
              </w:numPr>
              <w:spacing w:line="360" w:lineRule="auto"/>
              <w:ind w:left="840" w:leftChars="0" w:firstLineChars="0"/>
              <w:rPr>
                <w:rFonts w:hint="eastAsia"/>
                <w:b/>
                <w:bCs/>
                <w:color w:val="auto"/>
                <w:kern w:val="0"/>
                <w:sz w:val="24"/>
                <w:szCs w:val="24"/>
                <w:lang w:eastAsia="zh-CN" w:bidi="ar"/>
              </w:rPr>
            </w:pPr>
            <w:r>
              <w:rPr>
                <w:rFonts w:hint="eastAsia"/>
                <w:b/>
                <w:bCs/>
                <w:color w:val="auto"/>
                <w:kern w:val="0"/>
                <w:sz w:val="24"/>
                <w:szCs w:val="24"/>
                <w:lang w:eastAsia="zh-CN" w:bidi="ar"/>
              </w:rPr>
              <w:t>项目总平面布置</w:t>
            </w:r>
          </w:p>
          <w:p w14:paraId="2E8C7281">
            <w:pPr>
              <w:pStyle w:val="46"/>
              <w:spacing w:line="360" w:lineRule="auto"/>
              <w:ind w:firstLine="480" w:firstLineChars="200"/>
              <w:rPr>
                <w:rFonts w:ascii="Times New Roman" w:hAnsi="Times New Roman" w:cs="Times New Roman"/>
                <w:color w:val="auto"/>
                <w:spacing w:val="4"/>
                <w:sz w:val="24"/>
                <w:szCs w:val="24"/>
                <w:lang w:eastAsia="zh-CN"/>
              </w:rPr>
            </w:pPr>
            <w:r>
              <w:rPr>
                <w:rFonts w:hint="eastAsia" w:ascii="Times New Roman" w:hAnsi="Times New Roman" w:cs="Times New Roman"/>
                <w:color w:val="auto"/>
                <w:sz w:val="24"/>
                <w:szCs w:val="24"/>
                <w:lang w:eastAsia="zh-CN"/>
              </w:rPr>
              <w:t>本项目总图布置按功能分区，分为型焦生产车间、原料仓库、成品仓库、型焦变电所等。厂区西北侧建设型焦变电所、型焦控制室、型焦化验室，由北向南依次建设；以上设施东侧建设占地</w:t>
            </w:r>
            <w:r>
              <w:rPr>
                <w:rFonts w:ascii="Times New Roman" w:hAnsi="Times New Roman" w:cs="Times New Roman"/>
                <w:color w:val="auto"/>
                <w:spacing w:val="4"/>
                <w:sz w:val="24"/>
                <w:szCs w:val="24"/>
                <w:lang w:eastAsia="zh-CN"/>
              </w:rPr>
              <w:t>5500m</w:t>
            </w:r>
            <w:r>
              <w:rPr>
                <w:rFonts w:ascii="Times New Roman" w:hAnsi="Times New Roman" w:cs="Times New Roman"/>
                <w:color w:val="auto"/>
                <w:spacing w:val="4"/>
                <w:sz w:val="24"/>
                <w:szCs w:val="24"/>
                <w:vertAlign w:val="superscript"/>
                <w:lang w:eastAsia="zh-CN"/>
              </w:rPr>
              <w:t>2</w:t>
            </w:r>
            <w:r>
              <w:rPr>
                <w:rFonts w:hint="eastAsia" w:ascii="Times New Roman" w:hAnsi="Times New Roman" w:cs="Times New Roman"/>
                <w:color w:val="auto"/>
                <w:spacing w:val="4"/>
                <w:sz w:val="24"/>
                <w:szCs w:val="24"/>
                <w:lang w:eastAsia="zh-CN"/>
              </w:rPr>
              <w:t>的</w:t>
            </w:r>
            <w:r>
              <w:rPr>
                <w:rFonts w:hint="eastAsia" w:ascii="Times New Roman" w:hAnsi="Times New Roman" w:cs="Times New Roman"/>
                <w:color w:val="auto"/>
                <w:sz w:val="24"/>
                <w:szCs w:val="24"/>
                <w:lang w:eastAsia="zh-CN"/>
              </w:rPr>
              <w:t>型焦生产车间；型焦生产车间东侧建设占地650</w:t>
            </w:r>
            <w:r>
              <w:rPr>
                <w:rFonts w:ascii="Times New Roman" w:hAnsi="Times New Roman" w:cs="Times New Roman"/>
                <w:color w:val="auto"/>
                <w:spacing w:val="4"/>
                <w:sz w:val="24"/>
                <w:szCs w:val="24"/>
                <w:lang w:eastAsia="zh-CN"/>
              </w:rPr>
              <w:t>0m</w:t>
            </w:r>
            <w:r>
              <w:rPr>
                <w:rFonts w:ascii="Times New Roman" w:hAnsi="Times New Roman" w:cs="Times New Roman"/>
                <w:color w:val="auto"/>
                <w:spacing w:val="4"/>
                <w:sz w:val="24"/>
                <w:szCs w:val="24"/>
                <w:vertAlign w:val="superscript"/>
                <w:lang w:eastAsia="zh-CN"/>
              </w:rPr>
              <w:t>2</w:t>
            </w:r>
            <w:r>
              <w:rPr>
                <w:rFonts w:hint="eastAsia" w:ascii="Times New Roman" w:hAnsi="Times New Roman" w:cs="Times New Roman"/>
                <w:color w:val="auto"/>
                <w:spacing w:val="4"/>
                <w:sz w:val="24"/>
                <w:szCs w:val="24"/>
                <w:lang w:eastAsia="zh-CN"/>
              </w:rPr>
              <w:t>的成品仓库；厂区南侧建设</w:t>
            </w:r>
            <w:r>
              <w:rPr>
                <w:rFonts w:hint="eastAsia" w:ascii="Times New Roman" w:hAnsi="Times New Roman" w:cs="Times New Roman"/>
                <w:color w:val="auto"/>
                <w:sz w:val="24"/>
                <w:szCs w:val="24"/>
                <w:lang w:eastAsia="zh-CN"/>
              </w:rPr>
              <w:t>占地</w:t>
            </w:r>
            <w:r>
              <w:rPr>
                <w:rFonts w:hint="eastAsia" w:ascii="Times New Roman" w:hAnsi="Times New Roman" w:cs="Times New Roman"/>
                <w:color w:val="auto"/>
                <w:spacing w:val="4"/>
                <w:sz w:val="24"/>
                <w:szCs w:val="24"/>
                <w:lang w:eastAsia="zh-CN"/>
              </w:rPr>
              <w:t>81</w:t>
            </w:r>
            <w:r>
              <w:rPr>
                <w:rFonts w:ascii="Times New Roman" w:hAnsi="Times New Roman" w:cs="Times New Roman"/>
                <w:color w:val="auto"/>
                <w:spacing w:val="4"/>
                <w:sz w:val="24"/>
                <w:szCs w:val="24"/>
                <w:lang w:eastAsia="zh-CN"/>
              </w:rPr>
              <w:t>00m</w:t>
            </w:r>
            <w:r>
              <w:rPr>
                <w:rFonts w:ascii="Times New Roman" w:hAnsi="Times New Roman" w:cs="Times New Roman"/>
                <w:color w:val="auto"/>
                <w:spacing w:val="4"/>
                <w:sz w:val="24"/>
                <w:szCs w:val="24"/>
                <w:vertAlign w:val="superscript"/>
                <w:lang w:eastAsia="zh-CN"/>
              </w:rPr>
              <w:t>2</w:t>
            </w:r>
            <w:r>
              <w:rPr>
                <w:rFonts w:hint="eastAsia" w:ascii="Times New Roman" w:hAnsi="Times New Roman" w:cs="Times New Roman"/>
                <w:color w:val="auto"/>
                <w:spacing w:val="4"/>
                <w:sz w:val="24"/>
                <w:szCs w:val="24"/>
                <w:lang w:eastAsia="zh-CN"/>
              </w:rPr>
              <w:t>的原料仓库。</w:t>
            </w:r>
          </w:p>
          <w:p w14:paraId="76C2CB92">
            <w:pPr>
              <w:pStyle w:val="46"/>
              <w:spacing w:line="360" w:lineRule="auto"/>
              <w:ind w:firstLine="496" w:firstLineChars="200"/>
              <w:rPr>
                <w:rFonts w:hint="eastAsia"/>
                <w:color w:val="auto"/>
                <w:lang w:eastAsia="zh-CN"/>
              </w:rPr>
            </w:pPr>
            <w:r>
              <w:rPr>
                <w:rFonts w:ascii="Times New Roman" w:hAnsi="Times New Roman" w:cs="Times New Roman"/>
                <w:color w:val="auto"/>
                <w:spacing w:val="4"/>
                <w:sz w:val="24"/>
                <w:szCs w:val="24"/>
                <w:lang w:eastAsia="zh-CN"/>
              </w:rPr>
              <w:t>项目厂区平面布置见附图</w:t>
            </w:r>
            <w:r>
              <w:rPr>
                <w:rFonts w:hint="eastAsia" w:ascii="Times New Roman" w:hAnsi="Times New Roman" w:cs="Times New Roman"/>
                <w:color w:val="auto"/>
                <w:spacing w:val="4"/>
                <w:sz w:val="24"/>
                <w:szCs w:val="24"/>
                <w:lang w:eastAsia="zh-CN"/>
              </w:rPr>
              <w:t>4</w:t>
            </w:r>
            <w:r>
              <w:rPr>
                <w:rFonts w:ascii="Times New Roman" w:hAnsi="Times New Roman" w:cs="Times New Roman"/>
                <w:color w:val="auto"/>
                <w:spacing w:val="4"/>
                <w:sz w:val="24"/>
                <w:szCs w:val="24"/>
                <w:lang w:eastAsia="zh-CN"/>
              </w:rPr>
              <w:t>。</w:t>
            </w:r>
          </w:p>
        </w:tc>
      </w:tr>
      <w:tr w14:paraId="5C838E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23" w:type="dxa"/>
            <w:vAlign w:val="center"/>
          </w:tcPr>
          <w:p w14:paraId="7732A712">
            <w:pPr>
              <w:pStyle w:val="19"/>
              <w:adjustRightInd w:val="0"/>
              <w:snapToGrid w:val="0"/>
              <w:spacing w:before="0" w:beforeAutospacing="0" w:after="0" w:afterAutospacing="0"/>
              <w:jc w:val="center"/>
              <w:rPr>
                <w:rFonts w:hint="eastAsia" w:cs="宋体"/>
                <w:color w:val="auto"/>
                <w:sz w:val="21"/>
                <w:szCs w:val="21"/>
              </w:rPr>
            </w:pPr>
            <w:r>
              <w:rPr>
                <w:rFonts w:hint="eastAsia" w:cs="宋体"/>
                <w:color w:val="auto"/>
                <w:sz w:val="21"/>
                <w:szCs w:val="21"/>
              </w:rPr>
              <w:t>工艺流程和产排污环节</w:t>
            </w:r>
          </w:p>
        </w:tc>
        <w:tc>
          <w:tcPr>
            <w:tcW w:w="8258" w:type="dxa"/>
          </w:tcPr>
          <w:p w14:paraId="1D31D465">
            <w:pPr>
              <w:numPr>
                <w:ilvl w:val="0"/>
                <w:numId w:val="9"/>
              </w:numPr>
              <w:adjustRightInd w:val="0"/>
              <w:snapToGrid w:val="0"/>
              <w:spacing w:line="360" w:lineRule="auto"/>
              <w:ind w:firstLine="482" w:firstLineChars="200"/>
              <w:rPr>
                <w:b/>
                <w:color w:val="auto"/>
                <w:sz w:val="24"/>
              </w:rPr>
            </w:pPr>
            <w:r>
              <w:rPr>
                <w:b/>
                <w:color w:val="auto"/>
                <w:sz w:val="24"/>
              </w:rPr>
              <w:t>施工期</w:t>
            </w:r>
            <w:r>
              <w:rPr>
                <w:rFonts w:hint="eastAsia"/>
                <w:b/>
                <w:color w:val="auto"/>
                <w:sz w:val="24"/>
              </w:rPr>
              <w:t>工艺流程及产污环节</w:t>
            </w:r>
          </w:p>
          <w:p w14:paraId="74101908">
            <w:pPr>
              <w:widowControl/>
              <w:spacing w:line="360" w:lineRule="auto"/>
              <w:ind w:firstLine="480" w:firstLineChars="200"/>
              <w:rPr>
                <w:color w:val="auto"/>
                <w:sz w:val="24"/>
              </w:rPr>
            </w:pPr>
            <w:r>
              <w:rPr>
                <w:rFonts w:hint="eastAsia"/>
                <w:color w:val="auto"/>
                <w:sz w:val="24"/>
              </w:rPr>
              <w:t>工程施工期间进行基础工程、主体工程、设备安装等工程的建设，这些工序将产生一定量的噪声、扬尘、废水、固体废弃物等污染物，对周边环境造成影响，但属于短期、可恢复影响，待施工结束后，污染随之消失。施工期工艺流程图见下图：</w:t>
            </w:r>
          </w:p>
          <w:p w14:paraId="49F452A4">
            <w:pPr>
              <w:widowControl/>
              <w:spacing w:line="360" w:lineRule="auto"/>
              <w:rPr>
                <w:color w:val="auto"/>
              </w:rPr>
            </w:pPr>
            <w:r>
              <w:rPr>
                <w:color w:val="auto"/>
              </w:rPr>
              <w:drawing>
                <wp:inline distT="0" distB="0" distL="114300" distR="114300">
                  <wp:extent cx="5103495" cy="169354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5"/>
                          <a:stretch>
                            <a:fillRect/>
                          </a:stretch>
                        </pic:blipFill>
                        <pic:spPr>
                          <a:xfrm>
                            <a:off x="0" y="0"/>
                            <a:ext cx="5103495" cy="1693545"/>
                          </a:xfrm>
                          <a:prstGeom prst="rect">
                            <a:avLst/>
                          </a:prstGeom>
                          <a:noFill/>
                          <a:ln>
                            <a:noFill/>
                          </a:ln>
                        </pic:spPr>
                      </pic:pic>
                    </a:graphicData>
                  </a:graphic>
                </wp:inline>
              </w:drawing>
            </w:r>
          </w:p>
          <w:p w14:paraId="4FD25B1A">
            <w:pPr>
              <w:pStyle w:val="46"/>
              <w:ind w:left="420" w:leftChars="200"/>
              <w:jc w:val="center"/>
              <w:rPr>
                <w:color w:val="auto"/>
              </w:rPr>
            </w:pPr>
            <w:r>
              <w:rPr>
                <w:rFonts w:hint="eastAsia" w:ascii="Times New Roman" w:hAnsi="Times New Roman" w:cs="Times New Roman"/>
                <w:b/>
                <w:bCs/>
                <w:color w:val="auto"/>
                <w:sz w:val="24"/>
                <w:szCs w:val="24"/>
                <w:lang w:eastAsia="zh-CN"/>
              </w:rPr>
              <w:t>图</w:t>
            </w:r>
            <w:r>
              <w:rPr>
                <w:rFonts w:ascii="Times New Roman" w:hAnsi="Times New Roman" w:cs="Times New Roman"/>
                <w:b/>
                <w:bCs/>
                <w:color w:val="auto"/>
                <w:sz w:val="24"/>
                <w:szCs w:val="24"/>
                <w:lang w:eastAsia="zh-CN"/>
              </w:rPr>
              <w:t>2-</w:t>
            </w:r>
            <w:r>
              <w:rPr>
                <w:rFonts w:hint="eastAsia" w:ascii="Times New Roman" w:hAnsi="Times New Roman" w:cs="Times New Roman"/>
                <w:b/>
                <w:bCs/>
                <w:color w:val="auto"/>
                <w:sz w:val="24"/>
                <w:szCs w:val="24"/>
                <w:lang w:eastAsia="zh-CN"/>
              </w:rPr>
              <w:t xml:space="preserve">2    </w:t>
            </w:r>
            <w:r>
              <w:rPr>
                <w:rFonts w:ascii="Times New Roman" w:hAnsi="Times New Roman" w:cs="Times New Roman"/>
                <w:b/>
                <w:bCs/>
                <w:color w:val="auto"/>
                <w:sz w:val="24"/>
                <w:szCs w:val="24"/>
                <w:lang w:eastAsia="zh-CN"/>
              </w:rPr>
              <w:t xml:space="preserve"> </w:t>
            </w:r>
            <w:r>
              <w:rPr>
                <w:rFonts w:hint="eastAsia" w:ascii="Times New Roman" w:hAnsi="Times New Roman" w:cs="Times New Roman"/>
                <w:b/>
                <w:bCs/>
                <w:color w:val="auto"/>
                <w:sz w:val="24"/>
                <w:szCs w:val="24"/>
                <w:lang w:eastAsia="zh-CN"/>
              </w:rPr>
              <w:t>项目施工期工艺流程及产污节点图</w:t>
            </w:r>
          </w:p>
          <w:p w14:paraId="130A08D9">
            <w:pPr>
              <w:widowControl/>
              <w:spacing w:line="360" w:lineRule="auto"/>
              <w:ind w:firstLine="480" w:firstLineChars="200"/>
              <w:rPr>
                <w:rFonts w:hint="eastAsia"/>
                <w:color w:val="auto"/>
                <w:sz w:val="24"/>
              </w:rPr>
            </w:pPr>
            <w:r>
              <w:rPr>
                <w:rFonts w:hint="eastAsia"/>
                <w:color w:val="auto"/>
                <w:sz w:val="24"/>
              </w:rPr>
              <w:t>施工期产污环节：</w:t>
            </w:r>
          </w:p>
          <w:p w14:paraId="715B967D">
            <w:pPr>
              <w:widowControl/>
              <w:spacing w:line="360" w:lineRule="auto"/>
              <w:ind w:firstLine="480" w:firstLineChars="200"/>
              <w:rPr>
                <w:rFonts w:hint="eastAsia"/>
                <w:color w:val="auto"/>
                <w:sz w:val="24"/>
              </w:rPr>
            </w:pPr>
            <w:r>
              <w:rPr>
                <w:rFonts w:hint="eastAsia"/>
                <w:color w:val="auto"/>
                <w:sz w:val="24"/>
              </w:rPr>
              <w:t>（1）废气：施工过程中土建施工、施工材料装卸运输过程中产生的扬尘及运输车辆的尾气。</w:t>
            </w:r>
          </w:p>
          <w:p w14:paraId="31B9E672">
            <w:pPr>
              <w:widowControl/>
              <w:spacing w:line="360" w:lineRule="auto"/>
              <w:ind w:firstLine="480" w:firstLineChars="200"/>
              <w:rPr>
                <w:rFonts w:hint="eastAsia"/>
                <w:color w:val="auto"/>
                <w:sz w:val="24"/>
              </w:rPr>
            </w:pPr>
            <w:r>
              <w:rPr>
                <w:rFonts w:hint="eastAsia"/>
                <w:color w:val="auto"/>
                <w:sz w:val="24"/>
              </w:rPr>
              <w:t>（2）废水：施工期水污染源主要为施工废水及施工人员产生的生活污水。</w:t>
            </w:r>
          </w:p>
          <w:p w14:paraId="415C5C11">
            <w:pPr>
              <w:widowControl/>
              <w:spacing w:line="360" w:lineRule="auto"/>
              <w:ind w:firstLine="480" w:firstLineChars="200"/>
              <w:rPr>
                <w:rFonts w:hint="eastAsia"/>
                <w:color w:val="auto"/>
                <w:sz w:val="24"/>
              </w:rPr>
            </w:pPr>
            <w:r>
              <w:rPr>
                <w:rFonts w:hint="eastAsia"/>
                <w:color w:val="auto"/>
                <w:sz w:val="24"/>
              </w:rPr>
              <w:t>（3）噪声：施工期噪声主要来源于施工作业机械及运输车辆使用产生的机械噪声。</w:t>
            </w:r>
          </w:p>
          <w:p w14:paraId="06709DC3">
            <w:pPr>
              <w:widowControl/>
              <w:spacing w:line="360" w:lineRule="auto"/>
              <w:ind w:firstLine="480" w:firstLineChars="200"/>
              <w:rPr>
                <w:color w:val="auto"/>
                <w:lang w:eastAsia="zh-CN"/>
              </w:rPr>
            </w:pPr>
            <w:r>
              <w:rPr>
                <w:rFonts w:hint="eastAsia"/>
                <w:color w:val="auto"/>
                <w:sz w:val="24"/>
              </w:rPr>
              <w:t>（4）固体废物：施工期产生建筑垃圾及施工人员产生的生活垃圾。</w:t>
            </w:r>
          </w:p>
          <w:p w14:paraId="74BBC605">
            <w:pPr>
              <w:numPr>
                <w:ilvl w:val="0"/>
                <w:numId w:val="9"/>
              </w:numPr>
              <w:adjustRightInd w:val="0"/>
              <w:snapToGrid w:val="0"/>
              <w:spacing w:line="360" w:lineRule="auto"/>
              <w:ind w:firstLine="482" w:firstLineChars="200"/>
              <w:rPr>
                <w:b/>
                <w:color w:val="auto"/>
                <w:sz w:val="24"/>
              </w:rPr>
            </w:pPr>
            <w:r>
              <w:rPr>
                <w:rFonts w:hint="eastAsia"/>
                <w:b/>
                <w:color w:val="auto"/>
                <w:sz w:val="24"/>
              </w:rPr>
              <w:t>运营</w:t>
            </w:r>
            <w:r>
              <w:rPr>
                <w:b/>
                <w:color w:val="auto"/>
                <w:sz w:val="24"/>
              </w:rPr>
              <w:t>期</w:t>
            </w:r>
            <w:r>
              <w:rPr>
                <w:rFonts w:hint="eastAsia"/>
                <w:b/>
                <w:color w:val="auto"/>
                <w:sz w:val="24"/>
              </w:rPr>
              <w:t>工艺流程及产污环节</w:t>
            </w:r>
          </w:p>
          <w:p w14:paraId="5B11DB67">
            <w:pPr>
              <w:pStyle w:val="46"/>
              <w:rPr>
                <w:rFonts w:ascii="Times New Roman" w:hAnsi="Times New Roman" w:cs="Times New Roman"/>
                <w:b/>
                <w:bCs/>
                <w:color w:val="auto"/>
                <w:sz w:val="24"/>
                <w:szCs w:val="24"/>
                <w:lang w:eastAsia="zh-CN"/>
              </w:rPr>
            </w:pPr>
            <w:r>
              <w:rPr>
                <w:color w:val="auto"/>
              </w:rPr>
              <w:drawing>
                <wp:inline distT="0" distB="0" distL="114300" distR="114300">
                  <wp:extent cx="5101590" cy="3116580"/>
                  <wp:effectExtent l="0" t="0" r="3810" b="7620"/>
                  <wp:docPr id="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
                          <pic:cNvPicPr>
                            <a:picLocks noChangeAspect="1"/>
                          </pic:cNvPicPr>
                        </pic:nvPicPr>
                        <pic:blipFill>
                          <a:blip r:embed="rId16"/>
                          <a:stretch>
                            <a:fillRect/>
                          </a:stretch>
                        </pic:blipFill>
                        <pic:spPr>
                          <a:xfrm>
                            <a:off x="0" y="0"/>
                            <a:ext cx="5101590" cy="3116580"/>
                          </a:xfrm>
                          <a:prstGeom prst="rect">
                            <a:avLst/>
                          </a:prstGeom>
                          <a:noFill/>
                          <a:ln>
                            <a:noFill/>
                          </a:ln>
                        </pic:spPr>
                      </pic:pic>
                    </a:graphicData>
                  </a:graphic>
                </wp:inline>
              </w:drawing>
            </w:r>
          </w:p>
          <w:p w14:paraId="65AC9D4D">
            <w:pPr>
              <w:pStyle w:val="46"/>
              <w:ind w:firstLine="1446" w:firstLineChars="600"/>
              <w:rPr>
                <w:rFonts w:ascii="Times New Roman" w:hAnsi="Times New Roman" w:cs="Times New Roman"/>
                <w:b/>
                <w:bCs/>
                <w:color w:val="auto"/>
                <w:sz w:val="24"/>
                <w:szCs w:val="24"/>
                <w:lang w:eastAsia="zh-CN"/>
              </w:rPr>
            </w:pPr>
            <w:r>
              <w:rPr>
                <w:rFonts w:hint="eastAsia" w:ascii="Times New Roman" w:hAnsi="Times New Roman" w:cs="Times New Roman"/>
                <w:b/>
                <w:bCs/>
                <w:color w:val="auto"/>
                <w:sz w:val="24"/>
                <w:szCs w:val="24"/>
                <w:lang w:eastAsia="zh-CN"/>
              </w:rPr>
              <w:t>图2-</w:t>
            </w:r>
            <w:r>
              <w:rPr>
                <w:rFonts w:hint="eastAsia" w:ascii="Times New Roman" w:hAnsi="Times New Roman" w:cs="Times New Roman"/>
                <w:b/>
                <w:bCs/>
                <w:color w:val="auto"/>
                <w:sz w:val="24"/>
                <w:szCs w:val="24"/>
                <w:lang w:val="en-US" w:eastAsia="zh-CN"/>
              </w:rPr>
              <w:t>4</w:t>
            </w:r>
            <w:r>
              <w:rPr>
                <w:rFonts w:hint="eastAsia" w:ascii="Times New Roman" w:hAnsi="Times New Roman" w:cs="Times New Roman"/>
                <w:b/>
                <w:bCs/>
                <w:color w:val="auto"/>
                <w:sz w:val="24"/>
                <w:szCs w:val="24"/>
                <w:lang w:eastAsia="zh-CN"/>
              </w:rPr>
              <w:t xml:space="preserve">    </w:t>
            </w:r>
            <w:r>
              <w:rPr>
                <w:rFonts w:hint="eastAsia" w:ascii="Times New Roman" w:hAnsi="Times New Roman" w:cs="Times New Roman"/>
                <w:b/>
                <w:bCs/>
                <w:color w:val="auto"/>
                <w:sz w:val="24"/>
                <w:szCs w:val="24"/>
                <w:lang w:val="en-US" w:eastAsia="zh-CN"/>
              </w:rPr>
              <w:t>二期</w:t>
            </w:r>
            <w:r>
              <w:rPr>
                <w:rFonts w:hint="eastAsia" w:ascii="Times New Roman" w:hAnsi="Times New Roman" w:cs="Times New Roman"/>
                <w:b/>
                <w:bCs/>
                <w:color w:val="auto"/>
                <w:sz w:val="24"/>
                <w:szCs w:val="24"/>
                <w:lang w:eastAsia="zh-CN"/>
              </w:rPr>
              <w:t>项目运营期工艺流程及产污示意图</w:t>
            </w:r>
          </w:p>
          <w:p w14:paraId="58456AD5">
            <w:pPr>
              <w:widowControl/>
              <w:spacing w:line="360" w:lineRule="auto"/>
              <w:ind w:firstLine="482" w:firstLineChars="200"/>
              <w:rPr>
                <w:b/>
                <w:bCs/>
                <w:color w:val="auto"/>
                <w:sz w:val="24"/>
              </w:rPr>
            </w:pPr>
            <w:r>
              <w:rPr>
                <w:rFonts w:hint="eastAsia"/>
                <w:b/>
                <w:bCs/>
                <w:color w:val="auto"/>
                <w:sz w:val="24"/>
              </w:rPr>
              <w:t>工艺流程简介：</w:t>
            </w:r>
          </w:p>
          <w:p w14:paraId="68B10A9E">
            <w:pPr>
              <w:widowControl/>
              <w:spacing w:line="360" w:lineRule="auto"/>
              <w:ind w:firstLine="480" w:firstLineChars="200"/>
              <w:rPr>
                <w:color w:val="auto"/>
                <w:sz w:val="24"/>
              </w:rPr>
            </w:pPr>
            <w:r>
              <w:rPr>
                <w:rFonts w:hint="eastAsia"/>
                <w:color w:val="auto"/>
                <w:sz w:val="24"/>
              </w:rPr>
              <w:t>本项目是利用焦粉、除尘灰、兰碳粉和粘结剂加水配合，经冷压工艺压制成球，并烘干形成型焦产品，包括原料的运输、装卸、备料、搅拌、压球、烘干、筛分及成品的储存，项目按照三条生产线配置，生产规模为45万吨/年。本项目在备料工序共用一套备料设备和一套袋式除尘器，在备料工序后分三条生产线，产出成品后采用一条带式输送机运至型焦成品仓库。以一条生产路线为例，工艺流程如下：</w:t>
            </w:r>
          </w:p>
          <w:p w14:paraId="5AF682F6">
            <w:pPr>
              <w:widowControl/>
              <w:spacing w:line="360" w:lineRule="auto"/>
              <w:ind w:firstLine="480" w:firstLineChars="200"/>
              <w:rPr>
                <w:color w:val="auto"/>
                <w:sz w:val="24"/>
              </w:rPr>
            </w:pPr>
            <w:r>
              <w:rPr>
                <w:rFonts w:hint="eastAsia"/>
                <w:color w:val="auto"/>
                <w:sz w:val="24"/>
              </w:rPr>
              <w:t>2.1 原料运输</w:t>
            </w:r>
          </w:p>
          <w:p w14:paraId="3A77D20F">
            <w:pPr>
              <w:widowControl/>
              <w:spacing w:line="360" w:lineRule="auto"/>
              <w:ind w:firstLine="480" w:firstLineChars="200"/>
              <w:rPr>
                <w:color w:val="auto"/>
                <w:sz w:val="24"/>
              </w:rPr>
            </w:pPr>
            <w:r>
              <w:rPr>
                <w:color w:val="auto"/>
                <w:sz w:val="24"/>
              </w:rPr>
              <w:t>本工程以</w:t>
            </w:r>
            <w:r>
              <w:rPr>
                <w:rFonts w:hint="eastAsia"/>
                <w:color w:val="auto"/>
                <w:sz w:val="24"/>
              </w:rPr>
              <w:t>新航</w:t>
            </w:r>
            <w:r>
              <w:rPr>
                <w:color w:val="auto"/>
                <w:sz w:val="24"/>
              </w:rPr>
              <w:t>焦化厂已投产项目中产生的小粒径（5mm以下）焦粉，及</w:t>
            </w:r>
            <w:r>
              <w:rPr>
                <w:rFonts w:hint="eastAsia" w:ascii="宋体" w:hAnsi="宋体" w:cs="宋体"/>
                <w:color w:val="auto"/>
                <w:kern w:val="0"/>
                <w:sz w:val="24"/>
                <w:lang w:bidi="ar"/>
              </w:rPr>
              <w:t>推焦、输焦等环节的</w:t>
            </w:r>
            <w:r>
              <w:rPr>
                <w:color w:val="auto"/>
                <w:sz w:val="24"/>
              </w:rPr>
              <w:t>除尘设备收集的即除尘灰为原料</w:t>
            </w:r>
            <w:r>
              <w:rPr>
                <w:rFonts w:hint="eastAsia"/>
                <w:color w:val="auto"/>
                <w:sz w:val="24"/>
              </w:rPr>
              <w:t>，焦粉、兰炭粉采用汽车运输至原料仓库，除尘灰及粘结剂采用罐车全密闭输送至各自钢仓内储存，每条生产线为除尘灰及粘结剂各设钢仓一座，单仓储量约85吨。</w:t>
            </w:r>
          </w:p>
          <w:p w14:paraId="19FA11ED">
            <w:pPr>
              <w:widowControl/>
              <w:spacing w:line="360" w:lineRule="auto"/>
              <w:ind w:firstLine="480" w:firstLineChars="200"/>
              <w:rPr>
                <w:color w:val="auto"/>
                <w:sz w:val="24"/>
              </w:rPr>
            </w:pPr>
            <w:r>
              <w:rPr>
                <w:rFonts w:hint="eastAsia"/>
                <w:color w:val="auto"/>
                <w:sz w:val="24"/>
              </w:rPr>
              <w:t>产污环节分析：</w:t>
            </w:r>
          </w:p>
          <w:p w14:paraId="7B6FB341">
            <w:pPr>
              <w:widowControl/>
              <w:spacing w:line="360" w:lineRule="auto"/>
              <w:ind w:firstLine="480" w:firstLineChars="200"/>
              <w:rPr>
                <w:rFonts w:hint="eastAsia" w:eastAsia="宋体"/>
                <w:color w:val="auto"/>
                <w:sz w:val="24"/>
                <w:lang w:val="en-US" w:eastAsia="zh-CN"/>
              </w:rPr>
            </w:pPr>
            <w:r>
              <w:rPr>
                <w:rFonts w:hint="eastAsia"/>
                <w:color w:val="auto"/>
                <w:sz w:val="24"/>
              </w:rPr>
              <w:t>废气：运输扬尘</w:t>
            </w:r>
            <w:r>
              <w:rPr>
                <w:color w:val="auto"/>
                <w:sz w:val="24"/>
              </w:rPr>
              <w:t>G1</w:t>
            </w:r>
            <w:r>
              <w:rPr>
                <w:rFonts w:hint="eastAsia"/>
                <w:color w:val="auto"/>
                <w:sz w:val="24"/>
                <w:lang w:eastAsia="zh-CN"/>
              </w:rPr>
              <w:t>。</w:t>
            </w:r>
          </w:p>
          <w:p w14:paraId="7214D288">
            <w:pPr>
              <w:widowControl/>
              <w:spacing w:line="360" w:lineRule="auto"/>
              <w:ind w:firstLine="480" w:firstLineChars="200"/>
              <w:rPr>
                <w:rFonts w:hint="default"/>
                <w:color w:val="auto"/>
                <w:sz w:val="24"/>
                <w:lang w:val="en-US" w:eastAsia="zh-CN"/>
              </w:rPr>
            </w:pPr>
            <w:r>
              <w:rPr>
                <w:rFonts w:hint="eastAsia"/>
                <w:color w:val="auto"/>
                <w:sz w:val="24"/>
                <w:lang w:val="en-US" w:eastAsia="zh-CN"/>
              </w:rPr>
              <w:t>噪声：N。</w:t>
            </w:r>
          </w:p>
          <w:p w14:paraId="6DAFEEFF">
            <w:pPr>
              <w:widowControl/>
              <w:spacing w:line="360" w:lineRule="auto"/>
              <w:ind w:firstLine="480" w:firstLineChars="200"/>
              <w:rPr>
                <w:color w:val="auto"/>
                <w:sz w:val="24"/>
              </w:rPr>
            </w:pPr>
            <w:r>
              <w:rPr>
                <w:rFonts w:hint="eastAsia"/>
                <w:color w:val="auto"/>
                <w:sz w:val="24"/>
              </w:rPr>
              <w:t>2.2 备料</w:t>
            </w:r>
          </w:p>
          <w:p w14:paraId="0BA7D6E9">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焦粉、兰炭粉由汽车运来后，卸入原料仓库内储存，上料时由装载机将焦粉、兰炭粉分别装入焦粉料斗、兰炭粉料斗；除尘灰及粘结剂由罐车运来后，直接卸入对应的全密封钢仓，料斗下和钢仓下设有电子自动配料秤，可将焦粉、除尘灰、兰炭粉和粘结剂按</w:t>
            </w:r>
            <w:r>
              <w:rPr>
                <w:color w:val="auto"/>
                <w:kern w:val="0"/>
                <w:sz w:val="24"/>
                <w:lang w:bidi="ar"/>
              </w:rPr>
              <w:t>15.34:1</w:t>
            </w:r>
            <w:r>
              <w:rPr>
                <w:rFonts w:hint="eastAsia" w:ascii="宋体" w:hAnsi="宋体" w:cs="宋体"/>
                <w:color w:val="auto"/>
                <w:kern w:val="0"/>
                <w:sz w:val="24"/>
                <w:lang w:bidi="ar"/>
              </w:rPr>
              <w:t>比例配合。</w:t>
            </w:r>
          </w:p>
          <w:p w14:paraId="4357C410">
            <w:pPr>
              <w:widowControl/>
              <w:spacing w:line="360" w:lineRule="auto"/>
              <w:ind w:firstLine="480" w:firstLineChars="200"/>
              <w:jc w:val="left"/>
              <w:rPr>
                <w:color w:val="auto"/>
              </w:rPr>
            </w:pPr>
            <w:r>
              <w:rPr>
                <w:rFonts w:hint="eastAsia" w:ascii="宋体" w:hAnsi="宋体" w:cs="宋体"/>
                <w:color w:val="auto"/>
                <w:kern w:val="0"/>
                <w:sz w:val="24"/>
                <w:lang w:bidi="ar"/>
              </w:rPr>
              <w:t xml:space="preserve">产污环节分析： </w:t>
            </w:r>
          </w:p>
          <w:p w14:paraId="4BDECE80">
            <w:pPr>
              <w:widowControl/>
              <w:spacing w:line="360" w:lineRule="auto"/>
              <w:ind w:firstLine="480" w:firstLineChars="200"/>
              <w:jc w:val="left"/>
              <w:rPr>
                <w:color w:val="auto"/>
              </w:rPr>
            </w:pPr>
            <w:r>
              <w:rPr>
                <w:rFonts w:hint="eastAsia" w:ascii="宋体" w:hAnsi="宋体" w:cs="宋体"/>
                <w:color w:val="auto"/>
                <w:kern w:val="0"/>
                <w:sz w:val="24"/>
                <w:lang w:bidi="ar"/>
              </w:rPr>
              <w:t>废气：卸料粉尘</w:t>
            </w:r>
            <w:r>
              <w:rPr>
                <w:color w:val="auto"/>
                <w:kern w:val="0"/>
                <w:sz w:val="24"/>
                <w:lang w:bidi="ar"/>
              </w:rPr>
              <w:t>G</w:t>
            </w:r>
            <w:r>
              <w:rPr>
                <w:color w:val="auto"/>
                <w:kern w:val="0"/>
                <w:sz w:val="24"/>
                <w:lang w:bidi="ar"/>
              </w:rPr>
              <w:t>2</w:t>
            </w:r>
            <w:r>
              <w:rPr>
                <w:rFonts w:hint="default" w:ascii="Times New Roman" w:hAnsi="Times New Roman" w:cs="Times New Roman"/>
                <w:color w:val="auto"/>
                <w:kern w:val="0"/>
                <w:sz w:val="24"/>
                <w:lang w:eastAsia="zh-CN" w:bidi="ar"/>
              </w:rPr>
              <w:t>、</w:t>
            </w:r>
            <w:r>
              <w:rPr>
                <w:rFonts w:hint="default" w:ascii="Times New Roman" w:hAnsi="Times New Roman" w:cs="Times New Roman"/>
                <w:color w:val="auto"/>
                <w:kern w:val="0"/>
                <w:sz w:val="24"/>
                <w:highlight w:val="none"/>
                <w:lang w:val="en-US" w:eastAsia="zh-CN" w:bidi="ar"/>
              </w:rPr>
              <w:t>储存粉尘G3、筒仓粉尘G4、</w:t>
            </w:r>
            <w:r>
              <w:rPr>
                <w:rFonts w:hint="eastAsia"/>
                <w:color w:val="auto"/>
                <w:sz w:val="24"/>
                <w:lang w:val="en-US" w:eastAsia="zh-CN"/>
              </w:rPr>
              <w:t>上</w:t>
            </w:r>
            <w:r>
              <w:rPr>
                <w:rFonts w:hint="eastAsia" w:ascii="宋体" w:hAnsi="宋体" w:cs="宋体"/>
                <w:color w:val="auto"/>
                <w:kern w:val="0"/>
                <w:sz w:val="24"/>
                <w:lang w:bidi="ar"/>
              </w:rPr>
              <w:t>料粉尘</w:t>
            </w:r>
            <w:r>
              <w:rPr>
                <w:color w:val="auto"/>
                <w:kern w:val="0"/>
                <w:sz w:val="24"/>
                <w:lang w:bidi="ar"/>
              </w:rPr>
              <w:t>G</w:t>
            </w:r>
            <w:r>
              <w:rPr>
                <w:rFonts w:hint="eastAsia"/>
                <w:color w:val="auto"/>
                <w:kern w:val="0"/>
                <w:sz w:val="24"/>
                <w:lang w:val="en-US" w:eastAsia="zh-CN" w:bidi="ar"/>
              </w:rPr>
              <w:t>5</w:t>
            </w:r>
            <w:r>
              <w:rPr>
                <w:rFonts w:hint="eastAsia" w:ascii="宋体" w:hAnsi="宋体" w:cs="宋体"/>
                <w:color w:val="auto"/>
                <w:kern w:val="0"/>
                <w:sz w:val="24"/>
                <w:lang w:bidi="ar"/>
              </w:rPr>
              <w:t xml:space="preserve">。 </w:t>
            </w:r>
          </w:p>
          <w:p w14:paraId="1B915BF0">
            <w:pPr>
              <w:widowControl/>
              <w:spacing w:line="360" w:lineRule="auto"/>
              <w:ind w:firstLine="480" w:firstLineChars="200"/>
              <w:jc w:val="left"/>
              <w:rPr>
                <w:color w:val="auto"/>
              </w:rPr>
            </w:pPr>
            <w:r>
              <w:rPr>
                <w:rFonts w:hint="eastAsia" w:ascii="宋体" w:hAnsi="宋体" w:cs="宋体"/>
                <w:color w:val="auto"/>
                <w:kern w:val="0"/>
                <w:sz w:val="24"/>
                <w:lang w:bidi="ar"/>
              </w:rPr>
              <w:t xml:space="preserve">噪声：生产设备噪声 </w:t>
            </w:r>
            <w:r>
              <w:rPr>
                <w:color w:val="auto"/>
                <w:kern w:val="0"/>
                <w:sz w:val="24"/>
                <w:lang w:bidi="ar"/>
              </w:rPr>
              <w:t>N</w:t>
            </w:r>
            <w:r>
              <w:rPr>
                <w:rFonts w:hint="eastAsia" w:ascii="宋体" w:hAnsi="宋体" w:cs="宋体"/>
                <w:color w:val="auto"/>
                <w:kern w:val="0"/>
                <w:sz w:val="24"/>
                <w:lang w:bidi="ar"/>
              </w:rPr>
              <w:t>。</w:t>
            </w:r>
          </w:p>
          <w:p w14:paraId="709EBA55">
            <w:pPr>
              <w:widowControl/>
              <w:spacing w:line="360" w:lineRule="auto"/>
              <w:ind w:firstLine="480" w:firstLineChars="200"/>
              <w:rPr>
                <w:color w:val="auto"/>
                <w:sz w:val="24"/>
              </w:rPr>
            </w:pPr>
            <w:r>
              <w:rPr>
                <w:rFonts w:hint="eastAsia"/>
                <w:color w:val="auto"/>
                <w:sz w:val="24"/>
              </w:rPr>
              <w:t>2.3 搅拌</w:t>
            </w:r>
          </w:p>
          <w:p w14:paraId="27BD6A5A">
            <w:pPr>
              <w:widowControl/>
              <w:spacing w:line="360" w:lineRule="auto"/>
              <w:ind w:firstLine="480" w:firstLineChars="200"/>
              <w:jc w:val="left"/>
              <w:rPr>
                <w:color w:val="auto"/>
              </w:rPr>
            </w:pPr>
            <w:r>
              <w:rPr>
                <w:color w:val="auto"/>
                <w:kern w:val="0"/>
                <w:sz w:val="24"/>
                <w:lang w:bidi="ar"/>
              </w:rPr>
              <w:t>电子自动配料秤配比后的混合料经除铁器除去杂质后由全封闭型1带式输送机转运至</w:t>
            </w:r>
            <w:r>
              <w:rPr>
                <w:rFonts w:hint="eastAsia"/>
                <w:color w:val="auto"/>
                <w:kern w:val="0"/>
                <w:sz w:val="24"/>
                <w:lang w:val="en-US" w:eastAsia="zh-CN" w:bidi="ar"/>
              </w:rPr>
              <w:t>全密闭</w:t>
            </w:r>
            <w:r>
              <w:rPr>
                <w:color w:val="auto"/>
                <w:kern w:val="0"/>
                <w:sz w:val="24"/>
                <w:lang w:bidi="ar"/>
              </w:rPr>
              <w:t>轮辗搅拌机内，</w:t>
            </w:r>
            <w:r>
              <w:rPr>
                <w:rFonts w:hint="eastAsia"/>
                <w:color w:val="auto"/>
                <w:sz w:val="24"/>
              </w:rPr>
              <w:t>加湿用水量按干基原料量的5%计</w:t>
            </w:r>
            <w:r>
              <w:rPr>
                <w:rFonts w:hint="eastAsia" w:ascii="宋体" w:hAnsi="宋体" w:cs="宋体"/>
                <w:color w:val="auto"/>
                <w:kern w:val="0"/>
                <w:sz w:val="24"/>
                <w:lang w:bidi="ar"/>
              </w:rPr>
              <w:t>混料在搅拌机内</w:t>
            </w:r>
            <w:r>
              <w:rPr>
                <w:rFonts w:hint="eastAsia" w:ascii="宋体" w:hAnsi="宋体" w:cs="宋体"/>
                <w:color w:val="auto"/>
                <w:kern w:val="0"/>
                <w:sz w:val="24"/>
                <w:lang w:val="en-US" w:eastAsia="zh-CN" w:bidi="ar"/>
              </w:rPr>
              <w:t>和原辅料</w:t>
            </w:r>
            <w:r>
              <w:rPr>
                <w:rFonts w:hint="eastAsia" w:ascii="宋体" w:hAnsi="宋体" w:cs="宋体"/>
                <w:color w:val="auto"/>
                <w:kern w:val="0"/>
                <w:sz w:val="24"/>
                <w:lang w:bidi="ar"/>
              </w:rPr>
              <w:t>搅拌均匀后，搅拌叶片将混料从出料口排出。</w:t>
            </w:r>
          </w:p>
          <w:p w14:paraId="1504604A">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 xml:space="preserve">产污环节分析： </w:t>
            </w:r>
          </w:p>
          <w:p w14:paraId="3C6BCD2D">
            <w:pPr>
              <w:widowControl/>
              <w:spacing w:line="360" w:lineRule="auto"/>
              <w:ind w:firstLine="480" w:firstLineChars="200"/>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废气：</w:t>
            </w:r>
            <w:r>
              <w:rPr>
                <w:rFonts w:hint="eastAsia" w:ascii="宋体" w:hAnsi="宋体" w:cs="宋体"/>
                <w:color w:val="auto"/>
                <w:kern w:val="0"/>
                <w:sz w:val="24"/>
                <w:highlight w:val="none"/>
                <w:lang w:val="en-US" w:eastAsia="zh-CN" w:bidi="ar"/>
              </w:rPr>
              <w:t>搅拌</w:t>
            </w:r>
            <w:r>
              <w:rPr>
                <w:rFonts w:hint="eastAsia" w:ascii="宋体" w:hAnsi="宋体" w:cs="宋体"/>
                <w:color w:val="auto"/>
                <w:kern w:val="0"/>
                <w:sz w:val="24"/>
                <w:highlight w:val="none"/>
                <w:lang w:bidi="ar"/>
              </w:rPr>
              <w:t>粉尘</w:t>
            </w:r>
            <w:r>
              <w:rPr>
                <w:color w:val="auto"/>
                <w:kern w:val="0"/>
                <w:sz w:val="24"/>
                <w:highlight w:val="none"/>
                <w:lang w:bidi="ar"/>
              </w:rPr>
              <w:t>G</w:t>
            </w:r>
            <w:r>
              <w:rPr>
                <w:rFonts w:hint="eastAsia"/>
                <w:color w:val="auto"/>
                <w:kern w:val="0"/>
                <w:sz w:val="24"/>
                <w:highlight w:val="none"/>
                <w:lang w:val="en-US" w:eastAsia="zh-CN" w:bidi="ar"/>
              </w:rPr>
              <w:t>6</w:t>
            </w:r>
            <w:r>
              <w:rPr>
                <w:rFonts w:hint="eastAsia"/>
                <w:color w:val="auto"/>
                <w:kern w:val="0"/>
                <w:sz w:val="24"/>
                <w:highlight w:val="none"/>
                <w:lang w:bidi="ar"/>
              </w:rPr>
              <w:t>；</w:t>
            </w:r>
          </w:p>
          <w:p w14:paraId="7716EBF4">
            <w:pPr>
              <w:widowControl/>
              <w:spacing w:line="360" w:lineRule="auto"/>
              <w:ind w:firstLine="480" w:firstLineChars="200"/>
              <w:jc w:val="left"/>
              <w:rPr>
                <w:color w:val="auto"/>
              </w:rPr>
            </w:pPr>
            <w:r>
              <w:rPr>
                <w:rFonts w:hint="eastAsia" w:ascii="宋体" w:hAnsi="宋体" w:cs="宋体"/>
                <w:color w:val="auto"/>
                <w:kern w:val="0"/>
                <w:sz w:val="24"/>
                <w:lang w:bidi="ar"/>
              </w:rPr>
              <w:t xml:space="preserve">固废：除铁器去除的金属杂质 </w:t>
            </w:r>
            <w:r>
              <w:rPr>
                <w:color w:val="auto"/>
                <w:kern w:val="0"/>
                <w:sz w:val="24"/>
                <w:lang w:bidi="ar"/>
              </w:rPr>
              <w:t>S</w:t>
            </w:r>
            <w:r>
              <w:rPr>
                <w:rFonts w:hint="eastAsia"/>
                <w:color w:val="auto"/>
                <w:kern w:val="0"/>
                <w:sz w:val="24"/>
                <w:lang w:bidi="ar"/>
              </w:rPr>
              <w:t>1</w:t>
            </w:r>
            <w:r>
              <w:rPr>
                <w:rFonts w:hint="eastAsia" w:ascii="宋体" w:hAnsi="宋体" w:cs="宋体"/>
                <w:color w:val="auto"/>
                <w:kern w:val="0"/>
                <w:sz w:val="24"/>
                <w:lang w:bidi="ar"/>
              </w:rPr>
              <w:t xml:space="preserve">。 </w:t>
            </w:r>
          </w:p>
          <w:p w14:paraId="13BF8198">
            <w:pPr>
              <w:widowControl/>
              <w:spacing w:line="360" w:lineRule="auto"/>
              <w:ind w:firstLine="480" w:firstLineChars="200"/>
              <w:jc w:val="left"/>
              <w:rPr>
                <w:color w:val="auto"/>
                <w:sz w:val="24"/>
              </w:rPr>
            </w:pPr>
            <w:r>
              <w:rPr>
                <w:rFonts w:hint="eastAsia" w:ascii="宋体" w:hAnsi="宋体" w:cs="宋体"/>
                <w:color w:val="auto"/>
                <w:kern w:val="0"/>
                <w:sz w:val="24"/>
                <w:lang w:bidi="ar"/>
              </w:rPr>
              <w:t xml:space="preserve">噪声：生产设备噪声 </w:t>
            </w:r>
            <w:r>
              <w:rPr>
                <w:color w:val="auto"/>
                <w:kern w:val="0"/>
                <w:sz w:val="24"/>
                <w:lang w:bidi="ar"/>
              </w:rPr>
              <w:t>N</w:t>
            </w:r>
            <w:r>
              <w:rPr>
                <w:rFonts w:hint="eastAsia" w:ascii="宋体" w:hAnsi="宋体" w:cs="宋体"/>
                <w:color w:val="auto"/>
                <w:kern w:val="0"/>
                <w:sz w:val="24"/>
                <w:lang w:bidi="ar"/>
              </w:rPr>
              <w:t>。</w:t>
            </w:r>
          </w:p>
          <w:p w14:paraId="42CDDC9A">
            <w:pPr>
              <w:widowControl/>
              <w:spacing w:line="360" w:lineRule="auto"/>
              <w:ind w:firstLine="480" w:firstLineChars="200"/>
              <w:jc w:val="left"/>
              <w:rPr>
                <w:rFonts w:hint="eastAsia" w:ascii="宋体" w:hAnsi="宋体" w:cs="宋体"/>
                <w:color w:val="auto"/>
                <w:kern w:val="0"/>
                <w:sz w:val="24"/>
                <w:lang w:bidi="ar"/>
              </w:rPr>
            </w:pPr>
            <w:r>
              <w:rPr>
                <w:color w:val="auto"/>
                <w:kern w:val="0"/>
                <w:sz w:val="24"/>
                <w:lang w:bidi="ar"/>
              </w:rPr>
              <w:t xml:space="preserve">2.4 </w:t>
            </w:r>
            <w:r>
              <w:rPr>
                <w:rFonts w:hint="eastAsia" w:ascii="宋体" w:hAnsi="宋体" w:cs="宋体"/>
                <w:color w:val="auto"/>
                <w:kern w:val="0"/>
                <w:sz w:val="24"/>
                <w:lang w:bidi="ar"/>
              </w:rPr>
              <w:t xml:space="preserve">压球 </w:t>
            </w:r>
          </w:p>
          <w:p w14:paraId="6903C8B5">
            <w:pPr>
              <w:widowControl/>
              <w:spacing w:line="360" w:lineRule="auto"/>
              <w:ind w:firstLine="480" w:firstLineChars="200"/>
              <w:jc w:val="left"/>
              <w:rPr>
                <w:color w:val="auto"/>
                <w:kern w:val="0"/>
                <w:sz w:val="24"/>
                <w:lang w:bidi="ar"/>
              </w:rPr>
            </w:pPr>
            <w:r>
              <w:rPr>
                <w:rFonts w:hint="eastAsia"/>
                <w:color w:val="auto"/>
                <w:kern w:val="0"/>
                <w:sz w:val="24"/>
                <w:lang w:bidi="ar"/>
              </w:rPr>
              <w:t>原料</w:t>
            </w:r>
            <w:r>
              <w:rPr>
                <w:color w:val="auto"/>
                <w:kern w:val="0"/>
                <w:sz w:val="24"/>
                <w:lang w:bidi="ar"/>
              </w:rPr>
              <w:t>在轮辗搅拌机内混合均匀后落至轮辗搅拌机下全封闭型2带式输送机内缓存，缓冲仓下设</w:t>
            </w:r>
            <w:r>
              <w:rPr>
                <w:rFonts w:hint="eastAsia" w:ascii="宋体" w:hAnsi="宋体" w:cs="宋体"/>
                <w:color w:val="auto"/>
                <w:kern w:val="0"/>
                <w:sz w:val="24"/>
                <w:lang w:bidi="ar"/>
              </w:rPr>
              <w:t>电子自动配料秤，</w:t>
            </w:r>
            <w:r>
              <w:rPr>
                <w:color w:val="auto"/>
                <w:kern w:val="0"/>
                <w:sz w:val="24"/>
                <w:lang w:bidi="ar"/>
              </w:rPr>
              <w:t>将混合好的原料定量给入全封闭型</w:t>
            </w:r>
            <w:r>
              <w:rPr>
                <w:rFonts w:hint="eastAsia"/>
                <w:color w:val="auto"/>
                <w:kern w:val="0"/>
                <w:sz w:val="24"/>
                <w:lang w:bidi="ar"/>
              </w:rPr>
              <w:t>3</w:t>
            </w:r>
            <w:r>
              <w:rPr>
                <w:color w:val="auto"/>
                <w:kern w:val="0"/>
                <w:sz w:val="24"/>
                <w:lang w:bidi="ar"/>
              </w:rPr>
              <w:t>带式输送机</w:t>
            </w:r>
            <w:r>
              <w:rPr>
                <w:rFonts w:hint="eastAsia"/>
                <w:color w:val="auto"/>
                <w:kern w:val="0"/>
                <w:sz w:val="24"/>
                <w:lang w:bidi="ar"/>
              </w:rPr>
              <w:t>。由</w:t>
            </w:r>
            <w:r>
              <w:rPr>
                <w:color w:val="auto"/>
                <w:kern w:val="0"/>
                <w:sz w:val="24"/>
                <w:lang w:bidi="ar"/>
              </w:rPr>
              <w:t>全封闭</w:t>
            </w:r>
            <w:r>
              <w:rPr>
                <w:rFonts w:hint="eastAsia"/>
                <w:color w:val="auto"/>
                <w:kern w:val="0"/>
                <w:sz w:val="24"/>
                <w:lang w:bidi="ar"/>
              </w:rPr>
              <w:t>型3带式输送机转运至压球机，</w:t>
            </w:r>
            <w:r>
              <w:rPr>
                <w:rFonts w:hint="eastAsia" w:ascii="宋体" w:hAnsi="宋体" w:cs="宋体"/>
                <w:color w:val="auto"/>
                <w:kern w:val="0"/>
                <w:sz w:val="24"/>
                <w:lang w:bidi="ar"/>
              </w:rPr>
              <w:t>经压球机压制成一定形状、尺寸和强度的型焦半成品。成型后经过条状筛板筛分，产生的碎屑返回生产工序，合格半成品经</w:t>
            </w:r>
            <w:r>
              <w:rPr>
                <w:rFonts w:hint="eastAsia"/>
                <w:color w:val="auto"/>
                <w:kern w:val="0"/>
                <w:sz w:val="24"/>
                <w:lang w:bidi="ar"/>
              </w:rPr>
              <w:t>型焦经压球机出料口设置的</w:t>
            </w:r>
            <w:r>
              <w:rPr>
                <w:color w:val="auto"/>
                <w:kern w:val="0"/>
                <w:sz w:val="24"/>
                <w:lang w:bidi="ar"/>
              </w:rPr>
              <w:t>全封闭</w:t>
            </w:r>
            <w:r>
              <w:rPr>
                <w:rFonts w:hint="eastAsia"/>
                <w:color w:val="auto"/>
                <w:kern w:val="0"/>
                <w:sz w:val="24"/>
                <w:lang w:bidi="ar"/>
              </w:rPr>
              <w:t>型4带式输送机转运至烘干机进去</w:t>
            </w:r>
            <w:r>
              <w:rPr>
                <w:rFonts w:hint="eastAsia" w:ascii="宋体" w:hAnsi="宋体" w:cs="宋体"/>
                <w:color w:val="auto"/>
                <w:kern w:val="0"/>
                <w:sz w:val="24"/>
                <w:lang w:bidi="ar"/>
              </w:rPr>
              <w:t>烘干工序</w:t>
            </w:r>
            <w:r>
              <w:rPr>
                <w:rFonts w:hint="eastAsia"/>
                <w:color w:val="auto"/>
                <w:kern w:val="0"/>
                <w:sz w:val="24"/>
                <w:lang w:bidi="ar"/>
              </w:rPr>
              <w:t>。</w:t>
            </w:r>
          </w:p>
          <w:p w14:paraId="38F12D6E">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 xml:space="preserve">产污环节分析： </w:t>
            </w:r>
          </w:p>
          <w:p w14:paraId="0787D83B">
            <w:pPr>
              <w:widowControl/>
              <w:spacing w:line="360" w:lineRule="auto"/>
              <w:ind w:firstLine="480" w:firstLineChars="200"/>
              <w:jc w:val="left"/>
              <w:rPr>
                <w:color w:val="auto"/>
              </w:rPr>
            </w:pPr>
            <w:r>
              <w:rPr>
                <w:rFonts w:hint="eastAsia" w:ascii="宋体" w:hAnsi="宋体" w:cs="宋体"/>
                <w:color w:val="auto"/>
                <w:kern w:val="0"/>
                <w:sz w:val="24"/>
                <w:lang w:bidi="ar"/>
              </w:rPr>
              <w:t>噪声：生产设备噪声</w:t>
            </w:r>
            <w:r>
              <w:rPr>
                <w:color w:val="auto"/>
                <w:kern w:val="0"/>
                <w:sz w:val="24"/>
                <w:lang w:bidi="ar"/>
              </w:rPr>
              <w:t>N</w:t>
            </w:r>
            <w:r>
              <w:rPr>
                <w:rFonts w:hint="eastAsia" w:ascii="宋体" w:hAnsi="宋体" w:cs="宋体"/>
                <w:color w:val="auto"/>
                <w:kern w:val="0"/>
                <w:sz w:val="24"/>
                <w:lang w:bidi="ar"/>
              </w:rPr>
              <w:t>。</w:t>
            </w:r>
          </w:p>
          <w:p w14:paraId="4AB5D1A8">
            <w:pPr>
              <w:widowControl/>
              <w:spacing w:line="360" w:lineRule="auto"/>
              <w:ind w:firstLine="480" w:firstLineChars="200"/>
              <w:jc w:val="left"/>
              <w:rPr>
                <w:color w:val="auto"/>
              </w:rPr>
            </w:pPr>
            <w:r>
              <w:rPr>
                <w:color w:val="auto"/>
                <w:kern w:val="0"/>
                <w:sz w:val="24"/>
                <w:lang w:bidi="ar"/>
              </w:rPr>
              <w:t xml:space="preserve">2.5 </w:t>
            </w:r>
            <w:r>
              <w:rPr>
                <w:rFonts w:hint="eastAsia" w:ascii="宋体" w:hAnsi="宋体" w:cs="宋体"/>
                <w:color w:val="auto"/>
                <w:kern w:val="0"/>
                <w:sz w:val="24"/>
                <w:lang w:bidi="ar"/>
              </w:rPr>
              <w:t>烘干</w:t>
            </w:r>
            <w:r>
              <w:rPr>
                <w:rFonts w:hint="eastAsia" w:ascii="宋体" w:hAnsi="宋体" w:cs="宋体"/>
                <w:b/>
                <w:bCs/>
                <w:color w:val="auto"/>
                <w:kern w:val="0"/>
                <w:sz w:val="24"/>
                <w:lang w:bidi="ar"/>
              </w:rPr>
              <w:t xml:space="preserve"> </w:t>
            </w:r>
          </w:p>
          <w:p w14:paraId="4A051BCC">
            <w:pPr>
              <w:widowControl/>
              <w:spacing w:line="360" w:lineRule="auto"/>
              <w:ind w:firstLine="480" w:firstLineChars="200"/>
              <w:jc w:val="left"/>
              <w:rPr>
                <w:color w:val="auto"/>
                <w:kern w:val="0"/>
                <w:sz w:val="24"/>
                <w:lang w:bidi="ar"/>
              </w:rPr>
            </w:pPr>
            <w:r>
              <w:rPr>
                <w:color w:val="auto"/>
                <w:kern w:val="0"/>
                <w:sz w:val="24"/>
                <w:lang w:bidi="ar"/>
              </w:rPr>
              <w:t>半成品型焦经带式输送机卸入烘干机内，烘干热源为新航焦化新设上升管余热回收装置产生的饱和蒸汽，产生180℃饱和蒸汽，通过蒸汽进行间接换热，加热空气至约160℃作为干燥热源，由高温风机送入烘干机内，将型焦水分由 15%干燥至＜0.5%，干燥尾气温度约60~80℃，采用布袋除尘器除尘后由引风机送入</w:t>
            </w:r>
            <w:r>
              <w:rPr>
                <w:rFonts w:hint="eastAsia"/>
                <w:color w:val="auto"/>
                <w:kern w:val="0"/>
                <w:sz w:val="24"/>
                <w:lang w:bidi="ar"/>
              </w:rPr>
              <w:t>排气筒（DA002）</w:t>
            </w:r>
            <w:r>
              <w:rPr>
                <w:color w:val="auto"/>
                <w:kern w:val="0"/>
                <w:sz w:val="24"/>
                <w:lang w:bidi="ar"/>
              </w:rPr>
              <w:t>达标排放。布袋除尘器内除尘灰可做原料使用。</w:t>
            </w:r>
          </w:p>
          <w:p w14:paraId="6E3CB766">
            <w:pPr>
              <w:widowControl/>
              <w:spacing w:line="360" w:lineRule="auto"/>
              <w:ind w:firstLine="480" w:firstLineChars="200"/>
              <w:jc w:val="left"/>
              <w:rPr>
                <w:color w:val="auto"/>
              </w:rPr>
            </w:pPr>
            <w:r>
              <w:rPr>
                <w:rFonts w:hint="eastAsia" w:ascii="宋体" w:hAnsi="宋体" w:cs="宋体"/>
                <w:color w:val="auto"/>
                <w:kern w:val="0"/>
                <w:sz w:val="24"/>
                <w:lang w:bidi="ar"/>
              </w:rPr>
              <w:t xml:space="preserve">产污环节分析： </w:t>
            </w:r>
          </w:p>
          <w:p w14:paraId="1D970863">
            <w:pPr>
              <w:widowControl/>
              <w:spacing w:line="360" w:lineRule="auto"/>
              <w:ind w:firstLine="480" w:firstLineChars="200"/>
              <w:jc w:val="left"/>
              <w:rPr>
                <w:color w:val="auto"/>
              </w:rPr>
            </w:pPr>
            <w:r>
              <w:rPr>
                <w:rFonts w:hint="eastAsia" w:ascii="宋体" w:hAnsi="宋体" w:cs="宋体"/>
                <w:color w:val="auto"/>
                <w:kern w:val="0"/>
                <w:sz w:val="24"/>
                <w:lang w:bidi="ar"/>
              </w:rPr>
              <w:t xml:space="preserve">废气：烘干废气 </w:t>
            </w:r>
            <w:r>
              <w:rPr>
                <w:color w:val="auto"/>
                <w:kern w:val="0"/>
                <w:sz w:val="24"/>
                <w:lang w:bidi="ar"/>
              </w:rPr>
              <w:t>G</w:t>
            </w:r>
            <w:r>
              <w:rPr>
                <w:rFonts w:hint="eastAsia"/>
                <w:color w:val="auto"/>
                <w:kern w:val="0"/>
                <w:sz w:val="24"/>
                <w:lang w:val="en-US" w:eastAsia="zh-CN" w:bidi="ar"/>
              </w:rPr>
              <w:t>7</w:t>
            </w:r>
            <w:r>
              <w:rPr>
                <w:rFonts w:hint="eastAsia"/>
                <w:color w:val="auto"/>
                <w:kern w:val="0"/>
                <w:sz w:val="24"/>
                <w:lang w:bidi="ar"/>
              </w:rPr>
              <w:t>。</w:t>
            </w:r>
          </w:p>
          <w:p w14:paraId="0A0AB088">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 xml:space="preserve">噪声：生产设备噪声 </w:t>
            </w:r>
            <w:r>
              <w:rPr>
                <w:color w:val="auto"/>
                <w:kern w:val="0"/>
                <w:sz w:val="24"/>
                <w:lang w:bidi="ar"/>
              </w:rPr>
              <w:t>N</w:t>
            </w:r>
            <w:r>
              <w:rPr>
                <w:rFonts w:hint="eastAsia" w:ascii="宋体" w:hAnsi="宋体" w:cs="宋体"/>
                <w:color w:val="auto"/>
                <w:kern w:val="0"/>
                <w:sz w:val="24"/>
                <w:lang w:bidi="ar"/>
              </w:rPr>
              <w:t xml:space="preserve">。 </w:t>
            </w:r>
          </w:p>
          <w:p w14:paraId="249EA141">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固废：</w:t>
            </w:r>
            <w:r>
              <w:rPr>
                <w:color w:val="auto"/>
                <w:kern w:val="0"/>
                <w:sz w:val="24"/>
                <w:lang w:bidi="ar"/>
              </w:rPr>
              <w:t>除尘灰</w:t>
            </w:r>
            <w:r>
              <w:rPr>
                <w:rFonts w:hint="eastAsia"/>
                <w:color w:val="auto"/>
                <w:kern w:val="0"/>
                <w:sz w:val="24"/>
                <w:lang w:bidi="ar"/>
              </w:rPr>
              <w:t>S2。</w:t>
            </w:r>
          </w:p>
          <w:p w14:paraId="662C4CC6">
            <w:pPr>
              <w:widowControl/>
              <w:spacing w:line="360" w:lineRule="auto"/>
              <w:ind w:firstLine="482" w:firstLineChars="200"/>
              <w:jc w:val="left"/>
              <w:rPr>
                <w:color w:val="auto"/>
              </w:rPr>
            </w:pPr>
            <w:r>
              <w:rPr>
                <w:b/>
                <w:bCs/>
                <w:color w:val="auto"/>
                <w:kern w:val="0"/>
                <w:sz w:val="24"/>
                <w:lang w:bidi="ar"/>
              </w:rPr>
              <w:t xml:space="preserve">2.6 </w:t>
            </w:r>
            <w:r>
              <w:rPr>
                <w:rFonts w:hint="eastAsia" w:ascii="宋体" w:hAnsi="宋体" w:cs="宋体"/>
                <w:b/>
                <w:bCs/>
                <w:color w:val="auto"/>
                <w:kern w:val="0"/>
                <w:sz w:val="24"/>
                <w:lang w:bidi="ar"/>
              </w:rPr>
              <w:t xml:space="preserve">成品储存 </w:t>
            </w:r>
          </w:p>
          <w:p w14:paraId="001779A4">
            <w:pPr>
              <w:widowControl/>
              <w:spacing w:line="360" w:lineRule="auto"/>
              <w:ind w:firstLine="480" w:firstLineChars="200"/>
              <w:jc w:val="left"/>
              <w:rPr>
                <w:color w:val="auto"/>
                <w:kern w:val="0"/>
                <w:sz w:val="24"/>
                <w:lang w:bidi="ar"/>
              </w:rPr>
            </w:pPr>
            <w:r>
              <w:rPr>
                <w:color w:val="auto"/>
                <w:kern w:val="0"/>
                <w:sz w:val="24"/>
                <w:lang w:bidi="ar"/>
              </w:rPr>
              <w:t>经烘干机烘干后，成品由烘干机出料口的型5带式输送机送出，型5带式输送机头部出料口，设固定条筛，筛下物落入散料收集斗，定期由人工转运至型6带式输送机返回至缓冲仓继续使用；出料的成品</w:t>
            </w:r>
            <w:r>
              <w:rPr>
                <w:rFonts w:hint="eastAsia"/>
                <w:color w:val="auto"/>
                <w:kern w:val="0"/>
                <w:sz w:val="24"/>
                <w:lang w:val="en-US" w:eastAsia="zh-CN" w:bidi="ar"/>
              </w:rPr>
              <w:t>为块状，使用</w:t>
            </w:r>
            <w:r>
              <w:rPr>
                <w:rFonts w:ascii="宋体" w:hAnsi="宋体" w:eastAsia="宋体" w:cs="宋体"/>
                <w:color w:val="auto"/>
                <w:sz w:val="24"/>
                <w:szCs w:val="24"/>
              </w:rPr>
              <w:t>全自动定量包装机</w:t>
            </w:r>
            <w:r>
              <w:rPr>
                <w:rFonts w:hint="eastAsia" w:ascii="宋体" w:hAnsi="宋体" w:eastAsia="宋体" w:cs="宋体"/>
                <w:color w:val="auto"/>
                <w:sz w:val="24"/>
                <w:szCs w:val="24"/>
                <w:lang w:val="en-US" w:eastAsia="zh-CN"/>
              </w:rPr>
              <w:t>包装后</w:t>
            </w:r>
            <w:r>
              <w:rPr>
                <w:color w:val="auto"/>
                <w:kern w:val="0"/>
                <w:sz w:val="24"/>
                <w:lang w:bidi="ar"/>
              </w:rPr>
              <w:t>运至成品仓库储</w:t>
            </w:r>
            <w:r>
              <w:rPr>
                <w:rFonts w:ascii="Times New Roman" w:hAnsi="Times New Roman" w:eastAsia="宋体" w:cs="Times New Roman"/>
                <w:color w:val="auto"/>
                <w:kern w:val="0"/>
                <w:sz w:val="24"/>
                <w:lang w:bidi="ar"/>
              </w:rPr>
              <w:t>存</w:t>
            </w:r>
            <w:r>
              <w:rPr>
                <w:rFonts w:hint="eastAsia" w:ascii="Times New Roman" w:hAnsi="Times New Roman" w:eastAsia="宋体" w:cs="Times New Roman"/>
                <w:color w:val="auto"/>
                <w:kern w:val="0"/>
                <w:sz w:val="24"/>
                <w:lang w:eastAsia="zh-CN" w:bidi="ar"/>
              </w:rPr>
              <w:t>（</w:t>
            </w:r>
            <w:r>
              <w:rPr>
                <w:rFonts w:ascii="Times New Roman" w:hAnsi="Times New Roman" w:eastAsia="宋体" w:cs="Times New Roman"/>
                <w:color w:val="auto"/>
                <w:kern w:val="0"/>
                <w:sz w:val="24"/>
                <w:lang w:bidi="ar"/>
              </w:rPr>
              <w:t>50kg</w:t>
            </w:r>
            <w:r>
              <w:rPr>
                <w:rFonts w:hint="eastAsia" w:ascii="Times New Roman" w:hAnsi="Times New Roman" w:eastAsia="宋体" w:cs="Times New Roman"/>
                <w:color w:val="auto"/>
                <w:kern w:val="0"/>
                <w:sz w:val="24"/>
                <w:lang w:val="en-US" w:eastAsia="zh-CN" w:bidi="ar"/>
              </w:rPr>
              <w:t>/</w:t>
            </w:r>
            <w:r>
              <w:rPr>
                <w:rFonts w:ascii="Times New Roman" w:hAnsi="Times New Roman" w:eastAsia="宋体" w:cs="Times New Roman"/>
                <w:color w:val="auto"/>
                <w:kern w:val="0"/>
                <w:sz w:val="24"/>
                <w:lang w:bidi="ar"/>
              </w:rPr>
              <w:t>袋</w:t>
            </w:r>
            <w:r>
              <w:rPr>
                <w:rFonts w:hint="eastAsia" w:ascii="Times New Roman" w:hAnsi="Times New Roman" w:eastAsia="宋体" w:cs="Times New Roman"/>
                <w:color w:val="auto"/>
                <w:kern w:val="0"/>
                <w:sz w:val="24"/>
                <w:lang w:eastAsia="zh-CN" w:bidi="ar"/>
              </w:rPr>
              <w:t>）</w:t>
            </w:r>
            <w:r>
              <w:rPr>
                <w:rFonts w:ascii="Times New Roman" w:hAnsi="Times New Roman" w:eastAsia="宋体" w:cs="Times New Roman"/>
                <w:color w:val="auto"/>
                <w:kern w:val="0"/>
                <w:sz w:val="24"/>
                <w:lang w:bidi="ar"/>
              </w:rPr>
              <w:t>。</w:t>
            </w:r>
          </w:p>
          <w:p w14:paraId="3A22F841">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 xml:space="preserve">产污环节分析： </w:t>
            </w:r>
          </w:p>
          <w:p w14:paraId="7AD58B22">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废气：筛分粉尘</w:t>
            </w:r>
            <w:r>
              <w:rPr>
                <w:color w:val="auto"/>
                <w:kern w:val="0"/>
                <w:sz w:val="24"/>
                <w:lang w:bidi="ar"/>
              </w:rPr>
              <w:t>G</w:t>
            </w:r>
            <w:r>
              <w:rPr>
                <w:rFonts w:hint="eastAsia"/>
                <w:color w:val="auto"/>
                <w:kern w:val="0"/>
                <w:sz w:val="24"/>
                <w:lang w:val="en-US" w:eastAsia="zh-CN" w:bidi="ar"/>
              </w:rPr>
              <w:t>8、包装粉尘G9</w:t>
            </w:r>
            <w:r>
              <w:rPr>
                <w:rFonts w:hint="eastAsia"/>
                <w:color w:val="auto"/>
                <w:kern w:val="0"/>
                <w:sz w:val="24"/>
                <w:lang w:bidi="ar"/>
              </w:rPr>
              <w:t>。</w:t>
            </w:r>
          </w:p>
          <w:p w14:paraId="64EFC26F">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噪声：生产设备噪声</w:t>
            </w:r>
            <w:r>
              <w:rPr>
                <w:color w:val="auto"/>
                <w:kern w:val="0"/>
                <w:sz w:val="24"/>
                <w:lang w:bidi="ar"/>
              </w:rPr>
              <w:t>N</w:t>
            </w:r>
            <w:r>
              <w:rPr>
                <w:rFonts w:hint="eastAsia" w:ascii="宋体" w:hAnsi="宋体" w:cs="宋体"/>
                <w:color w:val="auto"/>
                <w:kern w:val="0"/>
                <w:sz w:val="24"/>
                <w:lang w:bidi="ar"/>
              </w:rPr>
              <w:t>。</w:t>
            </w:r>
          </w:p>
          <w:p w14:paraId="55DF6ADE">
            <w:pPr>
              <w:widowControl/>
              <w:spacing w:line="360" w:lineRule="auto"/>
              <w:ind w:firstLine="482" w:firstLineChars="200"/>
              <w:jc w:val="left"/>
              <w:rPr>
                <w:rFonts w:hint="eastAsia" w:ascii="宋体" w:hAnsi="宋体" w:cs="宋体"/>
                <w:b/>
                <w:bCs/>
                <w:color w:val="auto"/>
                <w:kern w:val="0"/>
                <w:sz w:val="24"/>
                <w:lang w:bidi="ar"/>
              </w:rPr>
            </w:pPr>
            <w:r>
              <w:rPr>
                <w:rFonts w:ascii="宋体" w:hAnsi="宋体" w:cs="宋体"/>
                <w:b/>
                <w:bCs/>
                <w:color w:val="auto"/>
                <w:kern w:val="0"/>
                <w:sz w:val="24"/>
                <w:lang w:bidi="ar"/>
              </w:rPr>
              <w:t>上升管余热回收装置工艺流程</w:t>
            </w:r>
          </w:p>
          <w:p w14:paraId="0E8EE4A7">
            <w:pPr>
              <w:widowControl/>
              <w:spacing w:line="360" w:lineRule="auto"/>
              <w:ind w:firstLine="480" w:firstLineChars="200"/>
              <w:jc w:val="left"/>
              <w:rPr>
                <w:rFonts w:hint="eastAsia" w:ascii="宋体" w:hAnsi="宋体" w:cs="宋体"/>
                <w:color w:val="auto"/>
                <w:kern w:val="0"/>
                <w:sz w:val="24"/>
                <w:lang w:bidi="ar"/>
              </w:rPr>
            </w:pPr>
            <w:r>
              <w:rPr>
                <w:rFonts w:ascii="宋体" w:hAnsi="宋体" w:cs="宋体"/>
                <w:color w:val="auto"/>
                <w:kern w:val="0"/>
                <w:sz w:val="24"/>
                <w:lang w:bidi="ar"/>
              </w:rPr>
              <w:t>本项目干燥热源采用在新航焦化新</w:t>
            </w:r>
            <w:r>
              <w:rPr>
                <w:rFonts w:hint="eastAsia" w:ascii="宋体" w:hAnsi="宋体" w:cs="宋体"/>
                <w:color w:val="auto"/>
                <w:kern w:val="0"/>
                <w:sz w:val="24"/>
                <w:lang w:val="en-US" w:eastAsia="zh-CN" w:bidi="ar"/>
              </w:rPr>
              <w:t>建设</w:t>
            </w:r>
            <w:r>
              <w:rPr>
                <w:rFonts w:ascii="宋体" w:hAnsi="宋体" w:cs="宋体"/>
                <w:color w:val="auto"/>
                <w:kern w:val="0"/>
                <w:sz w:val="24"/>
                <w:lang w:bidi="ar"/>
              </w:rPr>
              <w:t>上升管余热回收装置产生的饱和蒸汽，上升管余热回收装置工艺流程如下：</w:t>
            </w:r>
          </w:p>
          <w:p w14:paraId="74B75CCC">
            <w:pPr>
              <w:widowControl/>
              <w:spacing w:line="360" w:lineRule="auto"/>
              <w:ind w:firstLine="480" w:firstLineChars="200"/>
              <w:jc w:val="left"/>
              <w:rPr>
                <w:rFonts w:hint="eastAsia" w:ascii="宋体" w:hAnsi="宋体" w:cs="宋体"/>
                <w:color w:val="auto"/>
                <w:kern w:val="0"/>
                <w:sz w:val="24"/>
                <w:lang w:bidi="ar"/>
              </w:rPr>
            </w:pPr>
            <w:r>
              <w:rPr>
                <w:color w:val="auto"/>
                <w:kern w:val="0"/>
                <w:sz w:val="24"/>
                <w:lang w:bidi="ar"/>
              </w:rPr>
              <w:t>脱盐水由新航焦化提供，从界区外送来进入除盐水槽，通过除盐水泵进入除</w:t>
            </w:r>
            <w:r>
              <w:rPr>
                <w:rFonts w:hint="eastAsia"/>
                <w:color w:val="auto"/>
                <w:kern w:val="0"/>
                <w:sz w:val="24"/>
                <w:lang w:bidi="ar"/>
              </w:rPr>
              <w:t>盐</w:t>
            </w:r>
            <w:r>
              <w:rPr>
                <w:color w:val="auto"/>
                <w:kern w:val="0"/>
                <w:sz w:val="24"/>
                <w:lang w:bidi="ar"/>
              </w:rPr>
              <w:t>水槽（两座焦炉共用一个除</w:t>
            </w:r>
            <w:r>
              <w:rPr>
                <w:rFonts w:hint="eastAsia"/>
                <w:color w:val="auto"/>
                <w:kern w:val="0"/>
                <w:sz w:val="24"/>
                <w:lang w:bidi="ar"/>
              </w:rPr>
              <w:t>盐</w:t>
            </w:r>
            <w:r>
              <w:rPr>
                <w:color w:val="auto"/>
                <w:kern w:val="0"/>
                <w:sz w:val="24"/>
                <w:lang w:bidi="ar"/>
              </w:rPr>
              <w:t>水槽），将104℃的除</w:t>
            </w:r>
            <w:r>
              <w:rPr>
                <w:rFonts w:hint="eastAsia"/>
                <w:color w:val="auto"/>
                <w:kern w:val="0"/>
                <w:sz w:val="24"/>
                <w:lang w:bidi="ar"/>
              </w:rPr>
              <w:t>盐</w:t>
            </w:r>
            <w:r>
              <w:rPr>
                <w:color w:val="auto"/>
                <w:kern w:val="0"/>
                <w:sz w:val="24"/>
                <w:lang w:bidi="ar"/>
              </w:rPr>
              <w:t>水通过给水泵（一用一备），加压至10～11Mpa送入汽包，液位控制在1/2～2/3</w:t>
            </w:r>
            <w:r>
              <w:rPr>
                <w:rFonts w:hint="eastAsia"/>
                <w:color w:val="auto"/>
                <w:kern w:val="0"/>
                <w:sz w:val="24"/>
                <w:lang w:bidi="ar"/>
              </w:rPr>
              <w:t>，</w:t>
            </w:r>
            <w:r>
              <w:rPr>
                <w:color w:val="auto"/>
                <w:kern w:val="0"/>
                <w:sz w:val="24"/>
                <w:lang w:bidi="ar"/>
              </w:rPr>
              <w:t>然后再用强制循环水泵（一用一备）将除氧水打入焦炉各上升管换热器管内，与炭化室上升的高温810-830℃的荒煤气间接换热，经上升管取热换热后，荒煤气温度降至～500℃，取热后成为气液两相的饱和水进入汽包，经汽包分离后，生产的 P=0.8Mpa的饱和蒸汽送入换热器，加热空气供烘干机干燥使用。</w:t>
            </w:r>
          </w:p>
          <w:p w14:paraId="381A7367">
            <w:pPr>
              <w:widowControl/>
              <w:spacing w:line="360" w:lineRule="auto"/>
              <w:ind w:firstLine="482" w:firstLineChars="200"/>
              <w:rPr>
                <w:color w:val="auto"/>
                <w:sz w:val="24"/>
              </w:rPr>
            </w:pPr>
            <w:r>
              <w:rPr>
                <w:rFonts w:hint="eastAsia"/>
                <w:b/>
                <w:color w:val="auto"/>
                <w:sz w:val="24"/>
              </w:rPr>
              <w:t>3、污染物汇总</w:t>
            </w:r>
          </w:p>
          <w:p w14:paraId="3841AA36">
            <w:pPr>
              <w:widowControl/>
              <w:ind w:firstLine="2409" w:firstLineChars="1000"/>
              <w:rPr>
                <w:b/>
                <w:color w:val="auto"/>
                <w:sz w:val="24"/>
              </w:rPr>
            </w:pPr>
            <w:r>
              <w:rPr>
                <w:rFonts w:hint="eastAsia"/>
                <w:b/>
                <w:color w:val="auto"/>
                <w:sz w:val="24"/>
              </w:rPr>
              <w:t>表2-11   工程产污环节汇总表</w:t>
            </w:r>
          </w:p>
          <w:tbl>
            <w:tblPr>
              <w:tblStyle w:val="23"/>
              <w:tblW w:w="8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900"/>
              <w:gridCol w:w="603"/>
              <w:gridCol w:w="1125"/>
              <w:gridCol w:w="1005"/>
              <w:gridCol w:w="779"/>
              <w:gridCol w:w="2983"/>
            </w:tblGrid>
            <w:tr w14:paraId="5BAE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630" w:type="dxa"/>
                  <w:vAlign w:val="center"/>
                </w:tcPr>
                <w:p w14:paraId="0DEB8F50">
                  <w:pPr>
                    <w:snapToGrid w:val="0"/>
                    <w:jc w:val="center"/>
                    <w:rPr>
                      <w:bCs/>
                      <w:color w:val="auto"/>
                      <w:szCs w:val="21"/>
                    </w:rPr>
                  </w:pPr>
                  <w:r>
                    <w:rPr>
                      <w:bCs/>
                      <w:color w:val="auto"/>
                      <w:szCs w:val="21"/>
                    </w:rPr>
                    <w:t>污染物类型</w:t>
                  </w:r>
                </w:p>
              </w:tc>
              <w:tc>
                <w:tcPr>
                  <w:tcW w:w="900" w:type="dxa"/>
                  <w:vAlign w:val="center"/>
                </w:tcPr>
                <w:p w14:paraId="3D1A2673">
                  <w:pPr>
                    <w:snapToGrid w:val="0"/>
                    <w:jc w:val="center"/>
                    <w:rPr>
                      <w:bCs/>
                      <w:color w:val="auto"/>
                      <w:szCs w:val="21"/>
                    </w:rPr>
                  </w:pPr>
                  <w:r>
                    <w:rPr>
                      <w:bCs/>
                      <w:color w:val="auto"/>
                      <w:szCs w:val="21"/>
                    </w:rPr>
                    <w:t>名称</w:t>
                  </w:r>
                </w:p>
              </w:tc>
              <w:tc>
                <w:tcPr>
                  <w:tcW w:w="603" w:type="dxa"/>
                  <w:vAlign w:val="center"/>
                </w:tcPr>
                <w:p w14:paraId="7FFB89E3">
                  <w:pPr>
                    <w:snapToGrid w:val="0"/>
                    <w:jc w:val="center"/>
                    <w:rPr>
                      <w:bCs/>
                      <w:color w:val="auto"/>
                      <w:szCs w:val="21"/>
                    </w:rPr>
                  </w:pPr>
                  <w:r>
                    <w:rPr>
                      <w:bCs/>
                      <w:color w:val="auto"/>
                      <w:szCs w:val="21"/>
                    </w:rPr>
                    <w:t>编号</w:t>
                  </w:r>
                </w:p>
              </w:tc>
              <w:tc>
                <w:tcPr>
                  <w:tcW w:w="1125" w:type="dxa"/>
                  <w:vAlign w:val="center"/>
                </w:tcPr>
                <w:p w14:paraId="147868B7">
                  <w:pPr>
                    <w:snapToGrid w:val="0"/>
                    <w:jc w:val="center"/>
                    <w:rPr>
                      <w:bCs/>
                      <w:color w:val="auto"/>
                      <w:szCs w:val="21"/>
                    </w:rPr>
                  </w:pPr>
                  <w:r>
                    <w:rPr>
                      <w:bCs/>
                      <w:color w:val="auto"/>
                      <w:szCs w:val="21"/>
                    </w:rPr>
                    <w:t>污染物产污环节</w:t>
                  </w:r>
                </w:p>
              </w:tc>
              <w:tc>
                <w:tcPr>
                  <w:tcW w:w="1005" w:type="dxa"/>
                  <w:vAlign w:val="center"/>
                </w:tcPr>
                <w:p w14:paraId="1AF0012C">
                  <w:pPr>
                    <w:snapToGrid w:val="0"/>
                    <w:jc w:val="center"/>
                    <w:rPr>
                      <w:bCs/>
                      <w:color w:val="auto"/>
                      <w:szCs w:val="21"/>
                    </w:rPr>
                  </w:pPr>
                  <w:r>
                    <w:rPr>
                      <w:bCs/>
                      <w:color w:val="auto"/>
                      <w:szCs w:val="21"/>
                    </w:rPr>
                    <w:t>主要污染物</w:t>
                  </w:r>
                </w:p>
              </w:tc>
              <w:tc>
                <w:tcPr>
                  <w:tcW w:w="779" w:type="dxa"/>
                  <w:vAlign w:val="center"/>
                </w:tcPr>
                <w:p w14:paraId="71C39432">
                  <w:pPr>
                    <w:snapToGrid w:val="0"/>
                    <w:jc w:val="center"/>
                    <w:rPr>
                      <w:bCs/>
                      <w:color w:val="auto"/>
                      <w:szCs w:val="21"/>
                    </w:rPr>
                  </w:pPr>
                  <w:r>
                    <w:rPr>
                      <w:bCs/>
                      <w:color w:val="auto"/>
                      <w:szCs w:val="21"/>
                    </w:rPr>
                    <w:t>产生与排放特征</w:t>
                  </w:r>
                </w:p>
              </w:tc>
              <w:tc>
                <w:tcPr>
                  <w:tcW w:w="2983" w:type="dxa"/>
                  <w:vAlign w:val="center"/>
                </w:tcPr>
                <w:p w14:paraId="58026F02">
                  <w:pPr>
                    <w:snapToGrid w:val="0"/>
                    <w:jc w:val="center"/>
                    <w:rPr>
                      <w:bCs/>
                      <w:color w:val="auto"/>
                      <w:szCs w:val="21"/>
                    </w:rPr>
                  </w:pPr>
                  <w:r>
                    <w:rPr>
                      <w:bCs/>
                      <w:color w:val="auto"/>
                      <w:szCs w:val="21"/>
                    </w:rPr>
                    <w:t>环保措施及去向</w:t>
                  </w:r>
                </w:p>
              </w:tc>
            </w:tr>
            <w:tr w14:paraId="18F9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0" w:type="dxa"/>
                  <w:vMerge w:val="restart"/>
                  <w:vAlign w:val="center"/>
                </w:tcPr>
                <w:p w14:paraId="4F5ACCB9">
                  <w:pPr>
                    <w:snapToGrid w:val="0"/>
                    <w:jc w:val="center"/>
                    <w:rPr>
                      <w:bCs/>
                      <w:color w:val="auto"/>
                      <w:szCs w:val="21"/>
                    </w:rPr>
                  </w:pPr>
                  <w:r>
                    <w:rPr>
                      <w:bCs/>
                      <w:color w:val="auto"/>
                      <w:szCs w:val="21"/>
                    </w:rPr>
                    <w:t>废气</w:t>
                  </w:r>
                </w:p>
              </w:tc>
              <w:tc>
                <w:tcPr>
                  <w:tcW w:w="900" w:type="dxa"/>
                  <w:vAlign w:val="center"/>
                </w:tcPr>
                <w:p w14:paraId="58B10760">
                  <w:pPr>
                    <w:snapToGrid w:val="0"/>
                    <w:jc w:val="center"/>
                    <w:rPr>
                      <w:bCs/>
                      <w:color w:val="auto"/>
                      <w:szCs w:val="21"/>
                    </w:rPr>
                  </w:pPr>
                  <w:r>
                    <w:rPr>
                      <w:bCs/>
                      <w:color w:val="auto"/>
                      <w:szCs w:val="21"/>
                    </w:rPr>
                    <w:t>运输</w:t>
                  </w:r>
                </w:p>
                <w:p w14:paraId="4E936B34">
                  <w:pPr>
                    <w:snapToGrid w:val="0"/>
                    <w:jc w:val="center"/>
                    <w:rPr>
                      <w:bCs/>
                      <w:color w:val="auto"/>
                      <w:szCs w:val="21"/>
                    </w:rPr>
                  </w:pPr>
                  <w:r>
                    <w:rPr>
                      <w:bCs/>
                      <w:color w:val="auto"/>
                      <w:szCs w:val="21"/>
                    </w:rPr>
                    <w:t>扬尘</w:t>
                  </w:r>
                </w:p>
              </w:tc>
              <w:tc>
                <w:tcPr>
                  <w:tcW w:w="603" w:type="dxa"/>
                  <w:vAlign w:val="center"/>
                </w:tcPr>
                <w:p w14:paraId="27E1EAD6">
                  <w:pPr>
                    <w:snapToGrid w:val="0"/>
                    <w:jc w:val="center"/>
                    <w:rPr>
                      <w:bCs/>
                      <w:color w:val="auto"/>
                      <w:szCs w:val="21"/>
                    </w:rPr>
                  </w:pPr>
                  <w:r>
                    <w:rPr>
                      <w:bCs/>
                      <w:color w:val="auto"/>
                      <w:szCs w:val="21"/>
                    </w:rPr>
                    <w:t>G1</w:t>
                  </w:r>
                </w:p>
              </w:tc>
              <w:tc>
                <w:tcPr>
                  <w:tcW w:w="1125" w:type="dxa"/>
                  <w:vAlign w:val="center"/>
                </w:tcPr>
                <w:p w14:paraId="6C903789">
                  <w:pPr>
                    <w:widowControl/>
                    <w:jc w:val="center"/>
                    <w:rPr>
                      <w:color w:val="auto"/>
                      <w:kern w:val="0"/>
                      <w:szCs w:val="21"/>
                      <w:lang w:bidi="ar"/>
                    </w:rPr>
                  </w:pPr>
                  <w:r>
                    <w:rPr>
                      <w:color w:val="auto"/>
                      <w:kern w:val="0"/>
                      <w:szCs w:val="21"/>
                      <w:lang w:bidi="ar"/>
                    </w:rPr>
                    <w:t>原料</w:t>
                  </w:r>
                </w:p>
                <w:p w14:paraId="1908E662">
                  <w:pPr>
                    <w:widowControl/>
                    <w:jc w:val="center"/>
                    <w:rPr>
                      <w:bCs/>
                      <w:color w:val="auto"/>
                      <w:szCs w:val="21"/>
                    </w:rPr>
                  </w:pPr>
                  <w:r>
                    <w:rPr>
                      <w:color w:val="auto"/>
                      <w:kern w:val="0"/>
                      <w:szCs w:val="21"/>
                      <w:lang w:bidi="ar"/>
                    </w:rPr>
                    <w:t>运输</w:t>
                  </w:r>
                </w:p>
              </w:tc>
              <w:tc>
                <w:tcPr>
                  <w:tcW w:w="1005" w:type="dxa"/>
                  <w:vAlign w:val="center"/>
                </w:tcPr>
                <w:p w14:paraId="5EAF6DB6">
                  <w:pPr>
                    <w:snapToGrid w:val="0"/>
                    <w:jc w:val="center"/>
                    <w:rPr>
                      <w:bCs/>
                      <w:color w:val="auto"/>
                      <w:szCs w:val="21"/>
                    </w:rPr>
                  </w:pPr>
                  <w:r>
                    <w:rPr>
                      <w:bCs/>
                      <w:color w:val="auto"/>
                      <w:szCs w:val="21"/>
                    </w:rPr>
                    <w:t>颗粒物</w:t>
                  </w:r>
                </w:p>
              </w:tc>
              <w:tc>
                <w:tcPr>
                  <w:tcW w:w="779" w:type="dxa"/>
                  <w:vAlign w:val="center"/>
                </w:tcPr>
                <w:p w14:paraId="25C1CC65">
                  <w:pPr>
                    <w:snapToGrid w:val="0"/>
                    <w:jc w:val="center"/>
                    <w:rPr>
                      <w:bCs/>
                      <w:color w:val="auto"/>
                      <w:szCs w:val="21"/>
                    </w:rPr>
                  </w:pPr>
                  <w:r>
                    <w:rPr>
                      <w:bCs/>
                      <w:color w:val="auto"/>
                      <w:szCs w:val="21"/>
                    </w:rPr>
                    <w:t>间断</w:t>
                  </w:r>
                </w:p>
              </w:tc>
              <w:tc>
                <w:tcPr>
                  <w:tcW w:w="2983" w:type="dxa"/>
                  <w:vAlign w:val="center"/>
                </w:tcPr>
                <w:p w14:paraId="0BABFAAE">
                  <w:pPr>
                    <w:snapToGrid w:val="0"/>
                    <w:jc w:val="center"/>
                    <w:rPr>
                      <w:bCs/>
                      <w:color w:val="auto"/>
                      <w:szCs w:val="21"/>
                    </w:rPr>
                  </w:pPr>
                  <w:r>
                    <w:rPr>
                      <w:bCs/>
                      <w:color w:val="auto"/>
                      <w:szCs w:val="21"/>
                    </w:rPr>
                    <w:t>汽车进入厂区内通过降低行驶速度、出入道路进行硬化、生产区域内地面定期清扫等方式降低运输过程无组织粉尘</w:t>
                  </w:r>
                  <w:r>
                    <w:rPr>
                      <w:rFonts w:hint="eastAsia"/>
                      <w:bCs/>
                      <w:color w:val="auto"/>
                      <w:szCs w:val="21"/>
                    </w:rPr>
                    <w:t>；</w:t>
                  </w:r>
                </w:p>
              </w:tc>
            </w:tr>
            <w:tr w14:paraId="4703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30" w:type="dxa"/>
                  <w:vMerge w:val="continue"/>
                  <w:vAlign w:val="center"/>
                </w:tcPr>
                <w:p w14:paraId="360501DB">
                  <w:pPr>
                    <w:snapToGrid w:val="0"/>
                    <w:jc w:val="center"/>
                    <w:rPr>
                      <w:bCs/>
                      <w:color w:val="auto"/>
                      <w:szCs w:val="21"/>
                    </w:rPr>
                  </w:pPr>
                </w:p>
              </w:tc>
              <w:tc>
                <w:tcPr>
                  <w:tcW w:w="900" w:type="dxa"/>
                  <w:vAlign w:val="center"/>
                </w:tcPr>
                <w:p w14:paraId="3F119493">
                  <w:pPr>
                    <w:snapToGrid w:val="0"/>
                    <w:jc w:val="center"/>
                    <w:rPr>
                      <w:color w:val="auto"/>
                      <w:kern w:val="0"/>
                      <w:szCs w:val="21"/>
                      <w:lang w:bidi="ar"/>
                    </w:rPr>
                  </w:pPr>
                  <w:r>
                    <w:rPr>
                      <w:color w:val="auto"/>
                      <w:kern w:val="0"/>
                      <w:szCs w:val="21"/>
                      <w:lang w:bidi="ar"/>
                    </w:rPr>
                    <w:t>卸料</w:t>
                  </w:r>
                </w:p>
                <w:p w14:paraId="142604B9">
                  <w:pPr>
                    <w:snapToGrid w:val="0"/>
                    <w:jc w:val="center"/>
                    <w:rPr>
                      <w:bCs/>
                      <w:color w:val="auto"/>
                      <w:szCs w:val="21"/>
                    </w:rPr>
                  </w:pPr>
                  <w:r>
                    <w:rPr>
                      <w:color w:val="auto"/>
                      <w:kern w:val="0"/>
                      <w:szCs w:val="21"/>
                      <w:lang w:bidi="ar"/>
                    </w:rPr>
                    <w:t>粉尘</w:t>
                  </w:r>
                </w:p>
              </w:tc>
              <w:tc>
                <w:tcPr>
                  <w:tcW w:w="603" w:type="dxa"/>
                  <w:vAlign w:val="center"/>
                </w:tcPr>
                <w:p w14:paraId="1C33A3A6">
                  <w:pPr>
                    <w:snapToGrid w:val="0"/>
                    <w:jc w:val="center"/>
                    <w:rPr>
                      <w:bCs/>
                      <w:color w:val="auto"/>
                      <w:szCs w:val="21"/>
                    </w:rPr>
                  </w:pPr>
                  <w:r>
                    <w:rPr>
                      <w:bCs/>
                      <w:color w:val="auto"/>
                      <w:szCs w:val="21"/>
                    </w:rPr>
                    <w:t>G2</w:t>
                  </w:r>
                </w:p>
              </w:tc>
              <w:tc>
                <w:tcPr>
                  <w:tcW w:w="1125" w:type="dxa"/>
                  <w:vAlign w:val="center"/>
                </w:tcPr>
                <w:p w14:paraId="15E38AAB">
                  <w:pPr>
                    <w:snapToGrid w:val="0"/>
                    <w:jc w:val="center"/>
                    <w:rPr>
                      <w:bCs/>
                      <w:color w:val="auto"/>
                      <w:szCs w:val="21"/>
                    </w:rPr>
                  </w:pPr>
                  <w:r>
                    <w:rPr>
                      <w:bCs/>
                      <w:color w:val="auto"/>
                      <w:szCs w:val="21"/>
                    </w:rPr>
                    <w:t>卸料</w:t>
                  </w:r>
                </w:p>
              </w:tc>
              <w:tc>
                <w:tcPr>
                  <w:tcW w:w="1005" w:type="dxa"/>
                  <w:vAlign w:val="center"/>
                </w:tcPr>
                <w:p w14:paraId="7DDEFED2">
                  <w:pPr>
                    <w:snapToGrid w:val="0"/>
                    <w:jc w:val="center"/>
                    <w:rPr>
                      <w:bCs/>
                      <w:color w:val="auto"/>
                      <w:szCs w:val="21"/>
                    </w:rPr>
                  </w:pPr>
                  <w:r>
                    <w:rPr>
                      <w:bCs/>
                      <w:color w:val="auto"/>
                      <w:szCs w:val="21"/>
                    </w:rPr>
                    <w:t>颗粒物</w:t>
                  </w:r>
                </w:p>
              </w:tc>
              <w:tc>
                <w:tcPr>
                  <w:tcW w:w="779" w:type="dxa"/>
                  <w:vAlign w:val="center"/>
                </w:tcPr>
                <w:p w14:paraId="34992D41">
                  <w:pPr>
                    <w:snapToGrid w:val="0"/>
                    <w:jc w:val="center"/>
                    <w:rPr>
                      <w:bCs/>
                      <w:color w:val="auto"/>
                      <w:szCs w:val="21"/>
                    </w:rPr>
                  </w:pPr>
                  <w:r>
                    <w:rPr>
                      <w:bCs/>
                      <w:color w:val="auto"/>
                      <w:szCs w:val="21"/>
                    </w:rPr>
                    <w:t>间断</w:t>
                  </w:r>
                </w:p>
              </w:tc>
              <w:tc>
                <w:tcPr>
                  <w:tcW w:w="2983" w:type="dxa"/>
                  <w:vAlign w:val="center"/>
                </w:tcPr>
                <w:p w14:paraId="66EE0ED1">
                  <w:pPr>
                    <w:snapToGrid w:val="0"/>
                    <w:jc w:val="center"/>
                    <w:rPr>
                      <w:bCs/>
                      <w:color w:val="auto"/>
                      <w:szCs w:val="21"/>
                    </w:rPr>
                  </w:pPr>
                  <w:r>
                    <w:rPr>
                      <w:bCs/>
                      <w:color w:val="auto"/>
                      <w:szCs w:val="21"/>
                    </w:rPr>
                    <w:t>卸</w:t>
                  </w:r>
                  <w:r>
                    <w:rPr>
                      <w:rFonts w:hint="eastAsia"/>
                      <w:bCs/>
                      <w:color w:val="auto"/>
                      <w:szCs w:val="21"/>
                      <w:lang w:val="en-US" w:eastAsia="zh-CN"/>
                    </w:rPr>
                    <w:t>料</w:t>
                  </w:r>
                  <w:r>
                    <w:rPr>
                      <w:rFonts w:hint="eastAsia" w:ascii="Times New Roman" w:hAnsi="Times New Roman" w:eastAsia="宋体" w:cs="Times New Roman"/>
                      <w:bCs/>
                      <w:color w:val="auto"/>
                      <w:szCs w:val="21"/>
                    </w:rPr>
                    <w:t>采取封闭厂房措施</w:t>
                  </w:r>
                  <w:r>
                    <w:rPr>
                      <w:rFonts w:hint="eastAsia" w:ascii="Times New Roman" w:hAnsi="Times New Roman" w:eastAsia="宋体" w:cs="Times New Roman"/>
                      <w:bCs/>
                      <w:color w:val="auto"/>
                      <w:szCs w:val="21"/>
                      <w:lang w:eastAsia="zh-CN"/>
                    </w:rPr>
                    <w:t>、</w:t>
                  </w:r>
                  <w:r>
                    <w:rPr>
                      <w:rFonts w:ascii="Times New Roman" w:hAnsi="Times New Roman" w:eastAsia="宋体" w:cs="Times New Roman"/>
                      <w:bCs/>
                      <w:color w:val="auto"/>
                      <w:szCs w:val="21"/>
                    </w:rPr>
                    <w:t>气力输送除灰系统</w:t>
                  </w:r>
                  <w:r>
                    <w:rPr>
                      <w:rFonts w:hint="eastAsia" w:ascii="Times New Roman" w:hAnsi="Times New Roman" w:eastAsia="宋体" w:cs="Times New Roman"/>
                      <w:bCs/>
                      <w:color w:val="auto"/>
                      <w:szCs w:val="21"/>
                      <w:lang w:val="en-US" w:eastAsia="zh-CN"/>
                    </w:rPr>
                    <w:t>和负压吸排罐车</w:t>
                  </w:r>
                  <w:r>
                    <w:rPr>
                      <w:rFonts w:hint="eastAsia" w:ascii="Times New Roman" w:hAnsi="Times New Roman" w:eastAsia="宋体" w:cs="Times New Roman"/>
                      <w:bCs/>
                      <w:color w:val="auto"/>
                      <w:szCs w:val="21"/>
                    </w:rPr>
                    <w:t>；</w:t>
                  </w:r>
                </w:p>
              </w:tc>
            </w:tr>
            <w:tr w14:paraId="0C1B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30" w:type="dxa"/>
                  <w:vMerge w:val="continue"/>
                  <w:vAlign w:val="center"/>
                </w:tcPr>
                <w:p w14:paraId="561A1E9B">
                  <w:pPr>
                    <w:snapToGrid w:val="0"/>
                    <w:jc w:val="center"/>
                    <w:rPr>
                      <w:bCs/>
                      <w:color w:val="auto"/>
                      <w:szCs w:val="21"/>
                    </w:rPr>
                  </w:pPr>
                </w:p>
              </w:tc>
              <w:tc>
                <w:tcPr>
                  <w:tcW w:w="900" w:type="dxa"/>
                  <w:vAlign w:val="center"/>
                </w:tcPr>
                <w:p w14:paraId="4AE6A9C5">
                  <w:pPr>
                    <w:snapToGrid w:val="0"/>
                    <w:jc w:val="center"/>
                    <w:rPr>
                      <w:rFonts w:hint="eastAsia"/>
                      <w:color w:val="auto"/>
                      <w:kern w:val="0"/>
                      <w:szCs w:val="21"/>
                      <w:lang w:val="en-US" w:eastAsia="zh-CN" w:bidi="ar"/>
                    </w:rPr>
                  </w:pPr>
                  <w:r>
                    <w:rPr>
                      <w:rFonts w:hint="eastAsia"/>
                      <w:color w:val="auto"/>
                      <w:kern w:val="0"/>
                      <w:szCs w:val="21"/>
                      <w:lang w:val="en-US" w:eastAsia="zh-CN" w:bidi="ar"/>
                    </w:rPr>
                    <w:t>储存</w:t>
                  </w:r>
                </w:p>
                <w:p w14:paraId="3FD353C5">
                  <w:pPr>
                    <w:snapToGrid w:val="0"/>
                    <w:jc w:val="center"/>
                    <w:rPr>
                      <w:rFonts w:hint="default" w:eastAsia="宋体"/>
                      <w:color w:val="auto"/>
                      <w:kern w:val="0"/>
                      <w:szCs w:val="21"/>
                      <w:lang w:val="en-US" w:eastAsia="zh-CN" w:bidi="ar"/>
                    </w:rPr>
                  </w:pPr>
                  <w:r>
                    <w:rPr>
                      <w:rFonts w:hint="eastAsia"/>
                      <w:color w:val="auto"/>
                      <w:kern w:val="0"/>
                      <w:szCs w:val="21"/>
                      <w:lang w:val="en-US" w:eastAsia="zh-CN" w:bidi="ar"/>
                    </w:rPr>
                    <w:t>粉尘</w:t>
                  </w:r>
                </w:p>
              </w:tc>
              <w:tc>
                <w:tcPr>
                  <w:tcW w:w="603" w:type="dxa"/>
                  <w:vAlign w:val="center"/>
                </w:tcPr>
                <w:p w14:paraId="67337A38">
                  <w:pPr>
                    <w:snapToGrid w:val="0"/>
                    <w:jc w:val="center"/>
                    <w:rPr>
                      <w:rFonts w:hint="default" w:eastAsia="宋体"/>
                      <w:bCs/>
                      <w:color w:val="auto"/>
                      <w:szCs w:val="21"/>
                      <w:lang w:val="en-US" w:eastAsia="zh-CN"/>
                    </w:rPr>
                  </w:pPr>
                  <w:r>
                    <w:rPr>
                      <w:rFonts w:hint="eastAsia"/>
                      <w:bCs/>
                      <w:color w:val="auto"/>
                      <w:szCs w:val="21"/>
                      <w:lang w:val="en-US" w:eastAsia="zh-CN"/>
                    </w:rPr>
                    <w:t>G3</w:t>
                  </w:r>
                </w:p>
              </w:tc>
              <w:tc>
                <w:tcPr>
                  <w:tcW w:w="1125" w:type="dxa"/>
                  <w:vAlign w:val="center"/>
                </w:tcPr>
                <w:p w14:paraId="32C044CB">
                  <w:pPr>
                    <w:snapToGrid w:val="0"/>
                    <w:jc w:val="center"/>
                    <w:rPr>
                      <w:rFonts w:hint="eastAsia"/>
                      <w:bCs/>
                      <w:color w:val="auto"/>
                      <w:szCs w:val="21"/>
                    </w:rPr>
                  </w:pPr>
                  <w:r>
                    <w:rPr>
                      <w:rFonts w:hint="eastAsia"/>
                      <w:bCs/>
                      <w:color w:val="auto"/>
                      <w:szCs w:val="21"/>
                    </w:rPr>
                    <w:t>堆存</w:t>
                  </w:r>
                </w:p>
              </w:tc>
              <w:tc>
                <w:tcPr>
                  <w:tcW w:w="1005" w:type="dxa"/>
                  <w:vAlign w:val="center"/>
                </w:tcPr>
                <w:p w14:paraId="27E63480">
                  <w:pPr>
                    <w:snapToGrid w:val="0"/>
                    <w:jc w:val="center"/>
                    <w:rPr>
                      <w:bCs/>
                      <w:color w:val="auto"/>
                      <w:szCs w:val="21"/>
                    </w:rPr>
                  </w:pPr>
                  <w:r>
                    <w:rPr>
                      <w:bCs/>
                      <w:color w:val="auto"/>
                      <w:szCs w:val="21"/>
                    </w:rPr>
                    <w:t>颗粒物</w:t>
                  </w:r>
                </w:p>
              </w:tc>
              <w:tc>
                <w:tcPr>
                  <w:tcW w:w="779" w:type="dxa"/>
                  <w:vAlign w:val="center"/>
                </w:tcPr>
                <w:p w14:paraId="6FB25266">
                  <w:pPr>
                    <w:snapToGrid w:val="0"/>
                    <w:jc w:val="center"/>
                    <w:rPr>
                      <w:bCs/>
                      <w:color w:val="auto"/>
                      <w:szCs w:val="21"/>
                    </w:rPr>
                  </w:pPr>
                  <w:r>
                    <w:rPr>
                      <w:bCs/>
                      <w:color w:val="auto"/>
                      <w:szCs w:val="21"/>
                    </w:rPr>
                    <w:t>间断</w:t>
                  </w:r>
                </w:p>
              </w:tc>
              <w:tc>
                <w:tcPr>
                  <w:tcW w:w="2983" w:type="dxa"/>
                  <w:vAlign w:val="center"/>
                </w:tcPr>
                <w:p w14:paraId="2CA1975C">
                  <w:pPr>
                    <w:snapToGrid w:val="0"/>
                    <w:jc w:val="center"/>
                    <w:rPr>
                      <w:bCs/>
                      <w:color w:val="auto"/>
                      <w:szCs w:val="21"/>
                    </w:rPr>
                  </w:pPr>
                  <w:r>
                    <w:rPr>
                      <w:bCs/>
                      <w:color w:val="auto"/>
                      <w:szCs w:val="21"/>
                    </w:rPr>
                    <w:t>焦粉兰炭粉</w:t>
                  </w:r>
                  <w:r>
                    <w:rPr>
                      <w:rFonts w:hint="eastAsia"/>
                      <w:bCs/>
                      <w:color w:val="auto"/>
                      <w:szCs w:val="21"/>
                      <w:lang w:val="en-US" w:eastAsia="zh-CN"/>
                    </w:rPr>
                    <w:t>储存</w:t>
                  </w:r>
                  <w:r>
                    <w:rPr>
                      <w:rFonts w:hint="eastAsia"/>
                      <w:bCs/>
                      <w:color w:val="auto"/>
                      <w:szCs w:val="21"/>
                    </w:rPr>
                    <w:t>时</w:t>
                  </w:r>
                  <w:r>
                    <w:rPr>
                      <w:bCs/>
                      <w:color w:val="auto"/>
                      <w:szCs w:val="21"/>
                    </w:rPr>
                    <w:t>干雾抑尘器喷水抑尘及储存时喷水抑尘</w:t>
                  </w:r>
                  <w:r>
                    <w:rPr>
                      <w:rFonts w:hint="eastAsia"/>
                      <w:bCs/>
                      <w:color w:val="auto"/>
                      <w:szCs w:val="21"/>
                    </w:rPr>
                    <w:t>；</w:t>
                  </w:r>
                </w:p>
              </w:tc>
            </w:tr>
            <w:tr w14:paraId="21D3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30" w:type="dxa"/>
                  <w:vMerge w:val="continue"/>
                  <w:vAlign w:val="center"/>
                </w:tcPr>
                <w:p w14:paraId="09735A2A">
                  <w:pPr>
                    <w:snapToGrid w:val="0"/>
                    <w:jc w:val="center"/>
                    <w:rPr>
                      <w:bCs/>
                      <w:color w:val="auto"/>
                      <w:szCs w:val="21"/>
                    </w:rPr>
                  </w:pPr>
                </w:p>
              </w:tc>
              <w:tc>
                <w:tcPr>
                  <w:tcW w:w="900" w:type="dxa"/>
                  <w:vAlign w:val="center"/>
                </w:tcPr>
                <w:p w14:paraId="2C671E2C">
                  <w:pPr>
                    <w:snapToGrid w:val="0"/>
                    <w:jc w:val="center"/>
                    <w:rPr>
                      <w:rFonts w:hint="eastAsia"/>
                      <w:color w:val="auto"/>
                      <w:kern w:val="0"/>
                      <w:szCs w:val="21"/>
                      <w:lang w:val="en-US" w:eastAsia="zh-CN" w:bidi="ar"/>
                    </w:rPr>
                  </w:pPr>
                  <w:r>
                    <w:rPr>
                      <w:rFonts w:hint="eastAsia"/>
                      <w:color w:val="auto"/>
                      <w:kern w:val="0"/>
                      <w:szCs w:val="21"/>
                      <w:lang w:val="en-US" w:eastAsia="zh-CN" w:bidi="ar"/>
                    </w:rPr>
                    <w:t>筒仓</w:t>
                  </w:r>
                </w:p>
                <w:p w14:paraId="1CE829C1">
                  <w:pPr>
                    <w:snapToGrid w:val="0"/>
                    <w:jc w:val="center"/>
                    <w:rPr>
                      <w:rFonts w:hint="default" w:eastAsia="宋体"/>
                      <w:color w:val="auto"/>
                      <w:kern w:val="0"/>
                      <w:szCs w:val="21"/>
                      <w:lang w:val="en-US" w:eastAsia="zh-CN" w:bidi="ar"/>
                    </w:rPr>
                  </w:pPr>
                  <w:r>
                    <w:rPr>
                      <w:rFonts w:hint="eastAsia"/>
                      <w:color w:val="auto"/>
                      <w:kern w:val="0"/>
                      <w:szCs w:val="21"/>
                      <w:lang w:val="en-US" w:eastAsia="zh-CN" w:bidi="ar"/>
                    </w:rPr>
                    <w:t>粉尘</w:t>
                  </w:r>
                </w:p>
              </w:tc>
              <w:tc>
                <w:tcPr>
                  <w:tcW w:w="603" w:type="dxa"/>
                  <w:vAlign w:val="center"/>
                </w:tcPr>
                <w:p w14:paraId="6D3AF29D">
                  <w:pPr>
                    <w:snapToGrid w:val="0"/>
                    <w:jc w:val="center"/>
                    <w:rPr>
                      <w:rFonts w:hint="default" w:eastAsia="宋体"/>
                      <w:bCs/>
                      <w:color w:val="auto"/>
                      <w:szCs w:val="21"/>
                      <w:lang w:val="en-US" w:eastAsia="zh-CN"/>
                    </w:rPr>
                  </w:pPr>
                  <w:r>
                    <w:rPr>
                      <w:rFonts w:hint="eastAsia"/>
                      <w:bCs/>
                      <w:color w:val="auto"/>
                      <w:szCs w:val="21"/>
                      <w:lang w:val="en-US" w:eastAsia="zh-CN"/>
                    </w:rPr>
                    <w:t>G4</w:t>
                  </w:r>
                </w:p>
              </w:tc>
              <w:tc>
                <w:tcPr>
                  <w:tcW w:w="1125" w:type="dxa"/>
                  <w:vAlign w:val="center"/>
                </w:tcPr>
                <w:p w14:paraId="305FBDC7">
                  <w:pPr>
                    <w:snapToGrid w:val="0"/>
                    <w:jc w:val="center"/>
                    <w:rPr>
                      <w:rFonts w:hint="default" w:eastAsia="宋体"/>
                      <w:bCs/>
                      <w:color w:val="auto"/>
                      <w:szCs w:val="21"/>
                      <w:lang w:val="en-US" w:eastAsia="zh-CN"/>
                    </w:rPr>
                  </w:pPr>
                  <w:r>
                    <w:rPr>
                      <w:rFonts w:hint="eastAsia"/>
                      <w:bCs/>
                      <w:color w:val="auto"/>
                      <w:szCs w:val="21"/>
                      <w:lang w:val="en-US" w:eastAsia="zh-CN"/>
                    </w:rPr>
                    <w:t>筒仓存放物料</w:t>
                  </w:r>
                </w:p>
              </w:tc>
              <w:tc>
                <w:tcPr>
                  <w:tcW w:w="1005" w:type="dxa"/>
                  <w:vAlign w:val="center"/>
                </w:tcPr>
                <w:p w14:paraId="19CEFC2A">
                  <w:pPr>
                    <w:snapToGrid w:val="0"/>
                    <w:jc w:val="center"/>
                    <w:rPr>
                      <w:bCs/>
                      <w:color w:val="auto"/>
                      <w:szCs w:val="21"/>
                    </w:rPr>
                  </w:pPr>
                  <w:r>
                    <w:rPr>
                      <w:bCs/>
                      <w:color w:val="auto"/>
                      <w:szCs w:val="21"/>
                    </w:rPr>
                    <w:t>颗粒物</w:t>
                  </w:r>
                </w:p>
              </w:tc>
              <w:tc>
                <w:tcPr>
                  <w:tcW w:w="779" w:type="dxa"/>
                  <w:vAlign w:val="center"/>
                </w:tcPr>
                <w:p w14:paraId="2CCB5F6A">
                  <w:pPr>
                    <w:snapToGrid w:val="0"/>
                    <w:jc w:val="center"/>
                    <w:rPr>
                      <w:bCs/>
                      <w:color w:val="auto"/>
                      <w:szCs w:val="21"/>
                    </w:rPr>
                  </w:pPr>
                  <w:r>
                    <w:rPr>
                      <w:bCs/>
                      <w:color w:val="auto"/>
                      <w:szCs w:val="21"/>
                    </w:rPr>
                    <w:t>间断</w:t>
                  </w:r>
                </w:p>
              </w:tc>
              <w:tc>
                <w:tcPr>
                  <w:tcW w:w="2983" w:type="dxa"/>
                  <w:vAlign w:val="center"/>
                </w:tcPr>
                <w:p w14:paraId="4F8E3F9C">
                  <w:pPr>
                    <w:snapToGrid w:val="0"/>
                    <w:jc w:val="center"/>
                    <w:rPr>
                      <w:rFonts w:hint="eastAsia" w:eastAsia="宋体"/>
                      <w:bCs/>
                      <w:color w:val="auto"/>
                      <w:szCs w:val="21"/>
                      <w:lang w:val="en-US" w:eastAsia="zh-CN"/>
                    </w:rPr>
                  </w:pPr>
                  <w:r>
                    <w:rPr>
                      <w:rFonts w:hint="default"/>
                      <w:bCs/>
                      <w:color w:val="auto"/>
                      <w:szCs w:val="21"/>
                      <w:lang w:val="en-US" w:eastAsia="zh-CN"/>
                    </w:rPr>
                    <w:t>仓</w:t>
                  </w:r>
                  <w:r>
                    <w:rPr>
                      <w:rFonts w:hint="default"/>
                      <w:bCs/>
                      <w:color w:val="auto"/>
                      <w:szCs w:val="21"/>
                    </w:rPr>
                    <w:t>顶</w:t>
                  </w:r>
                  <w:r>
                    <w:rPr>
                      <w:rFonts w:hint="eastAsia"/>
                      <w:bCs/>
                      <w:color w:val="auto"/>
                      <w:szCs w:val="21"/>
                      <w:lang w:val="en-US" w:eastAsia="zh-CN"/>
                    </w:rPr>
                    <w:t>设置</w:t>
                  </w:r>
                  <w:r>
                    <w:rPr>
                      <w:rFonts w:hint="default"/>
                      <w:bCs/>
                      <w:color w:val="auto"/>
                      <w:szCs w:val="21"/>
                    </w:rPr>
                    <w:t>布袋除尘器</w:t>
                  </w:r>
                  <w:r>
                    <w:rPr>
                      <w:rFonts w:hint="default"/>
                      <w:bCs/>
                      <w:color w:val="auto"/>
                      <w:szCs w:val="21"/>
                      <w:lang w:eastAsia="zh-CN"/>
                    </w:rPr>
                    <w:t>，</w:t>
                  </w:r>
                  <w:r>
                    <w:rPr>
                      <w:bCs/>
                      <w:color w:val="auto"/>
                      <w:szCs w:val="21"/>
                    </w:rPr>
                    <w:t>车间内无组织</w:t>
                  </w:r>
                  <w:r>
                    <w:rPr>
                      <w:rFonts w:hint="eastAsia"/>
                      <w:bCs/>
                      <w:color w:val="auto"/>
                      <w:szCs w:val="21"/>
                      <w:lang w:val="en-US" w:eastAsia="zh-CN"/>
                    </w:rPr>
                    <w:t>排放。</w:t>
                  </w:r>
                </w:p>
              </w:tc>
            </w:tr>
            <w:tr w14:paraId="60A9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30" w:type="dxa"/>
                  <w:vMerge w:val="continue"/>
                  <w:vAlign w:val="center"/>
                </w:tcPr>
                <w:p w14:paraId="4097E03B">
                  <w:pPr>
                    <w:snapToGrid w:val="0"/>
                    <w:jc w:val="center"/>
                    <w:rPr>
                      <w:bCs/>
                      <w:color w:val="auto"/>
                      <w:szCs w:val="21"/>
                    </w:rPr>
                  </w:pPr>
                </w:p>
              </w:tc>
              <w:tc>
                <w:tcPr>
                  <w:tcW w:w="900" w:type="dxa"/>
                  <w:vAlign w:val="center"/>
                </w:tcPr>
                <w:p w14:paraId="660291DD">
                  <w:pPr>
                    <w:snapToGrid w:val="0"/>
                    <w:jc w:val="center"/>
                    <w:rPr>
                      <w:color w:val="auto"/>
                      <w:kern w:val="0"/>
                      <w:szCs w:val="21"/>
                      <w:lang w:bidi="ar"/>
                    </w:rPr>
                  </w:pPr>
                  <w:r>
                    <w:rPr>
                      <w:color w:val="auto"/>
                      <w:kern w:val="0"/>
                      <w:szCs w:val="21"/>
                      <w:lang w:bidi="ar"/>
                    </w:rPr>
                    <w:t>上料</w:t>
                  </w:r>
                </w:p>
                <w:p w14:paraId="74CBB72B">
                  <w:pPr>
                    <w:snapToGrid w:val="0"/>
                    <w:jc w:val="center"/>
                    <w:rPr>
                      <w:bCs/>
                      <w:color w:val="auto"/>
                      <w:szCs w:val="21"/>
                    </w:rPr>
                  </w:pPr>
                  <w:r>
                    <w:rPr>
                      <w:color w:val="auto"/>
                      <w:kern w:val="0"/>
                      <w:szCs w:val="21"/>
                      <w:lang w:bidi="ar"/>
                    </w:rPr>
                    <w:t>粉尘</w:t>
                  </w:r>
                </w:p>
              </w:tc>
              <w:tc>
                <w:tcPr>
                  <w:tcW w:w="603" w:type="dxa"/>
                  <w:vAlign w:val="center"/>
                </w:tcPr>
                <w:p w14:paraId="3D8A9735">
                  <w:pPr>
                    <w:snapToGrid w:val="0"/>
                    <w:jc w:val="center"/>
                    <w:rPr>
                      <w:rFonts w:hint="eastAsia" w:eastAsia="宋体"/>
                      <w:bCs/>
                      <w:color w:val="auto"/>
                      <w:szCs w:val="21"/>
                      <w:lang w:eastAsia="zh-CN"/>
                    </w:rPr>
                  </w:pPr>
                  <w:r>
                    <w:rPr>
                      <w:bCs/>
                      <w:color w:val="auto"/>
                      <w:szCs w:val="21"/>
                    </w:rPr>
                    <w:t>G</w:t>
                  </w:r>
                  <w:r>
                    <w:rPr>
                      <w:rFonts w:hint="eastAsia"/>
                      <w:bCs/>
                      <w:color w:val="auto"/>
                      <w:szCs w:val="21"/>
                      <w:lang w:val="en-US" w:eastAsia="zh-CN"/>
                    </w:rPr>
                    <w:t>5</w:t>
                  </w:r>
                </w:p>
              </w:tc>
              <w:tc>
                <w:tcPr>
                  <w:tcW w:w="1125" w:type="dxa"/>
                  <w:vAlign w:val="center"/>
                </w:tcPr>
                <w:p w14:paraId="6BE240E3">
                  <w:pPr>
                    <w:widowControl/>
                    <w:jc w:val="center"/>
                    <w:rPr>
                      <w:color w:val="auto"/>
                      <w:kern w:val="0"/>
                      <w:szCs w:val="21"/>
                      <w:lang w:bidi="ar"/>
                    </w:rPr>
                  </w:pPr>
                  <w:r>
                    <w:rPr>
                      <w:color w:val="auto"/>
                      <w:kern w:val="0"/>
                      <w:szCs w:val="21"/>
                      <w:lang w:bidi="ar"/>
                    </w:rPr>
                    <w:t>袋式除</w:t>
                  </w:r>
                </w:p>
                <w:p w14:paraId="33EEDB2E">
                  <w:pPr>
                    <w:widowControl/>
                    <w:jc w:val="center"/>
                    <w:rPr>
                      <w:bCs/>
                      <w:color w:val="auto"/>
                      <w:szCs w:val="21"/>
                    </w:rPr>
                  </w:pPr>
                  <w:r>
                    <w:rPr>
                      <w:color w:val="auto"/>
                      <w:kern w:val="0"/>
                      <w:szCs w:val="21"/>
                      <w:lang w:bidi="ar"/>
                    </w:rPr>
                    <w:t>尘器</w:t>
                  </w:r>
                </w:p>
              </w:tc>
              <w:tc>
                <w:tcPr>
                  <w:tcW w:w="1005" w:type="dxa"/>
                  <w:vAlign w:val="center"/>
                </w:tcPr>
                <w:p w14:paraId="68B5C250">
                  <w:pPr>
                    <w:snapToGrid w:val="0"/>
                    <w:jc w:val="center"/>
                    <w:rPr>
                      <w:bCs/>
                      <w:color w:val="auto"/>
                      <w:szCs w:val="21"/>
                    </w:rPr>
                  </w:pPr>
                  <w:r>
                    <w:rPr>
                      <w:bCs/>
                      <w:color w:val="auto"/>
                      <w:szCs w:val="21"/>
                    </w:rPr>
                    <w:t>颗粒物</w:t>
                  </w:r>
                </w:p>
              </w:tc>
              <w:tc>
                <w:tcPr>
                  <w:tcW w:w="779" w:type="dxa"/>
                  <w:vAlign w:val="center"/>
                </w:tcPr>
                <w:p w14:paraId="2F8CD97F">
                  <w:pPr>
                    <w:snapToGrid w:val="0"/>
                    <w:jc w:val="center"/>
                    <w:rPr>
                      <w:bCs/>
                      <w:color w:val="auto"/>
                      <w:szCs w:val="21"/>
                    </w:rPr>
                  </w:pPr>
                  <w:r>
                    <w:rPr>
                      <w:bCs/>
                      <w:color w:val="auto"/>
                      <w:szCs w:val="21"/>
                    </w:rPr>
                    <w:t>间断</w:t>
                  </w:r>
                </w:p>
              </w:tc>
              <w:tc>
                <w:tcPr>
                  <w:tcW w:w="2983" w:type="dxa"/>
                  <w:vAlign w:val="center"/>
                </w:tcPr>
                <w:p w14:paraId="4729D057">
                  <w:pPr>
                    <w:snapToGrid w:val="0"/>
                    <w:jc w:val="center"/>
                    <w:rPr>
                      <w:bCs/>
                      <w:color w:val="auto"/>
                      <w:szCs w:val="21"/>
                    </w:rPr>
                  </w:pPr>
                  <w:r>
                    <w:rPr>
                      <w:bCs/>
                      <w:color w:val="auto"/>
                      <w:szCs w:val="21"/>
                    </w:rPr>
                    <w:t>焦粉兰炭粉上料时干雾抑尘器喷水抑尘；</w:t>
                  </w:r>
                  <w:r>
                    <w:rPr>
                      <w:rFonts w:hint="eastAsia"/>
                      <w:bCs/>
                      <w:color w:val="auto"/>
                      <w:szCs w:val="21"/>
                    </w:rPr>
                    <w:t>原料仓设置布袋除尘器1套+1 根</w:t>
                  </w:r>
                  <w:r>
                    <w:rPr>
                      <w:rFonts w:hint="eastAsia"/>
                      <w:bCs/>
                      <w:color w:val="auto"/>
                      <w:szCs w:val="21"/>
                      <w:lang w:val="en-US" w:eastAsia="zh-CN"/>
                    </w:rPr>
                    <w:t>20</w:t>
                  </w:r>
                  <w:r>
                    <w:rPr>
                      <w:rFonts w:hint="eastAsia"/>
                      <w:bCs/>
                      <w:color w:val="auto"/>
                      <w:szCs w:val="21"/>
                    </w:rPr>
                    <w:t>m 高排气筒</w:t>
                  </w:r>
                </w:p>
                <w:p w14:paraId="359E264F">
                  <w:pPr>
                    <w:snapToGrid w:val="0"/>
                    <w:jc w:val="center"/>
                    <w:rPr>
                      <w:bCs/>
                      <w:color w:val="auto"/>
                      <w:szCs w:val="21"/>
                    </w:rPr>
                  </w:pPr>
                  <w:r>
                    <w:rPr>
                      <w:rFonts w:hint="eastAsia"/>
                      <w:bCs/>
                      <w:color w:val="auto"/>
                      <w:szCs w:val="21"/>
                    </w:rPr>
                    <w:t>（DA001）排放。</w:t>
                  </w:r>
                </w:p>
              </w:tc>
            </w:tr>
            <w:tr w14:paraId="09D2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30" w:type="dxa"/>
                  <w:vMerge w:val="continue"/>
                  <w:vAlign w:val="center"/>
                </w:tcPr>
                <w:p w14:paraId="1CDA8DE4">
                  <w:pPr>
                    <w:snapToGrid w:val="0"/>
                    <w:jc w:val="center"/>
                    <w:rPr>
                      <w:bCs/>
                      <w:color w:val="auto"/>
                      <w:szCs w:val="21"/>
                    </w:rPr>
                  </w:pPr>
                </w:p>
              </w:tc>
              <w:tc>
                <w:tcPr>
                  <w:tcW w:w="900" w:type="dxa"/>
                  <w:vAlign w:val="center"/>
                </w:tcPr>
                <w:p w14:paraId="1F0F54CC">
                  <w:pPr>
                    <w:snapToGrid w:val="0"/>
                    <w:jc w:val="center"/>
                    <w:rPr>
                      <w:rFonts w:hint="eastAsia"/>
                      <w:color w:val="auto"/>
                      <w:kern w:val="0"/>
                      <w:szCs w:val="21"/>
                      <w:lang w:val="en-US" w:eastAsia="zh-CN" w:bidi="ar"/>
                    </w:rPr>
                  </w:pPr>
                  <w:r>
                    <w:rPr>
                      <w:rFonts w:hint="eastAsia"/>
                      <w:color w:val="auto"/>
                      <w:kern w:val="0"/>
                      <w:szCs w:val="21"/>
                      <w:lang w:val="en-US" w:eastAsia="zh-CN" w:bidi="ar"/>
                    </w:rPr>
                    <w:t>搅拌</w:t>
                  </w:r>
                </w:p>
                <w:p w14:paraId="118272BD">
                  <w:pPr>
                    <w:snapToGrid w:val="0"/>
                    <w:jc w:val="center"/>
                    <w:rPr>
                      <w:rFonts w:hint="default" w:eastAsia="宋体"/>
                      <w:color w:val="auto"/>
                      <w:kern w:val="0"/>
                      <w:szCs w:val="21"/>
                      <w:lang w:val="en-US" w:eastAsia="zh-CN" w:bidi="ar"/>
                    </w:rPr>
                  </w:pPr>
                  <w:r>
                    <w:rPr>
                      <w:rFonts w:hint="eastAsia"/>
                      <w:color w:val="auto"/>
                      <w:kern w:val="0"/>
                      <w:szCs w:val="21"/>
                      <w:lang w:val="en-US" w:eastAsia="zh-CN" w:bidi="ar"/>
                    </w:rPr>
                    <w:t>粉尘</w:t>
                  </w:r>
                </w:p>
              </w:tc>
              <w:tc>
                <w:tcPr>
                  <w:tcW w:w="603" w:type="dxa"/>
                  <w:shd w:val="clear" w:color="auto" w:fill="auto"/>
                  <w:vAlign w:val="center"/>
                </w:tcPr>
                <w:p w14:paraId="7869FA07">
                  <w:pPr>
                    <w:snapToGrid w:val="0"/>
                    <w:jc w:val="center"/>
                    <w:rPr>
                      <w:rFonts w:hint="eastAsia" w:ascii="Times New Roman" w:hAnsi="Times New Roman" w:eastAsia="宋体" w:cs="Times New Roman"/>
                      <w:bCs/>
                      <w:color w:val="auto"/>
                      <w:kern w:val="2"/>
                      <w:sz w:val="21"/>
                      <w:szCs w:val="21"/>
                      <w:lang w:val="en-US" w:eastAsia="zh-CN" w:bidi="ar-SA"/>
                    </w:rPr>
                  </w:pPr>
                  <w:r>
                    <w:rPr>
                      <w:bCs/>
                      <w:color w:val="auto"/>
                      <w:szCs w:val="21"/>
                    </w:rPr>
                    <w:t>G</w:t>
                  </w:r>
                  <w:r>
                    <w:rPr>
                      <w:rFonts w:hint="eastAsia"/>
                      <w:bCs/>
                      <w:color w:val="auto"/>
                      <w:szCs w:val="21"/>
                      <w:lang w:val="en-US" w:eastAsia="zh-CN"/>
                    </w:rPr>
                    <w:t>6</w:t>
                  </w:r>
                </w:p>
              </w:tc>
              <w:tc>
                <w:tcPr>
                  <w:tcW w:w="1125" w:type="dxa"/>
                  <w:vAlign w:val="center"/>
                </w:tcPr>
                <w:p w14:paraId="2507ED83">
                  <w:pPr>
                    <w:widowControl/>
                    <w:jc w:val="center"/>
                    <w:rPr>
                      <w:rFonts w:hint="default" w:eastAsia="宋体"/>
                      <w:color w:val="auto"/>
                      <w:kern w:val="0"/>
                      <w:szCs w:val="21"/>
                      <w:lang w:val="en-US" w:eastAsia="zh-CN" w:bidi="ar"/>
                    </w:rPr>
                  </w:pPr>
                  <w:r>
                    <w:rPr>
                      <w:rFonts w:hint="eastAsia"/>
                      <w:color w:val="auto"/>
                      <w:kern w:val="0"/>
                      <w:szCs w:val="21"/>
                      <w:lang w:val="en-US" w:eastAsia="zh-CN" w:bidi="ar"/>
                    </w:rPr>
                    <w:t>物料混合搅拌</w:t>
                  </w:r>
                </w:p>
              </w:tc>
              <w:tc>
                <w:tcPr>
                  <w:tcW w:w="1005" w:type="dxa"/>
                  <w:shd w:val="clear" w:color="auto" w:fill="auto"/>
                  <w:vAlign w:val="center"/>
                </w:tcPr>
                <w:p w14:paraId="26A0F4BF">
                  <w:pPr>
                    <w:snapToGrid w:val="0"/>
                    <w:jc w:val="center"/>
                    <w:rPr>
                      <w:rFonts w:ascii="Times New Roman" w:hAnsi="Times New Roman" w:eastAsia="宋体" w:cs="Times New Roman"/>
                      <w:bCs/>
                      <w:color w:val="auto"/>
                      <w:kern w:val="2"/>
                      <w:sz w:val="21"/>
                      <w:szCs w:val="21"/>
                      <w:lang w:val="en-US" w:eastAsia="zh-CN" w:bidi="ar-SA"/>
                    </w:rPr>
                  </w:pPr>
                  <w:r>
                    <w:rPr>
                      <w:bCs/>
                      <w:color w:val="auto"/>
                      <w:szCs w:val="21"/>
                    </w:rPr>
                    <w:t>颗粒物</w:t>
                  </w:r>
                </w:p>
              </w:tc>
              <w:tc>
                <w:tcPr>
                  <w:tcW w:w="779" w:type="dxa"/>
                  <w:shd w:val="clear" w:color="auto" w:fill="auto"/>
                  <w:vAlign w:val="center"/>
                </w:tcPr>
                <w:p w14:paraId="2038B994">
                  <w:pPr>
                    <w:snapToGrid w:val="0"/>
                    <w:jc w:val="center"/>
                    <w:rPr>
                      <w:rFonts w:ascii="Times New Roman" w:hAnsi="Times New Roman" w:eastAsia="宋体" w:cs="Times New Roman"/>
                      <w:bCs/>
                      <w:color w:val="auto"/>
                      <w:kern w:val="2"/>
                      <w:sz w:val="21"/>
                      <w:szCs w:val="21"/>
                      <w:lang w:val="en-US" w:eastAsia="zh-CN" w:bidi="ar-SA"/>
                    </w:rPr>
                  </w:pPr>
                  <w:r>
                    <w:rPr>
                      <w:bCs/>
                      <w:color w:val="auto"/>
                      <w:szCs w:val="21"/>
                    </w:rPr>
                    <w:t>间断</w:t>
                  </w:r>
                </w:p>
              </w:tc>
              <w:tc>
                <w:tcPr>
                  <w:tcW w:w="2983" w:type="dxa"/>
                  <w:vAlign w:val="center"/>
                </w:tcPr>
                <w:p w14:paraId="32500EE1">
                  <w:pPr>
                    <w:snapToGrid w:val="0"/>
                    <w:jc w:val="center"/>
                    <w:rPr>
                      <w:rFonts w:hint="eastAsia"/>
                      <w:bCs/>
                      <w:color w:val="auto"/>
                      <w:szCs w:val="21"/>
                    </w:rPr>
                  </w:pPr>
                  <w:r>
                    <w:rPr>
                      <w:rFonts w:hint="eastAsia"/>
                      <w:bCs/>
                      <w:color w:val="auto"/>
                      <w:szCs w:val="21"/>
                    </w:rPr>
                    <w:t>经集气罩（90%）收集后经密闭抽尘管道引布袋除尘器（与烘干尾气处共用共用，效率99%）处理后通过1根</w:t>
                  </w:r>
                  <w:r>
                    <w:rPr>
                      <w:rFonts w:hint="eastAsia"/>
                      <w:bCs/>
                      <w:color w:val="auto"/>
                      <w:szCs w:val="21"/>
                      <w:lang w:val="en-US" w:eastAsia="zh-CN"/>
                    </w:rPr>
                    <w:t>20</w:t>
                  </w:r>
                  <w:r>
                    <w:rPr>
                      <w:rFonts w:hint="eastAsia"/>
                      <w:bCs/>
                      <w:color w:val="auto"/>
                      <w:szCs w:val="21"/>
                    </w:rPr>
                    <w:t>m 高排气筒（DA002）排放；</w:t>
                  </w:r>
                </w:p>
              </w:tc>
            </w:tr>
            <w:tr w14:paraId="504A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30" w:type="dxa"/>
                  <w:vMerge w:val="continue"/>
                  <w:vAlign w:val="center"/>
                </w:tcPr>
                <w:p w14:paraId="0ADA5441">
                  <w:pPr>
                    <w:snapToGrid w:val="0"/>
                    <w:jc w:val="center"/>
                    <w:rPr>
                      <w:bCs/>
                      <w:color w:val="auto"/>
                      <w:szCs w:val="21"/>
                    </w:rPr>
                  </w:pPr>
                </w:p>
              </w:tc>
              <w:tc>
                <w:tcPr>
                  <w:tcW w:w="900" w:type="dxa"/>
                  <w:vAlign w:val="center"/>
                </w:tcPr>
                <w:p w14:paraId="05029D5A">
                  <w:pPr>
                    <w:snapToGrid w:val="0"/>
                    <w:jc w:val="center"/>
                    <w:rPr>
                      <w:color w:val="auto"/>
                      <w:kern w:val="0"/>
                      <w:szCs w:val="21"/>
                      <w:lang w:bidi="ar"/>
                    </w:rPr>
                  </w:pPr>
                  <w:r>
                    <w:rPr>
                      <w:color w:val="auto"/>
                      <w:kern w:val="0"/>
                      <w:szCs w:val="21"/>
                      <w:lang w:bidi="ar"/>
                    </w:rPr>
                    <w:t>烘干</w:t>
                  </w:r>
                </w:p>
                <w:p w14:paraId="3DA98FCE">
                  <w:pPr>
                    <w:snapToGrid w:val="0"/>
                    <w:jc w:val="center"/>
                    <w:rPr>
                      <w:bCs/>
                      <w:color w:val="auto"/>
                      <w:szCs w:val="21"/>
                    </w:rPr>
                  </w:pPr>
                  <w:r>
                    <w:rPr>
                      <w:color w:val="auto"/>
                      <w:kern w:val="0"/>
                      <w:szCs w:val="21"/>
                      <w:lang w:bidi="ar"/>
                    </w:rPr>
                    <w:t>废气</w:t>
                  </w:r>
                </w:p>
              </w:tc>
              <w:tc>
                <w:tcPr>
                  <w:tcW w:w="603" w:type="dxa"/>
                  <w:shd w:val="clear" w:color="auto" w:fill="auto"/>
                  <w:vAlign w:val="center"/>
                </w:tcPr>
                <w:p w14:paraId="7CE5A9D1">
                  <w:pPr>
                    <w:snapToGrid w:val="0"/>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Cs w:val="21"/>
                    </w:rPr>
                    <w:t>G</w:t>
                  </w:r>
                  <w:r>
                    <w:rPr>
                      <w:rFonts w:hint="eastAsia"/>
                      <w:bCs/>
                      <w:color w:val="auto"/>
                      <w:szCs w:val="21"/>
                      <w:lang w:val="en-US" w:eastAsia="zh-CN"/>
                    </w:rPr>
                    <w:t>7</w:t>
                  </w:r>
                </w:p>
              </w:tc>
              <w:tc>
                <w:tcPr>
                  <w:tcW w:w="1125" w:type="dxa"/>
                  <w:vAlign w:val="center"/>
                </w:tcPr>
                <w:p w14:paraId="74F0FBB2">
                  <w:pPr>
                    <w:widowControl/>
                    <w:jc w:val="center"/>
                    <w:rPr>
                      <w:bCs/>
                      <w:color w:val="auto"/>
                      <w:szCs w:val="21"/>
                    </w:rPr>
                  </w:pPr>
                  <w:r>
                    <w:rPr>
                      <w:color w:val="auto"/>
                      <w:kern w:val="0"/>
                      <w:szCs w:val="21"/>
                      <w:lang w:bidi="ar"/>
                    </w:rPr>
                    <w:t>烘干</w:t>
                  </w:r>
                </w:p>
              </w:tc>
              <w:tc>
                <w:tcPr>
                  <w:tcW w:w="1005" w:type="dxa"/>
                  <w:vAlign w:val="center"/>
                </w:tcPr>
                <w:p w14:paraId="635E6091">
                  <w:pPr>
                    <w:snapToGrid w:val="0"/>
                    <w:jc w:val="center"/>
                    <w:rPr>
                      <w:bCs/>
                      <w:color w:val="auto"/>
                      <w:szCs w:val="21"/>
                    </w:rPr>
                  </w:pPr>
                  <w:r>
                    <w:rPr>
                      <w:bCs/>
                      <w:color w:val="auto"/>
                      <w:szCs w:val="21"/>
                    </w:rPr>
                    <w:t>颗粒物</w:t>
                  </w:r>
                </w:p>
              </w:tc>
              <w:tc>
                <w:tcPr>
                  <w:tcW w:w="779" w:type="dxa"/>
                  <w:vAlign w:val="center"/>
                </w:tcPr>
                <w:p w14:paraId="6E441996">
                  <w:pPr>
                    <w:snapToGrid w:val="0"/>
                    <w:jc w:val="center"/>
                    <w:rPr>
                      <w:bCs/>
                      <w:color w:val="auto"/>
                      <w:szCs w:val="21"/>
                    </w:rPr>
                  </w:pPr>
                  <w:r>
                    <w:rPr>
                      <w:bCs/>
                      <w:color w:val="auto"/>
                      <w:szCs w:val="21"/>
                    </w:rPr>
                    <w:t>间断</w:t>
                  </w:r>
                </w:p>
              </w:tc>
              <w:tc>
                <w:tcPr>
                  <w:tcW w:w="2983" w:type="dxa"/>
                  <w:vAlign w:val="center"/>
                </w:tcPr>
                <w:p w14:paraId="2F12814B">
                  <w:pPr>
                    <w:snapToGrid w:val="0"/>
                    <w:jc w:val="center"/>
                    <w:rPr>
                      <w:rFonts w:hint="eastAsia"/>
                      <w:bCs/>
                      <w:color w:val="auto"/>
                      <w:szCs w:val="21"/>
                    </w:rPr>
                  </w:pPr>
                  <w:r>
                    <w:rPr>
                      <w:rFonts w:hint="eastAsia"/>
                      <w:bCs/>
                      <w:color w:val="auto"/>
                      <w:szCs w:val="21"/>
                    </w:rPr>
                    <w:t>三条生产线各设1套布袋除尘器，除尘器内除尘灰定期收集后返回生产工序综合利用，布袋除尘器除尘后由引风机送入1根</w:t>
                  </w:r>
                  <w:r>
                    <w:rPr>
                      <w:rFonts w:hint="eastAsia"/>
                      <w:bCs/>
                      <w:color w:val="auto"/>
                      <w:szCs w:val="21"/>
                      <w:lang w:val="en-US" w:eastAsia="zh-CN"/>
                    </w:rPr>
                    <w:t>20</w:t>
                  </w:r>
                  <w:r>
                    <w:rPr>
                      <w:rFonts w:hint="eastAsia"/>
                      <w:bCs/>
                      <w:color w:val="auto"/>
                      <w:szCs w:val="21"/>
                    </w:rPr>
                    <w:t>m高排气筒（DA002）达标排放。</w:t>
                  </w:r>
                </w:p>
              </w:tc>
            </w:tr>
            <w:tr w14:paraId="0217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30" w:type="dxa"/>
                  <w:vMerge w:val="continue"/>
                  <w:vAlign w:val="center"/>
                </w:tcPr>
                <w:p w14:paraId="28971EBC">
                  <w:pPr>
                    <w:snapToGrid w:val="0"/>
                    <w:jc w:val="center"/>
                    <w:rPr>
                      <w:bCs/>
                      <w:color w:val="auto"/>
                      <w:szCs w:val="21"/>
                    </w:rPr>
                  </w:pPr>
                </w:p>
              </w:tc>
              <w:tc>
                <w:tcPr>
                  <w:tcW w:w="900" w:type="dxa"/>
                  <w:vAlign w:val="center"/>
                </w:tcPr>
                <w:p w14:paraId="2E469B10">
                  <w:pPr>
                    <w:snapToGrid w:val="0"/>
                    <w:jc w:val="center"/>
                    <w:rPr>
                      <w:color w:val="auto"/>
                      <w:kern w:val="0"/>
                      <w:szCs w:val="21"/>
                      <w:lang w:bidi="ar"/>
                    </w:rPr>
                  </w:pPr>
                  <w:r>
                    <w:rPr>
                      <w:color w:val="auto"/>
                      <w:kern w:val="0"/>
                      <w:szCs w:val="21"/>
                      <w:lang w:bidi="ar"/>
                    </w:rPr>
                    <w:t>筛分</w:t>
                  </w:r>
                </w:p>
                <w:p w14:paraId="558033D4">
                  <w:pPr>
                    <w:snapToGrid w:val="0"/>
                    <w:jc w:val="center"/>
                    <w:rPr>
                      <w:bCs/>
                      <w:color w:val="auto"/>
                      <w:szCs w:val="21"/>
                    </w:rPr>
                  </w:pPr>
                  <w:r>
                    <w:rPr>
                      <w:color w:val="auto"/>
                      <w:kern w:val="0"/>
                      <w:szCs w:val="21"/>
                      <w:lang w:bidi="ar"/>
                    </w:rPr>
                    <w:t>粉尘</w:t>
                  </w:r>
                </w:p>
              </w:tc>
              <w:tc>
                <w:tcPr>
                  <w:tcW w:w="603" w:type="dxa"/>
                  <w:shd w:val="clear" w:color="auto" w:fill="auto"/>
                  <w:vAlign w:val="center"/>
                </w:tcPr>
                <w:p w14:paraId="0CE47E71">
                  <w:pPr>
                    <w:snapToGrid w:val="0"/>
                    <w:jc w:val="center"/>
                    <w:rPr>
                      <w:rFonts w:hint="eastAsia" w:ascii="Times New Roman" w:hAnsi="Times New Roman" w:eastAsia="宋体" w:cs="Times New Roman"/>
                      <w:bCs/>
                      <w:color w:val="auto"/>
                      <w:kern w:val="2"/>
                      <w:sz w:val="21"/>
                      <w:szCs w:val="21"/>
                      <w:lang w:val="en-US" w:eastAsia="zh-CN" w:bidi="ar-SA"/>
                    </w:rPr>
                  </w:pPr>
                  <w:r>
                    <w:rPr>
                      <w:bCs/>
                      <w:color w:val="auto"/>
                      <w:szCs w:val="21"/>
                    </w:rPr>
                    <w:t>G</w:t>
                  </w:r>
                  <w:r>
                    <w:rPr>
                      <w:rFonts w:hint="eastAsia"/>
                      <w:bCs/>
                      <w:color w:val="auto"/>
                      <w:szCs w:val="21"/>
                      <w:lang w:val="en-US" w:eastAsia="zh-CN"/>
                    </w:rPr>
                    <w:t>8</w:t>
                  </w:r>
                </w:p>
              </w:tc>
              <w:tc>
                <w:tcPr>
                  <w:tcW w:w="1125" w:type="dxa"/>
                  <w:vAlign w:val="center"/>
                </w:tcPr>
                <w:p w14:paraId="138AACEC">
                  <w:pPr>
                    <w:snapToGrid w:val="0"/>
                    <w:jc w:val="center"/>
                    <w:rPr>
                      <w:bCs/>
                      <w:color w:val="auto"/>
                      <w:szCs w:val="21"/>
                    </w:rPr>
                  </w:pPr>
                  <w:r>
                    <w:rPr>
                      <w:bCs/>
                      <w:color w:val="auto"/>
                      <w:szCs w:val="21"/>
                    </w:rPr>
                    <w:t>成品</w:t>
                  </w:r>
                </w:p>
                <w:p w14:paraId="77467963">
                  <w:pPr>
                    <w:snapToGrid w:val="0"/>
                    <w:jc w:val="center"/>
                    <w:rPr>
                      <w:bCs/>
                      <w:color w:val="auto"/>
                      <w:szCs w:val="21"/>
                    </w:rPr>
                  </w:pPr>
                  <w:r>
                    <w:rPr>
                      <w:bCs/>
                      <w:color w:val="auto"/>
                      <w:szCs w:val="21"/>
                    </w:rPr>
                    <w:t>筛分</w:t>
                  </w:r>
                </w:p>
              </w:tc>
              <w:tc>
                <w:tcPr>
                  <w:tcW w:w="1005" w:type="dxa"/>
                  <w:vAlign w:val="center"/>
                </w:tcPr>
                <w:p w14:paraId="7C809ABE">
                  <w:pPr>
                    <w:snapToGrid w:val="0"/>
                    <w:jc w:val="center"/>
                    <w:rPr>
                      <w:bCs/>
                      <w:color w:val="auto"/>
                      <w:szCs w:val="21"/>
                    </w:rPr>
                  </w:pPr>
                  <w:r>
                    <w:rPr>
                      <w:bCs/>
                      <w:color w:val="auto"/>
                      <w:szCs w:val="21"/>
                    </w:rPr>
                    <w:t>颗粒物</w:t>
                  </w:r>
                </w:p>
              </w:tc>
              <w:tc>
                <w:tcPr>
                  <w:tcW w:w="779" w:type="dxa"/>
                  <w:vAlign w:val="center"/>
                </w:tcPr>
                <w:p w14:paraId="6B00366E">
                  <w:pPr>
                    <w:snapToGrid w:val="0"/>
                    <w:jc w:val="center"/>
                    <w:rPr>
                      <w:bCs/>
                      <w:color w:val="auto"/>
                      <w:szCs w:val="21"/>
                    </w:rPr>
                  </w:pPr>
                  <w:r>
                    <w:rPr>
                      <w:bCs/>
                      <w:color w:val="auto"/>
                      <w:szCs w:val="21"/>
                    </w:rPr>
                    <w:t>间断</w:t>
                  </w:r>
                </w:p>
              </w:tc>
              <w:tc>
                <w:tcPr>
                  <w:tcW w:w="2983" w:type="dxa"/>
                  <w:vAlign w:val="center"/>
                </w:tcPr>
                <w:p w14:paraId="406A6D9E">
                  <w:pPr>
                    <w:snapToGrid w:val="0"/>
                    <w:jc w:val="center"/>
                    <w:rPr>
                      <w:bCs/>
                      <w:color w:val="auto"/>
                      <w:szCs w:val="21"/>
                    </w:rPr>
                  </w:pPr>
                  <w:r>
                    <w:rPr>
                      <w:bCs/>
                      <w:color w:val="auto"/>
                      <w:szCs w:val="21"/>
                    </w:rPr>
                    <w:t>在筛板</w:t>
                  </w:r>
                  <w:r>
                    <w:rPr>
                      <w:rFonts w:hint="eastAsia"/>
                      <w:bCs/>
                      <w:color w:val="auto"/>
                      <w:szCs w:val="21"/>
                    </w:rPr>
                    <w:t>处</w:t>
                  </w:r>
                  <w:r>
                    <w:rPr>
                      <w:bCs/>
                      <w:color w:val="auto"/>
                      <w:szCs w:val="21"/>
                    </w:rPr>
                    <w:t>分别设置集气罩，经密闭抽尘管道引至</w:t>
                  </w:r>
                  <w:r>
                    <w:rPr>
                      <w:rFonts w:hint="eastAsia"/>
                      <w:bCs/>
                      <w:color w:val="auto"/>
                      <w:szCs w:val="21"/>
                    </w:rPr>
                    <w:t>布袋</w:t>
                  </w:r>
                  <w:r>
                    <w:rPr>
                      <w:bCs/>
                      <w:color w:val="auto"/>
                      <w:szCs w:val="21"/>
                    </w:rPr>
                    <w:t>除尘器（</w:t>
                  </w:r>
                  <w:r>
                    <w:rPr>
                      <w:rFonts w:hint="eastAsia"/>
                      <w:bCs/>
                      <w:color w:val="auto"/>
                      <w:szCs w:val="21"/>
                    </w:rPr>
                    <w:t>与烘干尾气处</w:t>
                  </w:r>
                  <w:r>
                    <w:rPr>
                      <w:bCs/>
                      <w:color w:val="auto"/>
                      <w:szCs w:val="21"/>
                    </w:rPr>
                    <w:t xml:space="preserve">共用）1根 </w:t>
                  </w:r>
                  <w:r>
                    <w:rPr>
                      <w:rFonts w:hint="eastAsia"/>
                      <w:bCs/>
                      <w:color w:val="auto"/>
                      <w:szCs w:val="21"/>
                      <w:lang w:val="en-US" w:eastAsia="zh-CN"/>
                    </w:rPr>
                    <w:t>20</w:t>
                  </w:r>
                  <w:r>
                    <w:rPr>
                      <w:bCs/>
                      <w:color w:val="auto"/>
                      <w:szCs w:val="21"/>
                    </w:rPr>
                    <w:t>m 排气筒（DA0</w:t>
                  </w:r>
                  <w:r>
                    <w:rPr>
                      <w:rFonts w:hint="eastAsia"/>
                      <w:bCs/>
                      <w:color w:val="auto"/>
                      <w:szCs w:val="21"/>
                    </w:rPr>
                    <w:t>02</w:t>
                  </w:r>
                  <w:r>
                    <w:rPr>
                      <w:bCs/>
                      <w:color w:val="auto"/>
                      <w:szCs w:val="21"/>
                    </w:rPr>
                    <w:t>）排放</w:t>
                  </w:r>
                  <w:r>
                    <w:rPr>
                      <w:rFonts w:hint="eastAsia"/>
                      <w:bCs/>
                      <w:color w:val="auto"/>
                      <w:szCs w:val="21"/>
                    </w:rPr>
                    <w:t>。</w:t>
                  </w:r>
                </w:p>
              </w:tc>
            </w:tr>
            <w:tr w14:paraId="3A16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30" w:type="dxa"/>
                  <w:vMerge w:val="continue"/>
                  <w:vAlign w:val="center"/>
                </w:tcPr>
                <w:p w14:paraId="70F355AE">
                  <w:pPr>
                    <w:snapToGrid w:val="0"/>
                    <w:jc w:val="center"/>
                    <w:rPr>
                      <w:bCs/>
                      <w:color w:val="auto"/>
                      <w:szCs w:val="21"/>
                    </w:rPr>
                  </w:pPr>
                </w:p>
              </w:tc>
              <w:tc>
                <w:tcPr>
                  <w:tcW w:w="900" w:type="dxa"/>
                  <w:vAlign w:val="center"/>
                </w:tcPr>
                <w:p w14:paraId="289E2080">
                  <w:pPr>
                    <w:snapToGrid w:val="0"/>
                    <w:jc w:val="center"/>
                    <w:rPr>
                      <w:rFonts w:hint="eastAsia"/>
                      <w:color w:val="auto"/>
                      <w:kern w:val="0"/>
                      <w:szCs w:val="21"/>
                      <w:lang w:val="en-US" w:eastAsia="zh-CN" w:bidi="ar"/>
                    </w:rPr>
                  </w:pPr>
                  <w:r>
                    <w:rPr>
                      <w:rFonts w:hint="eastAsia"/>
                      <w:color w:val="auto"/>
                      <w:kern w:val="0"/>
                      <w:szCs w:val="21"/>
                      <w:lang w:val="en-US" w:eastAsia="zh-CN" w:bidi="ar"/>
                    </w:rPr>
                    <w:t>包装</w:t>
                  </w:r>
                </w:p>
                <w:p w14:paraId="1F952358">
                  <w:pPr>
                    <w:snapToGrid w:val="0"/>
                    <w:jc w:val="center"/>
                    <w:rPr>
                      <w:rFonts w:hint="default" w:eastAsia="宋体"/>
                      <w:color w:val="auto"/>
                      <w:kern w:val="0"/>
                      <w:szCs w:val="21"/>
                      <w:lang w:val="en-US" w:eastAsia="zh-CN" w:bidi="ar"/>
                    </w:rPr>
                  </w:pPr>
                  <w:r>
                    <w:rPr>
                      <w:rFonts w:hint="eastAsia"/>
                      <w:color w:val="auto"/>
                      <w:kern w:val="0"/>
                      <w:szCs w:val="21"/>
                      <w:lang w:val="en-US" w:eastAsia="zh-CN" w:bidi="ar"/>
                    </w:rPr>
                    <w:t>粉尘</w:t>
                  </w:r>
                </w:p>
              </w:tc>
              <w:tc>
                <w:tcPr>
                  <w:tcW w:w="603" w:type="dxa"/>
                  <w:shd w:val="clear" w:color="auto" w:fill="auto"/>
                  <w:vAlign w:val="center"/>
                </w:tcPr>
                <w:p w14:paraId="770B9B74">
                  <w:pPr>
                    <w:snapToGrid w:val="0"/>
                    <w:jc w:val="center"/>
                    <w:rPr>
                      <w:rFonts w:hint="default" w:eastAsia="宋体"/>
                      <w:bCs/>
                      <w:color w:val="auto"/>
                      <w:szCs w:val="21"/>
                      <w:lang w:val="en-US" w:eastAsia="zh-CN"/>
                    </w:rPr>
                  </w:pPr>
                  <w:r>
                    <w:rPr>
                      <w:rFonts w:hint="eastAsia"/>
                      <w:bCs/>
                      <w:color w:val="auto"/>
                      <w:szCs w:val="21"/>
                      <w:lang w:val="en-US" w:eastAsia="zh-CN"/>
                    </w:rPr>
                    <w:t>G9</w:t>
                  </w:r>
                </w:p>
              </w:tc>
              <w:tc>
                <w:tcPr>
                  <w:tcW w:w="1125" w:type="dxa"/>
                  <w:vAlign w:val="center"/>
                </w:tcPr>
                <w:p w14:paraId="5091C569">
                  <w:pPr>
                    <w:snapToGrid w:val="0"/>
                    <w:jc w:val="center"/>
                    <w:rPr>
                      <w:rFonts w:hint="eastAsia"/>
                      <w:bCs/>
                      <w:color w:val="auto"/>
                      <w:szCs w:val="21"/>
                      <w:lang w:val="en-US" w:eastAsia="zh-CN"/>
                    </w:rPr>
                  </w:pPr>
                  <w:r>
                    <w:rPr>
                      <w:rFonts w:hint="eastAsia"/>
                      <w:bCs/>
                      <w:color w:val="auto"/>
                      <w:szCs w:val="21"/>
                      <w:lang w:val="en-US" w:eastAsia="zh-CN"/>
                    </w:rPr>
                    <w:t>成品</w:t>
                  </w:r>
                </w:p>
                <w:p w14:paraId="1AE25F44">
                  <w:pPr>
                    <w:snapToGrid w:val="0"/>
                    <w:jc w:val="center"/>
                    <w:rPr>
                      <w:rFonts w:hint="default" w:eastAsia="宋体"/>
                      <w:bCs/>
                      <w:color w:val="auto"/>
                      <w:szCs w:val="21"/>
                      <w:lang w:val="en-US" w:eastAsia="zh-CN"/>
                    </w:rPr>
                  </w:pPr>
                  <w:r>
                    <w:rPr>
                      <w:rFonts w:hint="eastAsia"/>
                      <w:bCs/>
                      <w:color w:val="auto"/>
                      <w:szCs w:val="21"/>
                      <w:lang w:val="en-US" w:eastAsia="zh-CN"/>
                    </w:rPr>
                    <w:t>包装</w:t>
                  </w:r>
                </w:p>
              </w:tc>
              <w:tc>
                <w:tcPr>
                  <w:tcW w:w="1005" w:type="dxa"/>
                  <w:shd w:val="clear" w:color="auto" w:fill="auto"/>
                  <w:vAlign w:val="center"/>
                </w:tcPr>
                <w:p w14:paraId="09256EC3">
                  <w:pPr>
                    <w:snapToGrid w:val="0"/>
                    <w:jc w:val="center"/>
                    <w:rPr>
                      <w:rFonts w:ascii="Times New Roman" w:hAnsi="Times New Roman" w:eastAsia="宋体" w:cs="Times New Roman"/>
                      <w:bCs/>
                      <w:color w:val="auto"/>
                      <w:kern w:val="2"/>
                      <w:sz w:val="21"/>
                      <w:szCs w:val="21"/>
                      <w:lang w:val="en-US" w:eastAsia="zh-CN" w:bidi="ar-SA"/>
                    </w:rPr>
                  </w:pPr>
                  <w:r>
                    <w:rPr>
                      <w:bCs/>
                      <w:color w:val="auto"/>
                      <w:szCs w:val="21"/>
                    </w:rPr>
                    <w:t>颗粒物</w:t>
                  </w:r>
                </w:p>
              </w:tc>
              <w:tc>
                <w:tcPr>
                  <w:tcW w:w="779" w:type="dxa"/>
                  <w:shd w:val="clear" w:color="auto" w:fill="auto"/>
                  <w:vAlign w:val="center"/>
                </w:tcPr>
                <w:p w14:paraId="27BACE4B">
                  <w:pPr>
                    <w:snapToGrid w:val="0"/>
                    <w:jc w:val="center"/>
                    <w:rPr>
                      <w:rFonts w:ascii="Times New Roman" w:hAnsi="Times New Roman" w:eastAsia="宋体" w:cs="Times New Roman"/>
                      <w:bCs/>
                      <w:color w:val="auto"/>
                      <w:kern w:val="2"/>
                      <w:sz w:val="21"/>
                      <w:szCs w:val="21"/>
                      <w:lang w:val="en-US" w:eastAsia="zh-CN" w:bidi="ar-SA"/>
                    </w:rPr>
                  </w:pPr>
                  <w:r>
                    <w:rPr>
                      <w:bCs/>
                      <w:color w:val="auto"/>
                      <w:szCs w:val="21"/>
                    </w:rPr>
                    <w:t>间断</w:t>
                  </w:r>
                </w:p>
              </w:tc>
              <w:tc>
                <w:tcPr>
                  <w:tcW w:w="2983" w:type="dxa"/>
                  <w:vAlign w:val="center"/>
                </w:tcPr>
                <w:p w14:paraId="31ED9BD2">
                  <w:pPr>
                    <w:snapToGrid w:val="0"/>
                    <w:jc w:val="center"/>
                    <w:rPr>
                      <w:rFonts w:hint="eastAsia"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在</w:t>
                  </w:r>
                  <w:r>
                    <w:rPr>
                      <w:rFonts w:hint="eastAsia" w:ascii="Times New Roman" w:hAnsi="Times New Roman" w:eastAsia="宋体" w:cs="Times New Roman"/>
                      <w:bCs/>
                      <w:color w:val="auto"/>
                      <w:szCs w:val="21"/>
                    </w:rPr>
                    <w:t>全自动定量包装机</w:t>
                  </w:r>
                  <w:r>
                    <w:rPr>
                      <w:bCs/>
                      <w:color w:val="auto"/>
                      <w:szCs w:val="21"/>
                    </w:rPr>
                    <w:t>设置集气罩，经密闭抽尘管道引至</w:t>
                  </w:r>
                  <w:r>
                    <w:rPr>
                      <w:rFonts w:hint="eastAsia"/>
                      <w:bCs/>
                      <w:color w:val="auto"/>
                      <w:szCs w:val="21"/>
                    </w:rPr>
                    <w:t>布袋</w:t>
                  </w:r>
                  <w:r>
                    <w:rPr>
                      <w:bCs/>
                      <w:color w:val="auto"/>
                      <w:szCs w:val="21"/>
                    </w:rPr>
                    <w:t>除尘器（</w:t>
                  </w:r>
                  <w:r>
                    <w:rPr>
                      <w:rFonts w:hint="eastAsia"/>
                      <w:bCs/>
                      <w:color w:val="auto"/>
                      <w:szCs w:val="21"/>
                    </w:rPr>
                    <w:t>与烘干尾气处</w:t>
                  </w:r>
                  <w:r>
                    <w:rPr>
                      <w:bCs/>
                      <w:color w:val="auto"/>
                      <w:szCs w:val="21"/>
                    </w:rPr>
                    <w:t>共用）1根</w:t>
                  </w:r>
                  <w:r>
                    <w:rPr>
                      <w:rFonts w:hint="eastAsia"/>
                      <w:bCs/>
                      <w:color w:val="auto"/>
                      <w:szCs w:val="21"/>
                      <w:lang w:val="en-US" w:eastAsia="zh-CN"/>
                    </w:rPr>
                    <w:t>20</w:t>
                  </w:r>
                  <w:r>
                    <w:rPr>
                      <w:bCs/>
                      <w:color w:val="auto"/>
                      <w:szCs w:val="21"/>
                    </w:rPr>
                    <w:t>m排气筒（DA0</w:t>
                  </w:r>
                  <w:r>
                    <w:rPr>
                      <w:rFonts w:hint="eastAsia"/>
                      <w:bCs/>
                      <w:color w:val="auto"/>
                      <w:szCs w:val="21"/>
                    </w:rPr>
                    <w:t>02</w:t>
                  </w:r>
                  <w:r>
                    <w:rPr>
                      <w:bCs/>
                      <w:color w:val="auto"/>
                      <w:szCs w:val="21"/>
                    </w:rPr>
                    <w:t>）排放</w:t>
                  </w:r>
                </w:p>
              </w:tc>
            </w:tr>
            <w:tr w14:paraId="39A0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30" w:type="dxa"/>
                  <w:vMerge w:val="continue"/>
                  <w:vAlign w:val="center"/>
                </w:tcPr>
                <w:p w14:paraId="06805E13">
                  <w:pPr>
                    <w:snapToGrid w:val="0"/>
                    <w:jc w:val="center"/>
                    <w:rPr>
                      <w:bCs/>
                      <w:color w:val="auto"/>
                      <w:szCs w:val="21"/>
                    </w:rPr>
                  </w:pPr>
                </w:p>
              </w:tc>
              <w:tc>
                <w:tcPr>
                  <w:tcW w:w="900" w:type="dxa"/>
                  <w:vAlign w:val="center"/>
                </w:tcPr>
                <w:p w14:paraId="489DEA4C">
                  <w:pPr>
                    <w:widowControl/>
                    <w:jc w:val="center"/>
                    <w:rPr>
                      <w:color w:val="auto"/>
                      <w:kern w:val="0"/>
                      <w:szCs w:val="21"/>
                      <w:lang w:bidi="ar"/>
                    </w:rPr>
                  </w:pPr>
                  <w:r>
                    <w:rPr>
                      <w:color w:val="auto"/>
                      <w:kern w:val="0"/>
                      <w:szCs w:val="21"/>
                      <w:lang w:bidi="ar"/>
                    </w:rPr>
                    <w:t>未被</w:t>
                  </w:r>
                </w:p>
                <w:p w14:paraId="66AEADEC">
                  <w:pPr>
                    <w:widowControl/>
                    <w:jc w:val="center"/>
                    <w:rPr>
                      <w:bCs/>
                      <w:color w:val="auto"/>
                      <w:szCs w:val="21"/>
                    </w:rPr>
                  </w:pPr>
                  <w:r>
                    <w:rPr>
                      <w:color w:val="auto"/>
                      <w:kern w:val="0"/>
                      <w:szCs w:val="21"/>
                      <w:lang w:bidi="ar"/>
                    </w:rPr>
                    <w:t>收集的粉尘</w:t>
                  </w:r>
                </w:p>
              </w:tc>
              <w:tc>
                <w:tcPr>
                  <w:tcW w:w="603" w:type="dxa"/>
                  <w:vAlign w:val="center"/>
                </w:tcPr>
                <w:p w14:paraId="7FA903C7">
                  <w:pPr>
                    <w:snapToGrid w:val="0"/>
                    <w:jc w:val="center"/>
                    <w:rPr>
                      <w:rFonts w:hint="default" w:eastAsia="宋体"/>
                      <w:bCs/>
                      <w:color w:val="auto"/>
                      <w:szCs w:val="21"/>
                      <w:lang w:val="en-US" w:eastAsia="zh-CN"/>
                    </w:rPr>
                  </w:pPr>
                  <w:r>
                    <w:rPr>
                      <w:bCs/>
                      <w:color w:val="auto"/>
                      <w:szCs w:val="21"/>
                    </w:rPr>
                    <w:t>G</w:t>
                  </w:r>
                  <w:r>
                    <w:rPr>
                      <w:rFonts w:hint="eastAsia"/>
                      <w:bCs/>
                      <w:color w:val="auto"/>
                      <w:szCs w:val="21"/>
                      <w:lang w:val="en-US" w:eastAsia="zh-CN"/>
                    </w:rPr>
                    <w:t>10</w:t>
                  </w:r>
                </w:p>
              </w:tc>
              <w:tc>
                <w:tcPr>
                  <w:tcW w:w="1125" w:type="dxa"/>
                  <w:vAlign w:val="center"/>
                </w:tcPr>
                <w:p w14:paraId="4CE75988">
                  <w:pPr>
                    <w:snapToGrid w:val="0"/>
                    <w:jc w:val="center"/>
                    <w:rPr>
                      <w:bCs/>
                      <w:color w:val="auto"/>
                      <w:szCs w:val="21"/>
                    </w:rPr>
                  </w:pPr>
                  <w:r>
                    <w:rPr>
                      <w:bCs/>
                      <w:color w:val="auto"/>
                      <w:szCs w:val="21"/>
                    </w:rPr>
                    <w:t>厂房内</w:t>
                  </w:r>
                </w:p>
              </w:tc>
              <w:tc>
                <w:tcPr>
                  <w:tcW w:w="1005" w:type="dxa"/>
                  <w:vAlign w:val="center"/>
                </w:tcPr>
                <w:p w14:paraId="3B2B4E46">
                  <w:pPr>
                    <w:snapToGrid w:val="0"/>
                    <w:jc w:val="center"/>
                    <w:rPr>
                      <w:bCs/>
                      <w:color w:val="auto"/>
                      <w:szCs w:val="21"/>
                    </w:rPr>
                  </w:pPr>
                  <w:r>
                    <w:rPr>
                      <w:bCs/>
                      <w:color w:val="auto"/>
                      <w:szCs w:val="21"/>
                    </w:rPr>
                    <w:t>颗粒物</w:t>
                  </w:r>
                </w:p>
              </w:tc>
              <w:tc>
                <w:tcPr>
                  <w:tcW w:w="779" w:type="dxa"/>
                  <w:vAlign w:val="center"/>
                </w:tcPr>
                <w:p w14:paraId="4B9672B9">
                  <w:pPr>
                    <w:snapToGrid w:val="0"/>
                    <w:jc w:val="center"/>
                    <w:rPr>
                      <w:bCs/>
                      <w:color w:val="auto"/>
                      <w:szCs w:val="21"/>
                    </w:rPr>
                  </w:pPr>
                  <w:r>
                    <w:rPr>
                      <w:bCs/>
                      <w:color w:val="auto"/>
                      <w:szCs w:val="21"/>
                    </w:rPr>
                    <w:t>间断</w:t>
                  </w:r>
                </w:p>
              </w:tc>
              <w:tc>
                <w:tcPr>
                  <w:tcW w:w="2983" w:type="dxa"/>
                  <w:vAlign w:val="center"/>
                </w:tcPr>
                <w:p w14:paraId="35799C1A">
                  <w:pPr>
                    <w:snapToGrid w:val="0"/>
                    <w:jc w:val="center"/>
                    <w:rPr>
                      <w:rFonts w:hint="eastAsia" w:ascii="Times New Roman" w:hAnsi="Times New Roman" w:eastAsia="宋体" w:cs="Times New Roman"/>
                      <w:bCs/>
                      <w:color w:val="auto"/>
                      <w:szCs w:val="21"/>
                    </w:rPr>
                  </w:pPr>
                  <w:r>
                    <w:rPr>
                      <w:rFonts w:hint="eastAsia" w:ascii="Times New Roman" w:hAnsi="Times New Roman" w:eastAsia="宋体" w:cs="Times New Roman"/>
                      <w:bCs/>
                      <w:color w:val="auto"/>
                      <w:szCs w:val="21"/>
                    </w:rPr>
                    <w:t>原料仓库干雾抑尘器</w:t>
                  </w:r>
                  <w:r>
                    <w:rPr>
                      <w:rFonts w:hint="eastAsia" w:ascii="Times New Roman" w:hAnsi="Times New Roman" w:eastAsia="宋体" w:cs="Times New Roman"/>
                      <w:bCs/>
                      <w:color w:val="auto"/>
                      <w:szCs w:val="21"/>
                      <w:lang w:val="en-US" w:eastAsia="zh-CN"/>
                    </w:rPr>
                    <w:t>洒水抑尘+</w:t>
                  </w:r>
                  <w:r>
                    <w:rPr>
                      <w:rFonts w:hint="eastAsia" w:ascii="Times New Roman" w:hAnsi="Times New Roman" w:eastAsia="宋体" w:cs="Times New Roman"/>
                      <w:bCs/>
                      <w:color w:val="auto"/>
                      <w:szCs w:val="21"/>
                    </w:rPr>
                    <w:t>封闭厂房</w:t>
                  </w:r>
                  <w:r>
                    <w:rPr>
                      <w:rFonts w:hint="eastAsia" w:ascii="Times New Roman" w:hAnsi="Times New Roman" w:eastAsia="宋体" w:cs="Times New Roman"/>
                      <w:bCs/>
                      <w:color w:val="auto"/>
                      <w:szCs w:val="21"/>
                      <w:lang w:eastAsia="zh-CN"/>
                    </w:rPr>
                    <w:t>；</w:t>
                  </w:r>
                  <w:r>
                    <w:rPr>
                      <w:rFonts w:hint="eastAsia" w:ascii="Times New Roman" w:hAnsi="Times New Roman" w:eastAsia="宋体" w:cs="Times New Roman"/>
                      <w:bCs/>
                      <w:color w:val="auto"/>
                      <w:szCs w:val="21"/>
                      <w:lang w:val="en-US" w:eastAsia="zh-CN"/>
                    </w:rPr>
                    <w:t>型焦</w:t>
                  </w:r>
                  <w:r>
                    <w:rPr>
                      <w:rFonts w:hint="eastAsia" w:ascii="Times New Roman" w:hAnsi="Times New Roman" w:eastAsia="宋体" w:cs="Times New Roman"/>
                      <w:bCs/>
                      <w:color w:val="auto"/>
                      <w:szCs w:val="21"/>
                    </w:rPr>
                    <w:t>生产车间</w:t>
                  </w:r>
                  <w:r>
                    <w:rPr>
                      <w:rFonts w:hint="eastAsia" w:ascii="Times New Roman" w:hAnsi="Times New Roman" w:eastAsia="宋体" w:cs="Times New Roman"/>
                      <w:bCs/>
                      <w:color w:val="auto"/>
                      <w:szCs w:val="21"/>
                      <w:lang w:val="en-US" w:eastAsia="zh-CN"/>
                    </w:rPr>
                    <w:t>洒水抑尘+</w:t>
                  </w:r>
                  <w:r>
                    <w:rPr>
                      <w:rFonts w:hint="eastAsia" w:ascii="Times New Roman" w:hAnsi="Times New Roman" w:eastAsia="宋体" w:cs="Times New Roman"/>
                      <w:bCs/>
                      <w:color w:val="auto"/>
                      <w:szCs w:val="21"/>
                    </w:rPr>
                    <w:t>封闭厂房</w:t>
                  </w:r>
                </w:p>
              </w:tc>
            </w:tr>
            <w:tr w14:paraId="0EAA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0" w:type="dxa"/>
                  <w:vAlign w:val="center"/>
                </w:tcPr>
                <w:p w14:paraId="4470490D">
                  <w:pPr>
                    <w:snapToGrid w:val="0"/>
                    <w:jc w:val="center"/>
                    <w:rPr>
                      <w:bCs/>
                      <w:color w:val="auto"/>
                      <w:szCs w:val="21"/>
                    </w:rPr>
                  </w:pPr>
                  <w:r>
                    <w:rPr>
                      <w:bCs/>
                      <w:color w:val="auto"/>
                      <w:szCs w:val="21"/>
                    </w:rPr>
                    <w:t>废水</w:t>
                  </w:r>
                </w:p>
              </w:tc>
              <w:tc>
                <w:tcPr>
                  <w:tcW w:w="900" w:type="dxa"/>
                  <w:vAlign w:val="center"/>
                </w:tcPr>
                <w:p w14:paraId="6F6596D0">
                  <w:pPr>
                    <w:snapToGrid w:val="0"/>
                    <w:jc w:val="center"/>
                    <w:rPr>
                      <w:bCs/>
                      <w:color w:val="auto"/>
                      <w:szCs w:val="21"/>
                    </w:rPr>
                  </w:pPr>
                  <w:r>
                    <w:rPr>
                      <w:bCs/>
                      <w:color w:val="auto"/>
                      <w:szCs w:val="21"/>
                    </w:rPr>
                    <w:t>职工</w:t>
                  </w:r>
                </w:p>
              </w:tc>
              <w:tc>
                <w:tcPr>
                  <w:tcW w:w="603" w:type="dxa"/>
                  <w:vAlign w:val="center"/>
                </w:tcPr>
                <w:p w14:paraId="65979351">
                  <w:pPr>
                    <w:snapToGrid w:val="0"/>
                    <w:jc w:val="center"/>
                    <w:rPr>
                      <w:bCs/>
                      <w:color w:val="auto"/>
                      <w:szCs w:val="21"/>
                    </w:rPr>
                  </w:pPr>
                  <w:r>
                    <w:rPr>
                      <w:bCs/>
                      <w:color w:val="auto"/>
                      <w:szCs w:val="21"/>
                    </w:rPr>
                    <w:t>W1</w:t>
                  </w:r>
                </w:p>
              </w:tc>
              <w:tc>
                <w:tcPr>
                  <w:tcW w:w="1125" w:type="dxa"/>
                  <w:vAlign w:val="center"/>
                </w:tcPr>
                <w:p w14:paraId="5140591B">
                  <w:pPr>
                    <w:snapToGrid w:val="0"/>
                    <w:jc w:val="center"/>
                    <w:rPr>
                      <w:bCs/>
                      <w:color w:val="auto"/>
                      <w:szCs w:val="21"/>
                    </w:rPr>
                  </w:pPr>
                  <w:r>
                    <w:rPr>
                      <w:bCs/>
                      <w:color w:val="auto"/>
                      <w:szCs w:val="21"/>
                    </w:rPr>
                    <w:t>办公</w:t>
                  </w:r>
                </w:p>
                <w:p w14:paraId="415EB79D">
                  <w:pPr>
                    <w:snapToGrid w:val="0"/>
                    <w:jc w:val="center"/>
                    <w:rPr>
                      <w:bCs/>
                      <w:color w:val="auto"/>
                      <w:szCs w:val="21"/>
                    </w:rPr>
                  </w:pPr>
                  <w:r>
                    <w:rPr>
                      <w:bCs/>
                      <w:color w:val="auto"/>
                      <w:szCs w:val="21"/>
                    </w:rPr>
                    <w:t>生活</w:t>
                  </w:r>
                </w:p>
              </w:tc>
              <w:tc>
                <w:tcPr>
                  <w:tcW w:w="1005" w:type="dxa"/>
                  <w:vAlign w:val="center"/>
                </w:tcPr>
                <w:p w14:paraId="0CAA1F8B">
                  <w:pPr>
                    <w:snapToGrid w:val="0"/>
                    <w:jc w:val="center"/>
                    <w:rPr>
                      <w:bCs/>
                      <w:color w:val="auto"/>
                      <w:szCs w:val="21"/>
                    </w:rPr>
                  </w:pPr>
                  <w:r>
                    <w:rPr>
                      <w:bCs/>
                      <w:color w:val="auto"/>
                      <w:szCs w:val="21"/>
                    </w:rPr>
                    <w:t>COD、BOD</w:t>
                  </w:r>
                  <w:r>
                    <w:rPr>
                      <w:bCs/>
                      <w:color w:val="auto"/>
                      <w:szCs w:val="21"/>
                      <w:vertAlign w:val="subscript"/>
                    </w:rPr>
                    <w:t>5</w:t>
                  </w:r>
                  <w:r>
                    <w:rPr>
                      <w:bCs/>
                      <w:color w:val="auto"/>
                      <w:szCs w:val="21"/>
                    </w:rPr>
                    <w:t>、SS、氨氮</w:t>
                  </w:r>
                </w:p>
              </w:tc>
              <w:tc>
                <w:tcPr>
                  <w:tcW w:w="779" w:type="dxa"/>
                  <w:vAlign w:val="center"/>
                </w:tcPr>
                <w:p w14:paraId="7BCF6D5C">
                  <w:pPr>
                    <w:snapToGrid w:val="0"/>
                    <w:jc w:val="center"/>
                    <w:rPr>
                      <w:bCs/>
                      <w:color w:val="auto"/>
                      <w:szCs w:val="21"/>
                    </w:rPr>
                  </w:pPr>
                  <w:r>
                    <w:rPr>
                      <w:bCs/>
                      <w:color w:val="auto"/>
                      <w:szCs w:val="21"/>
                    </w:rPr>
                    <w:t>间断</w:t>
                  </w:r>
                </w:p>
              </w:tc>
              <w:tc>
                <w:tcPr>
                  <w:tcW w:w="2983" w:type="dxa"/>
                  <w:vAlign w:val="center"/>
                </w:tcPr>
                <w:p w14:paraId="2EB65942">
                  <w:pPr>
                    <w:snapToGrid w:val="0"/>
                    <w:jc w:val="center"/>
                    <w:rPr>
                      <w:bCs/>
                      <w:color w:val="auto"/>
                      <w:szCs w:val="21"/>
                    </w:rPr>
                  </w:pPr>
                  <w:r>
                    <w:rPr>
                      <w:bCs/>
                      <w:color w:val="auto"/>
                      <w:szCs w:val="21"/>
                    </w:rPr>
                    <w:t>生活污水排入现有生化污水处理站，出水送至污水深度处理系统进行深度处理后回用厂区</w:t>
                  </w:r>
                </w:p>
              </w:tc>
            </w:tr>
            <w:tr w14:paraId="6566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30" w:type="dxa"/>
                  <w:vAlign w:val="center"/>
                </w:tcPr>
                <w:p w14:paraId="7E1B9541">
                  <w:pPr>
                    <w:snapToGrid w:val="0"/>
                    <w:jc w:val="center"/>
                    <w:rPr>
                      <w:bCs/>
                      <w:color w:val="auto"/>
                      <w:szCs w:val="21"/>
                    </w:rPr>
                  </w:pPr>
                  <w:r>
                    <w:rPr>
                      <w:bCs/>
                      <w:color w:val="auto"/>
                      <w:szCs w:val="21"/>
                    </w:rPr>
                    <w:t>噪声</w:t>
                  </w:r>
                </w:p>
              </w:tc>
              <w:tc>
                <w:tcPr>
                  <w:tcW w:w="900" w:type="dxa"/>
                  <w:vAlign w:val="center"/>
                </w:tcPr>
                <w:p w14:paraId="2EEB98D0">
                  <w:pPr>
                    <w:snapToGrid w:val="0"/>
                    <w:jc w:val="center"/>
                    <w:rPr>
                      <w:bCs/>
                      <w:color w:val="auto"/>
                      <w:szCs w:val="21"/>
                    </w:rPr>
                  </w:pPr>
                  <w:r>
                    <w:rPr>
                      <w:bCs/>
                      <w:color w:val="auto"/>
                      <w:szCs w:val="21"/>
                    </w:rPr>
                    <w:t>设备</w:t>
                  </w:r>
                </w:p>
                <w:p w14:paraId="0D7B0E1C">
                  <w:pPr>
                    <w:snapToGrid w:val="0"/>
                    <w:jc w:val="center"/>
                    <w:rPr>
                      <w:bCs/>
                      <w:color w:val="auto"/>
                      <w:szCs w:val="21"/>
                    </w:rPr>
                  </w:pPr>
                  <w:r>
                    <w:rPr>
                      <w:bCs/>
                      <w:color w:val="auto"/>
                      <w:szCs w:val="21"/>
                    </w:rPr>
                    <w:t>噪声</w:t>
                  </w:r>
                </w:p>
              </w:tc>
              <w:tc>
                <w:tcPr>
                  <w:tcW w:w="603" w:type="dxa"/>
                  <w:vAlign w:val="center"/>
                </w:tcPr>
                <w:p w14:paraId="4AB5E758">
                  <w:pPr>
                    <w:snapToGrid w:val="0"/>
                    <w:jc w:val="center"/>
                    <w:rPr>
                      <w:bCs/>
                      <w:color w:val="auto"/>
                      <w:szCs w:val="21"/>
                    </w:rPr>
                  </w:pPr>
                  <w:r>
                    <w:rPr>
                      <w:bCs/>
                      <w:color w:val="auto"/>
                      <w:szCs w:val="21"/>
                    </w:rPr>
                    <w:t>N</w:t>
                  </w:r>
                </w:p>
              </w:tc>
              <w:tc>
                <w:tcPr>
                  <w:tcW w:w="1125" w:type="dxa"/>
                  <w:vAlign w:val="center"/>
                </w:tcPr>
                <w:p w14:paraId="1FC9C3E7">
                  <w:pPr>
                    <w:snapToGrid w:val="0"/>
                    <w:jc w:val="center"/>
                    <w:rPr>
                      <w:bCs/>
                      <w:color w:val="auto"/>
                      <w:szCs w:val="21"/>
                    </w:rPr>
                  </w:pPr>
                  <w:r>
                    <w:rPr>
                      <w:bCs/>
                      <w:color w:val="auto"/>
                      <w:szCs w:val="21"/>
                    </w:rPr>
                    <w:t>生产</w:t>
                  </w:r>
                </w:p>
                <w:p w14:paraId="05B81579">
                  <w:pPr>
                    <w:snapToGrid w:val="0"/>
                    <w:jc w:val="center"/>
                    <w:rPr>
                      <w:bCs/>
                      <w:color w:val="auto"/>
                      <w:szCs w:val="21"/>
                    </w:rPr>
                  </w:pPr>
                  <w:r>
                    <w:rPr>
                      <w:bCs/>
                      <w:color w:val="auto"/>
                      <w:szCs w:val="21"/>
                    </w:rPr>
                    <w:t>过程</w:t>
                  </w:r>
                </w:p>
              </w:tc>
              <w:tc>
                <w:tcPr>
                  <w:tcW w:w="1005" w:type="dxa"/>
                  <w:vAlign w:val="center"/>
                </w:tcPr>
                <w:p w14:paraId="58F9A110">
                  <w:pPr>
                    <w:snapToGrid w:val="0"/>
                    <w:jc w:val="center"/>
                    <w:rPr>
                      <w:bCs/>
                      <w:color w:val="auto"/>
                      <w:szCs w:val="21"/>
                    </w:rPr>
                  </w:pPr>
                  <w:r>
                    <w:rPr>
                      <w:bCs/>
                      <w:color w:val="auto"/>
                      <w:szCs w:val="21"/>
                    </w:rPr>
                    <w:t>噪声</w:t>
                  </w:r>
                </w:p>
              </w:tc>
              <w:tc>
                <w:tcPr>
                  <w:tcW w:w="779" w:type="dxa"/>
                  <w:vAlign w:val="center"/>
                </w:tcPr>
                <w:p w14:paraId="395EAE70">
                  <w:pPr>
                    <w:snapToGrid w:val="0"/>
                    <w:jc w:val="center"/>
                    <w:rPr>
                      <w:bCs/>
                      <w:color w:val="auto"/>
                      <w:szCs w:val="21"/>
                    </w:rPr>
                  </w:pPr>
                  <w:r>
                    <w:rPr>
                      <w:bCs/>
                      <w:color w:val="auto"/>
                      <w:szCs w:val="21"/>
                    </w:rPr>
                    <w:t>连续</w:t>
                  </w:r>
                </w:p>
              </w:tc>
              <w:tc>
                <w:tcPr>
                  <w:tcW w:w="2983" w:type="dxa"/>
                  <w:vAlign w:val="center"/>
                </w:tcPr>
                <w:p w14:paraId="369EE711">
                  <w:pPr>
                    <w:snapToGrid w:val="0"/>
                    <w:jc w:val="center"/>
                    <w:rPr>
                      <w:bCs/>
                      <w:color w:val="auto"/>
                      <w:szCs w:val="21"/>
                    </w:rPr>
                  </w:pPr>
                  <w:r>
                    <w:rPr>
                      <w:bCs/>
                      <w:color w:val="auto"/>
                      <w:szCs w:val="21"/>
                    </w:rPr>
                    <w:t>本项目生产设备位于车间内，选用低噪声设备，采取消音、减振、隔声等措施；设置严禁鸣笛标识</w:t>
                  </w:r>
                </w:p>
              </w:tc>
            </w:tr>
            <w:tr w14:paraId="4288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30" w:type="dxa"/>
                  <w:vMerge w:val="restart"/>
                  <w:vAlign w:val="center"/>
                </w:tcPr>
                <w:p w14:paraId="71AAA491">
                  <w:pPr>
                    <w:snapToGrid w:val="0"/>
                    <w:jc w:val="center"/>
                    <w:rPr>
                      <w:bCs/>
                      <w:color w:val="auto"/>
                      <w:szCs w:val="21"/>
                    </w:rPr>
                  </w:pPr>
                  <w:r>
                    <w:rPr>
                      <w:bCs/>
                      <w:color w:val="auto"/>
                      <w:szCs w:val="21"/>
                    </w:rPr>
                    <w:t>固废</w:t>
                  </w:r>
                </w:p>
              </w:tc>
              <w:tc>
                <w:tcPr>
                  <w:tcW w:w="900" w:type="dxa"/>
                  <w:vAlign w:val="center"/>
                </w:tcPr>
                <w:p w14:paraId="0ECCC0A6">
                  <w:pPr>
                    <w:snapToGrid w:val="0"/>
                    <w:jc w:val="center"/>
                    <w:rPr>
                      <w:bCs/>
                      <w:color w:val="auto"/>
                      <w:szCs w:val="21"/>
                    </w:rPr>
                  </w:pPr>
                  <w:r>
                    <w:rPr>
                      <w:bCs/>
                      <w:color w:val="auto"/>
                      <w:szCs w:val="21"/>
                    </w:rPr>
                    <w:t>金属</w:t>
                  </w:r>
                </w:p>
                <w:p w14:paraId="3608A747">
                  <w:pPr>
                    <w:snapToGrid w:val="0"/>
                    <w:jc w:val="center"/>
                    <w:rPr>
                      <w:bCs/>
                      <w:color w:val="auto"/>
                      <w:szCs w:val="21"/>
                    </w:rPr>
                  </w:pPr>
                  <w:r>
                    <w:rPr>
                      <w:bCs/>
                      <w:color w:val="auto"/>
                      <w:szCs w:val="21"/>
                    </w:rPr>
                    <w:t>杂质</w:t>
                  </w:r>
                </w:p>
              </w:tc>
              <w:tc>
                <w:tcPr>
                  <w:tcW w:w="603" w:type="dxa"/>
                  <w:vAlign w:val="center"/>
                </w:tcPr>
                <w:p w14:paraId="10E0AF3F">
                  <w:pPr>
                    <w:snapToGrid w:val="0"/>
                    <w:jc w:val="center"/>
                    <w:rPr>
                      <w:bCs/>
                      <w:color w:val="auto"/>
                      <w:szCs w:val="21"/>
                    </w:rPr>
                  </w:pPr>
                  <w:r>
                    <w:rPr>
                      <w:bCs/>
                      <w:color w:val="auto"/>
                      <w:szCs w:val="21"/>
                    </w:rPr>
                    <w:t>S1</w:t>
                  </w:r>
                </w:p>
              </w:tc>
              <w:tc>
                <w:tcPr>
                  <w:tcW w:w="1125" w:type="dxa"/>
                  <w:vAlign w:val="center"/>
                </w:tcPr>
                <w:p w14:paraId="2A154490">
                  <w:pPr>
                    <w:snapToGrid w:val="0"/>
                    <w:jc w:val="center"/>
                    <w:rPr>
                      <w:bCs/>
                      <w:color w:val="auto"/>
                      <w:szCs w:val="21"/>
                    </w:rPr>
                  </w:pPr>
                  <w:r>
                    <w:rPr>
                      <w:rFonts w:hint="eastAsia"/>
                      <w:bCs/>
                      <w:color w:val="auto"/>
                      <w:szCs w:val="21"/>
                    </w:rPr>
                    <w:t>搅拌</w:t>
                  </w:r>
                </w:p>
              </w:tc>
              <w:tc>
                <w:tcPr>
                  <w:tcW w:w="1005" w:type="dxa"/>
                  <w:vAlign w:val="center"/>
                </w:tcPr>
                <w:p w14:paraId="4BC78AED">
                  <w:pPr>
                    <w:snapToGrid w:val="0"/>
                    <w:jc w:val="center"/>
                    <w:rPr>
                      <w:bCs/>
                      <w:color w:val="auto"/>
                      <w:szCs w:val="21"/>
                    </w:rPr>
                  </w:pPr>
                  <w:r>
                    <w:rPr>
                      <w:bCs/>
                      <w:color w:val="auto"/>
                      <w:szCs w:val="21"/>
                    </w:rPr>
                    <w:t>金属</w:t>
                  </w:r>
                </w:p>
                <w:p w14:paraId="1E999B7C">
                  <w:pPr>
                    <w:snapToGrid w:val="0"/>
                    <w:jc w:val="center"/>
                    <w:rPr>
                      <w:bCs/>
                      <w:color w:val="auto"/>
                      <w:szCs w:val="21"/>
                    </w:rPr>
                  </w:pPr>
                  <w:r>
                    <w:rPr>
                      <w:bCs/>
                      <w:color w:val="auto"/>
                      <w:szCs w:val="21"/>
                    </w:rPr>
                    <w:t>杂质</w:t>
                  </w:r>
                </w:p>
              </w:tc>
              <w:tc>
                <w:tcPr>
                  <w:tcW w:w="779" w:type="dxa"/>
                  <w:vAlign w:val="center"/>
                </w:tcPr>
                <w:p w14:paraId="4129DCFB">
                  <w:pPr>
                    <w:snapToGrid w:val="0"/>
                    <w:jc w:val="center"/>
                    <w:rPr>
                      <w:bCs/>
                      <w:color w:val="auto"/>
                      <w:szCs w:val="21"/>
                    </w:rPr>
                  </w:pPr>
                  <w:r>
                    <w:rPr>
                      <w:bCs/>
                      <w:color w:val="auto"/>
                      <w:szCs w:val="21"/>
                    </w:rPr>
                    <w:t>间断</w:t>
                  </w:r>
                </w:p>
              </w:tc>
              <w:tc>
                <w:tcPr>
                  <w:tcW w:w="2983" w:type="dxa"/>
                  <w:vAlign w:val="center"/>
                </w:tcPr>
                <w:p w14:paraId="4B11D149">
                  <w:pPr>
                    <w:snapToGrid w:val="0"/>
                    <w:jc w:val="center"/>
                    <w:rPr>
                      <w:bCs/>
                      <w:color w:val="auto"/>
                      <w:szCs w:val="21"/>
                    </w:rPr>
                  </w:pPr>
                  <w:r>
                    <w:rPr>
                      <w:bCs/>
                      <w:color w:val="auto"/>
                      <w:szCs w:val="21"/>
                    </w:rPr>
                    <w:t>收集在</w:t>
                  </w:r>
                  <w:r>
                    <w:rPr>
                      <w:rFonts w:hint="eastAsia"/>
                      <w:bCs/>
                      <w:color w:val="auto"/>
                      <w:szCs w:val="21"/>
                    </w:rPr>
                    <w:t>型焦生产车间</w:t>
                  </w:r>
                  <w:r>
                    <w:rPr>
                      <w:bCs/>
                      <w:color w:val="auto"/>
                      <w:szCs w:val="21"/>
                    </w:rPr>
                    <w:t>内，</w:t>
                  </w:r>
                  <w:r>
                    <w:rPr>
                      <w:rFonts w:hint="eastAsia"/>
                      <w:bCs/>
                      <w:color w:val="auto"/>
                      <w:szCs w:val="21"/>
                      <w:lang w:val="en-US" w:eastAsia="zh-CN"/>
                    </w:rPr>
                    <w:t>外售处理</w:t>
                  </w:r>
                  <w:r>
                    <w:rPr>
                      <w:rFonts w:hint="eastAsia"/>
                      <w:bCs/>
                      <w:color w:val="auto"/>
                      <w:szCs w:val="21"/>
                    </w:rPr>
                    <w:t>。</w:t>
                  </w:r>
                </w:p>
              </w:tc>
            </w:tr>
            <w:tr w14:paraId="377C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30" w:type="dxa"/>
                  <w:vMerge w:val="continue"/>
                  <w:vAlign w:val="center"/>
                </w:tcPr>
                <w:p w14:paraId="64FD07BE">
                  <w:pPr>
                    <w:snapToGrid w:val="0"/>
                    <w:jc w:val="center"/>
                    <w:rPr>
                      <w:bCs/>
                      <w:color w:val="auto"/>
                      <w:szCs w:val="21"/>
                    </w:rPr>
                  </w:pPr>
                </w:p>
              </w:tc>
              <w:tc>
                <w:tcPr>
                  <w:tcW w:w="900" w:type="dxa"/>
                  <w:vAlign w:val="center"/>
                </w:tcPr>
                <w:p w14:paraId="6E7D1725">
                  <w:pPr>
                    <w:snapToGrid w:val="0"/>
                    <w:jc w:val="center"/>
                    <w:rPr>
                      <w:bCs/>
                      <w:color w:val="auto"/>
                      <w:szCs w:val="21"/>
                    </w:rPr>
                  </w:pPr>
                  <w:r>
                    <w:rPr>
                      <w:color w:val="auto"/>
                      <w:kern w:val="0"/>
                      <w:szCs w:val="21"/>
                      <w:lang w:bidi="ar"/>
                    </w:rPr>
                    <w:t>除尘灰</w:t>
                  </w:r>
                </w:p>
              </w:tc>
              <w:tc>
                <w:tcPr>
                  <w:tcW w:w="603" w:type="dxa"/>
                  <w:vAlign w:val="center"/>
                </w:tcPr>
                <w:p w14:paraId="5E616357">
                  <w:pPr>
                    <w:snapToGrid w:val="0"/>
                    <w:jc w:val="center"/>
                    <w:rPr>
                      <w:bCs/>
                      <w:color w:val="auto"/>
                      <w:szCs w:val="21"/>
                    </w:rPr>
                  </w:pPr>
                  <w:r>
                    <w:rPr>
                      <w:bCs/>
                      <w:color w:val="auto"/>
                      <w:szCs w:val="21"/>
                    </w:rPr>
                    <w:t>S2</w:t>
                  </w:r>
                </w:p>
              </w:tc>
              <w:tc>
                <w:tcPr>
                  <w:tcW w:w="1125" w:type="dxa"/>
                  <w:vAlign w:val="center"/>
                </w:tcPr>
                <w:p w14:paraId="75D1B53F">
                  <w:pPr>
                    <w:widowControl/>
                    <w:jc w:val="center"/>
                    <w:rPr>
                      <w:bCs/>
                      <w:color w:val="auto"/>
                      <w:szCs w:val="21"/>
                    </w:rPr>
                  </w:pPr>
                  <w:r>
                    <w:rPr>
                      <w:color w:val="auto"/>
                      <w:kern w:val="0"/>
                      <w:szCs w:val="21"/>
                      <w:lang w:bidi="ar"/>
                    </w:rPr>
                    <w:t>袋式除尘器</w:t>
                  </w:r>
                </w:p>
              </w:tc>
              <w:tc>
                <w:tcPr>
                  <w:tcW w:w="1005" w:type="dxa"/>
                  <w:vAlign w:val="center"/>
                </w:tcPr>
                <w:p w14:paraId="7909A01C">
                  <w:pPr>
                    <w:snapToGrid w:val="0"/>
                    <w:jc w:val="center"/>
                    <w:rPr>
                      <w:bCs/>
                      <w:color w:val="auto"/>
                      <w:szCs w:val="21"/>
                    </w:rPr>
                  </w:pPr>
                  <w:r>
                    <w:rPr>
                      <w:rFonts w:hint="eastAsia"/>
                      <w:bCs/>
                      <w:color w:val="auto"/>
                      <w:szCs w:val="21"/>
                    </w:rPr>
                    <w:t>含碳</w:t>
                  </w:r>
                </w:p>
                <w:p w14:paraId="53B702FD">
                  <w:pPr>
                    <w:snapToGrid w:val="0"/>
                    <w:jc w:val="center"/>
                    <w:rPr>
                      <w:bCs/>
                      <w:color w:val="auto"/>
                      <w:szCs w:val="21"/>
                    </w:rPr>
                  </w:pPr>
                  <w:r>
                    <w:rPr>
                      <w:rFonts w:hint="eastAsia"/>
                      <w:bCs/>
                      <w:color w:val="auto"/>
                      <w:szCs w:val="21"/>
                    </w:rPr>
                    <w:t>粉末</w:t>
                  </w:r>
                </w:p>
              </w:tc>
              <w:tc>
                <w:tcPr>
                  <w:tcW w:w="779" w:type="dxa"/>
                  <w:vAlign w:val="center"/>
                </w:tcPr>
                <w:p w14:paraId="5D577CCA">
                  <w:pPr>
                    <w:snapToGrid w:val="0"/>
                    <w:jc w:val="center"/>
                    <w:rPr>
                      <w:bCs/>
                      <w:color w:val="auto"/>
                      <w:szCs w:val="21"/>
                    </w:rPr>
                  </w:pPr>
                  <w:r>
                    <w:rPr>
                      <w:bCs/>
                      <w:color w:val="auto"/>
                      <w:szCs w:val="21"/>
                    </w:rPr>
                    <w:t>间断</w:t>
                  </w:r>
                </w:p>
              </w:tc>
              <w:tc>
                <w:tcPr>
                  <w:tcW w:w="2983" w:type="dxa"/>
                  <w:vAlign w:val="center"/>
                </w:tcPr>
                <w:p w14:paraId="689530D0">
                  <w:pPr>
                    <w:snapToGrid w:val="0"/>
                    <w:jc w:val="center"/>
                    <w:rPr>
                      <w:bCs/>
                      <w:color w:val="auto"/>
                      <w:szCs w:val="21"/>
                    </w:rPr>
                  </w:pPr>
                  <w:r>
                    <w:rPr>
                      <w:bCs/>
                      <w:color w:val="auto"/>
                      <w:szCs w:val="21"/>
                    </w:rPr>
                    <w:t>定期收集后返回生产工序综合利用</w:t>
                  </w:r>
                  <w:r>
                    <w:rPr>
                      <w:rFonts w:hint="eastAsia"/>
                      <w:bCs/>
                      <w:color w:val="auto"/>
                      <w:szCs w:val="21"/>
                    </w:rPr>
                    <w:t>。</w:t>
                  </w:r>
                </w:p>
              </w:tc>
            </w:tr>
            <w:tr w14:paraId="0C48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30" w:type="dxa"/>
                  <w:vMerge w:val="continue"/>
                  <w:vAlign w:val="center"/>
                </w:tcPr>
                <w:p w14:paraId="412EC19E">
                  <w:pPr>
                    <w:snapToGrid w:val="0"/>
                    <w:jc w:val="center"/>
                    <w:rPr>
                      <w:bCs/>
                      <w:color w:val="auto"/>
                      <w:szCs w:val="21"/>
                    </w:rPr>
                  </w:pPr>
                </w:p>
              </w:tc>
              <w:tc>
                <w:tcPr>
                  <w:tcW w:w="900" w:type="dxa"/>
                  <w:vAlign w:val="center"/>
                </w:tcPr>
                <w:p w14:paraId="2F953E31">
                  <w:pPr>
                    <w:snapToGrid w:val="0"/>
                    <w:jc w:val="center"/>
                    <w:rPr>
                      <w:color w:val="auto"/>
                      <w:kern w:val="0"/>
                      <w:szCs w:val="21"/>
                      <w:lang w:bidi="ar"/>
                    </w:rPr>
                  </w:pPr>
                  <w:r>
                    <w:rPr>
                      <w:rFonts w:hint="eastAsia"/>
                      <w:color w:val="auto"/>
                      <w:kern w:val="0"/>
                      <w:szCs w:val="21"/>
                      <w:lang w:val="en-US" w:eastAsia="zh-CN" w:bidi="ar"/>
                    </w:rPr>
                    <w:t>沉淀池污泥</w:t>
                  </w:r>
                </w:p>
              </w:tc>
              <w:tc>
                <w:tcPr>
                  <w:tcW w:w="603" w:type="dxa"/>
                  <w:vAlign w:val="center"/>
                </w:tcPr>
                <w:p w14:paraId="0F315B4C">
                  <w:pPr>
                    <w:snapToGrid w:val="0"/>
                    <w:jc w:val="center"/>
                    <w:rPr>
                      <w:bCs/>
                      <w:color w:val="auto"/>
                      <w:szCs w:val="21"/>
                    </w:rPr>
                  </w:pPr>
                  <w:r>
                    <w:rPr>
                      <w:bCs/>
                      <w:color w:val="auto"/>
                      <w:szCs w:val="21"/>
                    </w:rPr>
                    <w:t>S</w:t>
                  </w:r>
                  <w:r>
                    <w:rPr>
                      <w:rFonts w:hint="eastAsia"/>
                      <w:bCs/>
                      <w:color w:val="auto"/>
                      <w:szCs w:val="21"/>
                    </w:rPr>
                    <w:t>3</w:t>
                  </w:r>
                </w:p>
              </w:tc>
              <w:tc>
                <w:tcPr>
                  <w:tcW w:w="1125" w:type="dxa"/>
                  <w:vAlign w:val="center"/>
                </w:tcPr>
                <w:p w14:paraId="7719CDEB">
                  <w:pPr>
                    <w:widowControl/>
                    <w:jc w:val="center"/>
                    <w:rPr>
                      <w:color w:val="auto"/>
                      <w:kern w:val="0"/>
                      <w:szCs w:val="21"/>
                      <w:lang w:bidi="ar"/>
                    </w:rPr>
                  </w:pPr>
                  <w:r>
                    <w:rPr>
                      <w:rFonts w:hint="eastAsia" w:ascii="Times New Roman" w:hAnsi="Times New Roman"/>
                      <w:snapToGrid w:val="0"/>
                      <w:color w:val="auto"/>
                      <w:sz w:val="21"/>
                      <w:szCs w:val="21"/>
                      <w:lang w:val="en-US" w:eastAsia="zh-CN"/>
                    </w:rPr>
                    <w:t>车辆冲洗沉淀池收集</w:t>
                  </w:r>
                </w:p>
              </w:tc>
              <w:tc>
                <w:tcPr>
                  <w:tcW w:w="1005" w:type="dxa"/>
                  <w:vAlign w:val="center"/>
                </w:tcPr>
                <w:p w14:paraId="6641CBAD">
                  <w:pPr>
                    <w:snapToGrid w:val="0"/>
                    <w:jc w:val="center"/>
                    <w:rPr>
                      <w:rFonts w:hint="default" w:eastAsia="宋体"/>
                      <w:bCs/>
                      <w:color w:val="auto"/>
                      <w:szCs w:val="21"/>
                      <w:lang w:val="en-US" w:eastAsia="zh-CN"/>
                    </w:rPr>
                  </w:pPr>
                  <w:r>
                    <w:rPr>
                      <w:rFonts w:hint="eastAsia"/>
                      <w:bCs/>
                      <w:color w:val="auto"/>
                      <w:szCs w:val="21"/>
                      <w:lang w:val="en-US" w:eastAsia="zh-CN"/>
                    </w:rPr>
                    <w:t>污泥</w:t>
                  </w:r>
                </w:p>
              </w:tc>
              <w:tc>
                <w:tcPr>
                  <w:tcW w:w="779" w:type="dxa"/>
                  <w:vAlign w:val="center"/>
                </w:tcPr>
                <w:p w14:paraId="2B660C32">
                  <w:pPr>
                    <w:snapToGrid w:val="0"/>
                    <w:jc w:val="center"/>
                    <w:rPr>
                      <w:bCs/>
                      <w:color w:val="auto"/>
                      <w:szCs w:val="21"/>
                    </w:rPr>
                  </w:pPr>
                  <w:r>
                    <w:rPr>
                      <w:bCs/>
                      <w:color w:val="auto"/>
                      <w:szCs w:val="21"/>
                    </w:rPr>
                    <w:t>间断</w:t>
                  </w:r>
                </w:p>
              </w:tc>
              <w:tc>
                <w:tcPr>
                  <w:tcW w:w="2983" w:type="dxa"/>
                  <w:vAlign w:val="center"/>
                </w:tcPr>
                <w:p w14:paraId="2F2E212F">
                  <w:pPr>
                    <w:snapToGrid w:val="0"/>
                    <w:jc w:val="center"/>
                    <w:rPr>
                      <w:bCs/>
                      <w:color w:val="auto"/>
                      <w:szCs w:val="21"/>
                    </w:rPr>
                  </w:pPr>
                  <w:r>
                    <w:rPr>
                      <w:rFonts w:hint="eastAsia"/>
                      <w:bCs/>
                      <w:color w:val="auto"/>
                      <w:szCs w:val="21"/>
                      <w:lang w:val="en-US" w:eastAsia="zh-CN"/>
                    </w:rPr>
                    <w:t>委托有资质的一般工业固废处置单位规范处置。</w:t>
                  </w:r>
                </w:p>
              </w:tc>
            </w:tr>
            <w:tr w14:paraId="321F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30" w:type="dxa"/>
                  <w:vMerge w:val="continue"/>
                  <w:vAlign w:val="center"/>
                </w:tcPr>
                <w:p w14:paraId="289929B3">
                  <w:pPr>
                    <w:snapToGrid w:val="0"/>
                    <w:jc w:val="center"/>
                    <w:rPr>
                      <w:bCs/>
                      <w:color w:val="auto"/>
                      <w:szCs w:val="21"/>
                    </w:rPr>
                  </w:pPr>
                </w:p>
              </w:tc>
              <w:tc>
                <w:tcPr>
                  <w:tcW w:w="900" w:type="dxa"/>
                  <w:vAlign w:val="center"/>
                </w:tcPr>
                <w:p w14:paraId="6AFA0EB4">
                  <w:pPr>
                    <w:snapToGrid w:val="0"/>
                    <w:jc w:val="center"/>
                    <w:rPr>
                      <w:bCs/>
                      <w:color w:val="auto"/>
                      <w:szCs w:val="21"/>
                    </w:rPr>
                  </w:pPr>
                  <w:r>
                    <w:rPr>
                      <w:bCs/>
                      <w:color w:val="auto"/>
                      <w:szCs w:val="21"/>
                    </w:rPr>
                    <w:t>生活</w:t>
                  </w:r>
                </w:p>
                <w:p w14:paraId="521ACF9E">
                  <w:pPr>
                    <w:snapToGrid w:val="0"/>
                    <w:jc w:val="center"/>
                    <w:rPr>
                      <w:bCs/>
                      <w:color w:val="auto"/>
                      <w:szCs w:val="21"/>
                    </w:rPr>
                  </w:pPr>
                  <w:r>
                    <w:rPr>
                      <w:bCs/>
                      <w:color w:val="auto"/>
                      <w:szCs w:val="21"/>
                    </w:rPr>
                    <w:t>垃圾</w:t>
                  </w:r>
                </w:p>
              </w:tc>
              <w:tc>
                <w:tcPr>
                  <w:tcW w:w="603" w:type="dxa"/>
                  <w:vAlign w:val="center"/>
                </w:tcPr>
                <w:p w14:paraId="3C54D57C">
                  <w:pPr>
                    <w:snapToGrid w:val="0"/>
                    <w:jc w:val="center"/>
                    <w:rPr>
                      <w:rFonts w:hint="eastAsia" w:eastAsia="宋体"/>
                      <w:bCs/>
                      <w:color w:val="auto"/>
                      <w:szCs w:val="21"/>
                      <w:lang w:eastAsia="zh-CN"/>
                    </w:rPr>
                  </w:pPr>
                  <w:r>
                    <w:rPr>
                      <w:bCs/>
                      <w:color w:val="auto"/>
                      <w:szCs w:val="21"/>
                    </w:rPr>
                    <w:t>S</w:t>
                  </w:r>
                  <w:r>
                    <w:rPr>
                      <w:rFonts w:hint="eastAsia"/>
                      <w:bCs/>
                      <w:color w:val="auto"/>
                      <w:szCs w:val="21"/>
                      <w:lang w:val="en-US" w:eastAsia="zh-CN"/>
                    </w:rPr>
                    <w:t>4</w:t>
                  </w:r>
                </w:p>
              </w:tc>
              <w:tc>
                <w:tcPr>
                  <w:tcW w:w="1125" w:type="dxa"/>
                  <w:vAlign w:val="center"/>
                </w:tcPr>
                <w:p w14:paraId="11F70F28">
                  <w:pPr>
                    <w:snapToGrid w:val="0"/>
                    <w:jc w:val="center"/>
                    <w:rPr>
                      <w:bCs/>
                      <w:color w:val="auto"/>
                      <w:szCs w:val="21"/>
                    </w:rPr>
                  </w:pPr>
                  <w:r>
                    <w:rPr>
                      <w:bCs/>
                      <w:color w:val="auto"/>
                      <w:szCs w:val="21"/>
                    </w:rPr>
                    <w:t>办公</w:t>
                  </w:r>
                </w:p>
                <w:p w14:paraId="186FB42B">
                  <w:pPr>
                    <w:snapToGrid w:val="0"/>
                    <w:jc w:val="center"/>
                    <w:rPr>
                      <w:bCs/>
                      <w:color w:val="auto"/>
                      <w:szCs w:val="21"/>
                    </w:rPr>
                  </w:pPr>
                  <w:r>
                    <w:rPr>
                      <w:bCs/>
                      <w:color w:val="auto"/>
                      <w:szCs w:val="21"/>
                    </w:rPr>
                    <w:t>生活</w:t>
                  </w:r>
                </w:p>
              </w:tc>
              <w:tc>
                <w:tcPr>
                  <w:tcW w:w="1005" w:type="dxa"/>
                  <w:vAlign w:val="center"/>
                </w:tcPr>
                <w:p w14:paraId="3BFF4328">
                  <w:pPr>
                    <w:widowControl/>
                    <w:jc w:val="center"/>
                    <w:rPr>
                      <w:color w:val="auto"/>
                      <w:kern w:val="0"/>
                      <w:szCs w:val="21"/>
                      <w:lang w:bidi="ar"/>
                    </w:rPr>
                  </w:pPr>
                  <w:r>
                    <w:rPr>
                      <w:color w:val="auto"/>
                      <w:kern w:val="0"/>
                      <w:szCs w:val="21"/>
                      <w:lang w:bidi="ar"/>
                    </w:rPr>
                    <w:t>生活</w:t>
                  </w:r>
                </w:p>
                <w:p w14:paraId="26EA8A0A">
                  <w:pPr>
                    <w:widowControl/>
                    <w:jc w:val="center"/>
                    <w:rPr>
                      <w:bCs/>
                      <w:color w:val="auto"/>
                      <w:szCs w:val="21"/>
                    </w:rPr>
                  </w:pPr>
                  <w:r>
                    <w:rPr>
                      <w:color w:val="auto"/>
                      <w:kern w:val="0"/>
                      <w:szCs w:val="21"/>
                      <w:lang w:bidi="ar"/>
                    </w:rPr>
                    <w:t>垃圾</w:t>
                  </w:r>
                </w:p>
              </w:tc>
              <w:tc>
                <w:tcPr>
                  <w:tcW w:w="779" w:type="dxa"/>
                  <w:vAlign w:val="center"/>
                </w:tcPr>
                <w:p w14:paraId="5C04F5BE">
                  <w:pPr>
                    <w:snapToGrid w:val="0"/>
                    <w:jc w:val="center"/>
                    <w:rPr>
                      <w:bCs/>
                      <w:color w:val="auto"/>
                      <w:szCs w:val="21"/>
                    </w:rPr>
                  </w:pPr>
                  <w:r>
                    <w:rPr>
                      <w:bCs/>
                      <w:color w:val="auto"/>
                      <w:szCs w:val="21"/>
                    </w:rPr>
                    <w:t>间断</w:t>
                  </w:r>
                </w:p>
              </w:tc>
              <w:tc>
                <w:tcPr>
                  <w:tcW w:w="2983" w:type="dxa"/>
                  <w:vAlign w:val="center"/>
                </w:tcPr>
                <w:p w14:paraId="0EF47A16">
                  <w:pPr>
                    <w:snapToGrid w:val="0"/>
                    <w:jc w:val="center"/>
                    <w:rPr>
                      <w:bCs/>
                      <w:color w:val="auto"/>
                      <w:szCs w:val="21"/>
                    </w:rPr>
                  </w:pPr>
                  <w:r>
                    <w:rPr>
                      <w:bCs/>
                      <w:color w:val="auto"/>
                      <w:szCs w:val="21"/>
                    </w:rPr>
                    <w:t>依托</w:t>
                  </w:r>
                  <w:r>
                    <w:rPr>
                      <w:rFonts w:hint="eastAsia"/>
                      <w:bCs/>
                      <w:color w:val="auto"/>
                      <w:szCs w:val="21"/>
                    </w:rPr>
                    <w:t>新航焦化</w:t>
                  </w:r>
                  <w:r>
                    <w:rPr>
                      <w:bCs/>
                      <w:color w:val="auto"/>
                      <w:szCs w:val="21"/>
                    </w:rPr>
                    <w:t>办公生活区收集设施集中收集，生活垃圾由园区环卫部门统一处理。</w:t>
                  </w:r>
                </w:p>
              </w:tc>
            </w:tr>
            <w:tr w14:paraId="7853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30" w:type="dxa"/>
                  <w:vMerge w:val="continue"/>
                  <w:vAlign w:val="center"/>
                </w:tcPr>
                <w:p w14:paraId="3C0B1994">
                  <w:pPr>
                    <w:snapToGrid w:val="0"/>
                    <w:jc w:val="center"/>
                    <w:rPr>
                      <w:bCs/>
                      <w:color w:val="auto"/>
                      <w:szCs w:val="21"/>
                    </w:rPr>
                  </w:pPr>
                </w:p>
              </w:tc>
              <w:tc>
                <w:tcPr>
                  <w:tcW w:w="900" w:type="dxa"/>
                  <w:vAlign w:val="center"/>
                </w:tcPr>
                <w:p w14:paraId="5E5E9399">
                  <w:pPr>
                    <w:snapToGrid w:val="0"/>
                    <w:jc w:val="center"/>
                    <w:rPr>
                      <w:bCs/>
                      <w:color w:val="auto"/>
                      <w:szCs w:val="21"/>
                    </w:rPr>
                  </w:pPr>
                  <w:r>
                    <w:rPr>
                      <w:rFonts w:hint="eastAsia"/>
                      <w:bCs/>
                      <w:color w:val="auto"/>
                      <w:szCs w:val="21"/>
                    </w:rPr>
                    <w:t>废润滑油</w:t>
                  </w:r>
                </w:p>
              </w:tc>
              <w:tc>
                <w:tcPr>
                  <w:tcW w:w="603" w:type="dxa"/>
                  <w:vAlign w:val="center"/>
                </w:tcPr>
                <w:p w14:paraId="42D70699">
                  <w:pPr>
                    <w:snapToGrid w:val="0"/>
                    <w:jc w:val="center"/>
                    <w:rPr>
                      <w:rFonts w:hint="eastAsia" w:eastAsia="宋体"/>
                      <w:bCs/>
                      <w:color w:val="auto"/>
                      <w:szCs w:val="21"/>
                      <w:lang w:eastAsia="zh-CN"/>
                    </w:rPr>
                  </w:pPr>
                  <w:r>
                    <w:rPr>
                      <w:bCs/>
                      <w:color w:val="auto"/>
                      <w:szCs w:val="21"/>
                    </w:rPr>
                    <w:t>S</w:t>
                  </w:r>
                  <w:r>
                    <w:rPr>
                      <w:rFonts w:hint="eastAsia"/>
                      <w:bCs/>
                      <w:color w:val="auto"/>
                      <w:szCs w:val="21"/>
                      <w:lang w:val="en-US" w:eastAsia="zh-CN"/>
                    </w:rPr>
                    <w:t>5</w:t>
                  </w:r>
                </w:p>
              </w:tc>
              <w:tc>
                <w:tcPr>
                  <w:tcW w:w="1125" w:type="dxa"/>
                  <w:vAlign w:val="center"/>
                </w:tcPr>
                <w:p w14:paraId="2C5828B6">
                  <w:pPr>
                    <w:snapToGrid w:val="0"/>
                    <w:jc w:val="center"/>
                    <w:rPr>
                      <w:bCs/>
                      <w:color w:val="auto"/>
                      <w:szCs w:val="21"/>
                    </w:rPr>
                  </w:pPr>
                  <w:r>
                    <w:rPr>
                      <w:bCs/>
                      <w:color w:val="auto"/>
                      <w:szCs w:val="21"/>
                    </w:rPr>
                    <w:t>设备</w:t>
                  </w:r>
                </w:p>
                <w:p w14:paraId="2C1B17F4">
                  <w:pPr>
                    <w:snapToGrid w:val="0"/>
                    <w:jc w:val="center"/>
                    <w:rPr>
                      <w:bCs/>
                      <w:color w:val="auto"/>
                      <w:szCs w:val="21"/>
                    </w:rPr>
                  </w:pPr>
                  <w:r>
                    <w:rPr>
                      <w:bCs/>
                      <w:color w:val="auto"/>
                      <w:szCs w:val="21"/>
                    </w:rPr>
                    <w:t>检修</w:t>
                  </w:r>
                </w:p>
              </w:tc>
              <w:tc>
                <w:tcPr>
                  <w:tcW w:w="1005" w:type="dxa"/>
                  <w:vAlign w:val="center"/>
                </w:tcPr>
                <w:p w14:paraId="2E29066C">
                  <w:pPr>
                    <w:snapToGrid w:val="0"/>
                    <w:jc w:val="center"/>
                    <w:rPr>
                      <w:bCs/>
                      <w:color w:val="auto"/>
                      <w:szCs w:val="21"/>
                    </w:rPr>
                  </w:pPr>
                  <w:r>
                    <w:rPr>
                      <w:rFonts w:hint="eastAsia"/>
                      <w:bCs/>
                      <w:color w:val="auto"/>
                      <w:szCs w:val="21"/>
                    </w:rPr>
                    <w:t>废润滑油</w:t>
                  </w:r>
                </w:p>
              </w:tc>
              <w:tc>
                <w:tcPr>
                  <w:tcW w:w="779" w:type="dxa"/>
                  <w:vAlign w:val="center"/>
                </w:tcPr>
                <w:p w14:paraId="01CD086E">
                  <w:pPr>
                    <w:snapToGrid w:val="0"/>
                    <w:jc w:val="center"/>
                    <w:rPr>
                      <w:bCs/>
                      <w:color w:val="auto"/>
                      <w:szCs w:val="21"/>
                    </w:rPr>
                  </w:pPr>
                  <w:r>
                    <w:rPr>
                      <w:bCs/>
                      <w:color w:val="auto"/>
                      <w:szCs w:val="21"/>
                    </w:rPr>
                    <w:t>间断</w:t>
                  </w:r>
                </w:p>
              </w:tc>
              <w:tc>
                <w:tcPr>
                  <w:tcW w:w="2983" w:type="dxa"/>
                  <w:vAlign w:val="center"/>
                </w:tcPr>
                <w:p w14:paraId="02220704">
                  <w:pPr>
                    <w:snapToGrid w:val="0"/>
                    <w:jc w:val="center"/>
                    <w:rPr>
                      <w:bCs/>
                      <w:color w:val="auto"/>
                      <w:szCs w:val="21"/>
                    </w:rPr>
                  </w:pPr>
                  <w:r>
                    <w:rPr>
                      <w:bCs/>
                      <w:color w:val="auto"/>
                      <w:szCs w:val="21"/>
                    </w:rPr>
                    <w:t>依托暂存新航焦化厂内现有危废暂存库内，定期委托资质单位处理。</w:t>
                  </w:r>
                </w:p>
              </w:tc>
            </w:tr>
          </w:tbl>
          <w:p w14:paraId="48058335">
            <w:pPr>
              <w:widowControl/>
              <w:spacing w:line="360" w:lineRule="auto"/>
              <w:ind w:firstLine="482" w:firstLineChars="200"/>
              <w:jc w:val="left"/>
              <w:rPr>
                <w:b/>
                <w:bCs/>
                <w:color w:val="auto"/>
                <w:sz w:val="24"/>
              </w:rPr>
            </w:pPr>
            <w:r>
              <w:rPr>
                <w:rFonts w:hint="eastAsia"/>
                <w:b/>
                <w:bCs/>
                <w:color w:val="auto"/>
                <w:sz w:val="24"/>
              </w:rPr>
              <w:t>四、物料平衡</w:t>
            </w:r>
          </w:p>
          <w:p w14:paraId="3EDB73BA">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本项目物料平衡见下表：</w:t>
            </w:r>
          </w:p>
          <w:p w14:paraId="30BBCDD6">
            <w:pPr>
              <w:autoSpaceDE w:val="0"/>
              <w:autoSpaceDN w:val="0"/>
              <w:adjustRightInd w:val="0"/>
              <w:snapToGrid w:val="0"/>
              <w:ind w:firstLine="2168" w:firstLineChars="900"/>
              <w:rPr>
                <w:b/>
                <w:bCs/>
                <w:color w:val="auto"/>
                <w:kern w:val="0"/>
                <w:sz w:val="24"/>
              </w:rPr>
            </w:pPr>
            <w:r>
              <w:rPr>
                <w:rFonts w:hint="eastAsia"/>
                <w:b/>
                <w:bCs/>
                <w:color w:val="auto"/>
                <w:kern w:val="0"/>
                <w:sz w:val="24"/>
              </w:rPr>
              <w:t>表2-</w:t>
            </w:r>
            <w:r>
              <w:rPr>
                <w:rFonts w:hint="eastAsia"/>
                <w:b/>
                <w:bCs/>
                <w:color w:val="auto"/>
                <w:kern w:val="0"/>
                <w:sz w:val="24"/>
                <w:lang w:val="en-US" w:eastAsia="zh-CN"/>
              </w:rPr>
              <w:t>12</w:t>
            </w:r>
            <w:r>
              <w:rPr>
                <w:rFonts w:hint="eastAsia"/>
                <w:b/>
                <w:bCs/>
                <w:color w:val="auto"/>
                <w:kern w:val="0"/>
                <w:sz w:val="24"/>
              </w:rPr>
              <w:t xml:space="preserve">    物料平衡表</w:t>
            </w:r>
          </w:p>
          <w:tbl>
            <w:tblPr>
              <w:tblStyle w:val="23"/>
              <w:tblW w:w="80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340"/>
              <w:gridCol w:w="1340"/>
              <w:gridCol w:w="1340"/>
              <w:gridCol w:w="1341"/>
              <w:gridCol w:w="1341"/>
            </w:tblGrid>
            <w:tr w14:paraId="0594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0" w:type="dxa"/>
                  <w:gridSpan w:val="3"/>
                  <w:vAlign w:val="center"/>
                </w:tcPr>
                <w:p w14:paraId="1EC26EB3">
                  <w:pPr>
                    <w:widowControl/>
                    <w:jc w:val="center"/>
                    <w:rPr>
                      <w:color w:val="auto"/>
                      <w:kern w:val="0"/>
                      <w:szCs w:val="21"/>
                      <w:lang w:bidi="ar"/>
                    </w:rPr>
                  </w:pPr>
                  <w:r>
                    <w:rPr>
                      <w:rFonts w:hint="eastAsia"/>
                      <w:color w:val="auto"/>
                      <w:kern w:val="0"/>
                      <w:szCs w:val="21"/>
                      <w:lang w:bidi="ar"/>
                    </w:rPr>
                    <w:t>投入</w:t>
                  </w:r>
                </w:p>
              </w:tc>
              <w:tc>
                <w:tcPr>
                  <w:tcW w:w="4022" w:type="dxa"/>
                  <w:gridSpan w:val="3"/>
                  <w:vAlign w:val="center"/>
                </w:tcPr>
                <w:p w14:paraId="32683913">
                  <w:pPr>
                    <w:widowControl/>
                    <w:jc w:val="center"/>
                    <w:rPr>
                      <w:color w:val="auto"/>
                      <w:kern w:val="0"/>
                      <w:szCs w:val="21"/>
                      <w:lang w:bidi="ar"/>
                    </w:rPr>
                  </w:pPr>
                  <w:r>
                    <w:rPr>
                      <w:rFonts w:hint="eastAsia"/>
                      <w:color w:val="auto"/>
                      <w:kern w:val="0"/>
                      <w:szCs w:val="21"/>
                      <w:lang w:bidi="ar"/>
                    </w:rPr>
                    <w:t>产出</w:t>
                  </w:r>
                </w:p>
              </w:tc>
            </w:tr>
            <w:tr w14:paraId="0403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40" w:type="dxa"/>
                  <w:vAlign w:val="center"/>
                </w:tcPr>
                <w:p w14:paraId="42DA7F96">
                  <w:pPr>
                    <w:widowControl/>
                    <w:jc w:val="center"/>
                    <w:rPr>
                      <w:color w:val="auto"/>
                      <w:kern w:val="0"/>
                      <w:szCs w:val="21"/>
                      <w:lang w:bidi="ar"/>
                    </w:rPr>
                  </w:pPr>
                  <w:r>
                    <w:rPr>
                      <w:rFonts w:hint="eastAsia"/>
                      <w:color w:val="auto"/>
                      <w:kern w:val="0"/>
                      <w:szCs w:val="21"/>
                      <w:lang w:bidi="ar"/>
                    </w:rPr>
                    <w:t>序号</w:t>
                  </w:r>
                </w:p>
              </w:tc>
              <w:tc>
                <w:tcPr>
                  <w:tcW w:w="1340" w:type="dxa"/>
                  <w:vAlign w:val="center"/>
                </w:tcPr>
                <w:p w14:paraId="3A086241">
                  <w:pPr>
                    <w:widowControl/>
                    <w:jc w:val="center"/>
                    <w:rPr>
                      <w:color w:val="auto"/>
                      <w:kern w:val="0"/>
                      <w:szCs w:val="21"/>
                      <w:lang w:bidi="ar"/>
                    </w:rPr>
                  </w:pPr>
                  <w:r>
                    <w:rPr>
                      <w:rFonts w:hint="eastAsia"/>
                      <w:color w:val="auto"/>
                      <w:kern w:val="0"/>
                      <w:szCs w:val="21"/>
                      <w:lang w:bidi="ar"/>
                    </w:rPr>
                    <w:t>物料名称</w:t>
                  </w:r>
                </w:p>
              </w:tc>
              <w:tc>
                <w:tcPr>
                  <w:tcW w:w="1340" w:type="dxa"/>
                  <w:vAlign w:val="center"/>
                </w:tcPr>
                <w:p w14:paraId="15568A53">
                  <w:pPr>
                    <w:widowControl/>
                    <w:jc w:val="center"/>
                    <w:rPr>
                      <w:color w:val="auto"/>
                      <w:kern w:val="0"/>
                      <w:szCs w:val="21"/>
                      <w:lang w:bidi="ar"/>
                    </w:rPr>
                  </w:pPr>
                  <w:r>
                    <w:rPr>
                      <w:rFonts w:hint="eastAsia"/>
                      <w:color w:val="auto"/>
                      <w:kern w:val="0"/>
                      <w:szCs w:val="21"/>
                      <w:lang w:bidi="ar"/>
                    </w:rPr>
                    <w:t>数量（t/a）</w:t>
                  </w:r>
                </w:p>
              </w:tc>
              <w:tc>
                <w:tcPr>
                  <w:tcW w:w="1340" w:type="dxa"/>
                  <w:vAlign w:val="center"/>
                </w:tcPr>
                <w:p w14:paraId="0BF9C964">
                  <w:pPr>
                    <w:widowControl/>
                    <w:jc w:val="center"/>
                    <w:rPr>
                      <w:color w:val="auto"/>
                      <w:kern w:val="0"/>
                      <w:szCs w:val="21"/>
                      <w:lang w:bidi="ar"/>
                    </w:rPr>
                  </w:pPr>
                  <w:r>
                    <w:rPr>
                      <w:rFonts w:hint="eastAsia"/>
                      <w:color w:val="auto"/>
                      <w:kern w:val="0"/>
                      <w:szCs w:val="21"/>
                      <w:lang w:bidi="ar"/>
                    </w:rPr>
                    <w:t>序号</w:t>
                  </w:r>
                </w:p>
              </w:tc>
              <w:tc>
                <w:tcPr>
                  <w:tcW w:w="1341" w:type="dxa"/>
                  <w:vAlign w:val="center"/>
                </w:tcPr>
                <w:p w14:paraId="1E5F1F62">
                  <w:pPr>
                    <w:widowControl/>
                    <w:jc w:val="center"/>
                    <w:rPr>
                      <w:color w:val="auto"/>
                      <w:kern w:val="0"/>
                      <w:szCs w:val="21"/>
                      <w:lang w:bidi="ar"/>
                    </w:rPr>
                  </w:pPr>
                  <w:r>
                    <w:rPr>
                      <w:rFonts w:hint="eastAsia"/>
                      <w:color w:val="auto"/>
                      <w:kern w:val="0"/>
                      <w:szCs w:val="21"/>
                      <w:lang w:bidi="ar"/>
                    </w:rPr>
                    <w:t>物料名称</w:t>
                  </w:r>
                </w:p>
              </w:tc>
              <w:tc>
                <w:tcPr>
                  <w:tcW w:w="1341" w:type="dxa"/>
                  <w:vAlign w:val="center"/>
                </w:tcPr>
                <w:p w14:paraId="036509E5">
                  <w:pPr>
                    <w:widowControl/>
                    <w:jc w:val="center"/>
                    <w:rPr>
                      <w:color w:val="auto"/>
                      <w:kern w:val="0"/>
                      <w:szCs w:val="21"/>
                      <w:lang w:bidi="ar"/>
                    </w:rPr>
                  </w:pPr>
                  <w:r>
                    <w:rPr>
                      <w:rFonts w:hint="eastAsia"/>
                      <w:color w:val="auto"/>
                      <w:kern w:val="0"/>
                      <w:szCs w:val="21"/>
                      <w:lang w:bidi="ar"/>
                    </w:rPr>
                    <w:t>数量（t/a）</w:t>
                  </w:r>
                </w:p>
              </w:tc>
            </w:tr>
            <w:tr w14:paraId="3CFC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 w:type="dxa"/>
                  <w:vAlign w:val="center"/>
                </w:tcPr>
                <w:p w14:paraId="57508B31">
                  <w:pPr>
                    <w:widowControl/>
                    <w:jc w:val="center"/>
                    <w:rPr>
                      <w:color w:val="auto"/>
                      <w:kern w:val="0"/>
                      <w:szCs w:val="21"/>
                      <w:lang w:bidi="ar"/>
                    </w:rPr>
                  </w:pPr>
                  <w:r>
                    <w:rPr>
                      <w:rFonts w:hint="eastAsia"/>
                      <w:color w:val="auto"/>
                      <w:kern w:val="0"/>
                      <w:szCs w:val="21"/>
                      <w:lang w:bidi="ar"/>
                    </w:rPr>
                    <w:t>1</w:t>
                  </w:r>
                </w:p>
              </w:tc>
              <w:tc>
                <w:tcPr>
                  <w:tcW w:w="1340" w:type="dxa"/>
                  <w:vAlign w:val="center"/>
                </w:tcPr>
                <w:p w14:paraId="1D8F316D">
                  <w:pPr>
                    <w:widowControl/>
                    <w:jc w:val="center"/>
                    <w:textAlignment w:val="center"/>
                    <w:rPr>
                      <w:color w:val="auto"/>
                      <w:kern w:val="0"/>
                      <w:szCs w:val="21"/>
                      <w:lang w:bidi="ar"/>
                    </w:rPr>
                  </w:pPr>
                  <w:r>
                    <w:rPr>
                      <w:rFonts w:hint="eastAsia"/>
                      <w:color w:val="auto"/>
                      <w:kern w:val="0"/>
                      <w:szCs w:val="21"/>
                      <w:lang w:bidi="ar"/>
                    </w:rPr>
                    <w:t>焦粉</w:t>
                  </w:r>
                </w:p>
              </w:tc>
              <w:tc>
                <w:tcPr>
                  <w:tcW w:w="1340" w:type="dxa"/>
                  <w:vAlign w:val="center"/>
                </w:tcPr>
                <w:p w14:paraId="1E10CA54">
                  <w:pPr>
                    <w:widowControl/>
                    <w:jc w:val="center"/>
                    <w:textAlignment w:val="center"/>
                    <w:rPr>
                      <w:color w:val="auto"/>
                      <w:kern w:val="0"/>
                      <w:szCs w:val="21"/>
                      <w:lang w:bidi="ar"/>
                    </w:rPr>
                  </w:pPr>
                  <w:r>
                    <w:rPr>
                      <w:rFonts w:hint="eastAsia"/>
                      <w:color w:val="auto"/>
                      <w:kern w:val="0"/>
                      <w:szCs w:val="21"/>
                      <w:lang w:bidi="ar"/>
                    </w:rPr>
                    <w:t>297990</w:t>
                  </w:r>
                </w:p>
              </w:tc>
              <w:tc>
                <w:tcPr>
                  <w:tcW w:w="1340" w:type="dxa"/>
                  <w:vAlign w:val="center"/>
                </w:tcPr>
                <w:p w14:paraId="1D694C5F">
                  <w:pPr>
                    <w:widowControl/>
                    <w:jc w:val="center"/>
                    <w:rPr>
                      <w:color w:val="auto"/>
                      <w:kern w:val="0"/>
                      <w:szCs w:val="21"/>
                      <w:lang w:bidi="ar"/>
                    </w:rPr>
                  </w:pPr>
                  <w:r>
                    <w:rPr>
                      <w:rFonts w:hint="eastAsia"/>
                      <w:color w:val="auto"/>
                      <w:kern w:val="0"/>
                      <w:szCs w:val="21"/>
                      <w:lang w:bidi="ar"/>
                    </w:rPr>
                    <w:t>1</w:t>
                  </w:r>
                </w:p>
              </w:tc>
              <w:tc>
                <w:tcPr>
                  <w:tcW w:w="1341" w:type="dxa"/>
                  <w:vAlign w:val="center"/>
                </w:tcPr>
                <w:p w14:paraId="6F8D3CF6">
                  <w:pPr>
                    <w:widowControl/>
                    <w:jc w:val="center"/>
                    <w:rPr>
                      <w:color w:val="auto"/>
                      <w:kern w:val="0"/>
                      <w:szCs w:val="21"/>
                      <w:lang w:bidi="ar"/>
                    </w:rPr>
                  </w:pPr>
                  <w:r>
                    <w:rPr>
                      <w:rFonts w:hint="eastAsia"/>
                      <w:color w:val="auto"/>
                      <w:kern w:val="0"/>
                      <w:szCs w:val="21"/>
                      <w:lang w:bidi="ar"/>
                    </w:rPr>
                    <w:t>型焦</w:t>
                  </w:r>
                </w:p>
              </w:tc>
              <w:tc>
                <w:tcPr>
                  <w:tcW w:w="1341" w:type="dxa"/>
                  <w:vAlign w:val="center"/>
                </w:tcPr>
                <w:p w14:paraId="3D6665FE">
                  <w:pPr>
                    <w:widowControl/>
                    <w:jc w:val="center"/>
                    <w:rPr>
                      <w:color w:val="auto"/>
                      <w:kern w:val="0"/>
                      <w:szCs w:val="21"/>
                      <w:lang w:bidi="ar"/>
                    </w:rPr>
                  </w:pPr>
                  <w:r>
                    <w:rPr>
                      <w:rFonts w:hint="eastAsia"/>
                      <w:color w:val="auto"/>
                      <w:kern w:val="0"/>
                      <w:szCs w:val="21"/>
                      <w:lang w:bidi="ar"/>
                    </w:rPr>
                    <w:t>450000</w:t>
                  </w:r>
                </w:p>
              </w:tc>
            </w:tr>
            <w:tr w14:paraId="70F8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 w:type="dxa"/>
                  <w:vAlign w:val="center"/>
                </w:tcPr>
                <w:p w14:paraId="10C5A33D">
                  <w:pPr>
                    <w:widowControl/>
                    <w:jc w:val="center"/>
                    <w:rPr>
                      <w:color w:val="auto"/>
                      <w:kern w:val="0"/>
                      <w:szCs w:val="21"/>
                      <w:lang w:bidi="ar"/>
                    </w:rPr>
                  </w:pPr>
                  <w:r>
                    <w:rPr>
                      <w:rFonts w:hint="eastAsia"/>
                      <w:color w:val="auto"/>
                      <w:kern w:val="0"/>
                      <w:szCs w:val="21"/>
                      <w:lang w:bidi="ar"/>
                    </w:rPr>
                    <w:t>2</w:t>
                  </w:r>
                </w:p>
              </w:tc>
              <w:tc>
                <w:tcPr>
                  <w:tcW w:w="1340" w:type="dxa"/>
                  <w:vAlign w:val="center"/>
                </w:tcPr>
                <w:p w14:paraId="2440E3E4">
                  <w:pPr>
                    <w:widowControl/>
                    <w:jc w:val="center"/>
                    <w:textAlignment w:val="center"/>
                    <w:rPr>
                      <w:color w:val="auto"/>
                      <w:kern w:val="0"/>
                      <w:szCs w:val="21"/>
                      <w:lang w:bidi="ar"/>
                    </w:rPr>
                  </w:pPr>
                  <w:r>
                    <w:rPr>
                      <w:rFonts w:hint="eastAsia"/>
                      <w:color w:val="auto"/>
                      <w:kern w:val="0"/>
                      <w:szCs w:val="21"/>
                      <w:lang w:bidi="ar"/>
                    </w:rPr>
                    <w:t>除尘灰</w:t>
                  </w:r>
                </w:p>
              </w:tc>
              <w:tc>
                <w:tcPr>
                  <w:tcW w:w="1340" w:type="dxa"/>
                  <w:vAlign w:val="center"/>
                </w:tcPr>
                <w:p w14:paraId="73E802BF">
                  <w:pPr>
                    <w:widowControl/>
                    <w:jc w:val="center"/>
                    <w:textAlignment w:val="center"/>
                    <w:rPr>
                      <w:color w:val="auto"/>
                      <w:kern w:val="0"/>
                      <w:szCs w:val="21"/>
                      <w:lang w:bidi="ar"/>
                    </w:rPr>
                  </w:pPr>
                  <w:r>
                    <w:rPr>
                      <w:rFonts w:hint="eastAsia"/>
                      <w:color w:val="auto"/>
                      <w:kern w:val="0"/>
                      <w:szCs w:val="21"/>
                      <w:lang w:bidi="ar"/>
                    </w:rPr>
                    <w:t>91000</w:t>
                  </w:r>
                </w:p>
              </w:tc>
              <w:tc>
                <w:tcPr>
                  <w:tcW w:w="1340" w:type="dxa"/>
                  <w:vAlign w:val="center"/>
                </w:tcPr>
                <w:p w14:paraId="1046D98A">
                  <w:pPr>
                    <w:widowControl/>
                    <w:jc w:val="center"/>
                    <w:rPr>
                      <w:color w:val="auto"/>
                      <w:kern w:val="0"/>
                      <w:szCs w:val="21"/>
                      <w:lang w:bidi="ar"/>
                    </w:rPr>
                  </w:pPr>
                  <w:r>
                    <w:rPr>
                      <w:rFonts w:hint="eastAsia"/>
                      <w:color w:val="auto"/>
                      <w:kern w:val="0"/>
                      <w:szCs w:val="21"/>
                      <w:lang w:bidi="ar"/>
                    </w:rPr>
                    <w:t>2</w:t>
                  </w:r>
                </w:p>
              </w:tc>
              <w:tc>
                <w:tcPr>
                  <w:tcW w:w="1341" w:type="dxa"/>
                  <w:vAlign w:val="center"/>
                </w:tcPr>
                <w:p w14:paraId="1F0FC6B6">
                  <w:pPr>
                    <w:widowControl/>
                    <w:jc w:val="center"/>
                    <w:rPr>
                      <w:color w:val="auto"/>
                      <w:kern w:val="0"/>
                      <w:szCs w:val="21"/>
                      <w:lang w:bidi="ar"/>
                    </w:rPr>
                  </w:pPr>
                  <w:r>
                    <w:rPr>
                      <w:rFonts w:hint="eastAsia"/>
                      <w:color w:val="auto"/>
                      <w:kern w:val="0"/>
                      <w:szCs w:val="21"/>
                      <w:lang w:bidi="ar"/>
                    </w:rPr>
                    <w:t>金属杂质</w:t>
                  </w:r>
                </w:p>
              </w:tc>
              <w:tc>
                <w:tcPr>
                  <w:tcW w:w="1341" w:type="dxa"/>
                  <w:vAlign w:val="center"/>
                </w:tcPr>
                <w:p w14:paraId="72B9148D">
                  <w:pPr>
                    <w:widowControl/>
                    <w:jc w:val="center"/>
                    <w:rPr>
                      <w:color w:val="auto"/>
                      <w:kern w:val="0"/>
                      <w:szCs w:val="21"/>
                      <w:lang w:bidi="ar"/>
                    </w:rPr>
                  </w:pPr>
                  <w:r>
                    <w:rPr>
                      <w:rFonts w:hint="eastAsia"/>
                      <w:color w:val="auto"/>
                      <w:kern w:val="0"/>
                      <w:szCs w:val="21"/>
                      <w:lang w:bidi="ar"/>
                    </w:rPr>
                    <w:t>45.636</w:t>
                  </w:r>
                </w:p>
              </w:tc>
            </w:tr>
            <w:tr w14:paraId="0FB0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 w:type="dxa"/>
                  <w:vAlign w:val="center"/>
                </w:tcPr>
                <w:p w14:paraId="522AEBCA">
                  <w:pPr>
                    <w:widowControl/>
                    <w:jc w:val="center"/>
                    <w:rPr>
                      <w:color w:val="auto"/>
                      <w:kern w:val="0"/>
                      <w:szCs w:val="21"/>
                      <w:lang w:bidi="ar"/>
                    </w:rPr>
                  </w:pPr>
                  <w:r>
                    <w:rPr>
                      <w:rFonts w:hint="eastAsia"/>
                      <w:color w:val="auto"/>
                      <w:kern w:val="0"/>
                      <w:szCs w:val="21"/>
                      <w:lang w:bidi="ar"/>
                    </w:rPr>
                    <w:t>3</w:t>
                  </w:r>
                </w:p>
              </w:tc>
              <w:tc>
                <w:tcPr>
                  <w:tcW w:w="1340" w:type="dxa"/>
                  <w:vAlign w:val="center"/>
                </w:tcPr>
                <w:p w14:paraId="6302F11F">
                  <w:pPr>
                    <w:widowControl/>
                    <w:jc w:val="center"/>
                    <w:textAlignment w:val="center"/>
                    <w:rPr>
                      <w:color w:val="auto"/>
                      <w:kern w:val="0"/>
                      <w:szCs w:val="21"/>
                      <w:lang w:bidi="ar"/>
                    </w:rPr>
                  </w:pPr>
                  <w:r>
                    <w:rPr>
                      <w:rFonts w:hint="eastAsia"/>
                      <w:color w:val="auto"/>
                      <w:kern w:val="0"/>
                      <w:szCs w:val="21"/>
                      <w:lang w:bidi="ar"/>
                    </w:rPr>
                    <w:t>兰碳粉</w:t>
                  </w:r>
                </w:p>
              </w:tc>
              <w:tc>
                <w:tcPr>
                  <w:tcW w:w="1340" w:type="dxa"/>
                  <w:vAlign w:val="center"/>
                </w:tcPr>
                <w:p w14:paraId="7E3592EC">
                  <w:pPr>
                    <w:widowControl/>
                    <w:jc w:val="center"/>
                    <w:textAlignment w:val="center"/>
                    <w:rPr>
                      <w:color w:val="auto"/>
                      <w:kern w:val="0"/>
                      <w:szCs w:val="21"/>
                      <w:lang w:bidi="ar"/>
                    </w:rPr>
                  </w:pPr>
                  <w:r>
                    <w:rPr>
                      <w:rFonts w:hint="eastAsia"/>
                      <w:color w:val="auto"/>
                      <w:kern w:val="0"/>
                      <w:szCs w:val="21"/>
                      <w:lang w:bidi="ar"/>
                    </w:rPr>
                    <w:t>42570</w:t>
                  </w:r>
                </w:p>
              </w:tc>
              <w:tc>
                <w:tcPr>
                  <w:tcW w:w="1340" w:type="dxa"/>
                  <w:vAlign w:val="center"/>
                </w:tcPr>
                <w:p w14:paraId="06F9C13E">
                  <w:pPr>
                    <w:widowControl/>
                    <w:jc w:val="center"/>
                    <w:rPr>
                      <w:color w:val="auto"/>
                      <w:kern w:val="0"/>
                      <w:szCs w:val="21"/>
                      <w:lang w:bidi="ar"/>
                    </w:rPr>
                  </w:pPr>
                  <w:r>
                    <w:rPr>
                      <w:rFonts w:hint="eastAsia"/>
                      <w:color w:val="auto"/>
                      <w:kern w:val="0"/>
                      <w:szCs w:val="21"/>
                      <w:lang w:bidi="ar"/>
                    </w:rPr>
                    <w:t>3</w:t>
                  </w:r>
                </w:p>
              </w:tc>
              <w:tc>
                <w:tcPr>
                  <w:tcW w:w="1341" w:type="dxa"/>
                  <w:vAlign w:val="center"/>
                </w:tcPr>
                <w:p w14:paraId="48313740">
                  <w:pPr>
                    <w:widowControl/>
                    <w:jc w:val="center"/>
                    <w:rPr>
                      <w:color w:val="auto"/>
                      <w:kern w:val="0"/>
                      <w:szCs w:val="21"/>
                      <w:lang w:bidi="ar"/>
                    </w:rPr>
                  </w:pPr>
                  <w:r>
                    <w:rPr>
                      <w:rFonts w:hint="eastAsia"/>
                      <w:color w:val="auto"/>
                      <w:kern w:val="0"/>
                      <w:szCs w:val="21"/>
                      <w:lang w:bidi="ar"/>
                    </w:rPr>
                    <w:t>回用除尘灰</w:t>
                  </w:r>
                </w:p>
              </w:tc>
              <w:tc>
                <w:tcPr>
                  <w:tcW w:w="1341" w:type="dxa"/>
                  <w:shd w:val="clear" w:color="auto" w:fill="auto"/>
                  <w:vAlign w:val="center"/>
                </w:tcPr>
                <w:p w14:paraId="71898374">
                  <w:pPr>
                    <w:widowControl/>
                    <w:jc w:val="center"/>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342.72148</w:t>
                  </w:r>
                </w:p>
              </w:tc>
            </w:tr>
            <w:tr w14:paraId="5AA6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 w:type="dxa"/>
                  <w:vAlign w:val="center"/>
                </w:tcPr>
                <w:p w14:paraId="1FF6CC9B">
                  <w:pPr>
                    <w:widowControl/>
                    <w:jc w:val="center"/>
                    <w:rPr>
                      <w:color w:val="auto"/>
                      <w:kern w:val="0"/>
                      <w:szCs w:val="21"/>
                      <w:lang w:bidi="ar"/>
                    </w:rPr>
                  </w:pPr>
                  <w:r>
                    <w:rPr>
                      <w:rFonts w:hint="eastAsia"/>
                      <w:color w:val="auto"/>
                      <w:kern w:val="0"/>
                      <w:szCs w:val="21"/>
                      <w:lang w:bidi="ar"/>
                    </w:rPr>
                    <w:t>4</w:t>
                  </w:r>
                </w:p>
              </w:tc>
              <w:tc>
                <w:tcPr>
                  <w:tcW w:w="1340" w:type="dxa"/>
                  <w:vAlign w:val="center"/>
                </w:tcPr>
                <w:p w14:paraId="3A3E76C8">
                  <w:pPr>
                    <w:widowControl/>
                    <w:jc w:val="center"/>
                    <w:textAlignment w:val="center"/>
                    <w:rPr>
                      <w:color w:val="auto"/>
                      <w:kern w:val="0"/>
                      <w:szCs w:val="21"/>
                      <w:lang w:bidi="ar"/>
                    </w:rPr>
                  </w:pPr>
                  <w:r>
                    <w:rPr>
                      <w:rFonts w:hint="eastAsia"/>
                      <w:color w:val="auto"/>
                      <w:kern w:val="0"/>
                      <w:szCs w:val="21"/>
                      <w:lang w:bidi="ar"/>
                    </w:rPr>
                    <w:t>粘结剂</w:t>
                  </w:r>
                </w:p>
              </w:tc>
              <w:tc>
                <w:tcPr>
                  <w:tcW w:w="1340" w:type="dxa"/>
                  <w:vAlign w:val="center"/>
                </w:tcPr>
                <w:p w14:paraId="7253A102">
                  <w:pPr>
                    <w:widowControl/>
                    <w:jc w:val="center"/>
                    <w:textAlignment w:val="center"/>
                    <w:rPr>
                      <w:color w:val="auto"/>
                      <w:kern w:val="0"/>
                      <w:szCs w:val="21"/>
                      <w:lang w:bidi="ar"/>
                    </w:rPr>
                  </w:pPr>
                  <w:r>
                    <w:rPr>
                      <w:rFonts w:hint="eastAsia"/>
                      <w:color w:val="auto"/>
                      <w:kern w:val="0"/>
                      <w:szCs w:val="21"/>
                      <w:lang w:bidi="ar"/>
                    </w:rPr>
                    <w:t>24800</w:t>
                  </w:r>
                </w:p>
              </w:tc>
              <w:tc>
                <w:tcPr>
                  <w:tcW w:w="1340" w:type="dxa"/>
                  <w:vAlign w:val="center"/>
                </w:tcPr>
                <w:p w14:paraId="1597588E">
                  <w:pPr>
                    <w:widowControl/>
                    <w:jc w:val="center"/>
                    <w:rPr>
                      <w:color w:val="auto"/>
                      <w:kern w:val="0"/>
                      <w:szCs w:val="21"/>
                      <w:lang w:bidi="ar"/>
                    </w:rPr>
                  </w:pPr>
                  <w:r>
                    <w:rPr>
                      <w:rFonts w:hint="eastAsia"/>
                      <w:color w:val="auto"/>
                      <w:kern w:val="0"/>
                      <w:szCs w:val="21"/>
                      <w:lang w:bidi="ar"/>
                    </w:rPr>
                    <w:t>4</w:t>
                  </w:r>
                </w:p>
              </w:tc>
              <w:tc>
                <w:tcPr>
                  <w:tcW w:w="1341" w:type="dxa"/>
                  <w:vAlign w:val="center"/>
                </w:tcPr>
                <w:p w14:paraId="79E67053">
                  <w:pPr>
                    <w:widowControl/>
                    <w:jc w:val="center"/>
                    <w:rPr>
                      <w:color w:val="auto"/>
                      <w:kern w:val="0"/>
                      <w:szCs w:val="21"/>
                      <w:lang w:bidi="ar"/>
                    </w:rPr>
                  </w:pPr>
                  <w:r>
                    <w:rPr>
                      <w:rFonts w:hint="eastAsia"/>
                      <w:color w:val="auto"/>
                      <w:kern w:val="0"/>
                      <w:szCs w:val="21"/>
                      <w:lang w:bidi="ar"/>
                    </w:rPr>
                    <w:t>损耗及烘干水分</w:t>
                  </w:r>
                </w:p>
              </w:tc>
              <w:tc>
                <w:tcPr>
                  <w:tcW w:w="1341" w:type="dxa"/>
                  <w:vAlign w:val="center"/>
                </w:tcPr>
                <w:p w14:paraId="06E8D775">
                  <w:pPr>
                    <w:widowControl/>
                    <w:jc w:val="center"/>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bidi="ar"/>
                    </w:rPr>
                    <w:t>28</w:t>
                  </w:r>
                  <w:r>
                    <w:rPr>
                      <w:rFonts w:hint="eastAsia" w:ascii="Times New Roman" w:hAnsi="Times New Roman" w:eastAsia="宋体" w:cs="Times New Roman"/>
                      <w:color w:val="auto"/>
                      <w:kern w:val="0"/>
                      <w:szCs w:val="21"/>
                      <w:lang w:val="en-US" w:eastAsia="zh-CN" w:bidi="ar"/>
                    </w:rPr>
                    <w:t>789.64252</w:t>
                  </w:r>
                </w:p>
              </w:tc>
            </w:tr>
            <w:tr w14:paraId="070D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 w:type="dxa"/>
                  <w:vAlign w:val="center"/>
                </w:tcPr>
                <w:p w14:paraId="370731F9">
                  <w:pPr>
                    <w:widowControl/>
                    <w:jc w:val="center"/>
                    <w:rPr>
                      <w:color w:val="auto"/>
                      <w:kern w:val="0"/>
                      <w:szCs w:val="21"/>
                      <w:lang w:bidi="ar"/>
                    </w:rPr>
                  </w:pPr>
                  <w:r>
                    <w:rPr>
                      <w:rFonts w:hint="eastAsia"/>
                      <w:color w:val="auto"/>
                      <w:kern w:val="0"/>
                      <w:szCs w:val="21"/>
                      <w:lang w:bidi="ar"/>
                    </w:rPr>
                    <w:t>5</w:t>
                  </w:r>
                </w:p>
              </w:tc>
              <w:tc>
                <w:tcPr>
                  <w:tcW w:w="1340" w:type="dxa"/>
                  <w:vAlign w:val="center"/>
                </w:tcPr>
                <w:p w14:paraId="134D3034">
                  <w:pPr>
                    <w:widowControl/>
                    <w:jc w:val="center"/>
                    <w:rPr>
                      <w:color w:val="auto"/>
                      <w:kern w:val="0"/>
                      <w:szCs w:val="21"/>
                      <w:lang w:bidi="ar"/>
                    </w:rPr>
                  </w:pPr>
                  <w:r>
                    <w:rPr>
                      <w:rFonts w:hint="eastAsia"/>
                      <w:color w:val="auto"/>
                      <w:kern w:val="0"/>
                      <w:szCs w:val="21"/>
                      <w:lang w:bidi="ar"/>
                    </w:rPr>
                    <w:t>搅拌工序加湿用水水</w:t>
                  </w:r>
                </w:p>
              </w:tc>
              <w:tc>
                <w:tcPr>
                  <w:tcW w:w="1340" w:type="dxa"/>
                  <w:vAlign w:val="center"/>
                </w:tcPr>
                <w:p w14:paraId="26864A6B">
                  <w:pPr>
                    <w:widowControl/>
                    <w:jc w:val="center"/>
                    <w:rPr>
                      <w:color w:val="auto"/>
                      <w:kern w:val="0"/>
                      <w:szCs w:val="21"/>
                      <w:lang w:bidi="ar"/>
                    </w:rPr>
                  </w:pPr>
                  <w:r>
                    <w:rPr>
                      <w:rFonts w:hint="eastAsia"/>
                      <w:color w:val="auto"/>
                      <w:kern w:val="0"/>
                      <w:szCs w:val="21"/>
                      <w:lang w:bidi="ar"/>
                    </w:rPr>
                    <w:t>22818</w:t>
                  </w:r>
                </w:p>
              </w:tc>
              <w:tc>
                <w:tcPr>
                  <w:tcW w:w="1340" w:type="dxa"/>
                  <w:vAlign w:val="center"/>
                </w:tcPr>
                <w:p w14:paraId="7BFFE5D1">
                  <w:pPr>
                    <w:widowControl/>
                    <w:jc w:val="center"/>
                    <w:rPr>
                      <w:color w:val="auto"/>
                      <w:kern w:val="0"/>
                      <w:szCs w:val="21"/>
                      <w:lang w:bidi="ar"/>
                    </w:rPr>
                  </w:pPr>
                  <w:r>
                    <w:rPr>
                      <w:rFonts w:hint="eastAsia"/>
                      <w:color w:val="auto"/>
                      <w:kern w:val="0"/>
                      <w:szCs w:val="21"/>
                      <w:lang w:bidi="ar"/>
                    </w:rPr>
                    <w:t>/</w:t>
                  </w:r>
                </w:p>
              </w:tc>
              <w:tc>
                <w:tcPr>
                  <w:tcW w:w="1341" w:type="dxa"/>
                  <w:vAlign w:val="center"/>
                </w:tcPr>
                <w:p w14:paraId="5D2ADD10">
                  <w:pPr>
                    <w:widowControl/>
                    <w:jc w:val="center"/>
                    <w:rPr>
                      <w:color w:val="auto"/>
                      <w:kern w:val="0"/>
                      <w:szCs w:val="21"/>
                      <w:lang w:bidi="ar"/>
                    </w:rPr>
                  </w:pPr>
                  <w:r>
                    <w:rPr>
                      <w:rFonts w:hint="eastAsia"/>
                      <w:color w:val="auto"/>
                      <w:kern w:val="0"/>
                      <w:szCs w:val="21"/>
                      <w:lang w:bidi="ar"/>
                    </w:rPr>
                    <w:t>/</w:t>
                  </w:r>
                </w:p>
              </w:tc>
              <w:tc>
                <w:tcPr>
                  <w:tcW w:w="1341" w:type="dxa"/>
                  <w:vAlign w:val="center"/>
                </w:tcPr>
                <w:p w14:paraId="40979A24">
                  <w:pPr>
                    <w:widowControl/>
                    <w:jc w:val="center"/>
                    <w:rPr>
                      <w:rFonts w:hint="eastAsia" w:ascii="Times New Roman" w:hAnsi="Times New Roman" w:eastAsia="宋体" w:cs="Times New Roman"/>
                      <w:color w:val="auto"/>
                      <w:kern w:val="0"/>
                      <w:szCs w:val="21"/>
                      <w:lang w:bidi="ar"/>
                    </w:rPr>
                  </w:pPr>
                  <w:r>
                    <w:rPr>
                      <w:rFonts w:hint="eastAsia" w:ascii="Times New Roman" w:hAnsi="Times New Roman" w:eastAsia="宋体" w:cs="Times New Roman"/>
                      <w:color w:val="auto"/>
                      <w:kern w:val="0"/>
                      <w:szCs w:val="21"/>
                      <w:lang w:bidi="ar"/>
                    </w:rPr>
                    <w:t>/</w:t>
                  </w:r>
                </w:p>
              </w:tc>
            </w:tr>
            <w:tr w14:paraId="5A76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0" w:type="dxa"/>
                  <w:gridSpan w:val="2"/>
                </w:tcPr>
                <w:p w14:paraId="4ED2D324">
                  <w:pPr>
                    <w:widowControl/>
                    <w:jc w:val="center"/>
                    <w:rPr>
                      <w:color w:val="auto"/>
                      <w:kern w:val="0"/>
                      <w:szCs w:val="21"/>
                      <w:lang w:bidi="ar"/>
                    </w:rPr>
                  </w:pPr>
                  <w:r>
                    <w:rPr>
                      <w:rFonts w:hint="eastAsia"/>
                      <w:color w:val="auto"/>
                      <w:kern w:val="0"/>
                      <w:szCs w:val="21"/>
                      <w:lang w:bidi="ar"/>
                    </w:rPr>
                    <w:t>合计：</w:t>
                  </w:r>
                </w:p>
              </w:tc>
              <w:tc>
                <w:tcPr>
                  <w:tcW w:w="1340" w:type="dxa"/>
                </w:tcPr>
                <w:p w14:paraId="0007F8D0">
                  <w:pPr>
                    <w:widowControl/>
                    <w:jc w:val="center"/>
                    <w:rPr>
                      <w:color w:val="auto"/>
                      <w:kern w:val="0"/>
                      <w:szCs w:val="21"/>
                      <w:lang w:bidi="ar"/>
                    </w:rPr>
                  </w:pPr>
                  <w:r>
                    <w:rPr>
                      <w:rFonts w:hint="eastAsia"/>
                      <w:color w:val="auto"/>
                      <w:kern w:val="0"/>
                      <w:szCs w:val="21"/>
                      <w:lang w:bidi="ar"/>
                    </w:rPr>
                    <w:t>479178</w:t>
                  </w:r>
                </w:p>
              </w:tc>
              <w:tc>
                <w:tcPr>
                  <w:tcW w:w="2681" w:type="dxa"/>
                  <w:gridSpan w:val="2"/>
                </w:tcPr>
                <w:p w14:paraId="04B86E67">
                  <w:pPr>
                    <w:widowControl/>
                    <w:jc w:val="center"/>
                    <w:rPr>
                      <w:color w:val="auto"/>
                      <w:kern w:val="0"/>
                      <w:szCs w:val="21"/>
                      <w:lang w:bidi="ar"/>
                    </w:rPr>
                  </w:pPr>
                  <w:r>
                    <w:rPr>
                      <w:rFonts w:hint="eastAsia"/>
                      <w:color w:val="auto"/>
                      <w:kern w:val="0"/>
                      <w:szCs w:val="21"/>
                      <w:lang w:bidi="ar"/>
                    </w:rPr>
                    <w:t>合计：</w:t>
                  </w:r>
                </w:p>
              </w:tc>
              <w:tc>
                <w:tcPr>
                  <w:tcW w:w="1341" w:type="dxa"/>
                </w:tcPr>
                <w:p w14:paraId="18D25AA5">
                  <w:pPr>
                    <w:widowControl/>
                    <w:jc w:val="center"/>
                    <w:rPr>
                      <w:color w:val="auto"/>
                      <w:kern w:val="0"/>
                      <w:szCs w:val="21"/>
                      <w:lang w:bidi="ar"/>
                    </w:rPr>
                  </w:pPr>
                  <w:r>
                    <w:rPr>
                      <w:rFonts w:hint="eastAsia"/>
                      <w:color w:val="auto"/>
                      <w:kern w:val="0"/>
                      <w:szCs w:val="21"/>
                      <w:lang w:bidi="ar"/>
                    </w:rPr>
                    <w:t>479178</w:t>
                  </w:r>
                </w:p>
              </w:tc>
            </w:tr>
          </w:tbl>
          <w:p w14:paraId="5CE52CFF">
            <w:pPr>
              <w:widowControl/>
              <w:spacing w:line="360" w:lineRule="auto"/>
              <w:rPr>
                <w:b/>
                <w:bCs/>
                <w:color w:val="auto"/>
                <w:sz w:val="24"/>
              </w:rPr>
            </w:pPr>
          </w:p>
        </w:tc>
      </w:tr>
      <w:tr w14:paraId="1EC09D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823" w:type="dxa"/>
            <w:vAlign w:val="center"/>
          </w:tcPr>
          <w:p w14:paraId="65A438D5">
            <w:pPr>
              <w:pStyle w:val="19"/>
              <w:adjustRightInd w:val="0"/>
              <w:snapToGrid w:val="0"/>
              <w:spacing w:before="0" w:beforeAutospacing="0" w:after="0" w:afterAutospacing="0"/>
              <w:jc w:val="center"/>
              <w:rPr>
                <w:rFonts w:hint="eastAsia" w:cs="宋体"/>
                <w:color w:val="auto"/>
                <w:sz w:val="21"/>
                <w:szCs w:val="21"/>
              </w:rPr>
            </w:pPr>
            <w:r>
              <w:rPr>
                <w:rFonts w:hint="eastAsia" w:cs="宋体"/>
                <w:bCs/>
                <w:color w:val="auto"/>
                <w:kern w:val="2"/>
                <w:sz w:val="21"/>
                <w:szCs w:val="21"/>
              </w:rPr>
              <w:t>与项目有关的原有环境污染问题</w:t>
            </w:r>
          </w:p>
        </w:tc>
        <w:tc>
          <w:tcPr>
            <w:tcW w:w="8258" w:type="dxa"/>
            <w:vAlign w:val="center"/>
          </w:tcPr>
          <w:p w14:paraId="4B87F347">
            <w:pPr>
              <w:keepNext w:val="0"/>
              <w:keepLines w:val="0"/>
              <w:widowControl/>
              <w:suppressLineNumbers w:val="0"/>
              <w:jc w:val="center"/>
              <w:rPr>
                <w:color w:val="auto"/>
              </w:rPr>
            </w:pPr>
          </w:p>
          <w:p w14:paraId="74DFBE21">
            <w:pPr>
              <w:widowControl/>
              <w:overflowPunct w:val="0"/>
              <w:spacing w:line="360" w:lineRule="auto"/>
              <w:ind w:firstLine="480" w:firstLineChars="200"/>
              <w:jc w:val="left"/>
              <w:rPr>
                <w:rFonts w:hint="eastAsia" w:ascii="Times New Roman" w:hAnsi="Times New Roman" w:eastAsia="宋体" w:cs="Times New Roman"/>
                <w:bCs w:val="0"/>
                <w:color w:val="auto"/>
                <w:sz w:val="24"/>
                <w:szCs w:val="24"/>
                <w:lang w:val="en-US" w:eastAsia="zh-CN" w:bidi="ar-SA"/>
              </w:rPr>
            </w:pPr>
            <w:r>
              <w:rPr>
                <w:rStyle w:val="27"/>
                <w:rFonts w:hint="eastAsia"/>
                <w:color w:val="auto"/>
                <w:kern w:val="0"/>
                <w:sz w:val="24"/>
                <w:szCs w:val="24"/>
                <w:lang w:val="en-US" w:eastAsia="zh-CN"/>
              </w:rPr>
              <w:t>1、</w:t>
            </w:r>
            <w:r>
              <w:rPr>
                <w:rFonts w:hint="eastAsia" w:ascii="Times New Roman" w:hAnsi="Times New Roman" w:eastAsia="宋体" w:cs="Times New Roman"/>
                <w:bCs w:val="0"/>
                <w:color w:val="auto"/>
                <w:sz w:val="24"/>
                <w:szCs w:val="24"/>
                <w:lang w:val="en-US" w:eastAsia="zh-CN" w:bidi="ar-SA"/>
              </w:rPr>
              <w:t>现有项目环保手续执行情况</w:t>
            </w:r>
          </w:p>
          <w:p w14:paraId="5153B6FD">
            <w:pPr>
              <w:widowControl/>
              <w:overflowPunct w:val="0"/>
              <w:spacing w:line="360" w:lineRule="auto"/>
              <w:ind w:firstLine="480" w:firstLineChars="200"/>
              <w:jc w:val="left"/>
              <w:rPr>
                <w:rFonts w:hint="eastAsia" w:ascii="Times New Roman" w:hAnsi="Times New Roman" w:eastAsia="宋体" w:cs="Times New Roman"/>
                <w:bCs w:val="0"/>
                <w:color w:val="auto"/>
                <w:sz w:val="24"/>
                <w:szCs w:val="21"/>
                <w:lang w:val="en-US" w:eastAsia="zh-CN" w:bidi="ar-SA"/>
              </w:rPr>
            </w:pPr>
            <w:r>
              <w:rPr>
                <w:rFonts w:hint="eastAsia" w:ascii="Times New Roman" w:hAnsi="Times New Roman" w:eastAsia="宋体" w:cs="Times New Roman"/>
                <w:bCs w:val="0"/>
                <w:color w:val="auto"/>
                <w:sz w:val="24"/>
                <w:szCs w:val="21"/>
                <w:lang w:val="en-US" w:eastAsia="zh-CN" w:bidi="ar-SA"/>
              </w:rPr>
              <w:t>现有项目环保手续执行情况汇总见</w:t>
            </w:r>
            <w:r>
              <w:rPr>
                <w:rFonts w:hint="eastAsia" w:cs="Times New Roman"/>
                <w:bCs w:val="0"/>
                <w:color w:val="auto"/>
                <w:sz w:val="24"/>
                <w:szCs w:val="21"/>
                <w:lang w:val="en-US" w:eastAsia="zh-CN" w:bidi="ar-SA"/>
              </w:rPr>
              <w:t>下表</w:t>
            </w:r>
            <w:r>
              <w:rPr>
                <w:rFonts w:hint="eastAsia" w:ascii="Times New Roman" w:hAnsi="Times New Roman" w:eastAsia="宋体" w:cs="Times New Roman"/>
                <w:bCs w:val="0"/>
                <w:color w:val="auto"/>
                <w:sz w:val="24"/>
                <w:szCs w:val="21"/>
                <w:lang w:val="en-US" w:eastAsia="zh-CN" w:bidi="ar-SA"/>
              </w:rPr>
              <w:t>。</w:t>
            </w:r>
          </w:p>
          <w:p w14:paraId="63085C78">
            <w:pPr>
              <w:pStyle w:val="6"/>
              <w:keepNext w:val="0"/>
              <w:keepLines w:val="0"/>
              <w:pageBreakBefore w:val="0"/>
              <w:widowControl w:val="0"/>
              <w:kinsoku/>
              <w:wordWrap/>
              <w:overflowPunct/>
              <w:topLinePunct w:val="0"/>
              <w:autoSpaceDE/>
              <w:autoSpaceDN/>
              <w:bidi w:val="0"/>
              <w:adjustRightInd/>
              <w:snapToGrid/>
              <w:spacing w:line="240" w:lineRule="auto"/>
              <w:ind w:firstLine="482"/>
              <w:jc w:val="center"/>
              <w:textAlignment w:val="auto"/>
              <w:rPr>
                <w:b/>
                <w:bCs/>
                <w:color w:val="auto"/>
                <w:sz w:val="24"/>
              </w:rPr>
            </w:pPr>
            <w:r>
              <w:rPr>
                <w:b/>
                <w:bCs/>
                <w:color w:val="auto"/>
                <w:sz w:val="24"/>
              </w:rPr>
              <w:t>表2-</w:t>
            </w:r>
            <w:r>
              <w:rPr>
                <w:rFonts w:hint="eastAsia"/>
                <w:b/>
                <w:bCs/>
                <w:color w:val="auto"/>
                <w:sz w:val="24"/>
                <w:lang w:val="en-US" w:eastAsia="zh-CN"/>
              </w:rPr>
              <w:t xml:space="preserve">13 </w:t>
            </w:r>
            <w:r>
              <w:rPr>
                <w:b/>
                <w:bCs/>
                <w:color w:val="auto"/>
                <w:sz w:val="24"/>
              </w:rPr>
              <w:t xml:space="preserve">  现有环保手续执行情况</w:t>
            </w:r>
          </w:p>
          <w:tbl>
            <w:tblPr>
              <w:tblStyle w:val="23"/>
              <w:tblW w:w="7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683"/>
              <w:gridCol w:w="1547"/>
              <w:gridCol w:w="1980"/>
            </w:tblGrid>
            <w:tr w14:paraId="5867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09" w:type="dxa"/>
                  <w:shd w:val="clear" w:color="auto" w:fill="auto"/>
                  <w:vAlign w:val="center"/>
                </w:tcPr>
                <w:p w14:paraId="19B903FB">
                  <w:pPr>
                    <w:widowControl/>
                    <w:spacing w:line="240" w:lineRule="auto"/>
                    <w:ind w:firstLine="0" w:firstLine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kern w:val="2"/>
                      <w:sz w:val="21"/>
                      <w:szCs w:val="24"/>
                      <w:lang w:val="en-US" w:eastAsia="zh-CN"/>
                    </w:rPr>
                    <w:t>序号</w:t>
                  </w:r>
                </w:p>
              </w:tc>
              <w:tc>
                <w:tcPr>
                  <w:tcW w:w="3683" w:type="dxa"/>
                  <w:shd w:val="clear" w:color="auto" w:fill="auto"/>
                  <w:vAlign w:val="center"/>
                </w:tcPr>
                <w:p w14:paraId="55B446E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事项</w:t>
                  </w:r>
                </w:p>
              </w:tc>
              <w:tc>
                <w:tcPr>
                  <w:tcW w:w="1547" w:type="dxa"/>
                  <w:shd w:val="clear" w:color="auto" w:fill="auto"/>
                  <w:vAlign w:val="center"/>
                </w:tcPr>
                <w:p w14:paraId="788EEF3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文号/编号</w:t>
                  </w:r>
                </w:p>
              </w:tc>
              <w:tc>
                <w:tcPr>
                  <w:tcW w:w="1980" w:type="dxa"/>
                  <w:shd w:val="clear" w:color="auto" w:fill="auto"/>
                  <w:vAlign w:val="center"/>
                </w:tcPr>
                <w:p w14:paraId="3A3105C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审批单位</w:t>
                  </w:r>
                </w:p>
              </w:tc>
            </w:tr>
            <w:tr w14:paraId="19B8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09" w:type="dxa"/>
                  <w:vAlign w:val="center"/>
                </w:tcPr>
                <w:p w14:paraId="1868A5D6">
                  <w:pPr>
                    <w:widowControl/>
                    <w:jc w:val="center"/>
                    <w:rPr>
                      <w:rFonts w:hint="eastAsia"/>
                      <w:color w:val="auto"/>
                      <w:kern w:val="0"/>
                      <w:szCs w:val="21"/>
                      <w:lang w:val="en-US" w:eastAsia="zh-CN" w:bidi="ar"/>
                    </w:rPr>
                  </w:pPr>
                  <w:r>
                    <w:rPr>
                      <w:rFonts w:hint="eastAsia"/>
                      <w:color w:val="auto"/>
                      <w:kern w:val="0"/>
                      <w:szCs w:val="21"/>
                      <w:lang w:val="en-US" w:eastAsia="zh-CN" w:bidi="ar"/>
                    </w:rPr>
                    <w:t>1</w:t>
                  </w:r>
                </w:p>
              </w:tc>
              <w:tc>
                <w:tcPr>
                  <w:tcW w:w="3683" w:type="dxa"/>
                  <w:vAlign w:val="center"/>
                </w:tcPr>
                <w:p w14:paraId="64150CE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鄂尔多斯市生态环境局关于</w:t>
                  </w:r>
                </w:p>
                <w:p w14:paraId="39C7DBC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内蒙古蒙西矿业有限公司技改扩建年产100万吨捣固焦项目环境影响报告书的批复</w:t>
                  </w:r>
                </w:p>
              </w:tc>
              <w:tc>
                <w:tcPr>
                  <w:tcW w:w="1547" w:type="dxa"/>
                  <w:vAlign w:val="center"/>
                </w:tcPr>
                <w:p w14:paraId="132F10D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鄂环审字[2019]10号</w:t>
                  </w:r>
                </w:p>
                <w:p w14:paraId="44147F6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p>
              </w:tc>
              <w:tc>
                <w:tcPr>
                  <w:tcW w:w="1980" w:type="dxa"/>
                  <w:vAlign w:val="center"/>
                </w:tcPr>
                <w:p w14:paraId="4E178D9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鄂尔多斯市生态环境局</w:t>
                  </w:r>
                </w:p>
              </w:tc>
            </w:tr>
            <w:tr w14:paraId="5438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vAlign w:val="center"/>
                </w:tcPr>
                <w:p w14:paraId="7F715C6D">
                  <w:pPr>
                    <w:widowControl/>
                    <w:jc w:val="center"/>
                    <w:rPr>
                      <w:rFonts w:hint="default"/>
                      <w:color w:val="auto"/>
                      <w:kern w:val="0"/>
                      <w:szCs w:val="21"/>
                      <w:lang w:val="en-US" w:eastAsia="zh-CN" w:bidi="ar"/>
                    </w:rPr>
                  </w:pPr>
                  <w:r>
                    <w:rPr>
                      <w:rFonts w:hint="eastAsia"/>
                      <w:color w:val="auto"/>
                      <w:kern w:val="0"/>
                      <w:szCs w:val="21"/>
                      <w:lang w:val="en-US" w:eastAsia="zh-CN" w:bidi="ar"/>
                    </w:rPr>
                    <w:t>2</w:t>
                  </w:r>
                </w:p>
              </w:tc>
              <w:tc>
                <w:tcPr>
                  <w:tcW w:w="3683" w:type="dxa"/>
                  <w:vAlign w:val="center"/>
                </w:tcPr>
                <w:p w14:paraId="68C9994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2022年10月企业自主验收《内蒙古蒙西矿业有限公司技改扩建年产100万吨捣固焦项目竣工环境保护验收监测报告》</w:t>
                  </w:r>
                </w:p>
              </w:tc>
              <w:tc>
                <w:tcPr>
                  <w:tcW w:w="1547" w:type="dxa"/>
                  <w:vAlign w:val="center"/>
                </w:tcPr>
                <w:p w14:paraId="3953590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1980" w:type="dxa"/>
                  <w:vAlign w:val="center"/>
                </w:tcPr>
                <w:p w14:paraId="5B78233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r>
            <w:tr w14:paraId="3CF2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09" w:type="dxa"/>
                  <w:vAlign w:val="center"/>
                </w:tcPr>
                <w:p w14:paraId="16ED70B1">
                  <w:pPr>
                    <w:widowControl/>
                    <w:jc w:val="center"/>
                    <w:rPr>
                      <w:rFonts w:hint="eastAsia"/>
                      <w:color w:val="auto"/>
                      <w:kern w:val="0"/>
                      <w:szCs w:val="21"/>
                      <w:lang w:val="en-US" w:eastAsia="zh-CN" w:bidi="ar"/>
                    </w:rPr>
                  </w:pPr>
                  <w:r>
                    <w:rPr>
                      <w:rFonts w:hint="eastAsia"/>
                      <w:color w:val="auto"/>
                      <w:kern w:val="0"/>
                      <w:szCs w:val="21"/>
                      <w:lang w:val="en-US" w:eastAsia="zh-CN" w:bidi="ar"/>
                    </w:rPr>
                    <w:t>3</w:t>
                  </w:r>
                </w:p>
              </w:tc>
              <w:tc>
                <w:tcPr>
                  <w:tcW w:w="3683" w:type="dxa"/>
                  <w:vAlign w:val="center"/>
                </w:tcPr>
                <w:p w14:paraId="3B84D9C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鄂尔多斯市生态环境局关于内蒙古蒙西矿业有限公司综合利用甲醇驰放气技改生产5万吨/年合成氨项目环境影响报告书的批复</w:t>
                  </w:r>
                </w:p>
              </w:tc>
              <w:tc>
                <w:tcPr>
                  <w:tcW w:w="1547" w:type="dxa"/>
                  <w:vAlign w:val="center"/>
                </w:tcPr>
                <w:p w14:paraId="41DC38A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鄂环审字[2021]141号</w:t>
                  </w:r>
                </w:p>
              </w:tc>
              <w:tc>
                <w:tcPr>
                  <w:tcW w:w="1980" w:type="dxa"/>
                  <w:vAlign w:val="center"/>
                </w:tcPr>
                <w:p w14:paraId="5BFF3D9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鄂尔多斯市生态环境局</w:t>
                  </w:r>
                </w:p>
              </w:tc>
            </w:tr>
            <w:tr w14:paraId="4A4C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09" w:type="dxa"/>
                  <w:vAlign w:val="center"/>
                </w:tcPr>
                <w:p w14:paraId="49C598B3">
                  <w:pPr>
                    <w:widowControl/>
                    <w:jc w:val="center"/>
                    <w:rPr>
                      <w:rFonts w:hint="default"/>
                      <w:color w:val="auto"/>
                      <w:kern w:val="0"/>
                      <w:szCs w:val="21"/>
                      <w:lang w:val="en-US" w:eastAsia="zh-CN" w:bidi="ar"/>
                    </w:rPr>
                  </w:pPr>
                  <w:r>
                    <w:rPr>
                      <w:rFonts w:hint="eastAsia"/>
                      <w:color w:val="auto"/>
                      <w:kern w:val="0"/>
                      <w:szCs w:val="21"/>
                      <w:lang w:val="en-US" w:eastAsia="zh-CN" w:bidi="ar"/>
                    </w:rPr>
                    <w:t>4</w:t>
                  </w:r>
                </w:p>
              </w:tc>
              <w:tc>
                <w:tcPr>
                  <w:tcW w:w="3683" w:type="dxa"/>
                  <w:vAlign w:val="center"/>
                </w:tcPr>
                <w:p w14:paraId="094E02A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2024年1月企业自主验收《内蒙古蒙西矿业有限公司综合利用甲醇驰放气技改生产5万吨/年合成氨项目竣工环境保护验收监测报告》</w:t>
                  </w:r>
                </w:p>
              </w:tc>
              <w:tc>
                <w:tcPr>
                  <w:tcW w:w="1547" w:type="dxa"/>
                  <w:vAlign w:val="center"/>
                </w:tcPr>
                <w:p w14:paraId="2C4E9DE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1980" w:type="dxa"/>
                  <w:vAlign w:val="center"/>
                </w:tcPr>
                <w:p w14:paraId="3A327FD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r>
          </w:tbl>
          <w:p w14:paraId="05A29B91">
            <w:pPr>
              <w:widowControl/>
              <w:overflowPunct w:val="0"/>
              <w:spacing w:line="360" w:lineRule="auto"/>
              <w:ind w:firstLine="482" w:firstLineChars="200"/>
              <w:jc w:val="left"/>
              <w:rPr>
                <w:b/>
                <w:bCs/>
                <w:color w:val="auto"/>
                <w:sz w:val="24"/>
              </w:rPr>
            </w:pPr>
            <w:r>
              <w:rPr>
                <w:rFonts w:hint="eastAsia"/>
                <w:b/>
                <w:bCs/>
                <w:color w:val="auto"/>
                <w:sz w:val="24"/>
                <w:lang w:val="en-US" w:eastAsia="zh-CN"/>
              </w:rPr>
              <w:t>2、</w:t>
            </w:r>
            <w:r>
              <w:rPr>
                <w:b/>
                <w:bCs/>
                <w:color w:val="auto"/>
                <w:sz w:val="24"/>
              </w:rPr>
              <w:t>现有项目污染物产生情况</w:t>
            </w:r>
          </w:p>
          <w:p w14:paraId="3205F040">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①废气</w:t>
            </w:r>
          </w:p>
          <w:p w14:paraId="42847A8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default" w:ascii="Times New Roman" w:hAnsi="Times New Roman" w:eastAsia="宋体" w:cs="Times New Roman"/>
                <w:color w:val="auto"/>
                <w:kern w:val="0"/>
                <w:sz w:val="24"/>
                <w:szCs w:val="24"/>
                <w:lang w:val="en-US" w:eastAsia="zh-CN" w:bidi="ar"/>
              </w:rPr>
              <w:t>根据《内蒙古蒙西矿业有限公司技改扩建年产100万吨捣固焦项目竣工环境保护验收监测报告》可知，</w:t>
            </w:r>
            <w:r>
              <w:rPr>
                <w:rFonts w:hint="eastAsia" w:ascii="宋体" w:hAnsi="宋体" w:eastAsia="宋体" w:cs="宋体"/>
                <w:color w:val="auto"/>
                <w:kern w:val="0"/>
                <w:sz w:val="24"/>
                <w:szCs w:val="24"/>
                <w:lang w:val="en-US" w:eastAsia="zh-CN" w:bidi="ar"/>
              </w:rPr>
              <w:t>本项目有组织废气：破碎车间废气中颗粒物排放浓度及速率均满足《炼焦化学工业污染物排放标准》</w:t>
            </w:r>
            <w:r>
              <w:rPr>
                <w:rFonts w:hint="default" w:ascii="Times New Roman" w:hAnsi="Times New Roman" w:eastAsia="宋体" w:cs="Times New Roman"/>
                <w:color w:val="auto"/>
                <w:kern w:val="0"/>
                <w:sz w:val="24"/>
                <w:szCs w:val="24"/>
                <w:lang w:val="en-US" w:eastAsia="zh-CN" w:bidi="ar"/>
              </w:rPr>
              <w:t>(GB16171-2012)</w:t>
            </w:r>
            <w:r>
              <w:rPr>
                <w:rFonts w:hint="eastAsia" w:ascii="宋体" w:hAnsi="宋体" w:eastAsia="宋体" w:cs="宋体"/>
                <w:color w:val="auto"/>
                <w:kern w:val="0"/>
                <w:sz w:val="24"/>
                <w:szCs w:val="24"/>
                <w:lang w:val="en-US" w:eastAsia="zh-CN" w:bidi="ar"/>
              </w:rPr>
              <w:t xml:space="preserve">中表 </w:t>
            </w:r>
            <w:r>
              <w:rPr>
                <w:rFonts w:hint="default" w:ascii="Times New Roman" w:hAnsi="Times New Roman" w:eastAsia="宋体" w:cs="Times New Roman"/>
                <w:color w:val="auto"/>
                <w:kern w:val="0"/>
                <w:sz w:val="24"/>
                <w:szCs w:val="24"/>
                <w:lang w:val="en-US" w:eastAsia="zh-CN" w:bidi="ar"/>
              </w:rPr>
              <w:t xml:space="preserve">6 </w:t>
            </w:r>
            <w:r>
              <w:rPr>
                <w:rFonts w:hint="eastAsia" w:ascii="宋体" w:hAnsi="宋体" w:eastAsia="宋体" w:cs="宋体"/>
                <w:color w:val="auto"/>
                <w:kern w:val="0"/>
                <w:sz w:val="24"/>
                <w:szCs w:val="24"/>
                <w:lang w:val="en-US" w:eastAsia="zh-CN" w:bidi="ar"/>
              </w:rPr>
              <w:t>大气污染物特别排放限值要求；装煤烟气中颗粒物、二氧化硫、苯并芘排放浓度均满足《炼焦化学工业污染物排放标准》</w:t>
            </w:r>
            <w:r>
              <w:rPr>
                <w:rFonts w:hint="default" w:ascii="Times New Roman" w:hAnsi="Times New Roman" w:eastAsia="宋体" w:cs="Times New Roman"/>
                <w:color w:val="auto"/>
                <w:kern w:val="0"/>
                <w:sz w:val="24"/>
                <w:szCs w:val="24"/>
                <w:lang w:val="en-US" w:eastAsia="zh-CN" w:bidi="ar"/>
              </w:rPr>
              <w:t>(GB16171-2012)</w:t>
            </w:r>
            <w:r>
              <w:rPr>
                <w:rFonts w:hint="eastAsia" w:ascii="宋体" w:hAnsi="宋体" w:eastAsia="宋体" w:cs="宋体"/>
                <w:color w:val="auto"/>
                <w:kern w:val="0"/>
                <w:sz w:val="24"/>
                <w:szCs w:val="24"/>
                <w:lang w:val="en-US" w:eastAsia="zh-CN" w:bidi="ar"/>
              </w:rPr>
              <w:t xml:space="preserve">中表 </w:t>
            </w:r>
            <w:r>
              <w:rPr>
                <w:rFonts w:hint="default" w:ascii="Times New Roman" w:hAnsi="Times New Roman" w:eastAsia="宋体" w:cs="Times New Roman"/>
                <w:color w:val="auto"/>
                <w:kern w:val="0"/>
                <w:sz w:val="24"/>
                <w:szCs w:val="24"/>
                <w:lang w:val="en-US" w:eastAsia="zh-CN" w:bidi="ar"/>
              </w:rPr>
              <w:t xml:space="preserve">6 </w:t>
            </w:r>
            <w:r>
              <w:rPr>
                <w:rFonts w:hint="eastAsia" w:ascii="宋体" w:hAnsi="宋体" w:eastAsia="宋体" w:cs="宋体"/>
                <w:color w:val="auto"/>
                <w:kern w:val="0"/>
                <w:sz w:val="24"/>
                <w:szCs w:val="24"/>
                <w:lang w:val="en-US" w:eastAsia="zh-CN" w:bidi="ar"/>
              </w:rPr>
              <w:t>大气污染物特别排放限值要求；焦炉烟气中颗粒物、</w:t>
            </w:r>
            <w:r>
              <w:rPr>
                <w:rFonts w:hint="default" w:ascii="Times New Roman" w:hAnsi="Times New Roman" w:eastAsia="宋体" w:cs="Times New Roman"/>
                <w:color w:val="auto"/>
                <w:kern w:val="0"/>
                <w:sz w:val="24"/>
                <w:szCs w:val="24"/>
                <w:lang w:val="en-US" w:eastAsia="zh-CN" w:bidi="ar"/>
              </w:rPr>
              <w:t>SO</w:t>
            </w:r>
            <w:r>
              <w:rPr>
                <w:rFonts w:hint="default" w:ascii="Times New Roman" w:hAnsi="Times New Roman" w:eastAsia="宋体" w:cs="Times New Roman"/>
                <w:color w:val="auto"/>
                <w:kern w:val="0"/>
                <w:sz w:val="15"/>
                <w:szCs w:val="15"/>
                <w:lang w:val="en-US" w:eastAsia="zh-CN" w:bidi="ar"/>
              </w:rPr>
              <w:t>2</w:t>
            </w:r>
            <w:r>
              <w:rPr>
                <w:rFonts w:hint="eastAsia" w:ascii="宋体" w:hAnsi="宋体" w:eastAsia="宋体" w:cs="宋体"/>
                <w:color w:val="auto"/>
                <w:kern w:val="0"/>
                <w:sz w:val="24"/>
                <w:szCs w:val="24"/>
                <w:lang w:val="en-US" w:eastAsia="zh-CN" w:bidi="ar"/>
              </w:rPr>
              <w:t>放浓度均满足《炼焦化学工业污染物排放标准》</w:t>
            </w:r>
            <w:r>
              <w:rPr>
                <w:rFonts w:hint="default" w:ascii="Times New Roman" w:hAnsi="Times New Roman" w:eastAsia="宋体" w:cs="Times New Roman"/>
                <w:color w:val="auto"/>
                <w:kern w:val="0"/>
                <w:sz w:val="24"/>
                <w:szCs w:val="24"/>
                <w:lang w:val="en-US" w:eastAsia="zh-CN" w:bidi="ar"/>
              </w:rPr>
              <w:t>(GB16171-2012)</w:t>
            </w:r>
            <w:r>
              <w:rPr>
                <w:rFonts w:hint="eastAsia" w:ascii="宋体" w:hAnsi="宋体" w:eastAsia="宋体" w:cs="宋体"/>
                <w:color w:val="auto"/>
                <w:kern w:val="0"/>
                <w:sz w:val="24"/>
                <w:szCs w:val="24"/>
                <w:lang w:val="en-US" w:eastAsia="zh-CN" w:bidi="ar"/>
              </w:rPr>
              <w:t xml:space="preserve">中表 </w:t>
            </w:r>
            <w:r>
              <w:rPr>
                <w:rFonts w:hint="default" w:ascii="Times New Roman" w:hAnsi="Times New Roman" w:eastAsia="宋体" w:cs="Times New Roman"/>
                <w:color w:val="auto"/>
                <w:kern w:val="0"/>
                <w:sz w:val="24"/>
                <w:szCs w:val="24"/>
                <w:lang w:val="en-US" w:eastAsia="zh-CN" w:bidi="ar"/>
              </w:rPr>
              <w:t xml:space="preserve">6 </w:t>
            </w:r>
            <w:r>
              <w:rPr>
                <w:rFonts w:hint="eastAsia" w:ascii="宋体" w:hAnsi="宋体" w:eastAsia="宋体" w:cs="宋体"/>
                <w:color w:val="auto"/>
                <w:kern w:val="0"/>
                <w:sz w:val="24"/>
                <w:szCs w:val="24"/>
                <w:lang w:val="en-US" w:eastAsia="zh-CN" w:bidi="ar"/>
              </w:rPr>
              <w:t>大气污染物特别排放限值要求；推焦烟气中颗粒度均满足《炼焦化学工业污染物排放标准》</w:t>
            </w:r>
            <w:r>
              <w:rPr>
                <w:rFonts w:hint="default" w:ascii="Times New Roman" w:hAnsi="Times New Roman" w:eastAsia="宋体" w:cs="Times New Roman"/>
                <w:color w:val="auto"/>
                <w:kern w:val="0"/>
                <w:sz w:val="24"/>
                <w:szCs w:val="24"/>
                <w:lang w:val="en-US" w:eastAsia="zh-CN" w:bidi="ar"/>
              </w:rPr>
              <w:t>(GB16171-2012)</w:t>
            </w:r>
            <w:r>
              <w:rPr>
                <w:rFonts w:hint="eastAsia" w:ascii="宋体" w:hAnsi="宋体" w:eastAsia="宋体" w:cs="宋体"/>
                <w:color w:val="auto"/>
                <w:kern w:val="0"/>
                <w:sz w:val="24"/>
                <w:szCs w:val="24"/>
                <w:lang w:val="en-US" w:eastAsia="zh-CN" w:bidi="ar"/>
              </w:rPr>
              <w:t xml:space="preserve">中表 </w:t>
            </w:r>
            <w:r>
              <w:rPr>
                <w:rFonts w:hint="default" w:ascii="Times New Roman" w:hAnsi="Times New Roman" w:eastAsia="宋体" w:cs="Times New Roman"/>
                <w:color w:val="auto"/>
                <w:kern w:val="0"/>
                <w:sz w:val="24"/>
                <w:szCs w:val="24"/>
                <w:lang w:val="en-US" w:eastAsia="zh-CN" w:bidi="ar"/>
              </w:rPr>
              <w:t xml:space="preserve">6 </w:t>
            </w:r>
            <w:r>
              <w:rPr>
                <w:rFonts w:hint="eastAsia" w:ascii="宋体" w:hAnsi="宋体" w:eastAsia="宋体" w:cs="宋体"/>
                <w:color w:val="auto"/>
                <w:kern w:val="0"/>
                <w:sz w:val="24"/>
                <w:szCs w:val="24"/>
                <w:lang w:val="en-US" w:eastAsia="zh-CN" w:bidi="ar"/>
              </w:rPr>
              <w:t>大气 污染物特别排放限值要求；干熄焦烟气中颗粒物、</w:t>
            </w:r>
            <w:r>
              <w:rPr>
                <w:rFonts w:hint="default" w:ascii="Times New Roman" w:hAnsi="Times New Roman" w:eastAsia="宋体" w:cs="Times New Roman"/>
                <w:color w:val="auto"/>
                <w:kern w:val="0"/>
                <w:sz w:val="24"/>
                <w:szCs w:val="24"/>
                <w:lang w:val="en-US" w:eastAsia="zh-CN" w:bidi="ar"/>
              </w:rPr>
              <w:t>SO</w:t>
            </w:r>
            <w:r>
              <w:rPr>
                <w:rFonts w:hint="default" w:ascii="Times New Roman" w:hAnsi="Times New Roman" w:eastAsia="宋体" w:cs="Times New Roman"/>
                <w:color w:val="auto"/>
                <w:kern w:val="0"/>
                <w:sz w:val="15"/>
                <w:szCs w:val="15"/>
                <w:lang w:val="en-US" w:eastAsia="zh-CN" w:bidi="ar"/>
              </w:rPr>
              <w:t>2</w:t>
            </w:r>
            <w:r>
              <w:rPr>
                <w:rFonts w:hint="eastAsia" w:ascii="宋体" w:hAnsi="宋体" w:eastAsia="宋体" w:cs="宋体"/>
                <w:color w:val="auto"/>
                <w:kern w:val="0"/>
                <w:sz w:val="24"/>
                <w:szCs w:val="24"/>
                <w:lang w:val="en-US" w:eastAsia="zh-CN" w:bidi="ar"/>
              </w:rPr>
              <w:t>排放浓度均满足《炼焦化学工业污染物排放标准》</w:t>
            </w:r>
            <w:r>
              <w:rPr>
                <w:rFonts w:hint="default" w:ascii="Times New Roman" w:hAnsi="Times New Roman" w:eastAsia="宋体" w:cs="Times New Roman"/>
                <w:color w:val="auto"/>
                <w:kern w:val="0"/>
                <w:sz w:val="24"/>
                <w:szCs w:val="24"/>
                <w:lang w:val="en-US" w:eastAsia="zh-CN" w:bidi="ar"/>
              </w:rPr>
              <w:t>(GB16171-2012)</w:t>
            </w:r>
            <w:r>
              <w:rPr>
                <w:rFonts w:hint="eastAsia" w:ascii="宋体" w:hAnsi="宋体" w:eastAsia="宋体" w:cs="宋体"/>
                <w:color w:val="auto"/>
                <w:kern w:val="0"/>
                <w:sz w:val="24"/>
                <w:szCs w:val="24"/>
                <w:lang w:val="en-US" w:eastAsia="zh-CN" w:bidi="ar"/>
              </w:rPr>
              <w:t xml:space="preserve">中表 </w:t>
            </w:r>
            <w:r>
              <w:rPr>
                <w:rFonts w:hint="default" w:ascii="Times New Roman" w:hAnsi="Times New Roman" w:eastAsia="宋体" w:cs="Times New Roman"/>
                <w:color w:val="auto"/>
                <w:kern w:val="0"/>
                <w:sz w:val="24"/>
                <w:szCs w:val="24"/>
                <w:lang w:val="en-US" w:eastAsia="zh-CN" w:bidi="ar"/>
              </w:rPr>
              <w:t xml:space="preserve">6 </w:t>
            </w:r>
            <w:r>
              <w:rPr>
                <w:rFonts w:hint="eastAsia" w:ascii="宋体" w:hAnsi="宋体" w:eastAsia="宋体" w:cs="宋体"/>
                <w:color w:val="auto"/>
                <w:kern w:val="0"/>
                <w:sz w:val="24"/>
                <w:szCs w:val="24"/>
                <w:lang w:val="en-US" w:eastAsia="zh-CN" w:bidi="ar"/>
              </w:rPr>
              <w:t>大气污染物特别排放限值要求；筛焦废气中颗粒物排放浓度满足《炼焦化学工业污染物排放标准》</w:t>
            </w:r>
            <w:r>
              <w:rPr>
                <w:rFonts w:hint="default" w:ascii="Times New Roman" w:hAnsi="Times New Roman" w:eastAsia="宋体" w:cs="Times New Roman"/>
                <w:color w:val="auto"/>
                <w:kern w:val="0"/>
                <w:sz w:val="24"/>
                <w:szCs w:val="24"/>
                <w:lang w:val="en-US" w:eastAsia="zh-CN" w:bidi="ar"/>
              </w:rPr>
              <w:t>(GB16171-2012)中表</w:t>
            </w:r>
            <w:r>
              <w:rPr>
                <w:rFonts w:hint="default" w:ascii="Times New Roman" w:hAnsi="Times New Roman" w:cs="Times New Roman"/>
                <w:color w:val="auto"/>
                <w:kern w:val="0"/>
                <w:sz w:val="24"/>
                <w:szCs w:val="24"/>
                <w:lang w:val="en-US" w:eastAsia="zh-CN" w:bidi="ar"/>
              </w:rPr>
              <w:t>6</w:t>
            </w:r>
            <w:r>
              <w:rPr>
                <w:rFonts w:hint="default" w:ascii="Times New Roman" w:hAnsi="Times New Roman" w:eastAsia="宋体" w:cs="Times New Roman"/>
                <w:color w:val="auto"/>
                <w:kern w:val="0"/>
                <w:sz w:val="24"/>
                <w:szCs w:val="24"/>
                <w:lang w:val="en-US" w:eastAsia="zh-CN" w:bidi="ar"/>
              </w:rPr>
              <w:t>大气污染物特别排放限值要求；硫铵工段干燥废气中颗粒物、NH</w:t>
            </w:r>
            <w:r>
              <w:rPr>
                <w:rFonts w:hint="default" w:ascii="Times New Roman" w:hAnsi="Times New Roman" w:eastAsia="宋体" w:cs="Times New Roman"/>
                <w:color w:val="auto"/>
                <w:kern w:val="0"/>
                <w:sz w:val="15"/>
                <w:szCs w:val="15"/>
                <w:lang w:val="en-US" w:eastAsia="zh-CN" w:bidi="ar"/>
              </w:rPr>
              <w:t>3</w:t>
            </w:r>
            <w:r>
              <w:rPr>
                <w:rFonts w:hint="default" w:ascii="Times New Roman" w:hAnsi="Times New Roman" w:eastAsia="宋体" w:cs="Times New Roman"/>
                <w:color w:val="auto"/>
                <w:kern w:val="0"/>
                <w:sz w:val="24"/>
                <w:szCs w:val="24"/>
                <w:lang w:val="en-US" w:eastAsia="zh-CN" w:bidi="ar"/>
              </w:rPr>
              <w:t>排放浓度均满足《炼焦化学工业污染物排放标准》(GB16171-2012)中表</w:t>
            </w:r>
            <w:r>
              <w:rPr>
                <w:rFonts w:hint="default" w:ascii="Times New Roman" w:hAnsi="Times New Roman" w:cs="Times New Roman"/>
                <w:color w:val="auto"/>
                <w:kern w:val="0"/>
                <w:sz w:val="24"/>
                <w:szCs w:val="24"/>
                <w:lang w:val="en-US" w:eastAsia="zh-CN" w:bidi="ar"/>
              </w:rPr>
              <w:t>6</w:t>
            </w:r>
            <w:r>
              <w:rPr>
                <w:rFonts w:hint="default" w:ascii="Times New Roman" w:hAnsi="Times New Roman" w:eastAsia="宋体" w:cs="Times New Roman"/>
                <w:color w:val="auto"/>
                <w:kern w:val="0"/>
                <w:sz w:val="24"/>
                <w:szCs w:val="24"/>
                <w:lang w:val="en-US" w:eastAsia="zh-CN" w:bidi="ar"/>
              </w:rPr>
              <w:t>大气污染物</w:t>
            </w:r>
            <w:r>
              <w:rPr>
                <w:rFonts w:hint="eastAsia" w:ascii="宋体" w:hAnsi="宋体" w:eastAsia="宋体" w:cs="宋体"/>
                <w:color w:val="auto"/>
                <w:kern w:val="0"/>
                <w:sz w:val="24"/>
                <w:szCs w:val="24"/>
                <w:lang w:val="en-US" w:eastAsia="zh-CN" w:bidi="ar"/>
              </w:rPr>
              <w:t>特别排放限值要求；粗苯管式加热炉废气中颗粒物、</w:t>
            </w:r>
            <w:r>
              <w:rPr>
                <w:rFonts w:hint="default" w:ascii="Times New Roman" w:hAnsi="Times New Roman" w:eastAsia="宋体" w:cs="Times New Roman"/>
                <w:color w:val="auto"/>
                <w:kern w:val="0"/>
                <w:sz w:val="24"/>
                <w:szCs w:val="24"/>
                <w:lang w:val="en-US" w:eastAsia="zh-CN" w:bidi="ar"/>
              </w:rPr>
              <w:t>SO</w:t>
            </w:r>
            <w:r>
              <w:rPr>
                <w:rFonts w:hint="default" w:ascii="Times New Roman" w:hAnsi="Times New Roman" w:eastAsia="宋体" w:cs="Times New Roman"/>
                <w:color w:val="auto"/>
                <w:kern w:val="0"/>
                <w:sz w:val="15"/>
                <w:szCs w:val="15"/>
                <w:lang w:val="en-US" w:eastAsia="zh-CN" w:bidi="ar"/>
              </w:rPr>
              <w:t>2</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NO</w:t>
            </w:r>
            <w:r>
              <w:rPr>
                <w:rFonts w:hint="default" w:ascii="Times New Roman" w:hAnsi="Times New Roman" w:eastAsia="宋体" w:cs="Times New Roman"/>
                <w:color w:val="auto"/>
                <w:kern w:val="0"/>
                <w:sz w:val="15"/>
                <w:szCs w:val="15"/>
                <w:lang w:val="en-US" w:eastAsia="zh-CN" w:bidi="ar"/>
              </w:rPr>
              <w:t>X</w:t>
            </w:r>
            <w:r>
              <w:rPr>
                <w:rFonts w:hint="eastAsia" w:ascii="宋体" w:hAnsi="宋体" w:eastAsia="宋体" w:cs="宋体"/>
                <w:color w:val="auto"/>
                <w:kern w:val="0"/>
                <w:sz w:val="24"/>
                <w:szCs w:val="24"/>
                <w:lang w:val="en-US" w:eastAsia="zh-CN" w:bidi="ar"/>
              </w:rPr>
              <w:t>及烟气黑度排放浓度均满足《炼焦化学工业污染物排放标准》</w:t>
            </w:r>
            <w:r>
              <w:rPr>
                <w:rFonts w:hint="default" w:ascii="Times New Roman" w:hAnsi="Times New Roman" w:eastAsia="宋体" w:cs="Times New Roman"/>
                <w:color w:val="auto"/>
                <w:kern w:val="0"/>
                <w:sz w:val="24"/>
                <w:szCs w:val="24"/>
                <w:lang w:val="en-US" w:eastAsia="zh-CN" w:bidi="ar"/>
              </w:rPr>
              <w:t>(GB16171-2012)中表</w:t>
            </w:r>
            <w:r>
              <w:rPr>
                <w:rFonts w:hint="default" w:ascii="Times New Roman" w:hAnsi="Times New Roman" w:cs="Times New Roman"/>
                <w:color w:val="auto"/>
                <w:kern w:val="0"/>
                <w:sz w:val="24"/>
                <w:szCs w:val="24"/>
                <w:lang w:val="en-US" w:eastAsia="zh-CN" w:bidi="ar"/>
              </w:rPr>
              <w:t>6</w:t>
            </w:r>
            <w:r>
              <w:rPr>
                <w:rFonts w:hint="default" w:ascii="Times New Roman" w:hAnsi="Times New Roman" w:eastAsia="宋体" w:cs="Times New Roman"/>
                <w:color w:val="auto"/>
                <w:kern w:val="0"/>
                <w:sz w:val="24"/>
                <w:szCs w:val="24"/>
                <w:lang w:val="en-US" w:eastAsia="zh-CN" w:bidi="ar"/>
              </w:rPr>
              <w:t>大气</w:t>
            </w:r>
            <w:r>
              <w:rPr>
                <w:rFonts w:hint="eastAsia" w:ascii="宋体" w:hAnsi="宋体" w:eastAsia="宋体" w:cs="宋体"/>
                <w:color w:val="auto"/>
                <w:kern w:val="0"/>
                <w:sz w:val="24"/>
                <w:szCs w:val="24"/>
                <w:lang w:val="en-US" w:eastAsia="zh-CN" w:bidi="ar"/>
              </w:rPr>
              <w:t xml:space="preserve">污染物特别排放限值要求；甲醇加热炉烟气中 </w:t>
            </w:r>
            <w:r>
              <w:rPr>
                <w:rFonts w:hint="default" w:ascii="Times New Roman" w:hAnsi="Times New Roman" w:eastAsia="宋体" w:cs="Times New Roman"/>
                <w:color w:val="auto"/>
                <w:kern w:val="0"/>
                <w:sz w:val="24"/>
                <w:szCs w:val="24"/>
                <w:lang w:val="en-US" w:eastAsia="zh-CN" w:bidi="ar"/>
              </w:rPr>
              <w:t>NO</w:t>
            </w:r>
            <w:r>
              <w:rPr>
                <w:rFonts w:hint="default" w:ascii="Times New Roman" w:hAnsi="Times New Roman" w:eastAsia="宋体" w:cs="Times New Roman"/>
                <w:color w:val="auto"/>
                <w:kern w:val="0"/>
                <w:sz w:val="15"/>
                <w:szCs w:val="15"/>
                <w:lang w:val="en-US" w:eastAsia="zh-CN" w:bidi="ar"/>
              </w:rPr>
              <w:t xml:space="preserve">X </w:t>
            </w:r>
            <w:r>
              <w:rPr>
                <w:rFonts w:hint="eastAsia" w:ascii="宋体" w:hAnsi="宋体" w:eastAsia="宋体" w:cs="宋体"/>
                <w:color w:val="auto"/>
                <w:kern w:val="0"/>
                <w:sz w:val="24"/>
                <w:szCs w:val="24"/>
                <w:lang w:val="en-US" w:eastAsia="zh-CN" w:bidi="ar"/>
              </w:rPr>
              <w:t>排放浓度满足《石油化学工业污染物排放标准》（</w:t>
            </w:r>
            <w:r>
              <w:rPr>
                <w:rFonts w:hint="default" w:ascii="Times New Roman" w:hAnsi="Times New Roman" w:eastAsia="宋体" w:cs="Times New Roman"/>
                <w:color w:val="auto"/>
                <w:kern w:val="0"/>
                <w:sz w:val="24"/>
                <w:szCs w:val="24"/>
                <w:lang w:val="en-US" w:eastAsia="zh-CN" w:bidi="ar"/>
              </w:rPr>
              <w:t>GB 31571</w:t>
            </w:r>
            <w:r>
              <w:rPr>
                <w:rFonts w:hint="eastAsia" w:ascii="宋体" w:hAnsi="宋体" w:eastAsia="宋体" w:cs="宋体"/>
                <w:color w:val="auto"/>
                <w:kern w:val="0"/>
                <w:sz w:val="24"/>
                <w:szCs w:val="24"/>
                <w:lang w:val="en-US" w:eastAsia="zh-CN" w:bidi="ar"/>
              </w:rPr>
              <w:t xml:space="preserve">）表 </w:t>
            </w:r>
            <w:r>
              <w:rPr>
                <w:rFonts w:hint="default" w:ascii="Times New Roman" w:hAnsi="Times New Roman" w:eastAsia="宋体" w:cs="Times New Roman"/>
                <w:color w:val="auto"/>
                <w:kern w:val="0"/>
                <w:sz w:val="24"/>
                <w:szCs w:val="24"/>
                <w:lang w:val="en-US" w:eastAsia="zh-CN" w:bidi="ar"/>
              </w:rPr>
              <w:t xml:space="preserve">5 </w:t>
            </w:r>
            <w:r>
              <w:rPr>
                <w:rFonts w:hint="eastAsia" w:ascii="宋体" w:hAnsi="宋体" w:eastAsia="宋体" w:cs="宋体"/>
                <w:color w:val="auto"/>
                <w:kern w:val="0"/>
                <w:sz w:val="24"/>
                <w:szCs w:val="24"/>
                <w:lang w:val="en-US" w:eastAsia="zh-CN" w:bidi="ar"/>
              </w:rPr>
              <w:t>特别排放限值（即氮氧化物</w:t>
            </w:r>
            <w:r>
              <w:rPr>
                <w:rFonts w:hint="default" w:ascii="Times New Roman" w:hAnsi="Times New Roman" w:eastAsia="宋体" w:cs="Times New Roman"/>
                <w:color w:val="auto"/>
                <w:kern w:val="0"/>
                <w:sz w:val="24"/>
                <w:szCs w:val="24"/>
                <w:lang w:val="en-US" w:eastAsia="zh-CN" w:bidi="ar"/>
              </w:rPr>
              <w:t>100mg/m</w:t>
            </w:r>
            <w:r>
              <w:rPr>
                <w:rFonts w:hint="eastAsia"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）要求；甲醇储罐废气中甲醇排放浓度满足《石油化学工业污染物排放标准》（</w:t>
            </w:r>
            <w:r>
              <w:rPr>
                <w:rFonts w:hint="default" w:ascii="Times New Roman" w:hAnsi="Times New Roman" w:eastAsia="宋体" w:cs="Times New Roman"/>
                <w:color w:val="auto"/>
                <w:kern w:val="0"/>
                <w:sz w:val="24"/>
                <w:szCs w:val="24"/>
                <w:lang w:val="en-US" w:eastAsia="zh-CN" w:bidi="ar"/>
              </w:rPr>
              <w:t>GB 31571</w:t>
            </w:r>
            <w:r>
              <w:rPr>
                <w:rFonts w:hint="eastAsia" w:ascii="宋体" w:hAnsi="宋体" w:eastAsia="宋体" w:cs="宋体"/>
                <w:color w:val="auto"/>
                <w:kern w:val="0"/>
                <w:sz w:val="24"/>
                <w:szCs w:val="24"/>
                <w:lang w:val="en-US" w:eastAsia="zh-CN" w:bidi="ar"/>
              </w:rPr>
              <w:t xml:space="preserve">）表 </w:t>
            </w:r>
            <w:r>
              <w:rPr>
                <w:rFonts w:hint="default" w:ascii="Times New Roman" w:hAnsi="Times New Roman" w:eastAsia="宋体" w:cs="Times New Roman"/>
                <w:color w:val="auto"/>
                <w:kern w:val="0"/>
                <w:sz w:val="24"/>
                <w:szCs w:val="24"/>
                <w:lang w:val="en-US" w:eastAsia="zh-CN" w:bidi="ar"/>
              </w:rPr>
              <w:t xml:space="preserve">6 </w:t>
            </w:r>
            <w:r>
              <w:rPr>
                <w:rFonts w:hint="eastAsia" w:ascii="宋体" w:hAnsi="宋体" w:eastAsia="宋体" w:cs="宋体"/>
                <w:color w:val="auto"/>
                <w:kern w:val="0"/>
                <w:sz w:val="24"/>
                <w:szCs w:val="24"/>
                <w:lang w:val="en-US" w:eastAsia="zh-CN" w:bidi="ar"/>
              </w:rPr>
              <w:t xml:space="preserve">特别排放限值（甲醇 </w:t>
            </w:r>
            <w:r>
              <w:rPr>
                <w:rFonts w:hint="default" w:ascii="Times New Roman" w:hAnsi="Times New Roman" w:eastAsia="宋体" w:cs="Times New Roman"/>
                <w:color w:val="auto"/>
                <w:kern w:val="0"/>
                <w:sz w:val="24"/>
                <w:szCs w:val="24"/>
                <w:lang w:val="en-US" w:eastAsia="zh-CN" w:bidi="ar"/>
              </w:rPr>
              <w:t>50mg/m</w:t>
            </w:r>
            <w:r>
              <w:rPr>
                <w:rFonts w:hint="eastAsia"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）要求；污水处理站废气中氨、硫化氢排放浓度及速率均满足《恶臭污染物排放标准》</w:t>
            </w:r>
            <w:r>
              <w:rPr>
                <w:rFonts w:hint="default" w:ascii="Times New Roman" w:hAnsi="Times New Roman" w:eastAsia="宋体" w:cs="Times New Roman"/>
                <w:color w:val="auto"/>
                <w:kern w:val="0"/>
                <w:sz w:val="24"/>
                <w:szCs w:val="24"/>
                <w:lang w:val="en-US" w:eastAsia="zh-CN" w:bidi="ar"/>
              </w:rPr>
              <w:t>(GB14554-93)</w:t>
            </w:r>
            <w:r>
              <w:rPr>
                <w:rFonts w:hint="eastAsia" w:ascii="宋体" w:hAnsi="宋体" w:eastAsia="宋体" w:cs="宋体"/>
                <w:color w:val="auto"/>
                <w:kern w:val="0"/>
                <w:sz w:val="24"/>
                <w:szCs w:val="24"/>
                <w:lang w:val="en-US" w:eastAsia="zh-CN" w:bidi="ar"/>
              </w:rPr>
              <w:t xml:space="preserve">限值要求。 </w:t>
            </w:r>
          </w:p>
          <w:p w14:paraId="18B243E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eastAsia" w:ascii="宋体" w:hAnsi="宋体" w:eastAsia="宋体" w:cs="宋体"/>
                <w:color w:val="auto"/>
                <w:kern w:val="0"/>
                <w:sz w:val="24"/>
                <w:szCs w:val="24"/>
                <w:lang w:val="en-US" w:eastAsia="zh-CN" w:bidi="ar"/>
              </w:rPr>
              <w:t>厂界无组织废气：厂界无组织废气中颗粒物、二氧化硫、氮氧化物、氨气、硫化氢、苯可溶物、氰化氢、酚类化合物、苯、苯并</w:t>
            </w: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芘等浓度均满足《炼焦化学工业污染物排放标准》</w:t>
            </w:r>
            <w:r>
              <w:rPr>
                <w:rFonts w:hint="default" w:ascii="Times New Roman" w:hAnsi="Times New Roman" w:eastAsia="宋体" w:cs="Times New Roman"/>
                <w:color w:val="auto"/>
                <w:kern w:val="0"/>
                <w:sz w:val="24"/>
                <w:szCs w:val="24"/>
                <w:lang w:val="en-US" w:eastAsia="zh-CN" w:bidi="ar"/>
              </w:rPr>
              <w:t>(GB16171-2012)</w:t>
            </w:r>
            <w:r>
              <w:rPr>
                <w:rFonts w:hint="eastAsia" w:ascii="宋体" w:hAnsi="宋体" w:eastAsia="宋体" w:cs="宋体"/>
                <w:color w:val="auto"/>
                <w:kern w:val="0"/>
                <w:sz w:val="24"/>
                <w:szCs w:val="24"/>
                <w:lang w:val="en-US" w:eastAsia="zh-CN" w:bidi="ar"/>
              </w:rPr>
              <w:t xml:space="preserve">表 </w:t>
            </w:r>
            <w:r>
              <w:rPr>
                <w:rFonts w:hint="default" w:ascii="Times New Roman" w:hAnsi="Times New Roman" w:eastAsia="宋体" w:cs="Times New Roman"/>
                <w:color w:val="auto"/>
                <w:kern w:val="0"/>
                <w:sz w:val="24"/>
                <w:szCs w:val="24"/>
                <w:lang w:val="en-US" w:eastAsia="zh-CN" w:bidi="ar"/>
              </w:rPr>
              <w:t xml:space="preserve">7 </w:t>
            </w:r>
            <w:r>
              <w:rPr>
                <w:rFonts w:hint="eastAsia" w:ascii="宋体" w:hAnsi="宋体" w:eastAsia="宋体" w:cs="宋体"/>
                <w:color w:val="auto"/>
                <w:kern w:val="0"/>
                <w:sz w:val="24"/>
                <w:szCs w:val="24"/>
                <w:lang w:val="en-US" w:eastAsia="zh-CN" w:bidi="ar"/>
              </w:rPr>
              <w:t>中厂界无组织限值要求；</w:t>
            </w:r>
            <w:r>
              <w:rPr>
                <w:rFonts w:hint="default" w:ascii="Times New Roman" w:hAnsi="Times New Roman" w:eastAsia="宋体" w:cs="Times New Roman"/>
                <w:color w:val="auto"/>
                <w:kern w:val="0"/>
                <w:sz w:val="24"/>
                <w:szCs w:val="24"/>
                <w:lang w:val="en-US" w:eastAsia="zh-CN" w:bidi="ar"/>
              </w:rPr>
              <w:t xml:space="preserve">1 </w:t>
            </w:r>
            <w:r>
              <w:rPr>
                <w:rFonts w:hint="eastAsia" w:ascii="宋体" w:hAnsi="宋体" w:eastAsia="宋体" w:cs="宋体"/>
                <w:color w:val="auto"/>
                <w:kern w:val="0"/>
                <w:sz w:val="24"/>
                <w:szCs w:val="24"/>
                <w:lang w:val="en-US" w:eastAsia="zh-CN" w:bidi="ar"/>
              </w:rPr>
              <w:t>号焦炉无组织颗粒物、二氧化硫、氨气、硫化氢、苯可溶物、苯、苯并</w:t>
            </w: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芘等污染物浓度均满足《炼焦化学工业污染物排放标准》</w:t>
            </w:r>
            <w:r>
              <w:rPr>
                <w:rFonts w:hint="default" w:ascii="Times New Roman" w:hAnsi="Times New Roman" w:eastAsia="宋体" w:cs="Times New Roman"/>
                <w:color w:val="auto"/>
                <w:kern w:val="0"/>
                <w:sz w:val="24"/>
                <w:szCs w:val="24"/>
                <w:lang w:val="en-US" w:eastAsia="zh-CN" w:bidi="ar"/>
              </w:rPr>
              <w:t xml:space="preserve">(GB16171-2012) </w:t>
            </w:r>
            <w:r>
              <w:rPr>
                <w:rFonts w:hint="eastAsia" w:ascii="宋体" w:hAnsi="宋体" w:eastAsia="宋体" w:cs="宋体"/>
                <w:color w:val="auto"/>
                <w:kern w:val="0"/>
                <w:sz w:val="24"/>
                <w:szCs w:val="24"/>
                <w:lang w:val="en-US" w:eastAsia="zh-CN" w:bidi="ar"/>
              </w:rPr>
              <w:t xml:space="preserve">表 </w:t>
            </w:r>
            <w:r>
              <w:rPr>
                <w:rFonts w:hint="default" w:ascii="Times New Roman" w:hAnsi="Times New Roman" w:eastAsia="宋体" w:cs="Times New Roman"/>
                <w:color w:val="auto"/>
                <w:kern w:val="0"/>
                <w:sz w:val="24"/>
                <w:szCs w:val="24"/>
                <w:lang w:val="en-US" w:eastAsia="zh-CN" w:bidi="ar"/>
              </w:rPr>
              <w:t xml:space="preserve">7 </w:t>
            </w:r>
            <w:r>
              <w:rPr>
                <w:rFonts w:hint="eastAsia" w:ascii="宋体" w:hAnsi="宋体" w:eastAsia="宋体" w:cs="宋体"/>
                <w:color w:val="auto"/>
                <w:kern w:val="0"/>
                <w:sz w:val="24"/>
                <w:szCs w:val="24"/>
                <w:lang w:val="en-US" w:eastAsia="zh-CN" w:bidi="ar"/>
              </w:rPr>
              <w:t>中焦炉炉顶浓度限值要求；</w:t>
            </w:r>
            <w:r>
              <w:rPr>
                <w:rFonts w:hint="default" w:ascii="Times New Roman" w:hAnsi="Times New Roman" w:eastAsia="宋体" w:cs="Times New Roman"/>
                <w:color w:val="auto"/>
                <w:kern w:val="0"/>
                <w:sz w:val="24"/>
                <w:szCs w:val="24"/>
                <w:lang w:val="en-US" w:eastAsia="zh-CN" w:bidi="ar"/>
              </w:rPr>
              <w:t xml:space="preserve">2 </w:t>
            </w:r>
            <w:r>
              <w:rPr>
                <w:rFonts w:hint="eastAsia" w:ascii="宋体" w:hAnsi="宋体" w:eastAsia="宋体" w:cs="宋体"/>
                <w:color w:val="auto"/>
                <w:kern w:val="0"/>
                <w:sz w:val="24"/>
                <w:szCs w:val="24"/>
                <w:lang w:val="en-US" w:eastAsia="zh-CN" w:bidi="ar"/>
              </w:rPr>
              <w:t>号焦炉无组织颗粒物、二氧化硫、氨气、硫化氢、苯可溶物、苯、苯并</w:t>
            </w: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芘等污染物浓度均满足《炼焦化学工业污染物排放标准》</w:t>
            </w:r>
            <w:r>
              <w:rPr>
                <w:rFonts w:hint="default" w:ascii="Times New Roman" w:hAnsi="Times New Roman" w:eastAsia="宋体" w:cs="Times New Roman"/>
                <w:color w:val="auto"/>
                <w:kern w:val="0"/>
                <w:sz w:val="24"/>
                <w:szCs w:val="24"/>
                <w:lang w:val="en-US" w:eastAsia="zh-CN" w:bidi="ar"/>
              </w:rPr>
              <w:t>(GB16171-2012)</w:t>
            </w:r>
            <w:r>
              <w:rPr>
                <w:rFonts w:hint="eastAsia" w:ascii="宋体" w:hAnsi="宋体" w:eastAsia="宋体" w:cs="宋体"/>
                <w:color w:val="auto"/>
                <w:kern w:val="0"/>
                <w:sz w:val="24"/>
                <w:szCs w:val="24"/>
                <w:lang w:val="en-US" w:eastAsia="zh-CN" w:bidi="ar"/>
              </w:rPr>
              <w:t xml:space="preserve">表 </w:t>
            </w:r>
            <w:r>
              <w:rPr>
                <w:rFonts w:hint="default" w:ascii="Times New Roman" w:hAnsi="Times New Roman" w:eastAsia="宋体" w:cs="Times New Roman"/>
                <w:color w:val="auto"/>
                <w:kern w:val="0"/>
                <w:sz w:val="24"/>
                <w:szCs w:val="24"/>
                <w:lang w:val="en-US" w:eastAsia="zh-CN" w:bidi="ar"/>
              </w:rPr>
              <w:t xml:space="preserve">7 </w:t>
            </w:r>
            <w:r>
              <w:rPr>
                <w:rFonts w:hint="eastAsia" w:ascii="宋体" w:hAnsi="宋体" w:eastAsia="宋体" w:cs="宋体"/>
                <w:color w:val="auto"/>
                <w:kern w:val="0"/>
                <w:sz w:val="24"/>
                <w:szCs w:val="24"/>
                <w:lang w:val="en-US" w:eastAsia="zh-CN" w:bidi="ar"/>
              </w:rPr>
              <w:t>中焦炉炉顶浓度限值要求。</w:t>
            </w:r>
          </w:p>
          <w:p w14:paraId="12E6C35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default" w:ascii="Times New Roman" w:hAnsi="Times New Roman" w:eastAsia="宋体" w:cs="Times New Roman"/>
                <w:color w:val="auto"/>
                <w:kern w:val="0"/>
                <w:sz w:val="24"/>
                <w:szCs w:val="24"/>
                <w:lang w:val="en-US" w:eastAsia="zh-CN" w:bidi="ar"/>
              </w:rPr>
              <w:t>根据《内蒙古蒙西矿业有限公司综合利用甲醇驰放气技改生产5万吨/年合成氨项目竣工环境保护验收监测报告》可知，</w:t>
            </w:r>
            <w:r>
              <w:rPr>
                <w:rFonts w:hint="eastAsia" w:ascii="宋体" w:hAnsi="宋体" w:eastAsia="宋体" w:cs="宋体"/>
                <w:color w:val="auto"/>
                <w:kern w:val="0"/>
                <w:sz w:val="24"/>
                <w:szCs w:val="24"/>
                <w:lang w:val="en-US" w:eastAsia="zh-CN" w:bidi="ar"/>
              </w:rPr>
              <w:t>本项目有组织废气：甲醇工段预热炉烟气中颗粒物最大排放浓度为</w:t>
            </w:r>
            <w:r>
              <w:rPr>
                <w:rFonts w:hint="default" w:ascii="Times New Roman" w:hAnsi="Times New Roman" w:eastAsia="宋体" w:cs="Times New Roman"/>
                <w:color w:val="auto"/>
                <w:kern w:val="0"/>
                <w:sz w:val="24"/>
                <w:szCs w:val="24"/>
                <w:lang w:val="en-US" w:eastAsia="zh-CN" w:bidi="ar"/>
              </w:rPr>
              <w:t>15.0mg/m</w:t>
            </w:r>
            <w:r>
              <w:rPr>
                <w:rFonts w:hint="eastAsia"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，最大排放速率</w:t>
            </w:r>
            <w:r>
              <w:rPr>
                <w:rFonts w:hint="default" w:ascii="Times New Roman" w:hAnsi="Times New Roman" w:eastAsia="宋体" w:cs="Times New Roman"/>
                <w:color w:val="auto"/>
                <w:kern w:val="0"/>
                <w:sz w:val="24"/>
                <w:szCs w:val="24"/>
                <w:lang w:val="en-US" w:eastAsia="zh-CN" w:bidi="ar"/>
              </w:rPr>
              <w:t>7.62×10</w:t>
            </w:r>
            <w:r>
              <w:rPr>
                <w:rFonts w:hint="default" w:ascii="Times New Roman" w:hAnsi="Times New Roman" w:eastAsia="宋体" w:cs="Times New Roman"/>
                <w:color w:val="auto"/>
                <w:kern w:val="0"/>
                <w:sz w:val="24"/>
                <w:szCs w:val="24"/>
                <w:vertAlign w:val="superscript"/>
                <w:lang w:val="en-US" w:eastAsia="zh-CN" w:bidi="ar"/>
              </w:rPr>
              <w:t>-2</w:t>
            </w:r>
            <w:r>
              <w:rPr>
                <w:rFonts w:hint="default" w:ascii="Times New Roman" w:hAnsi="Times New Roman" w:eastAsia="宋体" w:cs="Times New Roman"/>
                <w:color w:val="auto"/>
                <w:kern w:val="0"/>
                <w:sz w:val="24"/>
                <w:szCs w:val="24"/>
                <w:lang w:val="en-US" w:eastAsia="zh-CN" w:bidi="ar"/>
              </w:rPr>
              <w:t>kg/h</w:t>
            </w:r>
            <w:r>
              <w:rPr>
                <w:rFonts w:hint="eastAsia" w:ascii="宋体" w:hAnsi="宋体" w:eastAsia="宋体" w:cs="宋体"/>
                <w:color w:val="auto"/>
                <w:kern w:val="0"/>
                <w:sz w:val="24"/>
                <w:szCs w:val="24"/>
                <w:lang w:val="en-US" w:eastAsia="zh-CN" w:bidi="ar"/>
              </w:rPr>
              <w:t xml:space="preserve">；二氧化硫最大排放浓度为 </w:t>
            </w:r>
            <w:r>
              <w:rPr>
                <w:rFonts w:hint="default" w:ascii="Times New Roman" w:hAnsi="Times New Roman" w:eastAsia="宋体" w:cs="Times New Roman"/>
                <w:color w:val="auto"/>
                <w:kern w:val="0"/>
                <w:sz w:val="24"/>
                <w:szCs w:val="24"/>
                <w:lang w:val="en-US" w:eastAsia="zh-CN" w:bidi="ar"/>
              </w:rPr>
              <w:t>13mg/m</w:t>
            </w:r>
            <w:r>
              <w:rPr>
                <w:rFonts w:hint="default" w:ascii="Times New Roman" w:hAnsi="Times New Roman" w:eastAsia="宋体" w:cs="Times New Roman"/>
                <w:color w:val="auto"/>
                <w:kern w:val="0"/>
                <w:sz w:val="16"/>
                <w:szCs w:val="16"/>
                <w:lang w:val="en-US" w:eastAsia="zh-CN" w:bidi="ar"/>
              </w:rPr>
              <w:t>3</w:t>
            </w:r>
            <w:r>
              <w:rPr>
                <w:rFonts w:hint="eastAsia" w:ascii="宋体" w:hAnsi="宋体" w:eastAsia="宋体" w:cs="宋体"/>
                <w:color w:val="auto"/>
                <w:kern w:val="0"/>
                <w:sz w:val="24"/>
                <w:szCs w:val="24"/>
                <w:lang w:val="en-US" w:eastAsia="zh-CN" w:bidi="ar"/>
              </w:rPr>
              <w:t xml:space="preserve">，最大排放速率 </w:t>
            </w:r>
            <w:r>
              <w:rPr>
                <w:rFonts w:hint="default" w:ascii="Times New Roman" w:hAnsi="Times New Roman" w:eastAsia="宋体" w:cs="Times New Roman"/>
                <w:color w:val="auto"/>
                <w:kern w:val="0"/>
                <w:sz w:val="24"/>
                <w:szCs w:val="24"/>
                <w:lang w:val="en-US" w:eastAsia="zh-CN" w:bidi="ar"/>
              </w:rPr>
              <w:t>0.063kg/h</w:t>
            </w:r>
            <w:r>
              <w:rPr>
                <w:rFonts w:hint="eastAsia" w:ascii="宋体" w:hAnsi="宋体" w:eastAsia="宋体" w:cs="宋体"/>
                <w:color w:val="auto"/>
                <w:kern w:val="0"/>
                <w:sz w:val="24"/>
                <w:szCs w:val="24"/>
                <w:lang w:val="en-US" w:eastAsia="zh-CN" w:bidi="ar"/>
              </w:rPr>
              <w:t xml:space="preserve">；氮氧化物最大排放浓度为 </w:t>
            </w:r>
            <w:r>
              <w:rPr>
                <w:rFonts w:hint="default" w:ascii="Times New Roman" w:hAnsi="Times New Roman" w:eastAsia="宋体" w:cs="Times New Roman"/>
                <w:color w:val="auto"/>
                <w:kern w:val="0"/>
                <w:sz w:val="24"/>
                <w:szCs w:val="24"/>
                <w:lang w:val="en-US" w:eastAsia="zh-CN" w:bidi="ar"/>
              </w:rPr>
              <w:t>95mg/m</w:t>
            </w:r>
            <w:r>
              <w:rPr>
                <w:rFonts w:hint="eastAsia"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 xml:space="preserve">，最大排放速率 </w:t>
            </w:r>
            <w:r>
              <w:rPr>
                <w:rFonts w:hint="default" w:ascii="Times New Roman" w:hAnsi="Times New Roman" w:eastAsia="宋体" w:cs="Times New Roman"/>
                <w:color w:val="auto"/>
                <w:kern w:val="0"/>
                <w:sz w:val="24"/>
                <w:szCs w:val="24"/>
                <w:lang w:val="en-US" w:eastAsia="zh-CN" w:bidi="ar"/>
              </w:rPr>
              <w:t>0.475kg/h</w:t>
            </w:r>
            <w:r>
              <w:rPr>
                <w:rFonts w:hint="eastAsia" w:ascii="宋体" w:hAnsi="宋体" w:eastAsia="宋体" w:cs="宋体"/>
                <w:color w:val="auto"/>
                <w:kern w:val="0"/>
                <w:sz w:val="24"/>
                <w:szCs w:val="24"/>
                <w:lang w:val="en-US" w:eastAsia="zh-CN" w:bidi="ar"/>
              </w:rPr>
              <w:t>，满足《石油化学工业污染物排放标准》（</w:t>
            </w:r>
            <w:r>
              <w:rPr>
                <w:rFonts w:hint="default" w:ascii="Times New Roman" w:hAnsi="Times New Roman" w:eastAsia="宋体" w:cs="Times New Roman"/>
                <w:color w:val="auto"/>
                <w:kern w:val="0"/>
                <w:sz w:val="24"/>
                <w:szCs w:val="24"/>
                <w:lang w:val="en-US" w:eastAsia="zh-CN" w:bidi="ar"/>
              </w:rPr>
              <w:t>GB31571-2015</w:t>
            </w:r>
            <w:r>
              <w:rPr>
                <w:rFonts w:hint="eastAsia" w:ascii="宋体" w:hAnsi="宋体" w:eastAsia="宋体" w:cs="宋体"/>
                <w:color w:val="auto"/>
                <w:kern w:val="0"/>
                <w:sz w:val="24"/>
                <w:szCs w:val="24"/>
                <w:lang w:val="en-US" w:eastAsia="zh-CN" w:bidi="ar"/>
              </w:rPr>
              <w:t>）表</w:t>
            </w:r>
            <w:r>
              <w:rPr>
                <w:rFonts w:hint="default" w:ascii="Times New Roman" w:hAnsi="Times New Roman" w:cs="Times New Roman"/>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 xml:space="preserve">特别排放限值要求。 </w:t>
            </w:r>
          </w:p>
          <w:p w14:paraId="220DD70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厂界无组织废气：厂界无组织氨气最大浓度为 </w:t>
            </w:r>
            <w:r>
              <w:rPr>
                <w:rFonts w:hint="default" w:ascii="Times New Roman" w:hAnsi="Times New Roman" w:eastAsia="宋体" w:cs="Times New Roman"/>
                <w:color w:val="auto"/>
                <w:kern w:val="0"/>
                <w:sz w:val="24"/>
                <w:szCs w:val="24"/>
                <w:lang w:val="en-US" w:eastAsia="zh-CN" w:bidi="ar"/>
              </w:rPr>
              <w:t>0.15mg/m</w:t>
            </w:r>
            <w:r>
              <w:rPr>
                <w:rFonts w:hint="eastAsia"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，无组织浓度满足《恶臭污染物排放标准》（</w:t>
            </w:r>
            <w:r>
              <w:rPr>
                <w:rFonts w:hint="default" w:ascii="Times New Roman" w:hAnsi="Times New Roman" w:eastAsia="宋体" w:cs="Times New Roman"/>
                <w:color w:val="auto"/>
                <w:kern w:val="0"/>
                <w:sz w:val="24"/>
                <w:szCs w:val="24"/>
                <w:lang w:val="en-US" w:eastAsia="zh-CN" w:bidi="ar"/>
              </w:rPr>
              <w:t>GB14554-93</w:t>
            </w:r>
            <w:r>
              <w:rPr>
                <w:rFonts w:hint="eastAsia" w:ascii="宋体" w:hAnsi="宋体" w:eastAsia="宋体" w:cs="宋体"/>
                <w:color w:val="auto"/>
                <w:kern w:val="0"/>
                <w:sz w:val="24"/>
                <w:szCs w:val="24"/>
                <w:lang w:val="en-US" w:eastAsia="zh-CN" w:bidi="ar"/>
              </w:rPr>
              <w:t xml:space="preserve">）表 </w:t>
            </w:r>
            <w:r>
              <w:rPr>
                <w:rFonts w:hint="default" w:ascii="Times New Roman" w:hAnsi="Times New Roman" w:eastAsia="宋体" w:cs="Times New Roman"/>
                <w:color w:val="auto"/>
                <w:kern w:val="0"/>
                <w:sz w:val="24"/>
                <w:szCs w:val="24"/>
                <w:lang w:val="en-US" w:eastAsia="zh-CN" w:bidi="ar"/>
              </w:rPr>
              <w:t xml:space="preserve">1 </w:t>
            </w:r>
            <w:r>
              <w:rPr>
                <w:rFonts w:hint="eastAsia" w:ascii="宋体" w:hAnsi="宋体" w:eastAsia="宋体" w:cs="宋体"/>
                <w:color w:val="auto"/>
                <w:kern w:val="0"/>
                <w:sz w:val="24"/>
                <w:szCs w:val="24"/>
                <w:lang w:val="en-US" w:eastAsia="zh-CN" w:bidi="ar"/>
              </w:rPr>
              <w:t>中二级标准限值要求。</w:t>
            </w:r>
          </w:p>
          <w:p w14:paraId="5F9018EC">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②废水</w:t>
            </w:r>
          </w:p>
          <w:p w14:paraId="5C75434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根据《内蒙古蒙西矿业有限公司技改扩建年产100万吨捣固焦项目竣工环境保护验收监测报告》可知，本项目生产废水、生活污水经厂区污水处理站处理达标后全部回用。根据监测结果可知，厂区生化污水处理站出水口 pH 值、CODcr、BOD5、悬浮物(SS)、氨氮、石油类、硫化物、挥发酚、氰化物、总磷、总氮、苯、多环芳烃及苯并芘均满足《炼焦化学工业污染物排放标准》(GB16171-2012)表 2 限值。深度水处理站出水口 pH 值、CODcr、BOD5石油类均满足《城市污水再生利用工业用水水质》（GB/T19923-2005）中表</w:t>
            </w:r>
            <w:r>
              <w:rPr>
                <w:rFonts w:hint="eastAsia" w:ascii="Times New Roman" w:hAnsi="Times New Roman" w:eastAsia="宋体" w:cs="Times New Roman"/>
                <w:color w:val="auto"/>
                <w:kern w:val="0"/>
                <w:sz w:val="24"/>
                <w:szCs w:val="24"/>
                <w:lang w:val="en-US" w:eastAsia="zh-CN" w:bidi="ar"/>
              </w:rPr>
              <w:t>1</w:t>
            </w:r>
            <w:r>
              <w:rPr>
                <w:rFonts w:hint="default" w:ascii="Times New Roman" w:hAnsi="Times New Roman" w:eastAsia="宋体" w:cs="Times New Roman"/>
                <w:color w:val="auto"/>
                <w:kern w:val="0"/>
                <w:sz w:val="24"/>
                <w:szCs w:val="24"/>
                <w:lang w:val="en-US" w:eastAsia="zh-CN" w:bidi="ar"/>
              </w:rPr>
              <w:t>敞开式循环冷却水系统补充水水质标准限值。</w:t>
            </w:r>
          </w:p>
          <w:p w14:paraId="6B31DC5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根据《内蒙古蒙西矿业有限公司综合利用甲醇驰放气技改生产5万吨/年合成氨项目竣工环境保护验收监测报告》可知，厂区深度水处理站出水口各项指标均满足《城市污水再生利用工业用水水质》（GB/T19923-2005）中表</w:t>
            </w:r>
            <w:r>
              <w:rPr>
                <w:rFonts w:hint="eastAsia" w:ascii="Times New Roman" w:hAnsi="Times New Roman" w:eastAsia="宋体" w:cs="Times New Roman"/>
                <w:color w:val="auto"/>
                <w:kern w:val="0"/>
                <w:sz w:val="24"/>
                <w:szCs w:val="24"/>
                <w:lang w:val="en-US" w:eastAsia="zh-CN" w:bidi="ar"/>
              </w:rPr>
              <w:t>1</w:t>
            </w:r>
            <w:r>
              <w:rPr>
                <w:rFonts w:hint="default" w:ascii="Times New Roman" w:hAnsi="Times New Roman" w:eastAsia="宋体" w:cs="Times New Roman"/>
                <w:color w:val="auto"/>
                <w:kern w:val="0"/>
                <w:sz w:val="24"/>
                <w:szCs w:val="24"/>
                <w:lang w:val="en-US" w:eastAsia="zh-CN" w:bidi="ar"/>
              </w:rPr>
              <w:t>敞开式循环冷却水系统补充水水质标准限值。</w:t>
            </w:r>
          </w:p>
          <w:p w14:paraId="6DE9BC3E">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③噪声</w:t>
            </w:r>
          </w:p>
          <w:p w14:paraId="2C604B9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根据《内蒙古蒙西矿业有限公司技改扩建年产100万吨捣固焦项目竣工环境保护验收监测报告》监测结果可知，验收监测期间，厂界昼间最大噪声值为 54.8dB(A)，夜间最大噪声值为 44.3dB(A)，满足《工业企业厂界环境噪声排放标准》（GB12348-2008）中的 3 类标准，因此本项目噪声治理设施的降噪效果符合相关要求。</w:t>
            </w:r>
          </w:p>
          <w:p w14:paraId="4BC70AB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根据《内蒙古蒙西矿业有限公司综合利用甲醇驰放气技改生产5万吨/年合成氨项目竣工环境保护验收监测报告》监测结果可知，验收监测期间，厂界昼间最大噪声值为54dB(A)，夜间最大噪声值为47dB(A)，满足《工业企业厂界环境噪声排放标准》（GB12348-2008）中的</w:t>
            </w:r>
            <w:r>
              <w:rPr>
                <w:rFonts w:hint="eastAsia"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val="en-US" w:eastAsia="zh-CN" w:bidi="ar"/>
              </w:rPr>
              <w:t>类标准，因此本项目噪声治理设施的降噪效果符合相关要求。</w:t>
            </w:r>
          </w:p>
          <w:p w14:paraId="586F1D17">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④固体废物</w:t>
            </w:r>
          </w:p>
          <w:p w14:paraId="43FF256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default" w:ascii="Times New Roman" w:hAnsi="Times New Roman" w:eastAsia="宋体" w:cs="Times New Roman"/>
                <w:color w:val="auto"/>
                <w:kern w:val="0"/>
                <w:sz w:val="24"/>
                <w:szCs w:val="24"/>
                <w:lang w:val="en-US" w:eastAsia="zh-CN" w:bidi="ar"/>
              </w:rPr>
              <w:t>《内蒙古蒙西矿业有限公司技改扩建年产100万吨捣固焦项目竣工环境保护验收监测报告》</w:t>
            </w:r>
            <w:r>
              <w:rPr>
                <w:rFonts w:hint="eastAsia" w:cs="Times New Roman"/>
                <w:color w:val="auto"/>
                <w:kern w:val="0"/>
                <w:sz w:val="24"/>
                <w:szCs w:val="24"/>
                <w:lang w:val="en-US" w:eastAsia="zh-CN" w:bidi="ar"/>
              </w:rPr>
              <w:t>中：</w:t>
            </w:r>
            <w:r>
              <w:rPr>
                <w:rFonts w:hint="eastAsia" w:ascii="宋体" w:hAnsi="宋体" w:eastAsia="宋体" w:cs="宋体"/>
                <w:color w:val="auto"/>
                <w:kern w:val="0"/>
                <w:sz w:val="24"/>
                <w:szCs w:val="24"/>
                <w:lang w:val="en-US" w:eastAsia="zh-CN" w:bidi="ar"/>
              </w:rPr>
              <w:t xml:space="preserve">本项目产生的一般工业固废：破碎系统、装煤地面站、推焦除尘站、干熄焦除尘站、振动流化床干燥器产生的除尘灰，全部送备煤系统掺混配煤。 </w:t>
            </w:r>
          </w:p>
          <w:p w14:paraId="2EFB6B6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 xml:space="preserve">危险废物：备用湿熄焦焦粉、筛焦楼除尘灰，全部作为焦化原料返回煤塔；冷鼓、电捕产生的焦油渣、硫铵饱和器产生的酸焦油、蒸氨塔产生的沥青渣、洗油再生器产生的洗油渣、溶液循环槽产的脱硫残液等危险废物全部送备煤系统掺混配煤；目前甲醇相关工段尚未产生危险废物，待脱油脱萘器产生的废弃吸附剂、过滤器、预脱硫槽产生的废弃活性炭、一级预加氢转化器、一级加氢转化器、二级加氢转化器产生的废弃铁钼加氢催化剂、一级氧化锌脱硫槽、二级氧化锌脱硫槽、氧化锌脱硫槽产生的废弃氧化锌脱硫剂、纯氧转化炉产生的废弃转化催化剂、甲醇合成塔产生的废弃合成催化剂、甲醇罐区废气处理产生的废弃活性炭等危险废物产生时需全部委托有资质的单位处置；机修产生的废矿物油、废油桶、废油漆桶委托内蒙古诚辉环保科技有限责任公司处置，在线监测废液由运营单位委托有资质的单位处置。 </w:t>
            </w:r>
          </w:p>
          <w:p w14:paraId="5F44B9A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职工生活垃圾由环卫部门定期处置，全厂固废均得到妥善处置。</w:t>
            </w:r>
          </w:p>
          <w:p w14:paraId="006E040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default" w:ascii="宋体" w:hAnsi="宋体" w:eastAsia="宋体" w:cs="宋体"/>
                <w:color w:val="auto"/>
                <w:kern w:val="0"/>
                <w:sz w:val="24"/>
                <w:szCs w:val="24"/>
                <w:lang w:val="en-US" w:eastAsia="zh-CN" w:bidi="ar"/>
              </w:rPr>
              <w:t>《内蒙古蒙西矿业有限公司综合利用甲醇驰放气技改生产5万吨/年合成氨项目竣工环境保护验收监测报告》</w:t>
            </w:r>
            <w:r>
              <w:rPr>
                <w:rFonts w:hint="eastAsia" w:ascii="宋体" w:hAnsi="宋体" w:eastAsia="宋体" w:cs="宋体"/>
                <w:color w:val="auto"/>
                <w:kern w:val="0"/>
                <w:sz w:val="24"/>
                <w:szCs w:val="24"/>
                <w:lang w:val="en-US" w:eastAsia="zh-CN" w:bidi="ar"/>
              </w:rPr>
              <w:t>：运营期产生的固体废物主要包括废吸附剂、废脱氧分子筛、废干燥剂、油分离器废油、废合成氨催化剂、废润滑油。依托焦化项目危险废物暂存库暂存，委托内蒙古新鼎环境科技有限责任公司处置。</w:t>
            </w:r>
          </w:p>
          <w:p w14:paraId="4A72F65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bCs/>
                <w:color w:val="auto"/>
                <w:szCs w:val="21"/>
                <w:lang w:val="en-US"/>
              </w:rPr>
            </w:pPr>
            <w:r>
              <w:rPr>
                <w:rFonts w:hint="eastAsia" w:ascii="宋体" w:hAnsi="宋体" w:eastAsia="宋体" w:cs="宋体"/>
                <w:color w:val="auto"/>
                <w:kern w:val="0"/>
                <w:sz w:val="24"/>
                <w:szCs w:val="24"/>
                <w:lang w:val="en-US" w:eastAsia="zh-CN" w:bidi="ar"/>
              </w:rPr>
              <w:t>综上，现有项目已办理了相关的环评、验收手续，生产中产生的各类污染也采取了相应的环保措施。本次项目主要依托现有项目的公辅设施、危废间等，上述内容均不存在环保问题。</w:t>
            </w:r>
          </w:p>
        </w:tc>
      </w:tr>
    </w:tbl>
    <w:p w14:paraId="7D43B9CE">
      <w:pPr>
        <w:pStyle w:val="19"/>
        <w:jc w:val="center"/>
        <w:rPr>
          <w:rFonts w:hint="eastAsia" w:ascii="黑体" w:hAnsi="黑体" w:eastAsia="黑体"/>
          <w:snapToGrid w:val="0"/>
          <w:color w:val="auto"/>
          <w:sz w:val="36"/>
          <w:szCs w:val="36"/>
        </w:rPr>
        <w:sectPr>
          <w:footerReference r:id="rId6" w:type="default"/>
          <w:pgSz w:w="11906" w:h="16838"/>
          <w:pgMar w:top="1701" w:right="1531" w:bottom="1701" w:left="1531" w:header="851" w:footer="851" w:gutter="0"/>
          <w:cols w:space="720" w:num="1"/>
          <w:docGrid w:linePitch="312" w:charSpace="0"/>
        </w:sectPr>
      </w:pPr>
    </w:p>
    <w:bookmarkEnd w:id="2"/>
    <w:bookmarkEnd w:id="3"/>
    <w:p w14:paraId="0B158E1A">
      <w:pPr>
        <w:pStyle w:val="19"/>
        <w:spacing w:before="0" w:beforeAutospacing="0" w:after="0" w:afterAutospacing="0"/>
        <w:jc w:val="center"/>
        <w:outlineLvl w:val="0"/>
        <w:rPr>
          <w:rFonts w:ascii="Times New Roman" w:hAnsi="Times New Roman"/>
          <w:b/>
          <w:bCs/>
          <w:snapToGrid w:val="0"/>
          <w:color w:val="auto"/>
          <w:sz w:val="30"/>
          <w:szCs w:val="30"/>
        </w:rPr>
      </w:pPr>
      <w:bookmarkStart w:id="7" w:name="_Toc18111"/>
      <w:r>
        <w:rPr>
          <w:rFonts w:hint="eastAsia" w:ascii="Times New Roman" w:hAnsi="Times New Roman"/>
          <w:b/>
          <w:bCs/>
          <w:snapToGrid w:val="0"/>
          <w:color w:val="auto"/>
          <w:sz w:val="30"/>
          <w:szCs w:val="30"/>
        </w:rPr>
        <w:t>三、区域环境质量现状、环境保护目标及评价标准</w:t>
      </w:r>
      <w:bookmarkEnd w:id="7"/>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48C9FA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00" w:type="dxa"/>
            <w:vAlign w:val="center"/>
          </w:tcPr>
          <w:p w14:paraId="54F93284">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区域</w:t>
            </w:r>
          </w:p>
          <w:p w14:paraId="7713DF32">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环境</w:t>
            </w:r>
          </w:p>
          <w:p w14:paraId="50667AEC">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质量</w:t>
            </w:r>
          </w:p>
          <w:p w14:paraId="06869005">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现状</w:t>
            </w:r>
          </w:p>
        </w:tc>
        <w:tc>
          <w:tcPr>
            <w:tcW w:w="8190" w:type="dxa"/>
            <w:vAlign w:val="center"/>
          </w:tcPr>
          <w:p w14:paraId="734FD2F3">
            <w:pPr>
              <w:numPr>
                <w:ilvl w:val="0"/>
                <w:numId w:val="10"/>
              </w:numPr>
              <w:adjustRightInd w:val="0"/>
              <w:snapToGrid w:val="0"/>
              <w:spacing w:line="360" w:lineRule="auto"/>
              <w:ind w:firstLine="480" w:firstLineChars="200"/>
              <w:jc w:val="left"/>
              <w:rPr>
                <w:color w:val="auto"/>
                <w:kern w:val="0"/>
                <w:sz w:val="24"/>
              </w:rPr>
            </w:pPr>
            <w:r>
              <w:rPr>
                <w:color w:val="auto"/>
                <w:kern w:val="0"/>
                <w:sz w:val="24"/>
              </w:rPr>
              <w:t>环境</w:t>
            </w:r>
            <w:r>
              <w:rPr>
                <w:rFonts w:hint="eastAsia"/>
                <w:color w:val="auto"/>
                <w:kern w:val="0"/>
                <w:sz w:val="24"/>
              </w:rPr>
              <w:t>空气</w:t>
            </w:r>
            <w:r>
              <w:rPr>
                <w:color w:val="auto"/>
                <w:kern w:val="0"/>
                <w:sz w:val="24"/>
              </w:rPr>
              <w:t>质量现状</w:t>
            </w:r>
          </w:p>
          <w:p w14:paraId="585CAAE3">
            <w:pPr>
              <w:adjustRightInd w:val="0"/>
              <w:snapToGrid w:val="0"/>
              <w:spacing w:line="360" w:lineRule="auto"/>
              <w:ind w:firstLine="480" w:firstLineChars="200"/>
              <w:jc w:val="left"/>
              <w:rPr>
                <w:color w:val="auto"/>
                <w:kern w:val="0"/>
                <w:sz w:val="24"/>
              </w:rPr>
            </w:pPr>
            <w:r>
              <w:rPr>
                <w:rFonts w:hint="eastAsia"/>
                <w:color w:val="auto"/>
                <w:kern w:val="0"/>
                <w:sz w:val="24"/>
              </w:rPr>
              <w:t>（1）达标区判定</w:t>
            </w:r>
          </w:p>
          <w:p w14:paraId="7614B4FB">
            <w:pPr>
              <w:widowControl/>
              <w:spacing w:line="360" w:lineRule="auto"/>
              <w:ind w:firstLine="480" w:firstLineChars="200"/>
              <w:jc w:val="left"/>
              <w:rPr>
                <w:color w:val="auto"/>
                <w:kern w:val="0"/>
                <w:sz w:val="24"/>
                <w:lang w:bidi="ar"/>
              </w:rPr>
            </w:pPr>
            <w:r>
              <w:rPr>
                <w:color w:val="auto"/>
                <w:kern w:val="0"/>
                <w:sz w:val="24"/>
                <w:lang w:bidi="ar"/>
              </w:rPr>
              <w:t>根据《环境影响评价技术导则 大气环境》（HJ2.2-2018）中6.4.1.1中的内容“城市环境空气质量达标评价指标为SO</w:t>
            </w:r>
            <w:r>
              <w:rPr>
                <w:color w:val="auto"/>
                <w:kern w:val="0"/>
                <w:sz w:val="24"/>
                <w:vertAlign w:val="subscript"/>
                <w:lang w:bidi="ar"/>
              </w:rPr>
              <w:t>2</w:t>
            </w:r>
            <w:r>
              <w:rPr>
                <w:color w:val="auto"/>
                <w:kern w:val="0"/>
                <w:sz w:val="24"/>
                <w:lang w:bidi="ar"/>
              </w:rPr>
              <w:t>、NO</w:t>
            </w:r>
            <w:r>
              <w:rPr>
                <w:color w:val="auto"/>
                <w:kern w:val="0"/>
                <w:sz w:val="24"/>
                <w:vertAlign w:val="subscript"/>
                <w:lang w:bidi="ar"/>
              </w:rPr>
              <w:t>2</w:t>
            </w:r>
            <w:r>
              <w:rPr>
                <w:color w:val="auto"/>
                <w:kern w:val="0"/>
                <w:sz w:val="24"/>
                <w:lang w:bidi="ar"/>
              </w:rPr>
              <w:t>、PM</w:t>
            </w:r>
            <w:r>
              <w:rPr>
                <w:color w:val="auto"/>
                <w:kern w:val="0"/>
                <w:sz w:val="24"/>
                <w:vertAlign w:val="subscript"/>
                <w:lang w:bidi="ar"/>
              </w:rPr>
              <w:t>10</w:t>
            </w:r>
            <w:r>
              <w:rPr>
                <w:color w:val="auto"/>
                <w:kern w:val="0"/>
                <w:sz w:val="24"/>
                <w:lang w:bidi="ar"/>
              </w:rPr>
              <w:t>、Pm</w:t>
            </w:r>
            <w:r>
              <w:rPr>
                <w:color w:val="auto"/>
                <w:kern w:val="0"/>
                <w:sz w:val="24"/>
                <w:vertAlign w:val="subscript"/>
                <w:lang w:bidi="ar"/>
              </w:rPr>
              <w:t>2.5</w:t>
            </w:r>
            <w:r>
              <w:rPr>
                <w:color w:val="auto"/>
                <w:kern w:val="0"/>
                <w:sz w:val="24"/>
                <w:lang w:bidi="ar"/>
              </w:rPr>
              <w:t>、CO和O</w:t>
            </w:r>
            <w:r>
              <w:rPr>
                <w:color w:val="auto"/>
                <w:kern w:val="0"/>
                <w:sz w:val="24"/>
                <w:vertAlign w:val="subscript"/>
                <w:lang w:bidi="ar"/>
              </w:rPr>
              <w:t>3</w:t>
            </w:r>
            <w:r>
              <w:rPr>
                <w:color w:val="auto"/>
                <w:kern w:val="0"/>
                <w:sz w:val="24"/>
                <w:lang w:bidi="ar"/>
              </w:rPr>
              <w:t>，六项污染物全部达标即为城市环境空气质量达标”。项目所在区域达标判定，优先采用国家或地方生态环境主管部门公开发布的评价基准年环境质量公告或环境质量报告中的数据或结论。评价基准年为近3年中数据相对完整的1个日历年作为评价基准年。</w:t>
            </w:r>
          </w:p>
          <w:p w14:paraId="136FFE51">
            <w:pPr>
              <w:widowControl/>
              <w:spacing w:line="360" w:lineRule="auto"/>
              <w:ind w:firstLine="480" w:firstLineChars="200"/>
              <w:jc w:val="left"/>
              <w:rPr>
                <w:color w:val="auto"/>
                <w:kern w:val="0"/>
                <w:sz w:val="24"/>
              </w:rPr>
            </w:pPr>
            <w:r>
              <w:rPr>
                <w:color w:val="auto"/>
                <w:kern w:val="0"/>
                <w:sz w:val="24"/>
                <w:lang w:bidi="ar"/>
              </w:rPr>
              <w:t>本次采用内蒙古自治区生态环境厅202</w:t>
            </w:r>
            <w:r>
              <w:rPr>
                <w:rFonts w:hint="eastAsia"/>
                <w:color w:val="auto"/>
                <w:kern w:val="0"/>
                <w:sz w:val="24"/>
                <w:lang w:bidi="ar"/>
              </w:rPr>
              <w:t>5</w:t>
            </w:r>
            <w:r>
              <w:rPr>
                <w:color w:val="auto"/>
                <w:kern w:val="0"/>
                <w:sz w:val="24"/>
                <w:lang w:bidi="ar"/>
              </w:rPr>
              <w:t>年6月发布的《内蒙古自治区生态环境状况公报（202</w:t>
            </w:r>
            <w:r>
              <w:rPr>
                <w:rFonts w:hint="eastAsia"/>
                <w:color w:val="auto"/>
                <w:kern w:val="0"/>
                <w:sz w:val="24"/>
                <w:lang w:bidi="ar"/>
              </w:rPr>
              <w:t>4</w:t>
            </w:r>
            <w:r>
              <w:rPr>
                <w:color w:val="auto"/>
                <w:kern w:val="0"/>
                <w:sz w:val="24"/>
                <w:lang w:bidi="ar"/>
              </w:rPr>
              <w:t>年）》</w:t>
            </w:r>
            <w:r>
              <w:rPr>
                <w:rFonts w:hint="eastAsia"/>
                <w:color w:val="auto"/>
                <w:kern w:val="0"/>
                <w:sz w:val="24"/>
                <w:lang w:bidi="ar"/>
              </w:rPr>
              <w:t>“</w:t>
            </w:r>
            <w:r>
              <w:rPr>
                <w:color w:val="auto"/>
                <w:kern w:val="0"/>
                <w:sz w:val="24"/>
                <w:lang w:bidi="ar"/>
              </w:rPr>
              <w:t>2024年</w:t>
            </w:r>
            <w:r>
              <w:rPr>
                <w:rFonts w:hint="eastAsia"/>
                <w:color w:val="auto"/>
                <w:kern w:val="0"/>
                <w:sz w:val="24"/>
                <w:lang w:bidi="ar"/>
              </w:rPr>
              <w:t>，</w:t>
            </w:r>
            <w:r>
              <w:rPr>
                <w:color w:val="auto"/>
                <w:kern w:val="0"/>
                <w:sz w:val="24"/>
                <w:lang w:bidi="ar"/>
              </w:rPr>
              <w:t>全区环境空气六项污染物年均浓度均达标。</w:t>
            </w:r>
            <w:r>
              <w:rPr>
                <w:rFonts w:hint="eastAsia"/>
                <w:color w:val="auto"/>
                <w:kern w:val="0"/>
                <w:sz w:val="24"/>
                <w:lang w:bidi="ar"/>
              </w:rPr>
              <w:t>”，</w:t>
            </w:r>
            <w:r>
              <w:rPr>
                <w:color w:val="auto"/>
                <w:kern w:val="0"/>
                <w:sz w:val="24"/>
                <w:lang w:bidi="ar"/>
              </w:rPr>
              <w:t>因此项目所在区域为城市环境空气质量达标区域。</w:t>
            </w:r>
          </w:p>
          <w:p w14:paraId="4A7C2A17">
            <w:pPr>
              <w:widowControl/>
              <w:spacing w:line="360" w:lineRule="auto"/>
              <w:ind w:firstLine="480" w:firstLineChars="200"/>
              <w:jc w:val="left"/>
              <w:rPr>
                <w:color w:val="auto"/>
                <w:kern w:val="0"/>
                <w:sz w:val="24"/>
              </w:rPr>
            </w:pPr>
            <w:r>
              <w:rPr>
                <w:rFonts w:hint="eastAsia"/>
                <w:color w:val="auto"/>
                <w:kern w:val="0"/>
                <w:sz w:val="24"/>
              </w:rPr>
              <w:t>（2）环境空气质量特征因子现状监测</w:t>
            </w:r>
          </w:p>
          <w:p w14:paraId="186784D5">
            <w:pPr>
              <w:widowControl/>
              <w:spacing w:line="360" w:lineRule="auto"/>
              <w:ind w:firstLine="480" w:firstLineChars="200"/>
              <w:jc w:val="left"/>
              <w:rPr>
                <w:color w:val="auto"/>
                <w:kern w:val="0"/>
                <w:sz w:val="24"/>
                <w:lang w:bidi="ar"/>
              </w:rPr>
            </w:pPr>
            <w:r>
              <w:rPr>
                <w:rFonts w:hint="eastAsia"/>
                <w:color w:val="auto"/>
                <w:kern w:val="0"/>
                <w:sz w:val="24"/>
                <w:lang w:bidi="ar"/>
              </w:rPr>
              <w:t>本项目中涉及的废气污染特征因子为总悬浮颗粒物（</w:t>
            </w:r>
            <w:r>
              <w:rPr>
                <w:color w:val="auto"/>
                <w:kern w:val="0"/>
                <w:sz w:val="24"/>
                <w:lang w:bidi="ar"/>
              </w:rPr>
              <w:t>TSP</w:t>
            </w:r>
            <w:r>
              <w:rPr>
                <w:rFonts w:hint="eastAsia"/>
                <w:color w:val="auto"/>
                <w:kern w:val="0"/>
                <w:sz w:val="24"/>
                <w:lang w:bidi="ar"/>
              </w:rPr>
              <w:t>），针对特征因子，</w:t>
            </w:r>
            <w:r>
              <w:rPr>
                <w:color w:val="auto"/>
                <w:kern w:val="0"/>
                <w:sz w:val="24"/>
                <w:lang w:bidi="ar"/>
              </w:rPr>
              <w:t>建设项目环境影响报告表编制技术指南（污染影响类）》</w:t>
            </w:r>
            <w:r>
              <w:rPr>
                <w:rFonts w:hint="eastAsia"/>
                <w:color w:val="auto"/>
                <w:kern w:val="0"/>
                <w:sz w:val="24"/>
                <w:lang w:bidi="ar"/>
              </w:rPr>
              <w:t>中给出的要求为：排放国家、地方环境空气质量标准中有标准限值要求的特征污染物时，引用建设项目周边5千米范围内近3年的现有监测数据，无相关数据的选择当季主导风向下风向1个点位补充不少于3天的监测数据。</w:t>
            </w:r>
          </w:p>
          <w:p w14:paraId="565F9600">
            <w:pPr>
              <w:widowControl/>
              <w:spacing w:line="360" w:lineRule="auto"/>
              <w:ind w:firstLine="480" w:firstLineChars="200"/>
              <w:jc w:val="left"/>
              <w:rPr>
                <w:color w:val="auto"/>
                <w:sz w:val="24"/>
              </w:rPr>
            </w:pPr>
            <w:r>
              <w:rPr>
                <w:rFonts w:hint="eastAsia"/>
                <w:color w:val="auto"/>
                <w:kern w:val="0"/>
                <w:sz w:val="24"/>
                <w:lang w:bidi="ar"/>
              </w:rPr>
              <w:t>本次评价引用</w:t>
            </w:r>
            <w:r>
              <w:rPr>
                <w:rFonts w:hint="eastAsia"/>
                <w:color w:val="auto"/>
                <w:sz w:val="24"/>
              </w:rPr>
              <w:t>《内蒙古东日新能源有限公司石墨容器生产线产品多元化改造项目环境影响报告书》中现状监测数据，该项目位于本项目东北侧，距离1km。由内蒙古华清环境检测有限公司于2025年3月18日~2025年3月24日开展7天现状监测。监测结果见表3-1。</w:t>
            </w:r>
          </w:p>
          <w:p w14:paraId="2C0A67CD">
            <w:pPr>
              <w:pStyle w:val="56"/>
              <w:rPr>
                <w:color w:val="auto"/>
                <w:kern w:val="0"/>
                <w:sz w:val="24"/>
                <w:szCs w:val="21"/>
              </w:rPr>
            </w:pPr>
            <w:r>
              <w:rPr>
                <w:rFonts w:hint="eastAsia"/>
                <w:color w:val="auto"/>
                <w:kern w:val="0"/>
                <w:sz w:val="24"/>
                <w:szCs w:val="21"/>
              </w:rPr>
              <w:t>表3-1   环境空气质量现状监测结果评价一览表</w:t>
            </w:r>
          </w:p>
          <w:tbl>
            <w:tblPr>
              <w:tblStyle w:val="23"/>
              <w:tblW w:w="7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499"/>
              <w:gridCol w:w="1214"/>
              <w:gridCol w:w="1363"/>
              <w:gridCol w:w="1064"/>
              <w:gridCol w:w="927"/>
              <w:gridCol w:w="791"/>
            </w:tblGrid>
            <w:tr w14:paraId="06EF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110" w:type="dxa"/>
                  <w:vAlign w:val="center"/>
                </w:tcPr>
                <w:p w14:paraId="263CE93C">
                  <w:pPr>
                    <w:jc w:val="center"/>
                    <w:rPr>
                      <w:color w:val="auto"/>
                      <w:szCs w:val="21"/>
                    </w:rPr>
                  </w:pPr>
                  <w:r>
                    <w:rPr>
                      <w:color w:val="auto"/>
                      <w:szCs w:val="21"/>
                    </w:rPr>
                    <w:t>污染物</w:t>
                  </w:r>
                </w:p>
              </w:tc>
              <w:tc>
                <w:tcPr>
                  <w:tcW w:w="1499" w:type="dxa"/>
                  <w:vAlign w:val="center"/>
                </w:tcPr>
                <w:p w14:paraId="09CC5A66">
                  <w:pPr>
                    <w:jc w:val="center"/>
                    <w:rPr>
                      <w:color w:val="auto"/>
                      <w:szCs w:val="21"/>
                    </w:rPr>
                  </w:pPr>
                  <w:r>
                    <w:rPr>
                      <w:color w:val="auto"/>
                      <w:szCs w:val="21"/>
                    </w:rPr>
                    <w:t>平均时间</w:t>
                  </w:r>
                </w:p>
              </w:tc>
              <w:tc>
                <w:tcPr>
                  <w:tcW w:w="1214" w:type="dxa"/>
                  <w:vAlign w:val="center"/>
                </w:tcPr>
                <w:p w14:paraId="7FB4A5FC">
                  <w:pPr>
                    <w:widowControl/>
                    <w:jc w:val="center"/>
                    <w:rPr>
                      <w:color w:val="auto"/>
                      <w:szCs w:val="21"/>
                    </w:rPr>
                  </w:pPr>
                  <w:r>
                    <w:rPr>
                      <w:color w:val="auto"/>
                      <w:kern w:val="0"/>
                      <w:szCs w:val="21"/>
                      <w:lang w:bidi="ar"/>
                    </w:rPr>
                    <w:t>评价标准</w:t>
                  </w:r>
                </w:p>
                <w:p w14:paraId="5050B7D2">
                  <w:pPr>
                    <w:widowControl/>
                    <w:jc w:val="center"/>
                    <w:rPr>
                      <w:color w:val="auto"/>
                      <w:szCs w:val="21"/>
                    </w:rPr>
                  </w:pPr>
                  <w:r>
                    <w:rPr>
                      <w:color w:val="auto"/>
                      <w:kern w:val="0"/>
                      <w:szCs w:val="21"/>
                      <w:lang w:bidi="ar"/>
                    </w:rPr>
                    <w:t>（mg/m</w:t>
                  </w:r>
                  <w:r>
                    <w:rPr>
                      <w:color w:val="auto"/>
                      <w:kern w:val="0"/>
                      <w:szCs w:val="21"/>
                      <w:vertAlign w:val="superscript"/>
                      <w:lang w:bidi="ar"/>
                    </w:rPr>
                    <w:t>3</w:t>
                  </w:r>
                  <w:r>
                    <w:rPr>
                      <w:color w:val="auto"/>
                      <w:kern w:val="0"/>
                      <w:szCs w:val="21"/>
                      <w:lang w:bidi="ar"/>
                    </w:rPr>
                    <w:t>）</w:t>
                  </w:r>
                </w:p>
              </w:tc>
              <w:tc>
                <w:tcPr>
                  <w:tcW w:w="1363" w:type="dxa"/>
                  <w:vAlign w:val="center"/>
                </w:tcPr>
                <w:p w14:paraId="43A8D61F">
                  <w:pPr>
                    <w:widowControl/>
                    <w:jc w:val="center"/>
                    <w:rPr>
                      <w:color w:val="auto"/>
                      <w:szCs w:val="21"/>
                    </w:rPr>
                  </w:pPr>
                  <w:r>
                    <w:rPr>
                      <w:color w:val="auto"/>
                      <w:kern w:val="0"/>
                      <w:szCs w:val="21"/>
                      <w:lang w:bidi="ar"/>
                    </w:rPr>
                    <w:t>浓度范围</w:t>
                  </w:r>
                </w:p>
                <w:p w14:paraId="3F2B2D24">
                  <w:pPr>
                    <w:widowControl/>
                    <w:jc w:val="center"/>
                    <w:rPr>
                      <w:color w:val="auto"/>
                      <w:szCs w:val="21"/>
                    </w:rPr>
                  </w:pPr>
                  <w:r>
                    <w:rPr>
                      <w:color w:val="auto"/>
                      <w:kern w:val="0"/>
                      <w:szCs w:val="21"/>
                      <w:lang w:bidi="ar"/>
                    </w:rPr>
                    <w:t>（mg/m</w:t>
                  </w:r>
                  <w:r>
                    <w:rPr>
                      <w:color w:val="auto"/>
                      <w:kern w:val="0"/>
                      <w:szCs w:val="21"/>
                      <w:vertAlign w:val="superscript"/>
                      <w:lang w:bidi="ar"/>
                    </w:rPr>
                    <w:t>3</w:t>
                  </w:r>
                  <w:r>
                    <w:rPr>
                      <w:color w:val="auto"/>
                      <w:kern w:val="0"/>
                      <w:szCs w:val="21"/>
                      <w:lang w:bidi="ar"/>
                    </w:rPr>
                    <w:t>）</w:t>
                  </w:r>
                </w:p>
              </w:tc>
              <w:tc>
                <w:tcPr>
                  <w:tcW w:w="1064" w:type="dxa"/>
                  <w:vAlign w:val="center"/>
                </w:tcPr>
                <w:p w14:paraId="766F9BA9">
                  <w:pPr>
                    <w:widowControl/>
                    <w:jc w:val="center"/>
                    <w:rPr>
                      <w:color w:val="auto"/>
                      <w:szCs w:val="21"/>
                    </w:rPr>
                  </w:pPr>
                  <w:r>
                    <w:rPr>
                      <w:color w:val="auto"/>
                      <w:kern w:val="0"/>
                      <w:szCs w:val="21"/>
                      <w:lang w:bidi="ar"/>
                    </w:rPr>
                    <w:t>最大浓度占标率%</w:t>
                  </w:r>
                </w:p>
              </w:tc>
              <w:tc>
                <w:tcPr>
                  <w:tcW w:w="927" w:type="dxa"/>
                  <w:vAlign w:val="center"/>
                </w:tcPr>
                <w:p w14:paraId="32B39D94">
                  <w:pPr>
                    <w:widowControl/>
                    <w:jc w:val="center"/>
                    <w:rPr>
                      <w:color w:val="auto"/>
                      <w:szCs w:val="21"/>
                    </w:rPr>
                  </w:pPr>
                  <w:r>
                    <w:rPr>
                      <w:color w:val="auto"/>
                      <w:kern w:val="0"/>
                      <w:szCs w:val="21"/>
                      <w:lang w:bidi="ar"/>
                    </w:rPr>
                    <w:t>超标率</w:t>
                  </w:r>
                </w:p>
                <w:p w14:paraId="2FB101EC">
                  <w:pPr>
                    <w:widowControl/>
                    <w:jc w:val="center"/>
                    <w:rPr>
                      <w:color w:val="auto"/>
                      <w:szCs w:val="21"/>
                    </w:rPr>
                  </w:pPr>
                  <w:r>
                    <w:rPr>
                      <w:color w:val="auto"/>
                      <w:kern w:val="0"/>
                      <w:szCs w:val="21"/>
                      <w:lang w:bidi="ar"/>
                    </w:rPr>
                    <w:t>%</w:t>
                  </w:r>
                </w:p>
              </w:tc>
              <w:tc>
                <w:tcPr>
                  <w:tcW w:w="791" w:type="dxa"/>
                  <w:vAlign w:val="center"/>
                </w:tcPr>
                <w:p w14:paraId="34A37554">
                  <w:pPr>
                    <w:widowControl/>
                    <w:jc w:val="center"/>
                    <w:rPr>
                      <w:color w:val="auto"/>
                      <w:szCs w:val="21"/>
                    </w:rPr>
                  </w:pPr>
                  <w:r>
                    <w:rPr>
                      <w:color w:val="auto"/>
                      <w:kern w:val="0"/>
                      <w:szCs w:val="21"/>
                      <w:lang w:bidi="ar"/>
                    </w:rPr>
                    <w:t>达标</w:t>
                  </w:r>
                </w:p>
                <w:p w14:paraId="7DD8F300">
                  <w:pPr>
                    <w:widowControl/>
                    <w:jc w:val="center"/>
                    <w:rPr>
                      <w:color w:val="auto"/>
                      <w:szCs w:val="21"/>
                    </w:rPr>
                  </w:pPr>
                  <w:r>
                    <w:rPr>
                      <w:color w:val="auto"/>
                      <w:kern w:val="0"/>
                      <w:szCs w:val="21"/>
                      <w:lang w:bidi="ar"/>
                    </w:rPr>
                    <w:t>情况</w:t>
                  </w:r>
                </w:p>
              </w:tc>
            </w:tr>
            <w:tr w14:paraId="2B66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110" w:type="dxa"/>
                  <w:vAlign w:val="center"/>
                </w:tcPr>
                <w:p w14:paraId="234C55EB">
                  <w:pPr>
                    <w:jc w:val="center"/>
                    <w:rPr>
                      <w:color w:val="auto"/>
                    </w:rPr>
                  </w:pPr>
                  <w:r>
                    <w:rPr>
                      <w:rFonts w:hint="eastAsia"/>
                      <w:color w:val="auto"/>
                    </w:rPr>
                    <w:t>颗粒物</w:t>
                  </w:r>
                </w:p>
              </w:tc>
              <w:tc>
                <w:tcPr>
                  <w:tcW w:w="1499" w:type="dxa"/>
                  <w:vAlign w:val="center"/>
                </w:tcPr>
                <w:p w14:paraId="4288EED7">
                  <w:pPr>
                    <w:widowControl/>
                    <w:jc w:val="center"/>
                    <w:rPr>
                      <w:color w:val="auto"/>
                    </w:rPr>
                  </w:pPr>
                  <w:r>
                    <w:rPr>
                      <w:color w:val="auto"/>
                      <w:kern w:val="0"/>
                      <w:sz w:val="20"/>
                      <w:szCs w:val="20"/>
                      <w:lang w:bidi="ar"/>
                    </w:rPr>
                    <w:t xml:space="preserve">24 </w:t>
                  </w:r>
                  <w:r>
                    <w:rPr>
                      <w:rFonts w:hint="eastAsia" w:ascii="宋体" w:hAnsi="宋体" w:cs="宋体"/>
                      <w:color w:val="auto"/>
                      <w:kern w:val="0"/>
                      <w:sz w:val="20"/>
                      <w:szCs w:val="20"/>
                      <w:lang w:bidi="ar"/>
                    </w:rPr>
                    <w:t>小时平均</w:t>
                  </w:r>
                </w:p>
              </w:tc>
              <w:tc>
                <w:tcPr>
                  <w:tcW w:w="1214" w:type="dxa"/>
                  <w:vAlign w:val="center"/>
                </w:tcPr>
                <w:p w14:paraId="1A3F791C">
                  <w:pPr>
                    <w:jc w:val="center"/>
                    <w:rPr>
                      <w:color w:val="auto"/>
                    </w:rPr>
                  </w:pPr>
                  <w:r>
                    <w:rPr>
                      <w:rFonts w:hint="eastAsia"/>
                      <w:color w:val="auto"/>
                    </w:rPr>
                    <w:t>0.3</w:t>
                  </w:r>
                </w:p>
              </w:tc>
              <w:tc>
                <w:tcPr>
                  <w:tcW w:w="1363" w:type="dxa"/>
                  <w:vAlign w:val="center"/>
                </w:tcPr>
                <w:p w14:paraId="1015FA32">
                  <w:pPr>
                    <w:jc w:val="center"/>
                    <w:rPr>
                      <w:color w:val="auto"/>
                    </w:rPr>
                  </w:pPr>
                  <w:r>
                    <w:rPr>
                      <w:rFonts w:hint="eastAsia"/>
                      <w:color w:val="auto"/>
                    </w:rPr>
                    <w:t>0.079-0.231</w:t>
                  </w:r>
                </w:p>
              </w:tc>
              <w:tc>
                <w:tcPr>
                  <w:tcW w:w="1064" w:type="dxa"/>
                  <w:vAlign w:val="center"/>
                </w:tcPr>
                <w:p w14:paraId="362C0D88">
                  <w:pPr>
                    <w:jc w:val="center"/>
                    <w:rPr>
                      <w:color w:val="auto"/>
                    </w:rPr>
                  </w:pPr>
                  <w:r>
                    <w:rPr>
                      <w:rFonts w:hint="eastAsia"/>
                      <w:color w:val="auto"/>
                    </w:rPr>
                    <w:t>77.00</w:t>
                  </w:r>
                </w:p>
              </w:tc>
              <w:tc>
                <w:tcPr>
                  <w:tcW w:w="927" w:type="dxa"/>
                  <w:vAlign w:val="center"/>
                </w:tcPr>
                <w:p w14:paraId="530FEB2E">
                  <w:pPr>
                    <w:jc w:val="center"/>
                    <w:rPr>
                      <w:color w:val="auto"/>
                    </w:rPr>
                  </w:pPr>
                  <w:r>
                    <w:rPr>
                      <w:rFonts w:hint="eastAsia"/>
                      <w:color w:val="auto"/>
                    </w:rPr>
                    <w:t>0</w:t>
                  </w:r>
                </w:p>
              </w:tc>
              <w:tc>
                <w:tcPr>
                  <w:tcW w:w="791" w:type="dxa"/>
                  <w:vAlign w:val="center"/>
                </w:tcPr>
                <w:p w14:paraId="24BE1635">
                  <w:pPr>
                    <w:jc w:val="center"/>
                    <w:rPr>
                      <w:color w:val="auto"/>
                    </w:rPr>
                  </w:pPr>
                  <w:r>
                    <w:rPr>
                      <w:rFonts w:hint="eastAsia"/>
                      <w:color w:val="auto"/>
                    </w:rPr>
                    <w:t>达标</w:t>
                  </w:r>
                </w:p>
              </w:tc>
            </w:tr>
          </w:tbl>
          <w:p w14:paraId="2129504C">
            <w:pPr>
              <w:rPr>
                <w:color w:val="auto"/>
              </w:rPr>
            </w:pPr>
          </w:p>
          <w:p w14:paraId="48FA437C">
            <w:pPr>
              <w:widowControl/>
              <w:spacing w:line="360" w:lineRule="auto"/>
              <w:ind w:firstLine="480" w:firstLineChars="200"/>
              <w:jc w:val="left"/>
              <w:rPr>
                <w:b/>
                <w:color w:val="auto"/>
                <w:kern w:val="0"/>
                <w:sz w:val="24"/>
                <w:szCs w:val="21"/>
              </w:rPr>
            </w:pPr>
            <w:r>
              <w:rPr>
                <w:rFonts w:hint="eastAsia"/>
                <w:color w:val="auto"/>
                <w:kern w:val="0"/>
                <w:sz w:val="24"/>
                <w:lang w:bidi="ar"/>
              </w:rPr>
              <w:t>根据引用监测结果可知，本项目周边TSP24小时平均值监测结果满足《环境空气质量标准》（GB3095-2026）表2的二级标准浓度限值。</w:t>
            </w:r>
          </w:p>
          <w:p w14:paraId="43FBB7A6">
            <w:pPr>
              <w:rPr>
                <w:b/>
                <w:color w:val="auto"/>
                <w:kern w:val="0"/>
                <w:sz w:val="24"/>
                <w:szCs w:val="21"/>
              </w:rPr>
            </w:pPr>
            <w:r>
              <w:rPr>
                <w:color w:val="auto"/>
              </w:rPr>
              <mc:AlternateContent>
                <mc:Choice Requires="wps">
                  <w:drawing>
                    <wp:anchor distT="0" distB="0" distL="114300" distR="114300" simplePos="0" relativeHeight="251667456" behindDoc="0" locked="0" layoutInCell="1" allowOverlap="1">
                      <wp:simplePos x="0" y="0"/>
                      <wp:positionH relativeFrom="column">
                        <wp:posOffset>1320800</wp:posOffset>
                      </wp:positionH>
                      <wp:positionV relativeFrom="paragraph">
                        <wp:posOffset>1733550</wp:posOffset>
                      </wp:positionV>
                      <wp:extent cx="762000" cy="295910"/>
                      <wp:effectExtent l="4445" t="4445" r="14605" b="23495"/>
                      <wp:wrapNone/>
                      <wp:docPr id="9" name="文本框 9"/>
                      <wp:cNvGraphicFramePr/>
                      <a:graphic xmlns:a="http://schemas.openxmlformats.org/drawingml/2006/main">
                        <a:graphicData uri="http://schemas.microsoft.com/office/word/2010/wordprocessingShape">
                          <wps:wsp>
                            <wps:cNvSpPr txBox="1"/>
                            <wps:spPr>
                              <a:xfrm>
                                <a:off x="2684780" y="2757170"/>
                                <a:ext cx="762000" cy="2959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47D69D3">
                                  <w:pPr>
                                    <w:rPr>
                                      <w:sz w:val="30"/>
                                      <w:szCs w:val="30"/>
                                    </w:rPr>
                                  </w:pPr>
                                  <w:r>
                                    <w:rPr>
                                      <w:rFonts w:hint="eastAsia"/>
                                      <w:sz w:val="30"/>
                                      <w:szCs w:val="30"/>
                                    </w:rPr>
                                    <w:t>1 km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pt;margin-top:136.5pt;height:23.3pt;width:60pt;z-index:251667456;mso-width-relative:page;mso-height-relative:page;" fillcolor="#FFFFFF [3201]" filled="t" stroked="t" coordsize="21600,21600" o:gfxdata="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wXLq01gAAAAsBAAAPAAAAAAAAAAEAIAAAACIAAABkcnMvZG93bnJldi54bWxQSwECFAAUAAAA&#10;CACHTuJAiYTInGICAADCBAAADgAAAAAAAAABACAAAAAlAQAAZHJzL2Uyb0RvYy54bWxQSwUGAAAA&#10;AAYABgBZAQAA+QUAAAAA&#10;">
                      <v:fill on="t" focussize="0,0"/>
                      <v:stroke weight="0.5pt" color="#000000 [3204]" joinstyle="round"/>
                      <v:imagedata o:title=""/>
                      <o:lock v:ext="edit" aspectratio="f"/>
                      <v:textbox>
                        <w:txbxContent>
                          <w:p w14:paraId="747D69D3">
                            <w:pPr>
                              <w:rPr>
                                <w:sz w:val="30"/>
                                <w:szCs w:val="30"/>
                              </w:rPr>
                            </w:pPr>
                            <w:r>
                              <w:rPr>
                                <w:rFonts w:hint="eastAsia"/>
                                <w:sz w:val="30"/>
                                <w:szCs w:val="30"/>
                              </w:rPr>
                              <w:t>1 km</w:t>
                            </w:r>
                          </w:p>
                        </w:txbxContent>
                      </v:textbox>
                    </v:shape>
                  </w:pict>
                </mc:Fallback>
              </mc:AlternateContent>
            </w:r>
            <w:r>
              <w:rPr>
                <w:color w:val="auto"/>
              </w:rPr>
              <mc:AlternateContent>
                <mc:Choice Requires="wps">
                  <w:drawing>
                    <wp:anchor distT="0" distB="0" distL="114300" distR="114300" simplePos="0" relativeHeight="251666432" behindDoc="0" locked="0" layoutInCell="1" allowOverlap="1">
                      <wp:simplePos x="0" y="0"/>
                      <wp:positionH relativeFrom="column">
                        <wp:posOffset>1320800</wp:posOffset>
                      </wp:positionH>
                      <wp:positionV relativeFrom="paragraph">
                        <wp:posOffset>1655445</wp:posOffset>
                      </wp:positionV>
                      <wp:extent cx="1341755" cy="1064895"/>
                      <wp:effectExtent l="12065" t="0" r="17780" b="20955"/>
                      <wp:wrapNone/>
                      <wp:docPr id="8" name="直接箭头连接符 8"/>
                      <wp:cNvGraphicFramePr/>
                      <a:graphic xmlns:a="http://schemas.openxmlformats.org/drawingml/2006/main">
                        <a:graphicData uri="http://schemas.microsoft.com/office/word/2010/wordprocessingShape">
                          <wps:wsp>
                            <wps:cNvCnPr/>
                            <wps:spPr>
                              <a:xfrm flipV="1">
                                <a:off x="2823210" y="2748280"/>
                                <a:ext cx="1341755" cy="1064895"/>
                              </a:xfrm>
                              <a:prstGeom prst="straightConnector1">
                                <a:avLst/>
                              </a:prstGeom>
                              <a:ln>
                                <a:tailEnd type="arrow" w="med" len="med"/>
                              </a:ln>
                            </wps:spPr>
                            <wps:style>
                              <a:lnRef idx="3">
                                <a:schemeClr val="accent6"/>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04pt;margin-top:130.35pt;height:83.85pt;width:105.65pt;z-index:251666432;mso-width-relative:page;mso-height-relative:page;" filled="f" stroked="t" coordsize="21600,21600" o:gfxdata="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dC&#10;muvbAAAACwEAAA8AAAAAAAAAAQAgAAAAIgAAAGRycy9kb3ducmV2LnhtbFBLAQIUABQAAAAIAIdO&#10;4kDo5MaUIAIAAPYDAAAOAAAAAAAAAAEAIAAAACoBAABkcnMvZTJvRG9jLnhtbFBLBQYAAAAABgAG&#10;AFkBAAC8BQAAAAA=&#10;">
                      <v:fill on="f" focussize="0,0"/>
                      <v:stroke weight="3pt" color="#F79646 [3209]" joinstyle="round" endarrow="open"/>
                      <v:imagedata o:title=""/>
                      <o:lock v:ext="edit" aspectratio="f"/>
                    </v:shape>
                  </w:pict>
                </mc:Fallback>
              </mc:AlternateContent>
            </w:r>
            <w:r>
              <w:rPr>
                <w:color w:val="auto"/>
              </w:rPr>
              <w:drawing>
                <wp:inline distT="0" distB="0" distL="114300" distR="114300">
                  <wp:extent cx="5060950" cy="3916045"/>
                  <wp:effectExtent l="0" t="0" r="6350" b="825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7"/>
                          <a:stretch>
                            <a:fillRect/>
                          </a:stretch>
                        </pic:blipFill>
                        <pic:spPr>
                          <a:xfrm>
                            <a:off x="0" y="0"/>
                            <a:ext cx="5060950" cy="3916045"/>
                          </a:xfrm>
                          <a:prstGeom prst="rect">
                            <a:avLst/>
                          </a:prstGeom>
                          <a:noFill/>
                          <a:ln>
                            <a:noFill/>
                          </a:ln>
                        </pic:spPr>
                      </pic:pic>
                    </a:graphicData>
                  </a:graphic>
                </wp:inline>
              </w:drawing>
            </w:r>
          </w:p>
          <w:p w14:paraId="2AC13FB6">
            <w:pPr>
              <w:jc w:val="center"/>
              <w:rPr>
                <w:color w:val="auto"/>
                <w:sz w:val="24"/>
              </w:rPr>
            </w:pPr>
            <w:r>
              <w:rPr>
                <w:rFonts w:hint="eastAsia"/>
                <w:b/>
                <w:color w:val="auto"/>
                <w:kern w:val="0"/>
                <w:sz w:val="24"/>
                <w:szCs w:val="21"/>
              </w:rPr>
              <w:t>图3-1   大气监测布点图</w:t>
            </w:r>
          </w:p>
          <w:p w14:paraId="52B5EBE1">
            <w:pPr>
              <w:widowControl/>
              <w:numPr>
                <w:ilvl w:val="0"/>
                <w:numId w:val="10"/>
              </w:numPr>
              <w:spacing w:line="360" w:lineRule="auto"/>
              <w:ind w:firstLine="480" w:firstLineChars="200"/>
              <w:jc w:val="left"/>
              <w:rPr>
                <w:color w:val="auto"/>
                <w:kern w:val="0"/>
                <w:sz w:val="24"/>
              </w:rPr>
            </w:pPr>
            <w:r>
              <w:rPr>
                <w:rFonts w:hint="eastAsia"/>
                <w:color w:val="auto"/>
                <w:kern w:val="0"/>
                <w:sz w:val="24"/>
              </w:rPr>
              <w:t>声环境质量</w:t>
            </w:r>
          </w:p>
          <w:p w14:paraId="2826EA83">
            <w:pPr>
              <w:widowControl/>
              <w:spacing w:line="360" w:lineRule="auto"/>
              <w:ind w:firstLine="480" w:firstLineChars="200"/>
              <w:jc w:val="left"/>
              <w:rPr>
                <w:color w:val="auto"/>
                <w:kern w:val="0"/>
                <w:sz w:val="24"/>
              </w:rPr>
            </w:pPr>
            <w:r>
              <w:rPr>
                <w:rFonts w:hint="eastAsia"/>
                <w:color w:val="auto"/>
                <w:kern w:val="0"/>
                <w:sz w:val="24"/>
              </w:rPr>
              <w:t>根据《建设项目环境影响报告表编制技术指南（污染影响类）（试行）》提出“厂界外周围50米范围内存在声环境保护目标的建设项目，应监测保护目标声环境质量现状并评价达标情况。各点位应监测昼夜间噪声，监测时间不少于1天，项目夜间不生产则仅监测昼间噪声”。</w:t>
            </w:r>
          </w:p>
          <w:p w14:paraId="77FF59E9">
            <w:pPr>
              <w:widowControl/>
              <w:spacing w:line="360" w:lineRule="auto"/>
              <w:ind w:firstLine="480" w:firstLineChars="200"/>
              <w:jc w:val="left"/>
              <w:rPr>
                <w:color w:val="auto"/>
                <w:kern w:val="0"/>
                <w:sz w:val="24"/>
              </w:rPr>
            </w:pPr>
            <w:r>
              <w:rPr>
                <w:rFonts w:hint="eastAsia"/>
                <w:color w:val="auto"/>
                <w:kern w:val="0"/>
                <w:sz w:val="24"/>
              </w:rPr>
              <w:t>根据现场勘察项目周边</w:t>
            </w:r>
            <w:r>
              <w:rPr>
                <w:color w:val="auto"/>
                <w:kern w:val="0"/>
                <w:sz w:val="24"/>
              </w:rPr>
              <w:t>50m</w:t>
            </w:r>
            <w:r>
              <w:rPr>
                <w:rFonts w:hint="eastAsia"/>
                <w:color w:val="auto"/>
                <w:kern w:val="0"/>
                <w:sz w:val="24"/>
              </w:rPr>
              <w:t>范围内不存在声环境保护目标，可不开展声环境质量现状调查。本项目拟建厂址位于鄂尔多斯市</w:t>
            </w:r>
            <w:r>
              <w:rPr>
                <w:rFonts w:hint="eastAsia"/>
                <w:color w:val="auto"/>
                <w:sz w:val="24"/>
                <w:lang w:val="en-US" w:eastAsia="zh-CN"/>
              </w:rPr>
              <w:t>鄂托克经济开发区棋东项目区</w:t>
            </w:r>
            <w:r>
              <w:rPr>
                <w:rFonts w:hint="eastAsia"/>
                <w:color w:val="auto"/>
                <w:kern w:val="0"/>
                <w:sz w:val="24"/>
              </w:rPr>
              <w:t>，项目声环境质量执行《声环境质量标准》（</w:t>
            </w:r>
            <w:r>
              <w:rPr>
                <w:color w:val="auto"/>
                <w:kern w:val="0"/>
                <w:sz w:val="24"/>
              </w:rPr>
              <w:t>GB3096-2008</w:t>
            </w:r>
            <w:r>
              <w:rPr>
                <w:rFonts w:hint="eastAsia"/>
                <w:color w:val="auto"/>
                <w:kern w:val="0"/>
                <w:sz w:val="24"/>
              </w:rPr>
              <w:t>）中3类标准。</w:t>
            </w:r>
          </w:p>
          <w:p w14:paraId="1A2933F0">
            <w:pPr>
              <w:widowControl/>
              <w:numPr>
                <w:ilvl w:val="0"/>
                <w:numId w:val="10"/>
              </w:numPr>
              <w:spacing w:line="360" w:lineRule="auto"/>
              <w:ind w:firstLine="480" w:firstLineChars="200"/>
              <w:jc w:val="left"/>
              <w:rPr>
                <w:color w:val="auto"/>
                <w:kern w:val="0"/>
                <w:sz w:val="24"/>
              </w:rPr>
            </w:pPr>
            <w:r>
              <w:rPr>
                <w:rFonts w:hint="eastAsia"/>
                <w:color w:val="auto"/>
                <w:kern w:val="0"/>
                <w:sz w:val="24"/>
              </w:rPr>
              <w:t>地下水、土壤环境质量现状</w:t>
            </w:r>
          </w:p>
          <w:p w14:paraId="39BA2E11">
            <w:pPr>
              <w:widowControl/>
              <w:spacing w:line="360" w:lineRule="auto"/>
              <w:ind w:firstLine="480" w:firstLineChars="200"/>
              <w:jc w:val="left"/>
              <w:rPr>
                <w:color w:val="auto"/>
                <w:kern w:val="0"/>
                <w:sz w:val="24"/>
              </w:rPr>
            </w:pPr>
            <w:r>
              <w:rPr>
                <w:rFonts w:hint="eastAsia"/>
                <w:color w:val="auto"/>
                <w:kern w:val="0"/>
                <w:sz w:val="24"/>
              </w:rPr>
              <w:t>根据《建设项目环境影响报告表编制技术指南（污染影响类）（试行）》可知“原则上不开展环境质量现状调查。建设项目存在土壤、地下水环境污染途径的，应结合污染源、保护目标分布情况开展现状调查以留作背景值。”</w:t>
            </w:r>
          </w:p>
          <w:p w14:paraId="36861EA3">
            <w:pPr>
              <w:widowControl/>
              <w:spacing w:line="360" w:lineRule="auto"/>
              <w:ind w:firstLine="480" w:firstLineChars="200"/>
              <w:jc w:val="left"/>
              <w:rPr>
                <w:color w:val="auto"/>
                <w:kern w:val="0"/>
                <w:sz w:val="24"/>
              </w:rPr>
            </w:pPr>
            <w:r>
              <w:rPr>
                <w:rFonts w:hint="eastAsia"/>
                <w:color w:val="auto"/>
                <w:kern w:val="0"/>
                <w:sz w:val="24"/>
              </w:rPr>
              <w:t>项目选址周边无地下水集中式饮用水水源和热水、矿泉水、温泉等特殊地下水资源，并且本项目用地类型为工业用地，项目周边均为建设用地及工业用地，无地下水及土壤环境保护目标。</w:t>
            </w:r>
          </w:p>
          <w:p w14:paraId="52523299">
            <w:pPr>
              <w:widowControl/>
              <w:spacing w:line="360" w:lineRule="auto"/>
              <w:ind w:firstLine="480" w:firstLineChars="200"/>
              <w:jc w:val="left"/>
              <w:rPr>
                <w:color w:val="auto"/>
                <w:kern w:val="0"/>
                <w:sz w:val="24"/>
              </w:rPr>
            </w:pPr>
            <w:r>
              <w:rPr>
                <w:rFonts w:hint="eastAsia"/>
                <w:color w:val="auto"/>
                <w:kern w:val="0"/>
                <w:sz w:val="24"/>
              </w:rPr>
              <w:t>本项目无生产废水，职工生活污水排入现有生化污水处理站，出水送至污水深度处理系统进行深度处理后回用厂区循环水补水，型焦生产车间、原料仓库、成品仓库</w:t>
            </w:r>
            <w:r>
              <w:rPr>
                <w:rFonts w:hint="eastAsia"/>
                <w:color w:val="auto"/>
                <w:kern w:val="0"/>
                <w:sz w:val="24"/>
                <w:lang w:val="en-US" w:eastAsia="zh-CN"/>
              </w:rPr>
              <w:t>等</w:t>
            </w:r>
            <w:r>
              <w:rPr>
                <w:rFonts w:hint="eastAsia"/>
                <w:color w:val="auto"/>
                <w:kern w:val="0"/>
                <w:sz w:val="24"/>
              </w:rPr>
              <w:t>均</w:t>
            </w:r>
            <w:r>
              <w:rPr>
                <w:rFonts w:hint="eastAsia"/>
                <w:color w:val="auto"/>
                <w:kern w:val="0"/>
                <w:sz w:val="24"/>
                <w:lang w:val="en-US" w:eastAsia="zh-CN"/>
              </w:rPr>
              <w:t>硬化地面，</w:t>
            </w:r>
            <w:r>
              <w:rPr>
                <w:rFonts w:hint="eastAsia"/>
                <w:color w:val="auto"/>
                <w:kern w:val="0"/>
                <w:sz w:val="24"/>
              </w:rPr>
              <w:t>不存在地下水和土壤污染途径。项目处在工业园区内部，周围以工业用地为主，因此，不开展地下水、土壤环境质量现状调查。</w:t>
            </w:r>
          </w:p>
          <w:p w14:paraId="366BFA30">
            <w:pPr>
              <w:widowControl/>
              <w:numPr>
                <w:ilvl w:val="0"/>
                <w:numId w:val="10"/>
              </w:numPr>
              <w:spacing w:line="360" w:lineRule="auto"/>
              <w:ind w:firstLine="480" w:firstLineChars="200"/>
              <w:jc w:val="left"/>
              <w:rPr>
                <w:color w:val="auto"/>
                <w:kern w:val="0"/>
                <w:sz w:val="24"/>
              </w:rPr>
            </w:pPr>
            <w:r>
              <w:rPr>
                <w:rFonts w:hint="eastAsia"/>
                <w:color w:val="auto"/>
                <w:kern w:val="0"/>
                <w:sz w:val="24"/>
              </w:rPr>
              <w:t>生态环境现状</w:t>
            </w:r>
          </w:p>
          <w:p w14:paraId="6769DEC6">
            <w:pPr>
              <w:widowControl/>
              <w:spacing w:line="360" w:lineRule="auto"/>
              <w:ind w:firstLine="480" w:firstLineChars="200"/>
              <w:jc w:val="left"/>
              <w:rPr>
                <w:color w:val="auto"/>
                <w:kern w:val="0"/>
                <w:sz w:val="24"/>
              </w:rPr>
            </w:pPr>
            <w:r>
              <w:rPr>
                <w:rFonts w:hint="eastAsia"/>
                <w:color w:val="auto"/>
                <w:kern w:val="0"/>
                <w:sz w:val="24"/>
              </w:rPr>
              <w:t xml:space="preserve">依照指南要求，“产业园区外建设项目新增用地且用地范围内含有生态环境保护目标时，应开展现状调查”。 </w:t>
            </w:r>
          </w:p>
          <w:p w14:paraId="63943BE0">
            <w:pPr>
              <w:widowControl/>
              <w:spacing w:line="360" w:lineRule="auto"/>
              <w:ind w:firstLine="480" w:firstLineChars="200"/>
              <w:jc w:val="left"/>
              <w:rPr>
                <w:color w:val="auto"/>
              </w:rPr>
            </w:pPr>
            <w:r>
              <w:rPr>
                <w:rFonts w:hint="eastAsia"/>
                <w:color w:val="auto"/>
                <w:kern w:val="0"/>
                <w:sz w:val="24"/>
              </w:rPr>
              <w:t>本项目位于鄂尔多斯市</w:t>
            </w:r>
            <w:r>
              <w:rPr>
                <w:rFonts w:hint="eastAsia"/>
                <w:color w:val="auto"/>
                <w:sz w:val="24"/>
                <w:lang w:val="en-US" w:eastAsia="zh-CN"/>
              </w:rPr>
              <w:t>鄂托克经济开发区棋东项目区</w:t>
            </w:r>
            <w:r>
              <w:rPr>
                <w:rFonts w:hint="eastAsia"/>
                <w:color w:val="auto"/>
                <w:kern w:val="0"/>
                <w:sz w:val="24"/>
              </w:rPr>
              <w:t>，在产业园区内部，不含生态环境保护目标，因此不开展生态环境现状调查。</w:t>
            </w:r>
          </w:p>
        </w:tc>
      </w:tr>
      <w:tr w14:paraId="57BAC2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09" w:hRule="atLeast"/>
          <w:jc w:val="center"/>
        </w:trPr>
        <w:tc>
          <w:tcPr>
            <w:tcW w:w="800" w:type="dxa"/>
            <w:vAlign w:val="center"/>
          </w:tcPr>
          <w:p w14:paraId="07994A0C">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环境</w:t>
            </w:r>
          </w:p>
          <w:p w14:paraId="1EBA5A0C">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保护</w:t>
            </w:r>
          </w:p>
          <w:p w14:paraId="6E1D2DDD">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目标</w:t>
            </w:r>
          </w:p>
        </w:tc>
        <w:tc>
          <w:tcPr>
            <w:tcW w:w="8190" w:type="dxa"/>
            <w:vAlign w:val="center"/>
          </w:tcPr>
          <w:p w14:paraId="70755744">
            <w:pPr>
              <w:widowControl/>
              <w:spacing w:line="360" w:lineRule="auto"/>
              <w:ind w:firstLine="480" w:firstLineChars="200"/>
              <w:jc w:val="left"/>
              <w:rPr>
                <w:color w:val="auto"/>
                <w:kern w:val="0"/>
                <w:sz w:val="24"/>
                <w:lang w:bidi="ar"/>
              </w:rPr>
            </w:pPr>
            <w:r>
              <w:rPr>
                <w:color w:val="auto"/>
                <w:kern w:val="0"/>
                <w:sz w:val="24"/>
                <w:lang w:bidi="ar"/>
              </w:rPr>
              <w:t>根据《建设项目环境影响报告表编制技术指南（污染影响类）》关于环境保护目标的要求：大气环境保护目标为厂界外500米范围内的自然保护区、风景名胜区、居住区、文化区和农村地区中人群较集中的区域；声环境保护目标为厂界外50米范围内依据法律、法规、标准政策等确定的需要保持安静的建筑物及建筑物集中区；地下水环境保护目标为厂界外500米范围内的地下水集中式饮用水水源和热水、矿泉水、温泉等特殊地下水资源。</w:t>
            </w:r>
          </w:p>
          <w:p w14:paraId="60A1BFC4">
            <w:pPr>
              <w:widowControl/>
              <w:spacing w:line="360" w:lineRule="auto"/>
              <w:ind w:firstLine="480" w:firstLineChars="200"/>
              <w:jc w:val="left"/>
              <w:rPr>
                <w:color w:val="auto"/>
                <w:kern w:val="0"/>
                <w:sz w:val="24"/>
                <w:lang w:bidi="ar"/>
              </w:rPr>
            </w:pPr>
            <w:r>
              <w:rPr>
                <w:rFonts w:hint="eastAsia"/>
                <w:color w:val="auto"/>
                <w:kern w:val="0"/>
                <w:sz w:val="24"/>
                <w:lang w:bidi="ar"/>
              </w:rPr>
              <w:t>根据现场踏勘，本项目厂界外500米范围内无自然保护区、风景名胜区、居住区、水源地、文化区和农村地区中人群较集中的区域等保护目标，项目评价范围内环境保护目标见下表</w:t>
            </w:r>
            <w:r>
              <w:rPr>
                <w:color w:val="auto"/>
                <w:kern w:val="0"/>
                <w:sz w:val="24"/>
                <w:lang w:bidi="ar"/>
              </w:rPr>
              <w:t>3-</w:t>
            </w:r>
            <w:r>
              <w:rPr>
                <w:rFonts w:hint="eastAsia"/>
                <w:color w:val="auto"/>
                <w:kern w:val="0"/>
                <w:sz w:val="24"/>
                <w:lang w:bidi="ar"/>
              </w:rPr>
              <w:t>2。</w:t>
            </w:r>
          </w:p>
          <w:p w14:paraId="3846A9FB">
            <w:pPr>
              <w:widowControl/>
              <w:jc w:val="center"/>
              <w:rPr>
                <w:b/>
                <w:bCs/>
                <w:color w:val="auto"/>
                <w:kern w:val="0"/>
                <w:sz w:val="24"/>
                <w:lang w:bidi="ar"/>
              </w:rPr>
            </w:pPr>
            <w:r>
              <w:rPr>
                <w:rFonts w:hint="eastAsia"/>
                <w:b/>
                <w:bCs/>
                <w:color w:val="auto"/>
                <w:kern w:val="0"/>
                <w:sz w:val="24"/>
                <w:lang w:bidi="ar"/>
              </w:rPr>
              <w:t>表3-2   环境保护目标一览表</w:t>
            </w:r>
          </w:p>
          <w:tbl>
            <w:tblPr>
              <w:tblStyle w:val="23"/>
              <w:tblW w:w="7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3820"/>
              <w:gridCol w:w="2984"/>
            </w:tblGrid>
            <w:tr w14:paraId="52AA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114" w:type="dxa"/>
                  <w:vAlign w:val="center"/>
                </w:tcPr>
                <w:p w14:paraId="09F3CB9E">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b w:val="0"/>
                      <w:bCs w:val="0"/>
                      <w:color w:val="auto"/>
                      <w:sz w:val="21"/>
                      <w:szCs w:val="21"/>
                    </w:rPr>
                  </w:pPr>
                  <w:r>
                    <w:rPr>
                      <w:rFonts w:hint="eastAsia" w:ascii="Times New Roman" w:hAnsi="Times New Roman"/>
                      <w:b w:val="0"/>
                      <w:bCs w:val="0"/>
                      <w:color w:val="auto"/>
                      <w:sz w:val="21"/>
                      <w:szCs w:val="21"/>
                    </w:rPr>
                    <w:t>环境</w:t>
                  </w:r>
                </w:p>
                <w:p w14:paraId="68D7202C">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b w:val="0"/>
                      <w:bCs w:val="0"/>
                      <w:color w:val="auto"/>
                      <w:sz w:val="21"/>
                      <w:szCs w:val="21"/>
                    </w:rPr>
                  </w:pPr>
                  <w:r>
                    <w:rPr>
                      <w:rFonts w:hint="eastAsia" w:ascii="Times New Roman" w:hAnsi="Times New Roman"/>
                      <w:b w:val="0"/>
                      <w:bCs w:val="0"/>
                      <w:color w:val="auto"/>
                      <w:sz w:val="21"/>
                      <w:szCs w:val="21"/>
                    </w:rPr>
                    <w:t>要素</w:t>
                  </w:r>
                </w:p>
              </w:tc>
              <w:tc>
                <w:tcPr>
                  <w:tcW w:w="3820" w:type="dxa"/>
                  <w:vAlign w:val="center"/>
                </w:tcPr>
                <w:p w14:paraId="46191BC9">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b w:val="0"/>
                      <w:bCs w:val="0"/>
                      <w:color w:val="auto"/>
                      <w:sz w:val="21"/>
                      <w:szCs w:val="21"/>
                    </w:rPr>
                  </w:pPr>
                  <w:r>
                    <w:rPr>
                      <w:rFonts w:hint="eastAsia" w:ascii="Times New Roman" w:hAnsi="Times New Roman"/>
                      <w:b w:val="0"/>
                      <w:bCs w:val="0"/>
                      <w:color w:val="auto"/>
                      <w:sz w:val="21"/>
                      <w:szCs w:val="21"/>
                    </w:rPr>
                    <w:t>保护内容</w:t>
                  </w:r>
                </w:p>
              </w:tc>
              <w:tc>
                <w:tcPr>
                  <w:tcW w:w="2984" w:type="dxa"/>
                  <w:vAlign w:val="center"/>
                </w:tcPr>
                <w:p w14:paraId="4C4BD20C">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b w:val="0"/>
                      <w:bCs w:val="0"/>
                      <w:color w:val="auto"/>
                      <w:sz w:val="21"/>
                      <w:szCs w:val="21"/>
                    </w:rPr>
                  </w:pPr>
                  <w:r>
                    <w:rPr>
                      <w:rFonts w:hint="eastAsia" w:ascii="Times New Roman" w:hAnsi="Times New Roman"/>
                      <w:b w:val="0"/>
                      <w:bCs w:val="0"/>
                      <w:color w:val="auto"/>
                      <w:sz w:val="21"/>
                      <w:szCs w:val="21"/>
                    </w:rPr>
                    <w:t>环境功能区</w:t>
                  </w:r>
                </w:p>
              </w:tc>
            </w:tr>
            <w:tr w14:paraId="2624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114" w:type="dxa"/>
                  <w:vAlign w:val="center"/>
                </w:tcPr>
                <w:p w14:paraId="60485383">
                  <w:pPr>
                    <w:widowControl/>
                    <w:jc w:val="center"/>
                    <w:rPr>
                      <w:rFonts w:ascii="Times New Roman" w:hAnsi="Times New Roman"/>
                      <w:color w:val="auto"/>
                      <w:sz w:val="21"/>
                      <w:szCs w:val="21"/>
                    </w:rPr>
                  </w:pPr>
                  <w:r>
                    <w:rPr>
                      <w:color w:val="auto"/>
                      <w:kern w:val="0"/>
                      <w:szCs w:val="21"/>
                      <w:lang w:bidi="ar"/>
                    </w:rPr>
                    <w:t>环境空气</w:t>
                  </w:r>
                </w:p>
              </w:tc>
              <w:tc>
                <w:tcPr>
                  <w:tcW w:w="3820" w:type="dxa"/>
                  <w:vAlign w:val="center"/>
                </w:tcPr>
                <w:p w14:paraId="1F90E9C9">
                  <w:pPr>
                    <w:widowControl/>
                    <w:jc w:val="center"/>
                    <w:rPr>
                      <w:rFonts w:hint="eastAsia" w:ascii="Times New Roman" w:hAnsi="Times New Roman"/>
                      <w:color w:val="auto"/>
                      <w:sz w:val="21"/>
                      <w:szCs w:val="21"/>
                      <w:lang w:val="en-US" w:eastAsia="zh-CN"/>
                    </w:rPr>
                  </w:pPr>
                  <w:r>
                    <w:rPr>
                      <w:color w:val="auto"/>
                      <w:kern w:val="0"/>
                      <w:szCs w:val="21"/>
                      <w:lang w:bidi="ar"/>
                    </w:rPr>
                    <w:t>厂界外 500m 范围内无大气环境敏感目标</w:t>
                  </w:r>
                </w:p>
              </w:tc>
              <w:tc>
                <w:tcPr>
                  <w:tcW w:w="2984" w:type="dxa"/>
                  <w:vAlign w:val="center"/>
                </w:tcPr>
                <w:p w14:paraId="37F9310F">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ascii="Times New Roman" w:hAnsi="Times New Roman"/>
                      <w:color w:val="auto"/>
                      <w:sz w:val="21"/>
                      <w:szCs w:val="21"/>
                    </w:rPr>
                    <w:t>《环境空气质量标准》（GB3095—20</w:t>
                  </w:r>
                  <w:r>
                    <w:rPr>
                      <w:rFonts w:hint="eastAsia" w:ascii="Times New Roman" w:hAnsi="Times New Roman"/>
                      <w:color w:val="auto"/>
                      <w:sz w:val="21"/>
                      <w:szCs w:val="21"/>
                    </w:rPr>
                    <w:t>26</w:t>
                  </w:r>
                  <w:r>
                    <w:rPr>
                      <w:rFonts w:ascii="Times New Roman" w:hAnsi="Times New Roman"/>
                      <w:color w:val="auto"/>
                      <w:sz w:val="21"/>
                      <w:szCs w:val="21"/>
                    </w:rPr>
                    <w:t>）2类区</w:t>
                  </w:r>
                </w:p>
              </w:tc>
            </w:tr>
            <w:tr w14:paraId="1CD8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114" w:type="dxa"/>
                  <w:vAlign w:val="center"/>
                </w:tcPr>
                <w:p w14:paraId="634E325E">
                  <w:pPr>
                    <w:widowControl/>
                    <w:jc w:val="center"/>
                    <w:rPr>
                      <w:rFonts w:ascii="Times New Roman" w:hAnsi="Times New Roman"/>
                      <w:color w:val="auto"/>
                      <w:sz w:val="21"/>
                      <w:szCs w:val="21"/>
                    </w:rPr>
                  </w:pPr>
                  <w:r>
                    <w:rPr>
                      <w:color w:val="auto"/>
                      <w:kern w:val="0"/>
                      <w:szCs w:val="21"/>
                      <w:lang w:bidi="ar"/>
                    </w:rPr>
                    <w:t>声环境</w:t>
                  </w:r>
                </w:p>
              </w:tc>
              <w:tc>
                <w:tcPr>
                  <w:tcW w:w="3820" w:type="dxa"/>
                  <w:vAlign w:val="center"/>
                </w:tcPr>
                <w:p w14:paraId="49EF271A">
                  <w:pPr>
                    <w:widowControl/>
                    <w:jc w:val="center"/>
                    <w:rPr>
                      <w:rFonts w:hint="eastAsia" w:ascii="Times New Roman" w:hAnsi="Times New Roman" w:eastAsia="宋体"/>
                      <w:color w:val="auto"/>
                      <w:sz w:val="21"/>
                      <w:szCs w:val="21"/>
                      <w:lang w:val="en-US" w:eastAsia="zh-CN"/>
                    </w:rPr>
                  </w:pPr>
                  <w:r>
                    <w:rPr>
                      <w:color w:val="auto"/>
                      <w:kern w:val="0"/>
                      <w:szCs w:val="21"/>
                      <w:lang w:bidi="ar"/>
                    </w:rPr>
                    <w:t>厂界外 50m 范围内无声环境敏感目标</w:t>
                  </w:r>
                </w:p>
              </w:tc>
              <w:tc>
                <w:tcPr>
                  <w:tcW w:w="2984" w:type="dxa"/>
                  <w:vAlign w:val="center"/>
                </w:tcPr>
                <w:p w14:paraId="76BBD9F2">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ascii="Times New Roman" w:hAnsi="Times New Roman"/>
                      <w:color w:val="auto"/>
                      <w:sz w:val="21"/>
                      <w:szCs w:val="21"/>
                    </w:rPr>
                    <w:t>《声环境质量标准》（GB3096-2008）</w:t>
                  </w:r>
                  <w:r>
                    <w:rPr>
                      <w:rFonts w:hint="eastAsia" w:ascii="Times New Roman" w:hAnsi="Times New Roman"/>
                      <w:color w:val="auto"/>
                      <w:sz w:val="21"/>
                      <w:szCs w:val="21"/>
                    </w:rPr>
                    <w:t>3</w:t>
                  </w:r>
                  <w:r>
                    <w:rPr>
                      <w:rFonts w:ascii="Times New Roman" w:hAnsi="Times New Roman"/>
                      <w:color w:val="auto"/>
                      <w:sz w:val="21"/>
                      <w:szCs w:val="21"/>
                    </w:rPr>
                    <w:t>类</w:t>
                  </w:r>
                  <w:r>
                    <w:rPr>
                      <w:rFonts w:hint="eastAsia" w:ascii="Times New Roman" w:hAnsi="Times New Roman"/>
                      <w:color w:val="auto"/>
                      <w:sz w:val="21"/>
                      <w:szCs w:val="21"/>
                    </w:rPr>
                    <w:t>声环境功能区</w:t>
                  </w:r>
                </w:p>
              </w:tc>
            </w:tr>
            <w:tr w14:paraId="45D3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1114" w:type="dxa"/>
                  <w:vAlign w:val="center"/>
                </w:tcPr>
                <w:p w14:paraId="2479749C">
                  <w:pPr>
                    <w:widowControl/>
                    <w:jc w:val="center"/>
                    <w:rPr>
                      <w:rFonts w:hint="eastAsia" w:ascii="Times New Roman" w:hAnsi="Times New Roman"/>
                      <w:color w:val="auto"/>
                      <w:sz w:val="21"/>
                      <w:szCs w:val="21"/>
                    </w:rPr>
                  </w:pPr>
                  <w:r>
                    <w:rPr>
                      <w:color w:val="auto"/>
                      <w:kern w:val="0"/>
                      <w:szCs w:val="21"/>
                      <w:lang w:bidi="ar"/>
                    </w:rPr>
                    <w:t>地下水环境</w:t>
                  </w:r>
                </w:p>
              </w:tc>
              <w:tc>
                <w:tcPr>
                  <w:tcW w:w="3820" w:type="dxa"/>
                  <w:vAlign w:val="center"/>
                </w:tcPr>
                <w:p w14:paraId="7306C1CD">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hint="eastAsia" w:ascii="Times New Roman" w:hAnsi="Times New Roman"/>
                      <w:color w:val="auto"/>
                      <w:sz w:val="21"/>
                      <w:szCs w:val="21"/>
                      <w:lang w:val="en-US" w:eastAsia="zh-CN"/>
                    </w:rPr>
                  </w:pPr>
                  <w:r>
                    <w:rPr>
                      <w:rFonts w:hint="eastAsia" w:ascii="Times New Roman" w:hAnsi="Times New Roman"/>
                      <w:color w:val="auto"/>
                      <w:sz w:val="21"/>
                      <w:szCs w:val="21"/>
                    </w:rPr>
                    <w:t>厂界</w:t>
                  </w:r>
                  <w:r>
                    <w:rPr>
                      <w:rFonts w:ascii="Times New Roman" w:hAnsi="Times New Roman"/>
                      <w:color w:val="auto"/>
                      <w:sz w:val="21"/>
                      <w:szCs w:val="21"/>
                    </w:rPr>
                    <w:t>500</w:t>
                  </w:r>
                  <w:r>
                    <w:rPr>
                      <w:rFonts w:hint="eastAsia" w:ascii="Times New Roman" w:hAnsi="Times New Roman"/>
                      <w:color w:val="auto"/>
                      <w:sz w:val="21"/>
                      <w:szCs w:val="21"/>
                    </w:rPr>
                    <w:t>米范围内没有地下水集中式饮用水水源和热水、矿泉水、温泉等特殊地下水资源分布。</w:t>
                  </w:r>
                </w:p>
              </w:tc>
              <w:tc>
                <w:tcPr>
                  <w:tcW w:w="2984" w:type="dxa"/>
                  <w:vAlign w:val="center"/>
                </w:tcPr>
                <w:p w14:paraId="7687A7FB">
                  <w:pPr>
                    <w:widowControl/>
                    <w:jc w:val="center"/>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《地下水质量标准》</w:t>
                  </w:r>
                </w:p>
                <w:p w14:paraId="53C7C7F3">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ascii="Times New Roman" w:hAnsi="Times New Roman" w:eastAsia="宋体" w:cs="Times New Roman"/>
                      <w:color w:val="auto"/>
                      <w:kern w:val="0"/>
                      <w:sz w:val="21"/>
                      <w:szCs w:val="21"/>
                      <w:lang w:val="en-US" w:eastAsia="zh-CN" w:bidi="ar-SA"/>
                    </w:rPr>
                    <w:t>（GB/T14848-2017）中Ⅲ类标准</w:t>
                  </w:r>
                </w:p>
              </w:tc>
            </w:tr>
          </w:tbl>
          <w:p w14:paraId="06A82F4A">
            <w:pPr>
              <w:adjustRightInd w:val="0"/>
              <w:snapToGrid w:val="0"/>
              <w:rPr>
                <w:rFonts w:hint="eastAsia" w:ascii="宋体" w:hAnsi="宋体" w:cs="宋体"/>
                <w:color w:val="auto"/>
                <w:kern w:val="0"/>
                <w:szCs w:val="21"/>
              </w:rPr>
            </w:pPr>
          </w:p>
        </w:tc>
      </w:tr>
      <w:tr w14:paraId="2412B1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800" w:type="dxa"/>
            <w:tcMar>
              <w:left w:w="28" w:type="dxa"/>
              <w:right w:w="28" w:type="dxa"/>
            </w:tcMar>
            <w:vAlign w:val="center"/>
          </w:tcPr>
          <w:p w14:paraId="32BD35A1">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污染</w:t>
            </w:r>
          </w:p>
          <w:p w14:paraId="1FBF2EAB">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物排</w:t>
            </w:r>
          </w:p>
          <w:p w14:paraId="046E0D0C">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放控</w:t>
            </w:r>
          </w:p>
          <w:p w14:paraId="0CF73E4F">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制标</w:t>
            </w:r>
          </w:p>
          <w:p w14:paraId="041E11FA">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准</w:t>
            </w:r>
          </w:p>
        </w:tc>
        <w:tc>
          <w:tcPr>
            <w:tcW w:w="8190" w:type="dxa"/>
            <w:vAlign w:val="center"/>
          </w:tcPr>
          <w:p w14:paraId="10A45CEB">
            <w:pPr>
              <w:widowControl/>
              <w:numPr>
                <w:ilvl w:val="0"/>
                <w:numId w:val="11"/>
              </w:numPr>
              <w:spacing w:line="360" w:lineRule="auto"/>
              <w:ind w:firstLine="480" w:firstLineChars="200"/>
              <w:jc w:val="left"/>
              <w:rPr>
                <w:color w:val="auto"/>
                <w:kern w:val="0"/>
                <w:sz w:val="24"/>
              </w:rPr>
            </w:pPr>
            <w:r>
              <w:rPr>
                <w:rFonts w:hint="eastAsia"/>
                <w:color w:val="auto"/>
                <w:kern w:val="0"/>
                <w:sz w:val="24"/>
              </w:rPr>
              <w:t>环境质量标准</w:t>
            </w:r>
          </w:p>
          <w:p w14:paraId="0C8D6696">
            <w:pPr>
              <w:widowControl/>
              <w:spacing w:line="360" w:lineRule="auto"/>
              <w:ind w:firstLine="480" w:firstLineChars="200"/>
              <w:jc w:val="left"/>
              <w:rPr>
                <w:color w:val="auto"/>
                <w:kern w:val="0"/>
                <w:sz w:val="24"/>
                <w:lang w:bidi="ar"/>
              </w:rPr>
            </w:pPr>
            <w:r>
              <w:rPr>
                <w:rFonts w:hint="eastAsia"/>
                <w:color w:val="auto"/>
                <w:kern w:val="0"/>
                <w:sz w:val="24"/>
                <w:lang w:bidi="ar"/>
              </w:rPr>
              <w:t>（1）环境空气质量标准</w:t>
            </w:r>
          </w:p>
          <w:p w14:paraId="27A53959">
            <w:pPr>
              <w:widowControl/>
              <w:spacing w:line="360" w:lineRule="auto"/>
              <w:ind w:firstLine="480" w:firstLineChars="200"/>
              <w:jc w:val="left"/>
              <w:rPr>
                <w:color w:val="auto"/>
                <w:kern w:val="0"/>
                <w:sz w:val="24"/>
                <w:lang w:bidi="ar"/>
              </w:rPr>
            </w:pPr>
            <w:r>
              <w:rPr>
                <w:rFonts w:hint="eastAsia"/>
                <w:color w:val="auto"/>
                <w:kern w:val="0"/>
                <w:sz w:val="24"/>
                <w:lang w:bidi="ar"/>
              </w:rPr>
              <w:t>本项目所在区域属于《环境空气质量标准》（GB3095—2026）中的二类区，环境空气执行《环境空气质量标准》（GB3095—2026），常规的执行表1中过渡阶段浓度限值的二级标准；TSP执行的表2的二级标准浓度限值，具体标准见下表。</w:t>
            </w:r>
          </w:p>
          <w:p w14:paraId="0895CF4C">
            <w:pPr>
              <w:widowControl/>
              <w:jc w:val="center"/>
              <w:rPr>
                <w:b/>
                <w:bCs/>
                <w:color w:val="auto"/>
                <w:kern w:val="0"/>
                <w:sz w:val="24"/>
                <w:lang w:bidi="ar"/>
              </w:rPr>
            </w:pPr>
            <w:r>
              <w:rPr>
                <w:rFonts w:hint="eastAsia"/>
                <w:b/>
                <w:bCs/>
                <w:color w:val="auto"/>
                <w:kern w:val="0"/>
                <w:sz w:val="24"/>
                <w:lang w:bidi="ar"/>
              </w:rPr>
              <w:t>表3-3    环境空气质量标准</w:t>
            </w:r>
          </w:p>
          <w:tbl>
            <w:tblPr>
              <w:tblStyle w:val="23"/>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2018"/>
              <w:gridCol w:w="1172"/>
              <w:gridCol w:w="1064"/>
              <w:gridCol w:w="1915"/>
            </w:tblGrid>
            <w:tr w14:paraId="0C27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Align w:val="center"/>
                </w:tcPr>
                <w:p w14:paraId="763E406B">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b/>
                      <w:bCs/>
                      <w:color w:val="auto"/>
                      <w:sz w:val="21"/>
                      <w:szCs w:val="21"/>
                    </w:rPr>
                  </w:pPr>
                  <w:r>
                    <w:rPr>
                      <w:rFonts w:hint="eastAsia" w:ascii="Times New Roman" w:hAnsi="Times New Roman"/>
                      <w:b/>
                      <w:bCs/>
                      <w:color w:val="auto"/>
                      <w:sz w:val="21"/>
                      <w:szCs w:val="21"/>
                    </w:rPr>
                    <w:t>污染物名称</w:t>
                  </w:r>
                </w:p>
              </w:tc>
              <w:tc>
                <w:tcPr>
                  <w:tcW w:w="2018" w:type="dxa"/>
                  <w:vAlign w:val="center"/>
                </w:tcPr>
                <w:p w14:paraId="4D3A3059">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b/>
                      <w:bCs/>
                      <w:color w:val="auto"/>
                      <w:sz w:val="21"/>
                      <w:szCs w:val="21"/>
                    </w:rPr>
                  </w:pPr>
                  <w:r>
                    <w:rPr>
                      <w:rFonts w:hint="eastAsia" w:ascii="Times New Roman" w:hAnsi="Times New Roman"/>
                      <w:b/>
                      <w:bCs/>
                      <w:color w:val="auto"/>
                      <w:sz w:val="21"/>
                      <w:szCs w:val="21"/>
                    </w:rPr>
                    <w:t>取值时间</w:t>
                  </w:r>
                </w:p>
              </w:tc>
              <w:tc>
                <w:tcPr>
                  <w:tcW w:w="1172" w:type="dxa"/>
                  <w:vAlign w:val="center"/>
                </w:tcPr>
                <w:p w14:paraId="4C5D9A54">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b/>
                      <w:bCs/>
                      <w:color w:val="auto"/>
                      <w:sz w:val="21"/>
                      <w:szCs w:val="21"/>
                    </w:rPr>
                  </w:pPr>
                  <w:r>
                    <w:rPr>
                      <w:rFonts w:hint="eastAsia" w:ascii="Times New Roman" w:hAnsi="Times New Roman"/>
                      <w:b/>
                      <w:bCs/>
                      <w:color w:val="auto"/>
                      <w:sz w:val="21"/>
                      <w:szCs w:val="21"/>
                    </w:rPr>
                    <w:t>二级标准浓度限值</w:t>
                  </w:r>
                </w:p>
              </w:tc>
              <w:tc>
                <w:tcPr>
                  <w:tcW w:w="1064" w:type="dxa"/>
                  <w:vAlign w:val="center"/>
                </w:tcPr>
                <w:p w14:paraId="3DF653BE">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b/>
                      <w:bCs/>
                      <w:color w:val="auto"/>
                      <w:sz w:val="21"/>
                      <w:szCs w:val="21"/>
                    </w:rPr>
                  </w:pPr>
                  <w:r>
                    <w:rPr>
                      <w:rFonts w:hint="eastAsia" w:ascii="Times New Roman" w:hAnsi="Times New Roman"/>
                      <w:b/>
                      <w:bCs/>
                      <w:color w:val="auto"/>
                      <w:sz w:val="21"/>
                      <w:szCs w:val="21"/>
                    </w:rPr>
                    <w:t>浓度单位</w:t>
                  </w:r>
                </w:p>
              </w:tc>
              <w:tc>
                <w:tcPr>
                  <w:tcW w:w="1915" w:type="dxa"/>
                  <w:vAlign w:val="center"/>
                </w:tcPr>
                <w:p w14:paraId="2DF787F3">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b/>
                      <w:bCs/>
                      <w:color w:val="auto"/>
                      <w:sz w:val="21"/>
                      <w:szCs w:val="21"/>
                    </w:rPr>
                  </w:pPr>
                  <w:r>
                    <w:rPr>
                      <w:rFonts w:hint="eastAsia" w:ascii="Times New Roman" w:hAnsi="Times New Roman"/>
                      <w:b/>
                      <w:bCs/>
                      <w:color w:val="auto"/>
                      <w:sz w:val="21"/>
                      <w:szCs w:val="21"/>
                    </w:rPr>
                    <w:t>标准来源</w:t>
                  </w:r>
                </w:p>
              </w:tc>
            </w:tr>
            <w:tr w14:paraId="0620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14:paraId="5AB427D6">
                  <w:pPr>
                    <w:widowControl/>
                    <w:jc w:val="center"/>
                    <w:rPr>
                      <w:b/>
                      <w:bCs/>
                      <w:color w:val="auto"/>
                      <w:kern w:val="0"/>
                      <w:szCs w:val="21"/>
                      <w:lang w:bidi="ar"/>
                    </w:rPr>
                  </w:pPr>
                  <w:r>
                    <w:rPr>
                      <w:color w:val="auto"/>
                      <w:szCs w:val="21"/>
                    </w:rPr>
                    <w:t>总悬浮颗粒物（TSP）</w:t>
                  </w:r>
                </w:p>
              </w:tc>
              <w:tc>
                <w:tcPr>
                  <w:tcW w:w="2018" w:type="dxa"/>
                  <w:vAlign w:val="center"/>
                </w:tcPr>
                <w:p w14:paraId="4C692B09">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年平均</w:t>
                  </w:r>
                </w:p>
              </w:tc>
              <w:tc>
                <w:tcPr>
                  <w:tcW w:w="1172" w:type="dxa"/>
                  <w:vAlign w:val="center"/>
                </w:tcPr>
                <w:p w14:paraId="79A4E07E">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200</w:t>
                  </w:r>
                </w:p>
              </w:tc>
              <w:tc>
                <w:tcPr>
                  <w:tcW w:w="1064" w:type="dxa"/>
                  <w:vMerge w:val="restart"/>
                  <w:vAlign w:val="center"/>
                </w:tcPr>
                <w:p w14:paraId="45453503">
                  <w:pPr>
                    <w:widowControl/>
                    <w:jc w:val="center"/>
                    <w:rPr>
                      <w:b/>
                      <w:bCs/>
                      <w:color w:val="auto"/>
                      <w:kern w:val="0"/>
                      <w:sz w:val="24"/>
                      <w:lang w:bidi="ar"/>
                    </w:rPr>
                  </w:pPr>
                  <w:r>
                    <w:rPr>
                      <w:color w:val="auto"/>
                    </w:rPr>
                    <w:t>ug/</w:t>
                  </w:r>
                  <w:r>
                    <w:rPr>
                      <w:rFonts w:hint="eastAsia"/>
                      <w:color w:val="auto"/>
                    </w:rPr>
                    <w:t>m</w:t>
                  </w:r>
                  <w:r>
                    <w:rPr>
                      <w:rFonts w:hint="eastAsia"/>
                      <w:color w:val="auto"/>
                      <w:vertAlign w:val="superscript"/>
                    </w:rPr>
                    <w:t>3</w:t>
                  </w:r>
                </w:p>
              </w:tc>
              <w:tc>
                <w:tcPr>
                  <w:tcW w:w="1915" w:type="dxa"/>
                  <w:vMerge w:val="restart"/>
                  <w:vAlign w:val="center"/>
                </w:tcPr>
                <w:p w14:paraId="0B0F9C05">
                  <w:pPr>
                    <w:widowControl/>
                    <w:jc w:val="center"/>
                    <w:rPr>
                      <w:color w:val="auto"/>
                    </w:rPr>
                  </w:pPr>
                </w:p>
                <w:p w14:paraId="70E11CD1">
                  <w:pPr>
                    <w:widowControl/>
                    <w:jc w:val="center"/>
                    <w:rPr>
                      <w:color w:val="auto"/>
                    </w:rPr>
                  </w:pPr>
                </w:p>
                <w:p w14:paraId="071B7631">
                  <w:pPr>
                    <w:widowControl/>
                    <w:jc w:val="center"/>
                    <w:rPr>
                      <w:color w:val="auto"/>
                    </w:rPr>
                  </w:pPr>
                </w:p>
                <w:p w14:paraId="4391D772">
                  <w:pPr>
                    <w:widowControl/>
                    <w:jc w:val="center"/>
                    <w:rPr>
                      <w:color w:val="auto"/>
                    </w:rPr>
                  </w:pPr>
                </w:p>
                <w:p w14:paraId="4D02F93E">
                  <w:pPr>
                    <w:widowControl/>
                    <w:jc w:val="center"/>
                    <w:rPr>
                      <w:b/>
                      <w:bCs/>
                      <w:color w:val="auto"/>
                      <w:kern w:val="0"/>
                      <w:sz w:val="24"/>
                      <w:lang w:bidi="ar"/>
                    </w:rPr>
                  </w:pPr>
                  <w:r>
                    <w:rPr>
                      <w:rFonts w:hint="eastAsia"/>
                      <w:color w:val="auto"/>
                    </w:rPr>
                    <w:t>环境空气</w:t>
                  </w:r>
                  <w:r>
                    <w:rPr>
                      <w:color w:val="auto"/>
                    </w:rPr>
                    <w:t>执行《环境空气质量标准》（GB3095—20</w:t>
                  </w:r>
                  <w:r>
                    <w:rPr>
                      <w:rFonts w:hint="eastAsia"/>
                      <w:color w:val="auto"/>
                    </w:rPr>
                    <w:t>26</w:t>
                  </w:r>
                  <w:r>
                    <w:rPr>
                      <w:color w:val="auto"/>
                    </w:rPr>
                    <w:t>）</w:t>
                  </w:r>
                </w:p>
              </w:tc>
            </w:tr>
            <w:tr w14:paraId="15F3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2ED8B1BB">
                  <w:pPr>
                    <w:widowControl/>
                    <w:jc w:val="center"/>
                    <w:rPr>
                      <w:b/>
                      <w:bCs/>
                      <w:color w:val="auto"/>
                      <w:kern w:val="0"/>
                      <w:szCs w:val="21"/>
                      <w:lang w:bidi="ar"/>
                    </w:rPr>
                  </w:pPr>
                </w:p>
              </w:tc>
              <w:tc>
                <w:tcPr>
                  <w:tcW w:w="2018" w:type="dxa"/>
                  <w:vAlign w:val="center"/>
                </w:tcPr>
                <w:p w14:paraId="4A2718D7">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日</w:t>
                  </w:r>
                  <w:r>
                    <w:rPr>
                      <w:rFonts w:ascii="Times New Roman" w:hAnsi="Times New Roman"/>
                      <w:color w:val="auto"/>
                      <w:kern w:val="2"/>
                      <w:sz w:val="21"/>
                      <w:szCs w:val="21"/>
                    </w:rPr>
                    <w:t>平均</w:t>
                  </w:r>
                </w:p>
              </w:tc>
              <w:tc>
                <w:tcPr>
                  <w:tcW w:w="1172" w:type="dxa"/>
                  <w:vAlign w:val="center"/>
                </w:tcPr>
                <w:p w14:paraId="58F0DC00">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300</w:t>
                  </w:r>
                </w:p>
              </w:tc>
              <w:tc>
                <w:tcPr>
                  <w:tcW w:w="1064" w:type="dxa"/>
                  <w:vMerge w:val="continue"/>
                  <w:vAlign w:val="center"/>
                </w:tcPr>
                <w:p w14:paraId="2B34DB6C">
                  <w:pPr>
                    <w:widowControl/>
                    <w:jc w:val="center"/>
                    <w:rPr>
                      <w:b/>
                      <w:bCs/>
                      <w:color w:val="auto"/>
                      <w:kern w:val="0"/>
                      <w:sz w:val="24"/>
                      <w:lang w:bidi="ar"/>
                    </w:rPr>
                  </w:pPr>
                </w:p>
              </w:tc>
              <w:tc>
                <w:tcPr>
                  <w:tcW w:w="1915" w:type="dxa"/>
                  <w:vMerge w:val="continue"/>
                </w:tcPr>
                <w:p w14:paraId="25D27589">
                  <w:pPr>
                    <w:widowControl/>
                    <w:rPr>
                      <w:b/>
                      <w:bCs/>
                      <w:color w:val="auto"/>
                      <w:kern w:val="0"/>
                      <w:sz w:val="24"/>
                      <w:lang w:bidi="ar"/>
                    </w:rPr>
                  </w:pPr>
                </w:p>
              </w:tc>
            </w:tr>
            <w:tr w14:paraId="5A6A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14:paraId="42D44B32">
                  <w:pPr>
                    <w:widowControl/>
                    <w:jc w:val="center"/>
                    <w:rPr>
                      <w:b/>
                      <w:bCs/>
                      <w:color w:val="auto"/>
                      <w:kern w:val="0"/>
                      <w:szCs w:val="21"/>
                      <w:lang w:bidi="ar"/>
                    </w:rPr>
                  </w:pPr>
                  <w:r>
                    <w:rPr>
                      <w:color w:val="auto"/>
                      <w:szCs w:val="21"/>
                    </w:rPr>
                    <w:t>二氧化硫（SO</w:t>
                  </w:r>
                  <w:r>
                    <w:rPr>
                      <w:color w:val="auto"/>
                      <w:szCs w:val="21"/>
                      <w:vertAlign w:val="subscript"/>
                    </w:rPr>
                    <w:t>2</w:t>
                  </w:r>
                  <w:r>
                    <w:rPr>
                      <w:color w:val="auto"/>
                      <w:szCs w:val="21"/>
                    </w:rPr>
                    <w:t>）</w:t>
                  </w:r>
                </w:p>
              </w:tc>
              <w:tc>
                <w:tcPr>
                  <w:tcW w:w="2018" w:type="dxa"/>
                  <w:vAlign w:val="center"/>
                </w:tcPr>
                <w:p w14:paraId="65559E7E">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年平均</w:t>
                  </w:r>
                </w:p>
              </w:tc>
              <w:tc>
                <w:tcPr>
                  <w:tcW w:w="1172" w:type="dxa"/>
                  <w:vAlign w:val="center"/>
                </w:tcPr>
                <w:p w14:paraId="20AE461B">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60</w:t>
                  </w:r>
                </w:p>
              </w:tc>
              <w:tc>
                <w:tcPr>
                  <w:tcW w:w="1064" w:type="dxa"/>
                  <w:vMerge w:val="restart"/>
                  <w:vAlign w:val="center"/>
                </w:tcPr>
                <w:p w14:paraId="58C436B9">
                  <w:pPr>
                    <w:widowControl/>
                    <w:jc w:val="center"/>
                    <w:rPr>
                      <w:b/>
                      <w:bCs/>
                      <w:color w:val="auto"/>
                      <w:kern w:val="0"/>
                      <w:sz w:val="24"/>
                      <w:lang w:bidi="ar"/>
                    </w:rPr>
                  </w:pPr>
                  <w:r>
                    <w:rPr>
                      <w:color w:val="auto"/>
                    </w:rPr>
                    <w:t>ug/</w:t>
                  </w:r>
                  <w:r>
                    <w:rPr>
                      <w:rFonts w:hint="eastAsia"/>
                      <w:color w:val="auto"/>
                    </w:rPr>
                    <w:t>m</w:t>
                  </w:r>
                  <w:r>
                    <w:rPr>
                      <w:rFonts w:hint="eastAsia"/>
                      <w:color w:val="auto"/>
                      <w:vertAlign w:val="superscript"/>
                    </w:rPr>
                    <w:t>3</w:t>
                  </w:r>
                </w:p>
              </w:tc>
              <w:tc>
                <w:tcPr>
                  <w:tcW w:w="1915" w:type="dxa"/>
                  <w:vMerge w:val="continue"/>
                </w:tcPr>
                <w:p w14:paraId="7A744AE5">
                  <w:pPr>
                    <w:widowControl/>
                    <w:rPr>
                      <w:b/>
                      <w:bCs/>
                      <w:color w:val="auto"/>
                      <w:kern w:val="0"/>
                      <w:sz w:val="24"/>
                      <w:lang w:bidi="ar"/>
                    </w:rPr>
                  </w:pPr>
                </w:p>
              </w:tc>
            </w:tr>
            <w:tr w14:paraId="116A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341D9FA7">
                  <w:pPr>
                    <w:widowControl/>
                    <w:jc w:val="center"/>
                    <w:rPr>
                      <w:b/>
                      <w:bCs/>
                      <w:color w:val="auto"/>
                      <w:kern w:val="0"/>
                      <w:szCs w:val="21"/>
                      <w:lang w:bidi="ar"/>
                    </w:rPr>
                  </w:pPr>
                </w:p>
              </w:tc>
              <w:tc>
                <w:tcPr>
                  <w:tcW w:w="2018" w:type="dxa"/>
                  <w:vAlign w:val="center"/>
                </w:tcPr>
                <w:p w14:paraId="6F8286A8">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日</w:t>
                  </w:r>
                  <w:r>
                    <w:rPr>
                      <w:rFonts w:ascii="Times New Roman" w:hAnsi="Times New Roman"/>
                      <w:color w:val="auto"/>
                      <w:kern w:val="2"/>
                      <w:sz w:val="21"/>
                      <w:szCs w:val="21"/>
                    </w:rPr>
                    <w:t>平均</w:t>
                  </w:r>
                </w:p>
              </w:tc>
              <w:tc>
                <w:tcPr>
                  <w:tcW w:w="1172" w:type="dxa"/>
                  <w:vAlign w:val="center"/>
                </w:tcPr>
                <w:p w14:paraId="7D74D5AF">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150</w:t>
                  </w:r>
                </w:p>
              </w:tc>
              <w:tc>
                <w:tcPr>
                  <w:tcW w:w="1064" w:type="dxa"/>
                  <w:vMerge w:val="continue"/>
                  <w:vAlign w:val="center"/>
                </w:tcPr>
                <w:p w14:paraId="0636A81E">
                  <w:pPr>
                    <w:widowControl/>
                    <w:jc w:val="center"/>
                    <w:rPr>
                      <w:b/>
                      <w:bCs/>
                      <w:color w:val="auto"/>
                      <w:kern w:val="0"/>
                      <w:sz w:val="24"/>
                      <w:lang w:bidi="ar"/>
                    </w:rPr>
                  </w:pPr>
                </w:p>
              </w:tc>
              <w:tc>
                <w:tcPr>
                  <w:tcW w:w="1915" w:type="dxa"/>
                  <w:vMerge w:val="continue"/>
                </w:tcPr>
                <w:p w14:paraId="79DC3F04">
                  <w:pPr>
                    <w:widowControl/>
                    <w:rPr>
                      <w:b/>
                      <w:bCs/>
                      <w:color w:val="auto"/>
                      <w:kern w:val="0"/>
                      <w:sz w:val="24"/>
                      <w:lang w:bidi="ar"/>
                    </w:rPr>
                  </w:pPr>
                </w:p>
              </w:tc>
            </w:tr>
            <w:tr w14:paraId="0CD0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3D84E778">
                  <w:pPr>
                    <w:widowControl/>
                    <w:jc w:val="center"/>
                    <w:rPr>
                      <w:b/>
                      <w:bCs/>
                      <w:color w:val="auto"/>
                      <w:kern w:val="0"/>
                      <w:szCs w:val="21"/>
                      <w:lang w:bidi="ar"/>
                    </w:rPr>
                  </w:pPr>
                </w:p>
              </w:tc>
              <w:tc>
                <w:tcPr>
                  <w:tcW w:w="2018" w:type="dxa"/>
                  <w:vAlign w:val="center"/>
                </w:tcPr>
                <w:p w14:paraId="2EB0CC0C">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1小时平均</w:t>
                  </w:r>
                </w:p>
              </w:tc>
              <w:tc>
                <w:tcPr>
                  <w:tcW w:w="1172" w:type="dxa"/>
                  <w:vAlign w:val="center"/>
                </w:tcPr>
                <w:p w14:paraId="4F90BFF3">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500</w:t>
                  </w:r>
                </w:p>
              </w:tc>
              <w:tc>
                <w:tcPr>
                  <w:tcW w:w="1064" w:type="dxa"/>
                  <w:vMerge w:val="continue"/>
                  <w:vAlign w:val="center"/>
                </w:tcPr>
                <w:p w14:paraId="7F20B413">
                  <w:pPr>
                    <w:widowControl/>
                    <w:jc w:val="center"/>
                    <w:rPr>
                      <w:b/>
                      <w:bCs/>
                      <w:color w:val="auto"/>
                      <w:kern w:val="0"/>
                      <w:sz w:val="24"/>
                      <w:lang w:bidi="ar"/>
                    </w:rPr>
                  </w:pPr>
                </w:p>
              </w:tc>
              <w:tc>
                <w:tcPr>
                  <w:tcW w:w="1915" w:type="dxa"/>
                  <w:vMerge w:val="continue"/>
                </w:tcPr>
                <w:p w14:paraId="24A94533">
                  <w:pPr>
                    <w:widowControl/>
                    <w:rPr>
                      <w:b/>
                      <w:bCs/>
                      <w:color w:val="auto"/>
                      <w:kern w:val="0"/>
                      <w:sz w:val="24"/>
                      <w:lang w:bidi="ar"/>
                    </w:rPr>
                  </w:pPr>
                </w:p>
              </w:tc>
            </w:tr>
            <w:tr w14:paraId="5DAC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14:paraId="34AF0223">
                  <w:pPr>
                    <w:pStyle w:val="40"/>
                    <w:spacing w:before="24" w:after="24"/>
                    <w:ind w:left="0" w:firstLine="0" w:firstLineChars="0"/>
                    <w:rPr>
                      <w:rFonts w:ascii="Times New Roman" w:hAnsi="Times New Roman"/>
                      <w:color w:val="auto"/>
                      <w:sz w:val="21"/>
                      <w:szCs w:val="21"/>
                    </w:rPr>
                  </w:pPr>
                </w:p>
                <w:p w14:paraId="38F1C4EB">
                  <w:pPr>
                    <w:pStyle w:val="40"/>
                    <w:spacing w:before="24" w:after="24"/>
                    <w:ind w:left="0" w:firstLine="0" w:firstLineChars="0"/>
                    <w:rPr>
                      <w:rFonts w:ascii="Times New Roman" w:hAnsi="Times New Roman"/>
                      <w:b/>
                      <w:bCs/>
                      <w:color w:val="auto"/>
                      <w:sz w:val="21"/>
                      <w:szCs w:val="21"/>
                      <w:lang w:bidi="ar"/>
                    </w:rPr>
                  </w:pPr>
                  <w:r>
                    <w:rPr>
                      <w:rFonts w:ascii="Times New Roman" w:hAnsi="Times New Roman"/>
                      <w:color w:val="auto"/>
                      <w:sz w:val="21"/>
                      <w:szCs w:val="21"/>
                    </w:rPr>
                    <w:t>二氧化氮（NO</w:t>
                  </w:r>
                  <w:r>
                    <w:rPr>
                      <w:rFonts w:ascii="Times New Roman" w:hAnsi="Times New Roman"/>
                      <w:color w:val="auto"/>
                      <w:sz w:val="21"/>
                      <w:szCs w:val="21"/>
                      <w:vertAlign w:val="subscript"/>
                    </w:rPr>
                    <w:t>2</w:t>
                  </w:r>
                  <w:r>
                    <w:rPr>
                      <w:rFonts w:ascii="Times New Roman" w:hAnsi="Times New Roman"/>
                      <w:color w:val="auto"/>
                      <w:sz w:val="21"/>
                      <w:szCs w:val="21"/>
                    </w:rPr>
                    <w:t>）</w:t>
                  </w:r>
                </w:p>
              </w:tc>
              <w:tc>
                <w:tcPr>
                  <w:tcW w:w="2018" w:type="dxa"/>
                  <w:vAlign w:val="center"/>
                </w:tcPr>
                <w:p w14:paraId="2E1C3ACC">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年平均</w:t>
                  </w:r>
                </w:p>
              </w:tc>
              <w:tc>
                <w:tcPr>
                  <w:tcW w:w="1172" w:type="dxa"/>
                  <w:vAlign w:val="center"/>
                </w:tcPr>
                <w:p w14:paraId="0C086C45">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40</w:t>
                  </w:r>
                </w:p>
              </w:tc>
              <w:tc>
                <w:tcPr>
                  <w:tcW w:w="1064" w:type="dxa"/>
                  <w:vMerge w:val="continue"/>
                  <w:vAlign w:val="center"/>
                </w:tcPr>
                <w:p w14:paraId="3A2E4379">
                  <w:pPr>
                    <w:widowControl/>
                    <w:jc w:val="center"/>
                    <w:rPr>
                      <w:b/>
                      <w:bCs/>
                      <w:color w:val="auto"/>
                      <w:kern w:val="0"/>
                      <w:sz w:val="24"/>
                      <w:lang w:bidi="ar"/>
                    </w:rPr>
                  </w:pPr>
                </w:p>
              </w:tc>
              <w:tc>
                <w:tcPr>
                  <w:tcW w:w="1915" w:type="dxa"/>
                  <w:vMerge w:val="continue"/>
                </w:tcPr>
                <w:p w14:paraId="1BDF3979">
                  <w:pPr>
                    <w:widowControl/>
                    <w:rPr>
                      <w:b/>
                      <w:bCs/>
                      <w:color w:val="auto"/>
                      <w:kern w:val="0"/>
                      <w:sz w:val="24"/>
                      <w:lang w:bidi="ar"/>
                    </w:rPr>
                  </w:pPr>
                </w:p>
              </w:tc>
            </w:tr>
            <w:tr w14:paraId="051C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41895C00">
                  <w:pPr>
                    <w:widowControl/>
                    <w:jc w:val="center"/>
                    <w:rPr>
                      <w:b/>
                      <w:bCs/>
                      <w:color w:val="auto"/>
                      <w:kern w:val="0"/>
                      <w:szCs w:val="21"/>
                      <w:lang w:bidi="ar"/>
                    </w:rPr>
                  </w:pPr>
                </w:p>
              </w:tc>
              <w:tc>
                <w:tcPr>
                  <w:tcW w:w="2018" w:type="dxa"/>
                  <w:vAlign w:val="center"/>
                </w:tcPr>
                <w:p w14:paraId="4D9B550D">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日</w:t>
                  </w:r>
                  <w:r>
                    <w:rPr>
                      <w:rFonts w:ascii="Times New Roman" w:hAnsi="Times New Roman"/>
                      <w:color w:val="auto"/>
                      <w:kern w:val="2"/>
                      <w:sz w:val="21"/>
                      <w:szCs w:val="21"/>
                    </w:rPr>
                    <w:t>平均</w:t>
                  </w:r>
                </w:p>
              </w:tc>
              <w:tc>
                <w:tcPr>
                  <w:tcW w:w="1172" w:type="dxa"/>
                  <w:vAlign w:val="center"/>
                </w:tcPr>
                <w:p w14:paraId="5B1AA086">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80</w:t>
                  </w:r>
                </w:p>
              </w:tc>
              <w:tc>
                <w:tcPr>
                  <w:tcW w:w="1064" w:type="dxa"/>
                  <w:vMerge w:val="continue"/>
                  <w:vAlign w:val="center"/>
                </w:tcPr>
                <w:p w14:paraId="278D157D">
                  <w:pPr>
                    <w:widowControl/>
                    <w:jc w:val="center"/>
                    <w:rPr>
                      <w:b/>
                      <w:bCs/>
                      <w:color w:val="auto"/>
                      <w:kern w:val="0"/>
                      <w:sz w:val="24"/>
                      <w:lang w:bidi="ar"/>
                    </w:rPr>
                  </w:pPr>
                </w:p>
              </w:tc>
              <w:tc>
                <w:tcPr>
                  <w:tcW w:w="1915" w:type="dxa"/>
                  <w:vMerge w:val="continue"/>
                </w:tcPr>
                <w:p w14:paraId="6A7E29F5">
                  <w:pPr>
                    <w:widowControl/>
                    <w:rPr>
                      <w:b/>
                      <w:bCs/>
                      <w:color w:val="auto"/>
                      <w:kern w:val="0"/>
                      <w:sz w:val="24"/>
                      <w:lang w:bidi="ar"/>
                    </w:rPr>
                  </w:pPr>
                </w:p>
              </w:tc>
            </w:tr>
            <w:tr w14:paraId="52FD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359E8F0E">
                  <w:pPr>
                    <w:widowControl/>
                    <w:jc w:val="center"/>
                    <w:rPr>
                      <w:b/>
                      <w:bCs/>
                      <w:color w:val="auto"/>
                      <w:kern w:val="0"/>
                      <w:szCs w:val="21"/>
                      <w:lang w:bidi="ar"/>
                    </w:rPr>
                  </w:pPr>
                </w:p>
              </w:tc>
              <w:tc>
                <w:tcPr>
                  <w:tcW w:w="2018" w:type="dxa"/>
                  <w:vAlign w:val="center"/>
                </w:tcPr>
                <w:p w14:paraId="1EE2E999">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1小时平均</w:t>
                  </w:r>
                </w:p>
              </w:tc>
              <w:tc>
                <w:tcPr>
                  <w:tcW w:w="1172" w:type="dxa"/>
                  <w:vAlign w:val="center"/>
                </w:tcPr>
                <w:p w14:paraId="02286070">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200</w:t>
                  </w:r>
                </w:p>
              </w:tc>
              <w:tc>
                <w:tcPr>
                  <w:tcW w:w="1064" w:type="dxa"/>
                  <w:vMerge w:val="continue"/>
                  <w:vAlign w:val="center"/>
                </w:tcPr>
                <w:p w14:paraId="62085199">
                  <w:pPr>
                    <w:widowControl/>
                    <w:jc w:val="center"/>
                    <w:rPr>
                      <w:b/>
                      <w:bCs/>
                      <w:color w:val="auto"/>
                      <w:kern w:val="0"/>
                      <w:sz w:val="24"/>
                      <w:lang w:bidi="ar"/>
                    </w:rPr>
                  </w:pPr>
                </w:p>
              </w:tc>
              <w:tc>
                <w:tcPr>
                  <w:tcW w:w="1915" w:type="dxa"/>
                  <w:vMerge w:val="continue"/>
                </w:tcPr>
                <w:p w14:paraId="742F3B2A">
                  <w:pPr>
                    <w:widowControl/>
                    <w:rPr>
                      <w:b/>
                      <w:bCs/>
                      <w:color w:val="auto"/>
                      <w:kern w:val="0"/>
                      <w:sz w:val="24"/>
                      <w:lang w:bidi="ar"/>
                    </w:rPr>
                  </w:pPr>
                </w:p>
              </w:tc>
            </w:tr>
            <w:tr w14:paraId="3AC8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14:paraId="69602433">
                  <w:pPr>
                    <w:widowControl/>
                    <w:jc w:val="center"/>
                    <w:rPr>
                      <w:b/>
                      <w:bCs/>
                      <w:color w:val="auto"/>
                      <w:kern w:val="0"/>
                      <w:szCs w:val="21"/>
                      <w:lang w:bidi="ar"/>
                    </w:rPr>
                  </w:pPr>
                  <w:r>
                    <w:rPr>
                      <w:color w:val="auto"/>
                      <w:szCs w:val="21"/>
                    </w:rPr>
                    <w:t>一氧化碳（CO）</w:t>
                  </w:r>
                </w:p>
              </w:tc>
              <w:tc>
                <w:tcPr>
                  <w:tcW w:w="2018" w:type="dxa"/>
                  <w:vAlign w:val="center"/>
                </w:tcPr>
                <w:p w14:paraId="2859B044">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1小时平均</w:t>
                  </w:r>
                </w:p>
              </w:tc>
              <w:tc>
                <w:tcPr>
                  <w:tcW w:w="1172" w:type="dxa"/>
                  <w:vAlign w:val="center"/>
                </w:tcPr>
                <w:p w14:paraId="13CBDE39">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4</w:t>
                  </w:r>
                </w:p>
              </w:tc>
              <w:tc>
                <w:tcPr>
                  <w:tcW w:w="1064" w:type="dxa"/>
                  <w:vMerge w:val="restart"/>
                  <w:vAlign w:val="center"/>
                </w:tcPr>
                <w:p w14:paraId="0F18E90E">
                  <w:pPr>
                    <w:widowControl/>
                    <w:jc w:val="center"/>
                    <w:rPr>
                      <w:b/>
                      <w:bCs/>
                      <w:color w:val="auto"/>
                      <w:kern w:val="0"/>
                      <w:sz w:val="24"/>
                      <w:lang w:bidi="ar"/>
                    </w:rPr>
                  </w:pPr>
                  <w:r>
                    <w:rPr>
                      <w:color w:val="auto"/>
                    </w:rPr>
                    <w:t>mg/</w:t>
                  </w:r>
                  <w:r>
                    <w:rPr>
                      <w:rFonts w:hint="eastAsia"/>
                      <w:color w:val="auto"/>
                    </w:rPr>
                    <w:t>m</w:t>
                  </w:r>
                  <w:r>
                    <w:rPr>
                      <w:rFonts w:hint="eastAsia"/>
                      <w:color w:val="auto"/>
                      <w:vertAlign w:val="superscript"/>
                    </w:rPr>
                    <w:t>3</w:t>
                  </w:r>
                </w:p>
              </w:tc>
              <w:tc>
                <w:tcPr>
                  <w:tcW w:w="1915" w:type="dxa"/>
                  <w:vMerge w:val="continue"/>
                </w:tcPr>
                <w:p w14:paraId="49B18857">
                  <w:pPr>
                    <w:widowControl/>
                    <w:rPr>
                      <w:b/>
                      <w:bCs/>
                      <w:color w:val="auto"/>
                      <w:kern w:val="0"/>
                      <w:sz w:val="24"/>
                      <w:lang w:bidi="ar"/>
                    </w:rPr>
                  </w:pPr>
                </w:p>
              </w:tc>
            </w:tr>
            <w:tr w14:paraId="2227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310BC5B3">
                  <w:pPr>
                    <w:widowControl/>
                    <w:jc w:val="center"/>
                    <w:rPr>
                      <w:b/>
                      <w:bCs/>
                      <w:color w:val="auto"/>
                      <w:kern w:val="0"/>
                      <w:szCs w:val="21"/>
                      <w:lang w:bidi="ar"/>
                    </w:rPr>
                  </w:pPr>
                </w:p>
              </w:tc>
              <w:tc>
                <w:tcPr>
                  <w:tcW w:w="2018" w:type="dxa"/>
                  <w:vAlign w:val="center"/>
                </w:tcPr>
                <w:p w14:paraId="2BAC310E">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日</w:t>
                  </w:r>
                  <w:r>
                    <w:rPr>
                      <w:rFonts w:ascii="Times New Roman" w:hAnsi="Times New Roman"/>
                      <w:color w:val="auto"/>
                      <w:kern w:val="2"/>
                      <w:sz w:val="21"/>
                      <w:szCs w:val="21"/>
                    </w:rPr>
                    <w:t>平均</w:t>
                  </w:r>
                </w:p>
              </w:tc>
              <w:tc>
                <w:tcPr>
                  <w:tcW w:w="1172" w:type="dxa"/>
                  <w:vAlign w:val="center"/>
                </w:tcPr>
                <w:p w14:paraId="07E2B570">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10</w:t>
                  </w:r>
                </w:p>
              </w:tc>
              <w:tc>
                <w:tcPr>
                  <w:tcW w:w="1064" w:type="dxa"/>
                  <w:vMerge w:val="continue"/>
                  <w:vAlign w:val="center"/>
                </w:tcPr>
                <w:p w14:paraId="1F574AE1">
                  <w:pPr>
                    <w:widowControl/>
                    <w:jc w:val="center"/>
                    <w:rPr>
                      <w:b/>
                      <w:bCs/>
                      <w:color w:val="auto"/>
                      <w:kern w:val="0"/>
                      <w:sz w:val="24"/>
                      <w:lang w:bidi="ar"/>
                    </w:rPr>
                  </w:pPr>
                </w:p>
              </w:tc>
              <w:tc>
                <w:tcPr>
                  <w:tcW w:w="1915" w:type="dxa"/>
                  <w:vMerge w:val="continue"/>
                </w:tcPr>
                <w:p w14:paraId="72E04E43">
                  <w:pPr>
                    <w:widowControl/>
                    <w:rPr>
                      <w:b/>
                      <w:bCs/>
                      <w:color w:val="auto"/>
                      <w:kern w:val="0"/>
                      <w:sz w:val="24"/>
                      <w:lang w:bidi="ar"/>
                    </w:rPr>
                  </w:pPr>
                </w:p>
              </w:tc>
            </w:tr>
            <w:tr w14:paraId="0385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14:paraId="57D59287">
                  <w:pPr>
                    <w:widowControl/>
                    <w:jc w:val="center"/>
                    <w:rPr>
                      <w:b/>
                      <w:bCs/>
                      <w:color w:val="auto"/>
                      <w:kern w:val="0"/>
                      <w:szCs w:val="21"/>
                      <w:lang w:bidi="ar"/>
                    </w:rPr>
                  </w:pPr>
                  <w:r>
                    <w:rPr>
                      <w:color w:val="auto"/>
                      <w:szCs w:val="21"/>
                    </w:rPr>
                    <w:t>臭氧（O</w:t>
                  </w:r>
                  <w:r>
                    <w:rPr>
                      <w:color w:val="auto"/>
                      <w:szCs w:val="21"/>
                      <w:vertAlign w:val="subscript"/>
                    </w:rPr>
                    <w:t>3</w:t>
                  </w:r>
                  <w:r>
                    <w:rPr>
                      <w:color w:val="auto"/>
                      <w:szCs w:val="21"/>
                    </w:rPr>
                    <w:t>）</w:t>
                  </w:r>
                </w:p>
              </w:tc>
              <w:tc>
                <w:tcPr>
                  <w:tcW w:w="2018" w:type="dxa"/>
                  <w:vAlign w:val="center"/>
                </w:tcPr>
                <w:p w14:paraId="37631884">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日最大8小时平均</w:t>
                  </w:r>
                </w:p>
              </w:tc>
              <w:tc>
                <w:tcPr>
                  <w:tcW w:w="1172" w:type="dxa"/>
                  <w:vAlign w:val="center"/>
                </w:tcPr>
                <w:p w14:paraId="6FB040C3">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160</w:t>
                  </w:r>
                </w:p>
              </w:tc>
              <w:tc>
                <w:tcPr>
                  <w:tcW w:w="1064" w:type="dxa"/>
                  <w:vMerge w:val="restart"/>
                  <w:vAlign w:val="center"/>
                </w:tcPr>
                <w:p w14:paraId="57B17D9D">
                  <w:pPr>
                    <w:widowControl/>
                    <w:jc w:val="center"/>
                    <w:rPr>
                      <w:b/>
                      <w:bCs/>
                      <w:color w:val="auto"/>
                      <w:kern w:val="0"/>
                      <w:sz w:val="24"/>
                      <w:lang w:bidi="ar"/>
                    </w:rPr>
                  </w:pPr>
                  <w:r>
                    <w:rPr>
                      <w:color w:val="auto"/>
                    </w:rPr>
                    <w:t>ug/</w:t>
                  </w:r>
                  <w:r>
                    <w:rPr>
                      <w:rFonts w:hint="eastAsia"/>
                      <w:color w:val="auto"/>
                    </w:rPr>
                    <w:t>m</w:t>
                  </w:r>
                  <w:r>
                    <w:rPr>
                      <w:rFonts w:hint="eastAsia"/>
                      <w:color w:val="auto"/>
                      <w:vertAlign w:val="superscript"/>
                    </w:rPr>
                    <w:t>3</w:t>
                  </w:r>
                </w:p>
              </w:tc>
              <w:tc>
                <w:tcPr>
                  <w:tcW w:w="1915" w:type="dxa"/>
                  <w:vMerge w:val="continue"/>
                </w:tcPr>
                <w:p w14:paraId="4F2CC4C7">
                  <w:pPr>
                    <w:widowControl/>
                    <w:rPr>
                      <w:b/>
                      <w:bCs/>
                      <w:color w:val="auto"/>
                      <w:kern w:val="0"/>
                      <w:sz w:val="24"/>
                      <w:lang w:bidi="ar"/>
                    </w:rPr>
                  </w:pPr>
                </w:p>
              </w:tc>
            </w:tr>
            <w:tr w14:paraId="0ABE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44754D2F">
                  <w:pPr>
                    <w:widowControl/>
                    <w:jc w:val="center"/>
                    <w:rPr>
                      <w:b/>
                      <w:bCs/>
                      <w:color w:val="auto"/>
                      <w:kern w:val="0"/>
                      <w:szCs w:val="21"/>
                      <w:lang w:bidi="ar"/>
                    </w:rPr>
                  </w:pPr>
                </w:p>
              </w:tc>
              <w:tc>
                <w:tcPr>
                  <w:tcW w:w="2018" w:type="dxa"/>
                  <w:vAlign w:val="center"/>
                </w:tcPr>
                <w:p w14:paraId="631EDF2F">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1小时平均</w:t>
                  </w:r>
                </w:p>
              </w:tc>
              <w:tc>
                <w:tcPr>
                  <w:tcW w:w="1172" w:type="dxa"/>
                  <w:vAlign w:val="center"/>
                </w:tcPr>
                <w:p w14:paraId="3265097B">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200</w:t>
                  </w:r>
                </w:p>
              </w:tc>
              <w:tc>
                <w:tcPr>
                  <w:tcW w:w="1064" w:type="dxa"/>
                  <w:vMerge w:val="continue"/>
                </w:tcPr>
                <w:p w14:paraId="692993BD">
                  <w:pPr>
                    <w:widowControl/>
                    <w:rPr>
                      <w:b/>
                      <w:bCs/>
                      <w:color w:val="auto"/>
                      <w:kern w:val="0"/>
                      <w:sz w:val="24"/>
                      <w:lang w:bidi="ar"/>
                    </w:rPr>
                  </w:pPr>
                </w:p>
              </w:tc>
              <w:tc>
                <w:tcPr>
                  <w:tcW w:w="1915" w:type="dxa"/>
                  <w:vMerge w:val="continue"/>
                </w:tcPr>
                <w:p w14:paraId="7B15B49D">
                  <w:pPr>
                    <w:widowControl/>
                    <w:rPr>
                      <w:b/>
                      <w:bCs/>
                      <w:color w:val="auto"/>
                      <w:kern w:val="0"/>
                      <w:sz w:val="24"/>
                      <w:lang w:bidi="ar"/>
                    </w:rPr>
                  </w:pPr>
                </w:p>
              </w:tc>
            </w:tr>
            <w:tr w14:paraId="744A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14:paraId="59BDB00C">
                  <w:pPr>
                    <w:widowControl/>
                    <w:jc w:val="center"/>
                    <w:rPr>
                      <w:b/>
                      <w:bCs/>
                      <w:color w:val="auto"/>
                      <w:kern w:val="0"/>
                      <w:szCs w:val="21"/>
                      <w:lang w:bidi="ar"/>
                    </w:rPr>
                  </w:pPr>
                  <w:r>
                    <w:rPr>
                      <w:color w:val="auto"/>
                      <w:szCs w:val="21"/>
                    </w:rPr>
                    <w:t>颗粒物（PM</w:t>
                  </w:r>
                  <w:r>
                    <w:rPr>
                      <w:color w:val="auto"/>
                      <w:szCs w:val="21"/>
                      <w:vertAlign w:val="subscript"/>
                    </w:rPr>
                    <w:t>10</w:t>
                  </w:r>
                  <w:r>
                    <w:rPr>
                      <w:color w:val="auto"/>
                      <w:szCs w:val="21"/>
                    </w:rPr>
                    <w:t>）</w:t>
                  </w:r>
                </w:p>
              </w:tc>
              <w:tc>
                <w:tcPr>
                  <w:tcW w:w="2018" w:type="dxa"/>
                  <w:vAlign w:val="center"/>
                </w:tcPr>
                <w:p w14:paraId="5D1796B9">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年平均</w:t>
                  </w:r>
                </w:p>
              </w:tc>
              <w:tc>
                <w:tcPr>
                  <w:tcW w:w="1172" w:type="dxa"/>
                  <w:vAlign w:val="center"/>
                </w:tcPr>
                <w:p w14:paraId="6CFE134B">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60</w:t>
                  </w:r>
                </w:p>
              </w:tc>
              <w:tc>
                <w:tcPr>
                  <w:tcW w:w="1064" w:type="dxa"/>
                  <w:vMerge w:val="continue"/>
                </w:tcPr>
                <w:p w14:paraId="6A370726">
                  <w:pPr>
                    <w:widowControl/>
                    <w:rPr>
                      <w:b/>
                      <w:bCs/>
                      <w:color w:val="auto"/>
                      <w:kern w:val="0"/>
                      <w:sz w:val="24"/>
                      <w:lang w:bidi="ar"/>
                    </w:rPr>
                  </w:pPr>
                </w:p>
              </w:tc>
              <w:tc>
                <w:tcPr>
                  <w:tcW w:w="1915" w:type="dxa"/>
                  <w:vMerge w:val="continue"/>
                </w:tcPr>
                <w:p w14:paraId="5C1A3404">
                  <w:pPr>
                    <w:widowControl/>
                    <w:rPr>
                      <w:b/>
                      <w:bCs/>
                      <w:color w:val="auto"/>
                      <w:kern w:val="0"/>
                      <w:sz w:val="24"/>
                      <w:lang w:bidi="ar"/>
                    </w:rPr>
                  </w:pPr>
                </w:p>
              </w:tc>
            </w:tr>
            <w:tr w14:paraId="2B32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62F54A90">
                  <w:pPr>
                    <w:widowControl/>
                    <w:jc w:val="center"/>
                    <w:rPr>
                      <w:b/>
                      <w:bCs/>
                      <w:color w:val="auto"/>
                      <w:kern w:val="0"/>
                      <w:szCs w:val="21"/>
                      <w:lang w:bidi="ar"/>
                    </w:rPr>
                  </w:pPr>
                </w:p>
              </w:tc>
              <w:tc>
                <w:tcPr>
                  <w:tcW w:w="2018" w:type="dxa"/>
                  <w:vAlign w:val="center"/>
                </w:tcPr>
                <w:p w14:paraId="773A6461">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日</w:t>
                  </w:r>
                  <w:r>
                    <w:rPr>
                      <w:rFonts w:ascii="Times New Roman" w:hAnsi="Times New Roman"/>
                      <w:color w:val="auto"/>
                      <w:kern w:val="2"/>
                      <w:sz w:val="21"/>
                      <w:szCs w:val="21"/>
                    </w:rPr>
                    <w:t>平均</w:t>
                  </w:r>
                </w:p>
              </w:tc>
              <w:tc>
                <w:tcPr>
                  <w:tcW w:w="1172" w:type="dxa"/>
                  <w:vAlign w:val="center"/>
                </w:tcPr>
                <w:p w14:paraId="1629D6ED">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120</w:t>
                  </w:r>
                </w:p>
              </w:tc>
              <w:tc>
                <w:tcPr>
                  <w:tcW w:w="1064" w:type="dxa"/>
                  <w:vMerge w:val="continue"/>
                </w:tcPr>
                <w:p w14:paraId="5E26F4F9">
                  <w:pPr>
                    <w:widowControl/>
                    <w:rPr>
                      <w:b/>
                      <w:bCs/>
                      <w:color w:val="auto"/>
                      <w:kern w:val="0"/>
                      <w:sz w:val="24"/>
                      <w:lang w:bidi="ar"/>
                    </w:rPr>
                  </w:pPr>
                </w:p>
              </w:tc>
              <w:tc>
                <w:tcPr>
                  <w:tcW w:w="1915" w:type="dxa"/>
                  <w:vMerge w:val="continue"/>
                </w:tcPr>
                <w:p w14:paraId="1790DB1D">
                  <w:pPr>
                    <w:widowControl/>
                    <w:rPr>
                      <w:b/>
                      <w:bCs/>
                      <w:color w:val="auto"/>
                      <w:kern w:val="0"/>
                      <w:sz w:val="24"/>
                      <w:lang w:bidi="ar"/>
                    </w:rPr>
                  </w:pPr>
                </w:p>
              </w:tc>
            </w:tr>
            <w:tr w14:paraId="6DF3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14:paraId="4E915DD9">
                  <w:pPr>
                    <w:widowControl/>
                    <w:jc w:val="center"/>
                    <w:rPr>
                      <w:b/>
                      <w:bCs/>
                      <w:color w:val="auto"/>
                      <w:kern w:val="0"/>
                      <w:szCs w:val="21"/>
                      <w:lang w:bidi="ar"/>
                    </w:rPr>
                  </w:pPr>
                  <w:r>
                    <w:rPr>
                      <w:color w:val="auto"/>
                      <w:szCs w:val="21"/>
                    </w:rPr>
                    <w:t>颗粒物（Pm</w:t>
                  </w:r>
                  <w:r>
                    <w:rPr>
                      <w:color w:val="auto"/>
                      <w:szCs w:val="21"/>
                      <w:vertAlign w:val="subscript"/>
                    </w:rPr>
                    <w:t>2.5</w:t>
                  </w:r>
                  <w:r>
                    <w:rPr>
                      <w:color w:val="auto"/>
                      <w:szCs w:val="21"/>
                    </w:rPr>
                    <w:t>）</w:t>
                  </w:r>
                </w:p>
              </w:tc>
              <w:tc>
                <w:tcPr>
                  <w:tcW w:w="2018" w:type="dxa"/>
                  <w:vAlign w:val="center"/>
                </w:tcPr>
                <w:p w14:paraId="39CA35C2">
                  <w:pPr>
                    <w:pStyle w:val="40"/>
                    <w:spacing w:before="24" w:after="24"/>
                    <w:ind w:left="0" w:firstLine="0" w:firstLineChars="0"/>
                    <w:rPr>
                      <w:rFonts w:ascii="Times New Roman" w:hAnsi="Times New Roman"/>
                      <w:color w:val="auto"/>
                      <w:kern w:val="2"/>
                      <w:sz w:val="21"/>
                      <w:szCs w:val="21"/>
                    </w:rPr>
                  </w:pPr>
                  <w:r>
                    <w:rPr>
                      <w:rFonts w:ascii="Times New Roman" w:hAnsi="Times New Roman"/>
                      <w:color w:val="auto"/>
                      <w:kern w:val="2"/>
                      <w:sz w:val="21"/>
                      <w:szCs w:val="21"/>
                    </w:rPr>
                    <w:t>年平均</w:t>
                  </w:r>
                </w:p>
              </w:tc>
              <w:tc>
                <w:tcPr>
                  <w:tcW w:w="1172" w:type="dxa"/>
                  <w:vAlign w:val="center"/>
                </w:tcPr>
                <w:p w14:paraId="1D7D2AD8">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30</w:t>
                  </w:r>
                </w:p>
              </w:tc>
              <w:tc>
                <w:tcPr>
                  <w:tcW w:w="1064" w:type="dxa"/>
                  <w:vMerge w:val="continue"/>
                </w:tcPr>
                <w:p w14:paraId="65E1725D">
                  <w:pPr>
                    <w:widowControl/>
                    <w:rPr>
                      <w:b/>
                      <w:bCs/>
                      <w:color w:val="auto"/>
                      <w:kern w:val="0"/>
                      <w:sz w:val="24"/>
                      <w:lang w:bidi="ar"/>
                    </w:rPr>
                  </w:pPr>
                </w:p>
              </w:tc>
              <w:tc>
                <w:tcPr>
                  <w:tcW w:w="1915" w:type="dxa"/>
                  <w:vMerge w:val="continue"/>
                </w:tcPr>
                <w:p w14:paraId="14ED4815">
                  <w:pPr>
                    <w:widowControl/>
                    <w:rPr>
                      <w:b/>
                      <w:bCs/>
                      <w:color w:val="auto"/>
                      <w:kern w:val="0"/>
                      <w:sz w:val="24"/>
                      <w:lang w:bidi="ar"/>
                    </w:rPr>
                  </w:pPr>
                </w:p>
              </w:tc>
            </w:tr>
            <w:tr w14:paraId="4D4F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tcPr>
                <w:p w14:paraId="20A621A7">
                  <w:pPr>
                    <w:widowControl/>
                    <w:rPr>
                      <w:b/>
                      <w:bCs/>
                      <w:color w:val="auto"/>
                      <w:kern w:val="0"/>
                      <w:szCs w:val="21"/>
                      <w:lang w:bidi="ar"/>
                    </w:rPr>
                  </w:pPr>
                </w:p>
              </w:tc>
              <w:tc>
                <w:tcPr>
                  <w:tcW w:w="2018" w:type="dxa"/>
                  <w:vAlign w:val="center"/>
                </w:tcPr>
                <w:p w14:paraId="2065C53C">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日</w:t>
                  </w:r>
                  <w:r>
                    <w:rPr>
                      <w:rFonts w:ascii="Times New Roman" w:hAnsi="Times New Roman"/>
                      <w:color w:val="auto"/>
                      <w:kern w:val="2"/>
                      <w:sz w:val="21"/>
                      <w:szCs w:val="21"/>
                    </w:rPr>
                    <w:t>平均</w:t>
                  </w:r>
                </w:p>
              </w:tc>
              <w:tc>
                <w:tcPr>
                  <w:tcW w:w="1172" w:type="dxa"/>
                  <w:vAlign w:val="center"/>
                </w:tcPr>
                <w:p w14:paraId="7B4C3FCC">
                  <w:pPr>
                    <w:pStyle w:val="40"/>
                    <w:spacing w:before="24" w:after="24"/>
                    <w:ind w:left="0" w:firstLine="0" w:firstLineChars="0"/>
                    <w:rPr>
                      <w:rFonts w:ascii="Times New Roman" w:hAnsi="Times New Roman"/>
                      <w:color w:val="auto"/>
                      <w:kern w:val="2"/>
                      <w:sz w:val="21"/>
                      <w:szCs w:val="21"/>
                    </w:rPr>
                  </w:pPr>
                  <w:r>
                    <w:rPr>
                      <w:rFonts w:hint="eastAsia" w:ascii="Times New Roman" w:hAnsi="Times New Roman"/>
                      <w:color w:val="auto"/>
                      <w:kern w:val="2"/>
                      <w:sz w:val="21"/>
                      <w:szCs w:val="21"/>
                    </w:rPr>
                    <w:t>60</w:t>
                  </w:r>
                </w:p>
              </w:tc>
              <w:tc>
                <w:tcPr>
                  <w:tcW w:w="1064" w:type="dxa"/>
                  <w:vMerge w:val="continue"/>
                </w:tcPr>
                <w:p w14:paraId="37386D5F">
                  <w:pPr>
                    <w:widowControl/>
                    <w:rPr>
                      <w:b/>
                      <w:bCs/>
                      <w:color w:val="auto"/>
                      <w:kern w:val="0"/>
                      <w:sz w:val="24"/>
                      <w:lang w:bidi="ar"/>
                    </w:rPr>
                  </w:pPr>
                </w:p>
              </w:tc>
              <w:tc>
                <w:tcPr>
                  <w:tcW w:w="1915" w:type="dxa"/>
                  <w:vMerge w:val="continue"/>
                </w:tcPr>
                <w:p w14:paraId="0AC89D85">
                  <w:pPr>
                    <w:widowControl/>
                    <w:rPr>
                      <w:b/>
                      <w:bCs/>
                      <w:color w:val="auto"/>
                      <w:kern w:val="0"/>
                      <w:sz w:val="24"/>
                      <w:lang w:bidi="ar"/>
                    </w:rPr>
                  </w:pPr>
                </w:p>
              </w:tc>
            </w:tr>
          </w:tbl>
          <w:p w14:paraId="078B3A90">
            <w:pPr>
              <w:widowControl/>
              <w:spacing w:line="360" w:lineRule="auto"/>
              <w:ind w:firstLine="480" w:firstLineChars="200"/>
              <w:jc w:val="left"/>
              <w:rPr>
                <w:color w:val="auto"/>
                <w:kern w:val="0"/>
                <w:sz w:val="24"/>
                <w:lang w:bidi="ar"/>
              </w:rPr>
            </w:pPr>
            <w:r>
              <w:rPr>
                <w:rFonts w:hint="eastAsia"/>
                <w:color w:val="auto"/>
                <w:kern w:val="0"/>
                <w:sz w:val="24"/>
                <w:lang w:bidi="ar"/>
              </w:rPr>
              <w:t>（2）声环境质量标准</w:t>
            </w:r>
          </w:p>
          <w:p w14:paraId="0352681B">
            <w:pPr>
              <w:widowControl/>
              <w:spacing w:line="360" w:lineRule="auto"/>
              <w:ind w:firstLine="480" w:firstLineChars="200"/>
              <w:jc w:val="left"/>
              <w:rPr>
                <w:color w:val="auto"/>
                <w:kern w:val="0"/>
                <w:sz w:val="24"/>
                <w:lang w:bidi="ar"/>
              </w:rPr>
            </w:pPr>
            <w:r>
              <w:rPr>
                <w:rFonts w:hint="eastAsia"/>
                <w:color w:val="auto"/>
                <w:kern w:val="0"/>
                <w:sz w:val="24"/>
                <w:lang w:bidi="ar"/>
              </w:rPr>
              <w:t>根据《声环境质量标准》（GB3096-2008）中声功能区划分依据，本项目属于3类声功能区，声环境执行《声环境质量标准》（GB3096-2008）中的3类标准。标准值见下表。</w:t>
            </w:r>
          </w:p>
          <w:p w14:paraId="0B70735B">
            <w:pPr>
              <w:widowControl/>
              <w:jc w:val="center"/>
              <w:rPr>
                <w:b/>
                <w:bCs/>
                <w:color w:val="auto"/>
                <w:kern w:val="0"/>
                <w:sz w:val="24"/>
                <w:lang w:bidi="ar"/>
              </w:rPr>
            </w:pPr>
            <w:r>
              <w:rPr>
                <w:rFonts w:hint="eastAsia"/>
                <w:b/>
                <w:bCs/>
                <w:color w:val="auto"/>
                <w:kern w:val="0"/>
                <w:sz w:val="24"/>
                <w:lang w:bidi="ar"/>
              </w:rPr>
              <w:t>表3-4    声环境质量标准表</w:t>
            </w:r>
          </w:p>
          <w:tbl>
            <w:tblPr>
              <w:tblStyle w:val="23"/>
              <w:tblW w:w="7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6"/>
              <w:gridCol w:w="2666"/>
              <w:gridCol w:w="2666"/>
            </w:tblGrid>
            <w:tr w14:paraId="70CE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66" w:type="dxa"/>
                  <w:vAlign w:val="center"/>
                </w:tcPr>
                <w:p w14:paraId="74062F97">
                  <w:pPr>
                    <w:widowControl/>
                    <w:jc w:val="center"/>
                    <w:rPr>
                      <w:b/>
                      <w:bCs/>
                      <w:color w:val="auto"/>
                      <w:kern w:val="0"/>
                      <w:sz w:val="24"/>
                      <w:lang w:bidi="ar"/>
                    </w:rPr>
                  </w:pPr>
                  <w:r>
                    <w:rPr>
                      <w:b/>
                      <w:bCs/>
                      <w:color w:val="auto"/>
                    </w:rPr>
                    <w:t>类别</w:t>
                  </w:r>
                </w:p>
              </w:tc>
              <w:tc>
                <w:tcPr>
                  <w:tcW w:w="2666" w:type="dxa"/>
                  <w:vAlign w:val="center"/>
                </w:tcPr>
                <w:p w14:paraId="2C5CBA45">
                  <w:pPr>
                    <w:widowControl/>
                    <w:jc w:val="center"/>
                    <w:rPr>
                      <w:b/>
                      <w:bCs/>
                      <w:color w:val="auto"/>
                      <w:kern w:val="0"/>
                      <w:sz w:val="24"/>
                      <w:lang w:bidi="ar"/>
                    </w:rPr>
                  </w:pPr>
                  <w:r>
                    <w:rPr>
                      <w:b/>
                      <w:bCs/>
                      <w:color w:val="auto"/>
                    </w:rPr>
                    <w:t>昼间dB</w:t>
                  </w:r>
                  <w:r>
                    <w:rPr>
                      <w:rFonts w:hint="eastAsia"/>
                      <w:b/>
                      <w:bCs/>
                      <w:color w:val="auto"/>
                    </w:rPr>
                    <w:t>（A）</w:t>
                  </w:r>
                </w:p>
              </w:tc>
              <w:tc>
                <w:tcPr>
                  <w:tcW w:w="2666" w:type="dxa"/>
                  <w:vAlign w:val="center"/>
                </w:tcPr>
                <w:p w14:paraId="7C62AE86">
                  <w:pPr>
                    <w:widowControl/>
                    <w:jc w:val="center"/>
                    <w:rPr>
                      <w:b/>
                      <w:bCs/>
                      <w:color w:val="auto"/>
                      <w:kern w:val="0"/>
                      <w:sz w:val="24"/>
                      <w:lang w:bidi="ar"/>
                    </w:rPr>
                  </w:pPr>
                  <w:r>
                    <w:rPr>
                      <w:b/>
                      <w:bCs/>
                      <w:color w:val="auto"/>
                    </w:rPr>
                    <w:t>夜间dB</w:t>
                  </w:r>
                  <w:r>
                    <w:rPr>
                      <w:rFonts w:hint="eastAsia"/>
                      <w:b/>
                      <w:bCs/>
                      <w:color w:val="auto"/>
                    </w:rPr>
                    <w:t>（A）</w:t>
                  </w:r>
                </w:p>
              </w:tc>
            </w:tr>
            <w:tr w14:paraId="75D4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666" w:type="dxa"/>
                  <w:vAlign w:val="center"/>
                </w:tcPr>
                <w:p w14:paraId="318C5AEC">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hint="eastAsia" w:ascii="Times New Roman" w:hAnsi="Times New Roman"/>
                      <w:color w:val="auto"/>
                      <w:sz w:val="21"/>
                      <w:szCs w:val="21"/>
                    </w:rPr>
                    <w:t>3类</w:t>
                  </w:r>
                </w:p>
              </w:tc>
              <w:tc>
                <w:tcPr>
                  <w:tcW w:w="2666" w:type="dxa"/>
                  <w:vAlign w:val="center"/>
                </w:tcPr>
                <w:p w14:paraId="7088D2CB">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hint="eastAsia" w:ascii="Times New Roman" w:hAnsi="Times New Roman"/>
                      <w:color w:val="auto"/>
                      <w:sz w:val="21"/>
                      <w:szCs w:val="21"/>
                    </w:rPr>
                    <w:t>65</w:t>
                  </w:r>
                </w:p>
              </w:tc>
              <w:tc>
                <w:tcPr>
                  <w:tcW w:w="2666" w:type="dxa"/>
                  <w:vAlign w:val="center"/>
                </w:tcPr>
                <w:p w14:paraId="4C0BA564">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hint="eastAsia" w:ascii="Times New Roman" w:hAnsi="Times New Roman"/>
                      <w:color w:val="auto"/>
                      <w:sz w:val="21"/>
                      <w:szCs w:val="21"/>
                    </w:rPr>
                    <w:t>55</w:t>
                  </w:r>
                </w:p>
              </w:tc>
            </w:tr>
          </w:tbl>
          <w:p w14:paraId="7CE42591">
            <w:pPr>
              <w:widowControl/>
              <w:numPr>
                <w:ilvl w:val="0"/>
                <w:numId w:val="11"/>
              </w:numPr>
              <w:spacing w:line="360" w:lineRule="auto"/>
              <w:ind w:firstLine="480" w:firstLineChars="200"/>
              <w:jc w:val="left"/>
              <w:rPr>
                <w:color w:val="auto"/>
                <w:kern w:val="0"/>
                <w:sz w:val="24"/>
              </w:rPr>
            </w:pPr>
            <w:r>
              <w:rPr>
                <w:rFonts w:hint="eastAsia"/>
                <w:color w:val="auto"/>
                <w:kern w:val="0"/>
                <w:sz w:val="24"/>
              </w:rPr>
              <w:t>污染物排放标准</w:t>
            </w:r>
          </w:p>
          <w:p w14:paraId="57823877">
            <w:pPr>
              <w:widowControl/>
              <w:spacing w:line="360" w:lineRule="auto"/>
              <w:ind w:firstLine="480" w:firstLineChars="200"/>
              <w:jc w:val="left"/>
              <w:rPr>
                <w:color w:val="auto"/>
                <w:kern w:val="0"/>
                <w:sz w:val="24"/>
                <w:lang w:bidi="ar"/>
              </w:rPr>
            </w:pPr>
            <w:r>
              <w:rPr>
                <w:rFonts w:hint="eastAsia"/>
                <w:color w:val="auto"/>
                <w:kern w:val="0"/>
                <w:sz w:val="24"/>
                <w:lang w:bidi="ar"/>
              </w:rPr>
              <w:t>（1）废气排放标准</w:t>
            </w:r>
          </w:p>
          <w:p w14:paraId="39BD12C2">
            <w:pPr>
              <w:widowControl/>
              <w:spacing w:line="360" w:lineRule="auto"/>
              <w:ind w:firstLine="480" w:firstLineChars="200"/>
              <w:jc w:val="left"/>
              <w:rPr>
                <w:color w:val="auto"/>
                <w:kern w:val="0"/>
                <w:sz w:val="24"/>
                <w:lang w:bidi="ar"/>
              </w:rPr>
            </w:pPr>
            <w:r>
              <w:rPr>
                <w:rFonts w:hint="eastAsia"/>
                <w:color w:val="auto"/>
                <w:kern w:val="0"/>
                <w:sz w:val="24"/>
                <w:lang w:bidi="ar"/>
              </w:rPr>
              <w:t>1）施工期</w:t>
            </w:r>
          </w:p>
          <w:p w14:paraId="25857B0A">
            <w:pPr>
              <w:widowControl/>
              <w:spacing w:line="360" w:lineRule="auto"/>
              <w:ind w:firstLine="480" w:firstLineChars="200"/>
              <w:jc w:val="left"/>
              <w:rPr>
                <w:color w:val="auto"/>
                <w:kern w:val="0"/>
                <w:sz w:val="24"/>
                <w:lang w:bidi="ar"/>
              </w:rPr>
            </w:pPr>
            <w:r>
              <w:rPr>
                <w:rFonts w:hint="eastAsia"/>
                <w:color w:val="auto"/>
                <w:kern w:val="0"/>
                <w:sz w:val="24"/>
                <w:lang w:bidi="ar"/>
              </w:rPr>
              <w:t>施工期粉尘排放执行《大气污染物综合排放标准》（GB16297-1996）中的二级标准中无组织排放监控浓度限值，TSP最高浓度低于1.0mg/m</w:t>
            </w:r>
            <w:r>
              <w:rPr>
                <w:rFonts w:hint="eastAsia"/>
                <w:color w:val="auto"/>
                <w:kern w:val="0"/>
                <w:sz w:val="24"/>
                <w:vertAlign w:val="superscript"/>
                <w:lang w:bidi="ar"/>
              </w:rPr>
              <w:t>3</w:t>
            </w:r>
            <w:r>
              <w:rPr>
                <w:rFonts w:hint="eastAsia"/>
                <w:color w:val="auto"/>
                <w:kern w:val="0"/>
                <w:sz w:val="24"/>
                <w:lang w:bidi="ar"/>
              </w:rPr>
              <w:t>，具体标准值见下表。</w:t>
            </w:r>
          </w:p>
          <w:p w14:paraId="0CCDEAF4">
            <w:pPr>
              <w:widowControl/>
              <w:jc w:val="center"/>
              <w:rPr>
                <w:b/>
                <w:bCs/>
                <w:color w:val="auto"/>
                <w:kern w:val="0"/>
                <w:sz w:val="24"/>
                <w:lang w:bidi="ar"/>
              </w:rPr>
            </w:pPr>
            <w:r>
              <w:rPr>
                <w:rFonts w:hint="eastAsia"/>
                <w:b/>
                <w:bCs/>
                <w:color w:val="auto"/>
                <w:kern w:val="0"/>
                <w:sz w:val="24"/>
                <w:lang w:bidi="ar"/>
              </w:rPr>
              <w:t>表3-5   大气污染物排放浓度标准</w:t>
            </w:r>
          </w:p>
          <w:tbl>
            <w:tblPr>
              <w:tblStyle w:val="23"/>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1800"/>
              <w:gridCol w:w="4642"/>
            </w:tblGrid>
            <w:tr w14:paraId="6A06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vAlign w:val="center"/>
                </w:tcPr>
                <w:p w14:paraId="52BB4E95">
                  <w:pPr>
                    <w:widowControl/>
                    <w:jc w:val="center"/>
                    <w:rPr>
                      <w:b/>
                      <w:bCs/>
                      <w:color w:val="auto"/>
                    </w:rPr>
                  </w:pPr>
                  <w:r>
                    <w:rPr>
                      <w:b/>
                      <w:bCs/>
                      <w:color w:val="auto"/>
                    </w:rPr>
                    <w:t>污染物名称</w:t>
                  </w:r>
                </w:p>
              </w:tc>
              <w:tc>
                <w:tcPr>
                  <w:tcW w:w="1800" w:type="dxa"/>
                  <w:vAlign w:val="center"/>
                </w:tcPr>
                <w:p w14:paraId="76C28FF4">
                  <w:pPr>
                    <w:widowControl/>
                    <w:jc w:val="center"/>
                    <w:rPr>
                      <w:b/>
                      <w:bCs/>
                      <w:color w:val="auto"/>
                    </w:rPr>
                  </w:pPr>
                  <w:r>
                    <w:rPr>
                      <w:b/>
                      <w:bCs/>
                      <w:color w:val="auto"/>
                    </w:rPr>
                    <w:t>标准值</w:t>
                  </w:r>
                </w:p>
              </w:tc>
              <w:tc>
                <w:tcPr>
                  <w:tcW w:w="4642" w:type="dxa"/>
                  <w:vAlign w:val="center"/>
                </w:tcPr>
                <w:p w14:paraId="21197E13">
                  <w:pPr>
                    <w:widowControl/>
                    <w:jc w:val="center"/>
                    <w:rPr>
                      <w:b/>
                      <w:bCs/>
                      <w:color w:val="auto"/>
                    </w:rPr>
                  </w:pPr>
                  <w:r>
                    <w:rPr>
                      <w:b/>
                      <w:bCs/>
                      <w:color w:val="auto"/>
                    </w:rPr>
                    <w:t>标准</w:t>
                  </w:r>
                </w:p>
              </w:tc>
            </w:tr>
            <w:tr w14:paraId="7A1D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vAlign w:val="center"/>
                </w:tcPr>
                <w:p w14:paraId="14336FA2">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hint="eastAsia" w:ascii="Times New Roman" w:hAnsi="Times New Roman"/>
                      <w:color w:val="auto"/>
                      <w:sz w:val="21"/>
                      <w:szCs w:val="21"/>
                    </w:rPr>
                    <w:t>颗粒物</w:t>
                  </w:r>
                </w:p>
              </w:tc>
              <w:tc>
                <w:tcPr>
                  <w:tcW w:w="1800" w:type="dxa"/>
                  <w:vAlign w:val="center"/>
                </w:tcPr>
                <w:p w14:paraId="144E42FD">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hint="eastAsia" w:ascii="Times New Roman" w:hAnsi="Times New Roman"/>
                      <w:color w:val="auto"/>
                      <w:sz w:val="21"/>
                      <w:szCs w:val="21"/>
                    </w:rPr>
                    <w:t>1.0mg/m</w:t>
                  </w:r>
                  <w:r>
                    <w:rPr>
                      <w:rFonts w:hint="eastAsia" w:ascii="Times New Roman" w:hAnsi="Times New Roman"/>
                      <w:color w:val="auto"/>
                      <w:sz w:val="21"/>
                      <w:szCs w:val="21"/>
                      <w:vertAlign w:val="superscript"/>
                    </w:rPr>
                    <w:t>3</w:t>
                  </w:r>
                </w:p>
              </w:tc>
              <w:tc>
                <w:tcPr>
                  <w:tcW w:w="4642" w:type="dxa"/>
                  <w:vAlign w:val="center"/>
                </w:tcPr>
                <w:p w14:paraId="196CB30A">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hint="eastAsia" w:ascii="Times New Roman" w:hAnsi="Times New Roman"/>
                      <w:color w:val="auto"/>
                      <w:sz w:val="21"/>
                      <w:szCs w:val="21"/>
                    </w:rPr>
                    <w:t>《大气污染物综合排放标准》（GB16297-1996）表2无组织排放监控浓度限值</w:t>
                  </w:r>
                </w:p>
              </w:tc>
            </w:tr>
          </w:tbl>
          <w:p w14:paraId="4D372242">
            <w:pPr>
              <w:widowControl/>
              <w:spacing w:line="360" w:lineRule="auto"/>
              <w:ind w:firstLine="480" w:firstLineChars="200"/>
              <w:jc w:val="left"/>
              <w:rPr>
                <w:color w:val="auto"/>
                <w:kern w:val="0"/>
                <w:sz w:val="24"/>
                <w:lang w:bidi="ar"/>
              </w:rPr>
            </w:pPr>
            <w:r>
              <w:rPr>
                <w:rFonts w:hint="eastAsia"/>
                <w:color w:val="auto"/>
                <w:kern w:val="0"/>
                <w:sz w:val="24"/>
                <w:lang w:bidi="ar"/>
              </w:rPr>
              <w:t>2）运营期</w:t>
            </w:r>
          </w:p>
          <w:p w14:paraId="1CD68867">
            <w:pPr>
              <w:widowControl/>
              <w:spacing w:line="360" w:lineRule="auto"/>
              <w:ind w:firstLine="480" w:firstLineChars="200"/>
              <w:jc w:val="left"/>
              <w:rPr>
                <w:rFonts w:hint="eastAsia"/>
                <w:color w:val="auto"/>
                <w:kern w:val="0"/>
                <w:sz w:val="24"/>
                <w:lang w:bidi="ar"/>
              </w:rPr>
            </w:pPr>
            <w:r>
              <w:rPr>
                <w:rFonts w:hint="eastAsia"/>
                <w:color w:val="auto"/>
                <w:kern w:val="0"/>
                <w:sz w:val="24"/>
                <w:lang w:val="en-US" w:eastAsia="zh-CN" w:bidi="ar"/>
              </w:rPr>
              <w:t>无组织：本项目厂界执行《大气污染物综合排放标准》（GB16297-1996）表2新污染源大气污染物排放限值中无组织排放监控浓度要求，</w:t>
            </w:r>
            <w:r>
              <w:rPr>
                <w:rFonts w:hint="eastAsia"/>
                <w:color w:val="auto"/>
                <w:kern w:val="0"/>
                <w:sz w:val="24"/>
                <w:lang w:bidi="ar"/>
              </w:rPr>
              <w:t>标准限值见下表。</w:t>
            </w:r>
          </w:p>
          <w:p w14:paraId="0B8F9DD9">
            <w:pPr>
              <w:widowControl/>
              <w:jc w:val="center"/>
              <w:rPr>
                <w:b/>
                <w:bCs/>
                <w:color w:val="auto"/>
                <w:kern w:val="0"/>
                <w:sz w:val="24"/>
                <w:lang w:bidi="ar"/>
              </w:rPr>
            </w:pPr>
            <w:r>
              <w:rPr>
                <w:rFonts w:hint="eastAsia"/>
                <w:b/>
                <w:bCs/>
                <w:color w:val="auto"/>
                <w:kern w:val="0"/>
                <w:sz w:val="24"/>
                <w:lang w:bidi="ar"/>
              </w:rPr>
              <w:t>表3-</w:t>
            </w:r>
            <w:r>
              <w:rPr>
                <w:rFonts w:hint="eastAsia"/>
                <w:b/>
                <w:bCs/>
                <w:color w:val="auto"/>
                <w:kern w:val="0"/>
                <w:sz w:val="24"/>
                <w:lang w:val="en-US" w:eastAsia="zh-CN" w:bidi="ar"/>
              </w:rPr>
              <w:t>6</w:t>
            </w:r>
            <w:r>
              <w:rPr>
                <w:rFonts w:hint="eastAsia"/>
                <w:b/>
                <w:bCs/>
                <w:color w:val="auto"/>
                <w:kern w:val="0"/>
                <w:sz w:val="24"/>
                <w:lang w:bidi="ar"/>
              </w:rPr>
              <w:t xml:space="preserve">   《大气污染物综合排放标准》（GB16297-1996）</w:t>
            </w:r>
          </w:p>
          <w:tbl>
            <w:tblPr>
              <w:tblStyle w:val="23"/>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1800"/>
              <w:gridCol w:w="4642"/>
            </w:tblGrid>
            <w:tr w14:paraId="7075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vAlign w:val="center"/>
                </w:tcPr>
                <w:p w14:paraId="668402E0">
                  <w:pPr>
                    <w:widowControl/>
                    <w:jc w:val="center"/>
                    <w:rPr>
                      <w:b w:val="0"/>
                      <w:bCs w:val="0"/>
                      <w:color w:val="auto"/>
                    </w:rPr>
                  </w:pPr>
                  <w:r>
                    <w:rPr>
                      <w:b w:val="0"/>
                      <w:bCs w:val="0"/>
                      <w:color w:val="auto"/>
                    </w:rPr>
                    <w:t>污染物名称</w:t>
                  </w:r>
                </w:p>
              </w:tc>
              <w:tc>
                <w:tcPr>
                  <w:tcW w:w="1800" w:type="dxa"/>
                  <w:vAlign w:val="center"/>
                </w:tcPr>
                <w:p w14:paraId="2ACB5DE0">
                  <w:pPr>
                    <w:widowControl/>
                    <w:jc w:val="center"/>
                    <w:rPr>
                      <w:b w:val="0"/>
                      <w:bCs w:val="0"/>
                      <w:color w:val="auto"/>
                    </w:rPr>
                  </w:pPr>
                  <w:r>
                    <w:rPr>
                      <w:b w:val="0"/>
                      <w:bCs w:val="0"/>
                      <w:color w:val="auto"/>
                    </w:rPr>
                    <w:t>标准值</w:t>
                  </w:r>
                </w:p>
              </w:tc>
              <w:tc>
                <w:tcPr>
                  <w:tcW w:w="4642" w:type="dxa"/>
                  <w:vAlign w:val="center"/>
                </w:tcPr>
                <w:p w14:paraId="4ED4D4A1">
                  <w:pPr>
                    <w:widowControl/>
                    <w:jc w:val="center"/>
                    <w:rPr>
                      <w:b w:val="0"/>
                      <w:bCs w:val="0"/>
                      <w:color w:val="auto"/>
                    </w:rPr>
                  </w:pPr>
                  <w:r>
                    <w:rPr>
                      <w:b w:val="0"/>
                      <w:bCs w:val="0"/>
                      <w:color w:val="auto"/>
                    </w:rPr>
                    <w:t>标准</w:t>
                  </w:r>
                </w:p>
              </w:tc>
            </w:tr>
            <w:tr w14:paraId="0720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vAlign w:val="center"/>
                </w:tcPr>
                <w:p w14:paraId="7B4CB2EB">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hint="eastAsia" w:ascii="Times New Roman" w:hAnsi="Times New Roman"/>
                      <w:color w:val="auto"/>
                      <w:sz w:val="21"/>
                      <w:szCs w:val="21"/>
                    </w:rPr>
                    <w:t>颗粒物</w:t>
                  </w:r>
                </w:p>
              </w:tc>
              <w:tc>
                <w:tcPr>
                  <w:tcW w:w="1800" w:type="dxa"/>
                  <w:vAlign w:val="center"/>
                </w:tcPr>
                <w:p w14:paraId="1BB21A7B">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hint="eastAsia" w:ascii="Times New Roman" w:hAnsi="Times New Roman"/>
                      <w:color w:val="auto"/>
                      <w:sz w:val="21"/>
                      <w:szCs w:val="21"/>
                    </w:rPr>
                    <w:t>1.0mg/m</w:t>
                  </w:r>
                  <w:r>
                    <w:rPr>
                      <w:rFonts w:hint="eastAsia" w:ascii="Times New Roman" w:hAnsi="Times New Roman"/>
                      <w:color w:val="auto"/>
                      <w:sz w:val="21"/>
                      <w:szCs w:val="21"/>
                      <w:vertAlign w:val="superscript"/>
                    </w:rPr>
                    <w:t>3</w:t>
                  </w:r>
                </w:p>
              </w:tc>
              <w:tc>
                <w:tcPr>
                  <w:tcW w:w="4642" w:type="dxa"/>
                  <w:vAlign w:val="center"/>
                </w:tcPr>
                <w:p w14:paraId="044204CD">
                  <w:pPr>
                    <w:pStyle w:val="40"/>
                    <w:keepLines w:val="0"/>
                    <w:widowControl/>
                    <w:pBdr>
                      <w:top w:val="none" w:color="auto" w:sz="0" w:space="1"/>
                      <w:left w:val="none" w:color="auto" w:sz="0" w:space="4"/>
                      <w:bottom w:val="none" w:color="auto" w:sz="0" w:space="1"/>
                      <w:right w:val="none" w:color="auto" w:sz="0" w:space="4"/>
                    </w:pBdr>
                    <w:adjustRightInd/>
                    <w:snapToGrid/>
                    <w:spacing w:beforeLines="0" w:afterLines="0" w:line="240" w:lineRule="auto"/>
                    <w:ind w:left="0" w:firstLine="0" w:firstLineChars="0"/>
                    <w:rPr>
                      <w:rFonts w:ascii="Times New Roman" w:hAnsi="Times New Roman"/>
                      <w:color w:val="auto"/>
                      <w:sz w:val="21"/>
                      <w:szCs w:val="21"/>
                    </w:rPr>
                  </w:pPr>
                  <w:r>
                    <w:rPr>
                      <w:rFonts w:hint="eastAsia" w:ascii="Times New Roman" w:hAnsi="Times New Roman"/>
                      <w:color w:val="auto"/>
                      <w:sz w:val="21"/>
                      <w:szCs w:val="21"/>
                    </w:rPr>
                    <w:t>《大气污染物综合排放标准》（GB16297-1996）表2</w:t>
                  </w:r>
                  <w:r>
                    <w:rPr>
                      <w:rFonts w:hint="eastAsia" w:ascii="Times New Roman" w:hAnsi="Times New Roman" w:eastAsia="宋体" w:cs="Times New Roman"/>
                      <w:color w:val="auto"/>
                      <w:sz w:val="21"/>
                      <w:szCs w:val="21"/>
                      <w:lang w:val="en-US" w:eastAsia="zh-CN"/>
                    </w:rPr>
                    <w:t>新污染源大气污染物排放限值</w:t>
                  </w:r>
                </w:p>
              </w:tc>
            </w:tr>
          </w:tbl>
          <w:p w14:paraId="572A2381">
            <w:pPr>
              <w:widowControl/>
              <w:spacing w:line="360" w:lineRule="auto"/>
              <w:ind w:firstLine="480" w:firstLineChars="200"/>
              <w:jc w:val="left"/>
              <w:rPr>
                <w:color w:val="auto"/>
                <w:kern w:val="0"/>
                <w:sz w:val="24"/>
                <w:lang w:bidi="ar"/>
              </w:rPr>
            </w:pPr>
            <w:r>
              <w:rPr>
                <w:rFonts w:hint="eastAsia"/>
                <w:color w:val="auto"/>
                <w:kern w:val="0"/>
                <w:sz w:val="24"/>
                <w:lang w:val="en-US" w:eastAsia="zh-CN" w:bidi="ar"/>
              </w:rPr>
              <w:t>有组织：</w:t>
            </w:r>
            <w:r>
              <w:rPr>
                <w:rFonts w:hint="eastAsia"/>
                <w:color w:val="auto"/>
                <w:kern w:val="0"/>
                <w:sz w:val="24"/>
                <w:lang w:bidi="ar"/>
              </w:rPr>
              <w:t>本项目上料粉尘排气筒（DA001）</w:t>
            </w:r>
            <w:r>
              <w:rPr>
                <w:rFonts w:hint="eastAsia"/>
                <w:color w:val="auto"/>
                <w:kern w:val="0"/>
                <w:sz w:val="24"/>
                <w:lang w:eastAsia="zh-CN" w:bidi="ar"/>
              </w:rPr>
              <w:t>、</w:t>
            </w:r>
            <w:r>
              <w:rPr>
                <w:rFonts w:hint="eastAsia"/>
                <w:color w:val="auto"/>
                <w:kern w:val="0"/>
                <w:sz w:val="24"/>
                <w:lang w:bidi="ar"/>
              </w:rPr>
              <w:t>烘干废气、筛分粉尘共用排气筒（DA002）粉尘均执行</w:t>
            </w:r>
            <w:r>
              <w:rPr>
                <w:rFonts w:hint="eastAsia"/>
                <w:color w:val="auto"/>
                <w:kern w:val="0"/>
                <w:sz w:val="24"/>
                <w:lang w:val="en-US" w:eastAsia="zh-CN" w:bidi="ar"/>
              </w:rPr>
              <w:t>《大气污染物综合排放标准》（GB16297-1996）表2新污染源大气污染物排放限值中</w:t>
            </w:r>
            <w:r>
              <w:rPr>
                <w:rFonts w:hint="eastAsia"/>
                <w:color w:val="auto"/>
                <w:kern w:val="0"/>
                <w:sz w:val="24"/>
                <w:lang w:bidi="ar"/>
              </w:rPr>
              <w:t>二级标准要求，标准限值见下表。</w:t>
            </w:r>
          </w:p>
          <w:p w14:paraId="06A0EA6D">
            <w:pPr>
              <w:widowControl/>
              <w:jc w:val="center"/>
              <w:rPr>
                <w:b/>
                <w:bCs/>
                <w:color w:val="auto"/>
                <w:sz w:val="24"/>
              </w:rPr>
            </w:pPr>
            <w:r>
              <w:rPr>
                <w:rFonts w:hint="eastAsia"/>
                <w:b/>
                <w:bCs/>
                <w:color w:val="auto"/>
                <w:kern w:val="0"/>
                <w:sz w:val="24"/>
                <w:lang w:bidi="ar"/>
              </w:rPr>
              <w:t>表3-</w:t>
            </w:r>
            <w:r>
              <w:rPr>
                <w:rFonts w:hint="eastAsia"/>
                <w:b/>
                <w:bCs/>
                <w:color w:val="auto"/>
                <w:kern w:val="0"/>
                <w:sz w:val="24"/>
                <w:lang w:val="en-US" w:eastAsia="zh-CN" w:bidi="ar"/>
              </w:rPr>
              <w:t>7  《大气污染物综合排放标准》（GB16297-1996）</w:t>
            </w:r>
          </w:p>
          <w:tbl>
            <w:tblPr>
              <w:tblStyle w:val="23"/>
              <w:tblW w:w="7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2386"/>
              <w:gridCol w:w="2238"/>
              <w:gridCol w:w="1990"/>
            </w:tblGrid>
            <w:tr w14:paraId="0871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346" w:type="dxa"/>
                  <w:vMerge w:val="restart"/>
                  <w:vAlign w:val="center"/>
                </w:tcPr>
                <w:p w14:paraId="01C4A001">
                  <w:pPr>
                    <w:pStyle w:val="58"/>
                    <w:ind w:left="0" w:leftChars="0" w:firstLine="0" w:firstLineChars="0"/>
                    <w:jc w:val="center"/>
                    <w:rPr>
                      <w:rFonts w:hint="default" w:eastAsia="宋体"/>
                      <w:color w:val="auto"/>
                      <w:vertAlign w:val="baseline"/>
                      <w:lang w:val="en-US" w:eastAsia="zh-CN"/>
                    </w:rPr>
                  </w:pPr>
                  <w:r>
                    <w:rPr>
                      <w:rFonts w:hint="eastAsia"/>
                      <w:color w:val="auto"/>
                      <w:vertAlign w:val="baseline"/>
                      <w:lang w:val="en-US" w:eastAsia="zh-CN"/>
                    </w:rPr>
                    <w:t>污染物名称</w:t>
                  </w:r>
                </w:p>
              </w:tc>
              <w:tc>
                <w:tcPr>
                  <w:tcW w:w="6614" w:type="dxa"/>
                  <w:gridSpan w:val="3"/>
                  <w:vAlign w:val="center"/>
                </w:tcPr>
                <w:p w14:paraId="1B17A7D8">
                  <w:pPr>
                    <w:pStyle w:val="58"/>
                    <w:jc w:val="center"/>
                    <w:rPr>
                      <w:color w:val="auto"/>
                      <w:vertAlign w:val="baseline"/>
                    </w:rPr>
                  </w:pPr>
                  <w:r>
                    <w:rPr>
                      <w:rFonts w:hint="eastAsia"/>
                      <w:color w:val="auto"/>
                      <w:vertAlign w:val="baseline"/>
                      <w:lang w:val="en-US" w:eastAsia="zh-CN"/>
                    </w:rPr>
                    <w:t>有组织排放</w:t>
                  </w:r>
                </w:p>
              </w:tc>
            </w:tr>
            <w:tr w14:paraId="6BE7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346" w:type="dxa"/>
                  <w:vMerge w:val="continue"/>
                  <w:vAlign w:val="center"/>
                </w:tcPr>
                <w:p w14:paraId="10F5BC18">
                  <w:pPr>
                    <w:pStyle w:val="58"/>
                    <w:jc w:val="center"/>
                    <w:rPr>
                      <w:color w:val="auto"/>
                      <w:vertAlign w:val="baseline"/>
                    </w:rPr>
                  </w:pPr>
                </w:p>
              </w:tc>
              <w:tc>
                <w:tcPr>
                  <w:tcW w:w="2386" w:type="dxa"/>
                  <w:vAlign w:val="center"/>
                </w:tcPr>
                <w:p w14:paraId="135B4948">
                  <w:pPr>
                    <w:keepNext w:val="0"/>
                    <w:keepLines w:val="0"/>
                    <w:widowControl/>
                    <w:suppressLineNumbers w:val="0"/>
                    <w:jc w:val="center"/>
                    <w:rPr>
                      <w:rFonts w:hint="eastAsia" w:ascii="Times New Roman" w:hAnsi="Times New Roman" w:eastAsia="宋体" w:cs="Times New Roman"/>
                      <w:color w:val="auto"/>
                      <w:kern w:val="0"/>
                      <w:sz w:val="20"/>
                      <w:szCs w:val="20"/>
                      <w:lang w:val="en-US" w:eastAsia="zh-CN" w:bidi="ar"/>
                    </w:rPr>
                  </w:pPr>
                  <w:r>
                    <w:rPr>
                      <w:rFonts w:hint="eastAsia" w:ascii="Times New Roman" w:hAnsi="Times New Roman" w:eastAsia="宋体" w:cs="Times New Roman"/>
                      <w:color w:val="auto"/>
                      <w:kern w:val="0"/>
                      <w:sz w:val="20"/>
                      <w:szCs w:val="20"/>
                      <w:lang w:val="en-US" w:eastAsia="zh-CN" w:bidi="ar"/>
                    </w:rPr>
                    <w:t>最高允许排放浓度</w:t>
                  </w:r>
                </w:p>
                <w:p w14:paraId="71A97E4D">
                  <w:pPr>
                    <w:keepNext w:val="0"/>
                    <w:keepLines w:val="0"/>
                    <w:widowControl/>
                    <w:suppressLineNumbers w:val="0"/>
                    <w:jc w:val="center"/>
                    <w:rPr>
                      <w:rFonts w:hint="default" w:ascii="Times New Roman" w:hAnsi="Times New Roman" w:eastAsia="宋体" w:cs="Times New Roman"/>
                      <w:color w:val="auto"/>
                      <w:kern w:val="0"/>
                      <w:sz w:val="20"/>
                      <w:szCs w:val="20"/>
                      <w:lang w:val="en-US" w:eastAsia="zh-CN" w:bidi="ar"/>
                    </w:rPr>
                  </w:pPr>
                  <w:r>
                    <w:rPr>
                      <w:b w:val="0"/>
                      <w:bCs w:val="0"/>
                      <w:color w:val="auto"/>
                      <w:sz w:val="21"/>
                      <w:szCs w:val="21"/>
                    </w:rPr>
                    <w:t>（mg/</w:t>
                  </w:r>
                  <w:r>
                    <w:rPr>
                      <w:rFonts w:hint="eastAsia"/>
                      <w:b w:val="0"/>
                      <w:bCs w:val="0"/>
                      <w:color w:val="auto"/>
                      <w:sz w:val="21"/>
                      <w:szCs w:val="21"/>
                    </w:rPr>
                    <w:t>m</w:t>
                  </w:r>
                  <w:r>
                    <w:rPr>
                      <w:rFonts w:hint="eastAsia"/>
                      <w:b w:val="0"/>
                      <w:bCs w:val="0"/>
                      <w:color w:val="auto"/>
                      <w:sz w:val="21"/>
                      <w:szCs w:val="21"/>
                      <w:vertAlign w:val="superscript"/>
                    </w:rPr>
                    <w:t>3</w:t>
                  </w:r>
                  <w:r>
                    <w:rPr>
                      <w:b w:val="0"/>
                      <w:bCs w:val="0"/>
                      <w:color w:val="auto"/>
                      <w:sz w:val="21"/>
                      <w:szCs w:val="21"/>
                    </w:rPr>
                    <w:t>）</w:t>
                  </w:r>
                </w:p>
              </w:tc>
              <w:tc>
                <w:tcPr>
                  <w:tcW w:w="2238" w:type="dxa"/>
                  <w:vAlign w:val="center"/>
                </w:tcPr>
                <w:p w14:paraId="3E88823C">
                  <w:pPr>
                    <w:keepNext w:val="0"/>
                    <w:keepLines w:val="0"/>
                    <w:widowControl/>
                    <w:suppressLineNumbers w:val="0"/>
                    <w:jc w:val="center"/>
                    <w:rPr>
                      <w:rFonts w:hint="eastAsia" w:ascii="Times New Roman" w:hAnsi="Times New Roman" w:eastAsia="宋体" w:cs="Times New Roman"/>
                      <w:color w:val="auto"/>
                      <w:kern w:val="0"/>
                      <w:sz w:val="20"/>
                      <w:szCs w:val="20"/>
                      <w:lang w:val="en-US" w:eastAsia="zh-CN" w:bidi="ar"/>
                    </w:rPr>
                  </w:pPr>
                  <w:r>
                    <w:rPr>
                      <w:rFonts w:hint="eastAsia" w:ascii="Times New Roman" w:hAnsi="Times New Roman" w:eastAsia="宋体" w:cs="Times New Roman"/>
                      <w:color w:val="auto"/>
                      <w:kern w:val="0"/>
                      <w:sz w:val="20"/>
                      <w:szCs w:val="20"/>
                      <w:lang w:val="en-US" w:eastAsia="zh-CN" w:bidi="ar"/>
                    </w:rPr>
                    <w:t>排气筒高度</w:t>
                  </w:r>
                </w:p>
                <w:p w14:paraId="2E962C7B">
                  <w:pPr>
                    <w:keepNext w:val="0"/>
                    <w:keepLines w:val="0"/>
                    <w:widowControl/>
                    <w:suppressLineNumbers w:val="0"/>
                    <w:jc w:val="center"/>
                    <w:rPr>
                      <w:rFonts w:hint="default" w:ascii="Times New Roman" w:hAnsi="Times New Roman" w:eastAsia="宋体" w:cs="Times New Roman"/>
                      <w:color w:val="auto"/>
                      <w:kern w:val="0"/>
                      <w:sz w:val="20"/>
                      <w:szCs w:val="20"/>
                      <w:lang w:val="en-US" w:eastAsia="zh-CN" w:bidi="ar"/>
                    </w:rPr>
                  </w:pPr>
                  <w:r>
                    <w:rPr>
                      <w:rFonts w:hint="eastAsia" w:ascii="Times New Roman" w:hAnsi="Times New Roman" w:eastAsia="宋体" w:cs="Times New Roman"/>
                      <w:color w:val="auto"/>
                      <w:kern w:val="0"/>
                      <w:sz w:val="20"/>
                      <w:szCs w:val="20"/>
                      <w:lang w:val="en-US" w:eastAsia="zh-CN" w:bidi="ar"/>
                    </w:rPr>
                    <w:t>（m）</w:t>
                  </w:r>
                </w:p>
              </w:tc>
              <w:tc>
                <w:tcPr>
                  <w:tcW w:w="1990" w:type="dxa"/>
                  <w:vAlign w:val="center"/>
                </w:tcPr>
                <w:p w14:paraId="13D2BD43">
                  <w:pPr>
                    <w:keepNext w:val="0"/>
                    <w:keepLines w:val="0"/>
                    <w:widowControl/>
                    <w:suppressLineNumbers w:val="0"/>
                    <w:jc w:val="center"/>
                    <w:rPr>
                      <w:color w:val="auto"/>
                      <w:vertAlign w:val="baseline"/>
                    </w:rPr>
                  </w:pPr>
                  <w:r>
                    <w:rPr>
                      <w:rFonts w:hint="eastAsia" w:ascii="宋体" w:hAnsi="宋体" w:eastAsia="宋体" w:cs="宋体"/>
                      <w:color w:val="auto"/>
                      <w:kern w:val="0"/>
                      <w:sz w:val="20"/>
                      <w:szCs w:val="20"/>
                      <w:lang w:val="en-US" w:eastAsia="zh-CN" w:bidi="ar"/>
                    </w:rPr>
                    <w:t>最高允许排放速率 （</w:t>
                  </w:r>
                  <w:r>
                    <w:rPr>
                      <w:rFonts w:hint="default" w:ascii="Times New Roman" w:hAnsi="Times New Roman" w:eastAsia="宋体" w:cs="Times New Roman"/>
                      <w:color w:val="auto"/>
                      <w:kern w:val="0"/>
                      <w:sz w:val="20"/>
                      <w:szCs w:val="20"/>
                      <w:lang w:val="en-US" w:eastAsia="zh-CN" w:bidi="ar"/>
                    </w:rPr>
                    <w:t>kg/h</w:t>
                  </w:r>
                  <w:r>
                    <w:rPr>
                      <w:rFonts w:hint="eastAsia" w:ascii="宋体" w:hAnsi="宋体" w:eastAsia="宋体" w:cs="宋体"/>
                      <w:color w:val="auto"/>
                      <w:kern w:val="0"/>
                      <w:sz w:val="20"/>
                      <w:szCs w:val="20"/>
                      <w:lang w:val="en-US" w:eastAsia="zh-CN" w:bidi="ar"/>
                    </w:rPr>
                    <w:t>）</w:t>
                  </w:r>
                </w:p>
              </w:tc>
            </w:tr>
            <w:tr w14:paraId="452E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346" w:type="dxa"/>
                  <w:vAlign w:val="center"/>
                </w:tcPr>
                <w:p w14:paraId="5D1322A7">
                  <w:pPr>
                    <w:pStyle w:val="58"/>
                    <w:ind w:left="0" w:leftChars="0" w:firstLine="210" w:firstLineChars="100"/>
                    <w:jc w:val="both"/>
                    <w:rPr>
                      <w:color w:val="auto"/>
                      <w:vertAlign w:val="baseline"/>
                    </w:rPr>
                  </w:pPr>
                  <w:r>
                    <w:rPr>
                      <w:rFonts w:hint="eastAsia" w:ascii="Times New Roman" w:hAnsi="Times New Roman"/>
                      <w:color w:val="auto"/>
                      <w:sz w:val="21"/>
                      <w:szCs w:val="21"/>
                    </w:rPr>
                    <w:t>颗粒物</w:t>
                  </w:r>
                </w:p>
              </w:tc>
              <w:tc>
                <w:tcPr>
                  <w:tcW w:w="2386" w:type="dxa"/>
                  <w:vAlign w:val="center"/>
                </w:tcPr>
                <w:p w14:paraId="6CECC22C">
                  <w:pPr>
                    <w:pStyle w:val="58"/>
                    <w:ind w:left="0" w:leftChars="0" w:firstLine="1260" w:firstLineChars="600"/>
                    <w:jc w:val="both"/>
                    <w:rPr>
                      <w:rFonts w:hint="default" w:eastAsia="宋体"/>
                      <w:color w:val="auto"/>
                      <w:vertAlign w:val="baseline"/>
                      <w:lang w:val="en-US" w:eastAsia="zh-CN"/>
                    </w:rPr>
                  </w:pPr>
                  <w:r>
                    <w:rPr>
                      <w:rFonts w:hint="eastAsia"/>
                      <w:color w:val="auto"/>
                      <w:vertAlign w:val="baseline"/>
                      <w:lang w:val="en-US" w:eastAsia="zh-CN"/>
                    </w:rPr>
                    <w:t>120</w:t>
                  </w:r>
                </w:p>
              </w:tc>
              <w:tc>
                <w:tcPr>
                  <w:tcW w:w="2238" w:type="dxa"/>
                  <w:vAlign w:val="center"/>
                </w:tcPr>
                <w:p w14:paraId="4B91B4A8">
                  <w:pPr>
                    <w:pStyle w:val="58"/>
                    <w:ind w:left="0" w:leftChars="0" w:firstLine="0" w:firstLineChars="0"/>
                    <w:jc w:val="center"/>
                    <w:rPr>
                      <w:rFonts w:hint="default" w:eastAsia="宋体"/>
                      <w:color w:val="auto"/>
                      <w:vertAlign w:val="baseline"/>
                      <w:lang w:val="en-US" w:eastAsia="zh-CN"/>
                    </w:rPr>
                  </w:pPr>
                  <w:r>
                    <w:rPr>
                      <w:rFonts w:hint="eastAsia"/>
                      <w:color w:val="auto"/>
                      <w:vertAlign w:val="baseline"/>
                      <w:lang w:val="en-US" w:eastAsia="zh-CN"/>
                    </w:rPr>
                    <w:t>20</w:t>
                  </w:r>
                </w:p>
              </w:tc>
              <w:tc>
                <w:tcPr>
                  <w:tcW w:w="1990" w:type="dxa"/>
                  <w:vAlign w:val="center"/>
                </w:tcPr>
                <w:p w14:paraId="2CEF2882">
                  <w:pPr>
                    <w:pStyle w:val="58"/>
                    <w:ind w:left="0" w:leftChars="0" w:firstLine="0" w:firstLineChars="0"/>
                    <w:jc w:val="center"/>
                    <w:rPr>
                      <w:rFonts w:hint="default" w:eastAsia="宋体"/>
                      <w:color w:val="auto"/>
                      <w:vertAlign w:val="baseline"/>
                      <w:lang w:val="en-US" w:eastAsia="zh-CN"/>
                    </w:rPr>
                  </w:pPr>
                  <w:r>
                    <w:rPr>
                      <w:rFonts w:hint="eastAsia"/>
                      <w:color w:val="auto"/>
                      <w:vertAlign w:val="baseline"/>
                      <w:lang w:val="en-US" w:eastAsia="zh-CN"/>
                    </w:rPr>
                    <w:t>5.9</w:t>
                  </w:r>
                </w:p>
              </w:tc>
            </w:tr>
          </w:tbl>
          <w:p w14:paraId="1AB0EBB8">
            <w:pPr>
              <w:pStyle w:val="58"/>
              <w:ind w:left="0" w:leftChars="0" w:firstLine="0" w:firstLineChars="0"/>
              <w:rPr>
                <w:color w:val="auto"/>
              </w:rPr>
            </w:pPr>
          </w:p>
          <w:p w14:paraId="7FE4AF84">
            <w:pPr>
              <w:widowControl/>
              <w:spacing w:line="360" w:lineRule="auto"/>
              <w:ind w:firstLine="480" w:firstLineChars="200"/>
              <w:jc w:val="left"/>
              <w:rPr>
                <w:b/>
                <w:bCs/>
                <w:color w:val="auto"/>
                <w:kern w:val="0"/>
                <w:sz w:val="24"/>
                <w:lang w:bidi="ar"/>
              </w:rPr>
            </w:pPr>
            <w:r>
              <w:rPr>
                <w:rFonts w:hint="eastAsia"/>
                <w:color w:val="auto"/>
                <w:kern w:val="0"/>
                <w:sz w:val="24"/>
                <w:lang w:bidi="ar"/>
              </w:rPr>
              <w:t>（2）噪声排放标准</w:t>
            </w:r>
          </w:p>
          <w:p w14:paraId="032E450F">
            <w:pPr>
              <w:spacing w:line="360" w:lineRule="auto"/>
              <w:ind w:firstLine="480" w:firstLineChars="200"/>
              <w:rPr>
                <w:color w:val="auto"/>
                <w:kern w:val="0"/>
                <w:sz w:val="24"/>
                <w:lang w:bidi="ar"/>
              </w:rPr>
            </w:pPr>
            <w:r>
              <w:rPr>
                <w:rFonts w:hint="eastAsia"/>
                <w:color w:val="auto"/>
                <w:kern w:val="0"/>
                <w:sz w:val="24"/>
                <w:lang w:bidi="ar"/>
              </w:rPr>
              <w:t>建筑施工噪声执行《建筑施工环境噪声排放标准》（GB12523-2025）中有关规定；运行期噪声排放执行《工业企业厂界环境噪声排放标准》（GB12348-2008）中3类区标准。</w:t>
            </w:r>
          </w:p>
          <w:p w14:paraId="211BF0E5">
            <w:pPr>
              <w:pStyle w:val="56"/>
              <w:rPr>
                <w:bCs/>
                <w:color w:val="auto"/>
                <w:kern w:val="0"/>
                <w:sz w:val="24"/>
                <w:lang w:bidi="ar"/>
              </w:rPr>
            </w:pPr>
            <w:r>
              <w:rPr>
                <w:rFonts w:hint="eastAsia"/>
                <w:bCs/>
                <w:color w:val="auto"/>
                <w:kern w:val="0"/>
                <w:sz w:val="24"/>
                <w:lang w:bidi="ar"/>
              </w:rPr>
              <w:t>表3-</w:t>
            </w:r>
            <w:r>
              <w:rPr>
                <w:rFonts w:hint="eastAsia"/>
                <w:bCs/>
                <w:color w:val="auto"/>
                <w:kern w:val="0"/>
                <w:sz w:val="24"/>
                <w:lang w:val="en-US" w:eastAsia="zh-CN" w:bidi="ar"/>
              </w:rPr>
              <w:t>8</w:t>
            </w:r>
            <w:r>
              <w:rPr>
                <w:rFonts w:hint="eastAsia"/>
                <w:bCs/>
                <w:color w:val="auto"/>
                <w:kern w:val="0"/>
                <w:sz w:val="24"/>
                <w:lang w:bidi="ar"/>
              </w:rPr>
              <w:t xml:space="preserve">   建筑施工环境噪声排放标准   单位：dB（A）</w:t>
            </w:r>
          </w:p>
          <w:tbl>
            <w:tblPr>
              <w:tblStyle w:val="23"/>
              <w:tblW w:w="7139" w:type="dxa"/>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0"/>
              <w:gridCol w:w="3439"/>
            </w:tblGrid>
            <w:tr w14:paraId="74DC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700" w:type="dxa"/>
                  <w:vAlign w:val="center"/>
                </w:tcPr>
                <w:p w14:paraId="47F54D9F">
                  <w:pPr>
                    <w:widowControl/>
                    <w:jc w:val="center"/>
                    <w:rPr>
                      <w:b/>
                      <w:bCs/>
                      <w:color w:val="auto"/>
                    </w:rPr>
                  </w:pPr>
                  <w:r>
                    <w:rPr>
                      <w:b/>
                      <w:bCs/>
                      <w:color w:val="auto"/>
                    </w:rPr>
                    <w:t>昼间</w:t>
                  </w:r>
                </w:p>
              </w:tc>
              <w:tc>
                <w:tcPr>
                  <w:tcW w:w="3439" w:type="dxa"/>
                  <w:vAlign w:val="center"/>
                </w:tcPr>
                <w:p w14:paraId="28AFA1BB">
                  <w:pPr>
                    <w:widowControl/>
                    <w:jc w:val="center"/>
                    <w:rPr>
                      <w:b/>
                      <w:bCs/>
                      <w:color w:val="auto"/>
                    </w:rPr>
                  </w:pPr>
                  <w:r>
                    <w:rPr>
                      <w:b/>
                      <w:bCs/>
                      <w:color w:val="auto"/>
                    </w:rPr>
                    <w:t>夜间</w:t>
                  </w:r>
                </w:p>
              </w:tc>
            </w:tr>
            <w:tr w14:paraId="652C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3700" w:type="dxa"/>
                  <w:vAlign w:val="center"/>
                </w:tcPr>
                <w:p w14:paraId="44C32AE5">
                  <w:pPr>
                    <w:widowControl/>
                    <w:jc w:val="center"/>
                    <w:rPr>
                      <w:color w:val="auto"/>
                    </w:rPr>
                  </w:pPr>
                  <w:r>
                    <w:rPr>
                      <w:color w:val="auto"/>
                    </w:rPr>
                    <w:t>70</w:t>
                  </w:r>
                </w:p>
              </w:tc>
              <w:tc>
                <w:tcPr>
                  <w:tcW w:w="3439" w:type="dxa"/>
                  <w:vAlign w:val="center"/>
                </w:tcPr>
                <w:p w14:paraId="0E516F6E">
                  <w:pPr>
                    <w:widowControl/>
                    <w:jc w:val="center"/>
                    <w:rPr>
                      <w:color w:val="auto"/>
                    </w:rPr>
                  </w:pPr>
                  <w:r>
                    <w:rPr>
                      <w:color w:val="auto"/>
                    </w:rPr>
                    <w:t>55</w:t>
                  </w:r>
                </w:p>
              </w:tc>
            </w:tr>
          </w:tbl>
          <w:p w14:paraId="7B074CA7">
            <w:pPr>
              <w:rPr>
                <w:color w:val="auto"/>
              </w:rPr>
            </w:pPr>
          </w:p>
          <w:p w14:paraId="6214A33E">
            <w:pPr>
              <w:widowControl/>
              <w:jc w:val="center"/>
              <w:rPr>
                <w:b/>
                <w:bCs/>
                <w:color w:val="auto"/>
                <w:kern w:val="0"/>
                <w:sz w:val="24"/>
                <w:lang w:bidi="ar"/>
              </w:rPr>
            </w:pPr>
            <w:r>
              <w:rPr>
                <w:rFonts w:hint="eastAsia"/>
                <w:b/>
                <w:bCs/>
                <w:color w:val="auto"/>
                <w:kern w:val="0"/>
                <w:sz w:val="24"/>
                <w:lang w:bidi="ar"/>
              </w:rPr>
              <w:t>表3-</w:t>
            </w:r>
            <w:r>
              <w:rPr>
                <w:rFonts w:hint="eastAsia"/>
                <w:b/>
                <w:bCs/>
                <w:color w:val="auto"/>
                <w:kern w:val="0"/>
                <w:sz w:val="24"/>
                <w:lang w:val="en-US" w:eastAsia="zh-CN" w:bidi="ar"/>
              </w:rPr>
              <w:t>9</w:t>
            </w:r>
            <w:r>
              <w:rPr>
                <w:rFonts w:hint="eastAsia"/>
                <w:b/>
                <w:bCs/>
                <w:color w:val="auto"/>
                <w:kern w:val="0"/>
                <w:sz w:val="24"/>
                <w:lang w:bidi="ar"/>
              </w:rPr>
              <w:t xml:space="preserve">   工业企业厂界环境噪声排放限值    单位：dB（A）</w:t>
            </w:r>
          </w:p>
          <w:tbl>
            <w:tblPr>
              <w:tblStyle w:val="23"/>
              <w:tblW w:w="8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2673"/>
              <w:gridCol w:w="2673"/>
            </w:tblGrid>
            <w:tr w14:paraId="5539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73" w:type="dxa"/>
                  <w:vAlign w:val="center"/>
                </w:tcPr>
                <w:p w14:paraId="4CC77609">
                  <w:pPr>
                    <w:widowControl/>
                    <w:jc w:val="center"/>
                    <w:rPr>
                      <w:b/>
                      <w:bCs/>
                      <w:color w:val="auto"/>
                    </w:rPr>
                  </w:pPr>
                  <w:r>
                    <w:rPr>
                      <w:rFonts w:hint="eastAsia"/>
                      <w:b/>
                      <w:bCs/>
                      <w:color w:val="auto"/>
                    </w:rPr>
                    <w:t>类别</w:t>
                  </w:r>
                </w:p>
              </w:tc>
              <w:tc>
                <w:tcPr>
                  <w:tcW w:w="2673" w:type="dxa"/>
                  <w:vAlign w:val="center"/>
                </w:tcPr>
                <w:p w14:paraId="1B08226B">
                  <w:pPr>
                    <w:widowControl/>
                    <w:jc w:val="center"/>
                    <w:rPr>
                      <w:b/>
                      <w:bCs/>
                      <w:color w:val="auto"/>
                    </w:rPr>
                  </w:pPr>
                  <w:r>
                    <w:rPr>
                      <w:b/>
                      <w:bCs/>
                      <w:color w:val="auto"/>
                    </w:rPr>
                    <w:t>昼间</w:t>
                  </w:r>
                </w:p>
              </w:tc>
              <w:tc>
                <w:tcPr>
                  <w:tcW w:w="2673" w:type="dxa"/>
                  <w:vAlign w:val="center"/>
                </w:tcPr>
                <w:p w14:paraId="221D32F9">
                  <w:pPr>
                    <w:widowControl/>
                    <w:jc w:val="center"/>
                    <w:rPr>
                      <w:b/>
                      <w:bCs/>
                      <w:color w:val="auto"/>
                    </w:rPr>
                  </w:pPr>
                  <w:r>
                    <w:rPr>
                      <w:b/>
                      <w:bCs/>
                      <w:color w:val="auto"/>
                    </w:rPr>
                    <w:t>夜间</w:t>
                  </w:r>
                </w:p>
              </w:tc>
            </w:tr>
            <w:tr w14:paraId="20C8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2673" w:type="dxa"/>
                  <w:vAlign w:val="center"/>
                </w:tcPr>
                <w:p w14:paraId="0EA3CFFD">
                  <w:pPr>
                    <w:widowControl/>
                    <w:jc w:val="center"/>
                    <w:rPr>
                      <w:color w:val="auto"/>
                    </w:rPr>
                  </w:pPr>
                  <w:r>
                    <w:rPr>
                      <w:color w:val="auto"/>
                    </w:rPr>
                    <w:t>3类</w:t>
                  </w:r>
                </w:p>
              </w:tc>
              <w:tc>
                <w:tcPr>
                  <w:tcW w:w="2673" w:type="dxa"/>
                  <w:vAlign w:val="center"/>
                </w:tcPr>
                <w:p w14:paraId="3D6EE0CC">
                  <w:pPr>
                    <w:widowControl/>
                    <w:jc w:val="center"/>
                    <w:rPr>
                      <w:color w:val="auto"/>
                    </w:rPr>
                  </w:pPr>
                  <w:r>
                    <w:rPr>
                      <w:color w:val="auto"/>
                    </w:rPr>
                    <w:t>65</w:t>
                  </w:r>
                </w:p>
              </w:tc>
              <w:tc>
                <w:tcPr>
                  <w:tcW w:w="2673" w:type="dxa"/>
                  <w:vAlign w:val="center"/>
                </w:tcPr>
                <w:p w14:paraId="61B2BB50">
                  <w:pPr>
                    <w:widowControl/>
                    <w:jc w:val="center"/>
                    <w:rPr>
                      <w:color w:val="auto"/>
                    </w:rPr>
                  </w:pPr>
                  <w:r>
                    <w:rPr>
                      <w:color w:val="auto"/>
                    </w:rPr>
                    <w:t>55</w:t>
                  </w:r>
                </w:p>
              </w:tc>
            </w:tr>
          </w:tbl>
          <w:p w14:paraId="79B79311">
            <w:pPr>
              <w:widowControl/>
              <w:numPr>
                <w:ilvl w:val="0"/>
                <w:numId w:val="11"/>
              </w:numPr>
              <w:spacing w:line="360" w:lineRule="auto"/>
              <w:ind w:firstLine="480" w:firstLineChars="200"/>
              <w:jc w:val="left"/>
              <w:rPr>
                <w:color w:val="auto"/>
                <w:kern w:val="0"/>
                <w:sz w:val="24"/>
              </w:rPr>
            </w:pPr>
            <w:r>
              <w:rPr>
                <w:rFonts w:hint="eastAsia"/>
                <w:color w:val="auto"/>
                <w:kern w:val="0"/>
                <w:sz w:val="24"/>
              </w:rPr>
              <w:t>固体废物</w:t>
            </w:r>
          </w:p>
          <w:p w14:paraId="1291DD34">
            <w:pPr>
              <w:spacing w:line="360" w:lineRule="auto"/>
              <w:ind w:firstLine="480" w:firstLineChars="200"/>
              <w:rPr>
                <w:rFonts w:hint="eastAsia"/>
                <w:color w:val="auto"/>
                <w:kern w:val="0"/>
                <w:sz w:val="24"/>
                <w:lang w:bidi="ar"/>
              </w:rPr>
            </w:pPr>
            <w:r>
              <w:rPr>
                <w:rFonts w:hint="eastAsia"/>
                <w:color w:val="auto"/>
                <w:kern w:val="0"/>
                <w:sz w:val="24"/>
                <w:lang w:bidi="ar"/>
              </w:rPr>
              <w:t>施工期建筑垃圾满足《建筑垃圾处理技术规范》要求；项目产生的除尘灰定期收集后返回生产工序综合利用</w:t>
            </w:r>
            <w:r>
              <w:rPr>
                <w:rFonts w:hint="eastAsia"/>
                <w:color w:val="auto"/>
                <w:kern w:val="0"/>
                <w:sz w:val="24"/>
                <w:lang w:eastAsia="zh-CN" w:bidi="ar"/>
              </w:rPr>
              <w:t>；金属杂质</w:t>
            </w:r>
            <w:r>
              <w:rPr>
                <w:rFonts w:hint="eastAsia"/>
                <w:color w:val="auto"/>
                <w:kern w:val="0"/>
                <w:sz w:val="24"/>
                <w:lang w:bidi="ar"/>
              </w:rPr>
              <w:t>收集在型焦生产车间内，定</w:t>
            </w:r>
            <w:r>
              <w:rPr>
                <w:rFonts w:hint="eastAsia"/>
                <w:color w:val="auto"/>
                <w:kern w:val="0"/>
                <w:sz w:val="24"/>
                <w:lang w:val="en-US" w:eastAsia="zh-CN" w:bidi="ar"/>
              </w:rPr>
              <w:t>外售处理</w:t>
            </w:r>
            <w:r>
              <w:rPr>
                <w:rFonts w:hint="eastAsia"/>
                <w:color w:val="auto"/>
                <w:kern w:val="0"/>
                <w:sz w:val="24"/>
                <w:lang w:bidi="ar"/>
              </w:rPr>
              <w:t>；</w:t>
            </w:r>
            <w:r>
              <w:rPr>
                <w:rFonts w:hint="eastAsia"/>
                <w:color w:val="auto"/>
                <w:kern w:val="0"/>
                <w:sz w:val="24"/>
                <w:lang w:val="en-US" w:eastAsia="zh-CN" w:bidi="ar"/>
              </w:rPr>
              <w:t>沉淀池污泥委托有资质的一般工业固废处置单位规范处置；</w:t>
            </w:r>
            <w:r>
              <w:rPr>
                <w:rFonts w:hint="eastAsia"/>
                <w:color w:val="auto"/>
                <w:kern w:val="0"/>
                <w:sz w:val="24"/>
                <w:lang w:bidi="ar"/>
              </w:rPr>
              <w:t>职工生活垃圾依托办公生活区收集设施集中收集，由园区环卫部门统一处理</w:t>
            </w:r>
            <w:r>
              <w:rPr>
                <w:rFonts w:hint="eastAsia"/>
                <w:color w:val="auto"/>
                <w:kern w:val="0"/>
                <w:sz w:val="24"/>
                <w:lang w:eastAsia="zh-CN" w:bidi="ar"/>
              </w:rPr>
              <w:t>，</w:t>
            </w:r>
            <w:r>
              <w:rPr>
                <w:rFonts w:hint="eastAsia"/>
                <w:color w:val="auto"/>
                <w:kern w:val="0"/>
                <w:sz w:val="24"/>
                <w:lang w:bidi="ar"/>
              </w:rPr>
              <w:t>一般固废执行《一般工业固体废物贮存和填埋场污染控制标准》（GB18599-2020）标准</w:t>
            </w:r>
            <w:r>
              <w:rPr>
                <w:rFonts w:hint="eastAsia"/>
                <w:color w:val="auto"/>
                <w:kern w:val="0"/>
                <w:sz w:val="24"/>
                <w:lang w:eastAsia="zh-CN" w:bidi="ar"/>
              </w:rPr>
              <w:t>；</w:t>
            </w:r>
            <w:r>
              <w:rPr>
                <w:rFonts w:hint="eastAsia"/>
                <w:color w:val="auto"/>
                <w:kern w:val="0"/>
                <w:sz w:val="24"/>
                <w:lang w:val="en-US" w:eastAsia="zh-CN" w:bidi="ar"/>
              </w:rPr>
              <w:t>危险废物废润滑油依托暂存新航焦化厂内现有危废暂存库内，定期委托资质单位处理，</w:t>
            </w:r>
            <w:r>
              <w:rPr>
                <w:rFonts w:hint="eastAsia"/>
                <w:color w:val="auto"/>
                <w:kern w:val="0"/>
                <w:sz w:val="24"/>
                <w:lang w:bidi="ar"/>
              </w:rPr>
              <w:t>危险废物贮存执行《危险废物贮存污染控制标准》</w:t>
            </w:r>
          </w:p>
          <w:p w14:paraId="00DFC845">
            <w:pPr>
              <w:spacing w:line="360" w:lineRule="auto"/>
              <w:rPr>
                <w:color w:val="auto"/>
                <w:kern w:val="0"/>
                <w:sz w:val="24"/>
              </w:rPr>
            </w:pPr>
            <w:r>
              <w:rPr>
                <w:rFonts w:hint="eastAsia"/>
                <w:color w:val="auto"/>
                <w:kern w:val="0"/>
                <w:sz w:val="24"/>
                <w:lang w:bidi="ar"/>
              </w:rPr>
              <w:t>（GB18597-2023）。</w:t>
            </w:r>
          </w:p>
        </w:tc>
      </w:tr>
      <w:tr w14:paraId="26B8FE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00" w:type="dxa"/>
            <w:vAlign w:val="center"/>
          </w:tcPr>
          <w:p w14:paraId="7C27725D">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总量</w:t>
            </w:r>
          </w:p>
          <w:p w14:paraId="105B5E60">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控制</w:t>
            </w:r>
          </w:p>
          <w:p w14:paraId="1C40390E">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指标</w:t>
            </w:r>
          </w:p>
        </w:tc>
        <w:tc>
          <w:tcPr>
            <w:tcW w:w="8190" w:type="dxa"/>
            <w:vAlign w:val="center"/>
          </w:tcPr>
          <w:p w14:paraId="4EE0F237">
            <w:pPr>
              <w:widowControl/>
              <w:spacing w:line="360" w:lineRule="auto"/>
              <w:ind w:firstLine="480" w:firstLineChars="200"/>
              <w:jc w:val="center"/>
              <w:rPr>
                <w:color w:val="auto"/>
                <w:kern w:val="0"/>
                <w:sz w:val="24"/>
                <w:highlight w:val="yellow"/>
                <w:lang w:bidi="ar"/>
              </w:rPr>
            </w:pPr>
            <w:r>
              <w:rPr>
                <w:rFonts w:hint="eastAsia"/>
                <w:color w:val="auto"/>
                <w:sz w:val="24"/>
                <w:lang w:val="en-US" w:eastAsia="zh-CN"/>
              </w:rPr>
              <w:t>无</w:t>
            </w:r>
          </w:p>
        </w:tc>
      </w:tr>
    </w:tbl>
    <w:p w14:paraId="22092CA7">
      <w:pPr>
        <w:pStyle w:val="19"/>
        <w:numPr>
          <w:ilvl w:val="0"/>
          <w:numId w:val="12"/>
        </w:numPr>
        <w:spacing w:before="0" w:beforeAutospacing="0" w:after="0" w:afterAutospacing="0"/>
        <w:jc w:val="center"/>
        <w:outlineLvl w:val="0"/>
        <w:rPr>
          <w:rFonts w:ascii="Times New Roman" w:hAnsi="Times New Roman"/>
          <w:b/>
          <w:bCs/>
          <w:snapToGrid w:val="0"/>
          <w:color w:val="auto"/>
          <w:sz w:val="30"/>
          <w:szCs w:val="30"/>
        </w:rPr>
      </w:pPr>
      <w:r>
        <w:rPr>
          <w:rFonts w:ascii="黑体" w:hAnsi="黑体" w:eastAsia="黑体"/>
          <w:snapToGrid w:val="0"/>
          <w:color w:val="auto"/>
          <w:sz w:val="36"/>
          <w:szCs w:val="36"/>
        </w:rPr>
        <w:br w:type="page"/>
      </w:r>
      <w:bookmarkStart w:id="8" w:name="_Toc29105"/>
      <w:r>
        <w:rPr>
          <w:rFonts w:hint="eastAsia" w:ascii="Times New Roman" w:hAnsi="Times New Roman"/>
          <w:b/>
          <w:bCs/>
          <w:snapToGrid w:val="0"/>
          <w:color w:val="auto"/>
          <w:sz w:val="30"/>
          <w:szCs w:val="30"/>
        </w:rPr>
        <w:t>主要环境影响和保护措施</w:t>
      </w:r>
      <w:bookmarkEnd w:id="8"/>
    </w:p>
    <w:tbl>
      <w:tblPr>
        <w:tblStyle w:val="23"/>
        <w:tblW w:w="0" w:type="auto"/>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8304"/>
      </w:tblGrid>
      <w:tr w14:paraId="4877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Align w:val="center"/>
          </w:tcPr>
          <w:p w14:paraId="5502D191">
            <w:pPr>
              <w:adjustRightInd w:val="0"/>
              <w:snapToGrid w:val="0"/>
              <w:jc w:val="center"/>
              <w:rPr>
                <w:rFonts w:hint="eastAsia" w:ascii="宋体" w:hAnsi="宋体" w:cs="宋体"/>
                <w:bCs/>
                <w:color w:val="auto"/>
                <w:szCs w:val="21"/>
              </w:rPr>
            </w:pPr>
            <w:r>
              <w:rPr>
                <w:rFonts w:hint="eastAsia" w:ascii="宋体" w:hAnsi="宋体" w:cs="宋体"/>
                <w:bCs/>
                <w:color w:val="auto"/>
                <w:szCs w:val="21"/>
              </w:rPr>
              <w:t>施工</w:t>
            </w:r>
          </w:p>
          <w:p w14:paraId="682E8BC7">
            <w:pPr>
              <w:adjustRightInd w:val="0"/>
              <w:snapToGrid w:val="0"/>
              <w:jc w:val="center"/>
              <w:rPr>
                <w:rFonts w:hint="eastAsia" w:ascii="宋体" w:hAnsi="宋体" w:cs="宋体"/>
                <w:bCs/>
                <w:color w:val="auto"/>
                <w:szCs w:val="21"/>
              </w:rPr>
            </w:pPr>
            <w:r>
              <w:rPr>
                <w:rFonts w:hint="eastAsia" w:ascii="宋体" w:hAnsi="宋体" w:cs="宋体"/>
                <w:bCs/>
                <w:color w:val="auto"/>
                <w:szCs w:val="21"/>
              </w:rPr>
              <w:t>期环</w:t>
            </w:r>
          </w:p>
          <w:p w14:paraId="5CB544E8">
            <w:pPr>
              <w:adjustRightInd w:val="0"/>
              <w:snapToGrid w:val="0"/>
              <w:jc w:val="center"/>
              <w:rPr>
                <w:rFonts w:hint="eastAsia" w:ascii="宋体" w:hAnsi="宋体" w:cs="宋体"/>
                <w:bCs/>
                <w:color w:val="auto"/>
                <w:szCs w:val="21"/>
              </w:rPr>
            </w:pPr>
            <w:r>
              <w:rPr>
                <w:rFonts w:hint="eastAsia" w:ascii="宋体" w:hAnsi="宋体" w:cs="宋体"/>
                <w:bCs/>
                <w:color w:val="auto"/>
                <w:szCs w:val="21"/>
              </w:rPr>
              <w:t>境保</w:t>
            </w:r>
          </w:p>
          <w:p w14:paraId="31215C89">
            <w:pPr>
              <w:adjustRightInd w:val="0"/>
              <w:snapToGrid w:val="0"/>
              <w:jc w:val="center"/>
              <w:rPr>
                <w:rFonts w:hint="eastAsia" w:ascii="宋体" w:hAnsi="宋体" w:cs="宋体"/>
                <w:bCs/>
                <w:color w:val="auto"/>
                <w:szCs w:val="21"/>
              </w:rPr>
            </w:pPr>
            <w:r>
              <w:rPr>
                <w:rFonts w:hint="eastAsia" w:ascii="宋体" w:hAnsi="宋体" w:cs="宋体"/>
                <w:bCs/>
                <w:color w:val="auto"/>
                <w:szCs w:val="21"/>
              </w:rPr>
              <w:t>护措</w:t>
            </w:r>
          </w:p>
          <w:p w14:paraId="67E7CEF5">
            <w:pPr>
              <w:pStyle w:val="19"/>
              <w:spacing w:before="0" w:beforeAutospacing="0" w:after="0" w:afterAutospacing="0"/>
              <w:jc w:val="center"/>
              <w:outlineLvl w:val="0"/>
              <w:rPr>
                <w:rFonts w:ascii="Times New Roman" w:hAnsi="Times New Roman"/>
                <w:b/>
                <w:bCs/>
                <w:snapToGrid w:val="0"/>
                <w:color w:val="auto"/>
                <w:sz w:val="30"/>
                <w:szCs w:val="30"/>
              </w:rPr>
            </w:pPr>
            <w:r>
              <w:rPr>
                <w:rFonts w:hint="eastAsia" w:cs="宋体"/>
                <w:bCs/>
                <w:color w:val="auto"/>
                <w:szCs w:val="21"/>
              </w:rPr>
              <w:t>施</w:t>
            </w:r>
          </w:p>
        </w:tc>
        <w:tc>
          <w:tcPr>
            <w:tcW w:w="8304" w:type="dxa"/>
          </w:tcPr>
          <w:p w14:paraId="42FB6904">
            <w:pPr>
              <w:widowControl/>
              <w:spacing w:line="360" w:lineRule="auto"/>
              <w:ind w:firstLine="480" w:firstLineChars="200"/>
              <w:jc w:val="left"/>
              <w:rPr>
                <w:color w:val="auto"/>
                <w:kern w:val="0"/>
                <w:sz w:val="24"/>
                <w:lang w:bidi="ar"/>
              </w:rPr>
            </w:pPr>
            <w:r>
              <w:rPr>
                <w:rFonts w:hint="eastAsia"/>
                <w:color w:val="auto"/>
                <w:kern w:val="0"/>
                <w:sz w:val="24"/>
                <w:lang w:bidi="ar"/>
              </w:rPr>
              <w:t>本项目施工影响范围主要为场址及邻近区域，分别从大气、水、声以及固废四个方面进行分析。</w:t>
            </w:r>
          </w:p>
          <w:p w14:paraId="41F89A64">
            <w:pPr>
              <w:widowControl/>
              <w:spacing w:line="360" w:lineRule="auto"/>
              <w:ind w:firstLine="480" w:firstLineChars="200"/>
              <w:jc w:val="left"/>
              <w:rPr>
                <w:color w:val="auto"/>
                <w:kern w:val="0"/>
                <w:sz w:val="24"/>
                <w:lang w:bidi="ar"/>
              </w:rPr>
            </w:pPr>
            <w:r>
              <w:rPr>
                <w:color w:val="auto"/>
                <w:kern w:val="0"/>
                <w:sz w:val="24"/>
                <w:lang w:bidi="ar"/>
              </w:rPr>
              <w:t>1</w:t>
            </w:r>
            <w:r>
              <w:rPr>
                <w:rFonts w:hint="eastAsia"/>
                <w:color w:val="auto"/>
                <w:kern w:val="0"/>
                <w:sz w:val="24"/>
                <w:lang w:bidi="ar"/>
              </w:rPr>
              <w:t>、</w:t>
            </w:r>
            <w:r>
              <w:rPr>
                <w:color w:val="auto"/>
                <w:kern w:val="0"/>
                <w:sz w:val="24"/>
                <w:lang w:bidi="ar"/>
              </w:rPr>
              <w:t>施工期大气环境保护措施</w:t>
            </w:r>
          </w:p>
          <w:p w14:paraId="7947C34B">
            <w:pPr>
              <w:widowControl/>
              <w:spacing w:line="360" w:lineRule="auto"/>
              <w:ind w:firstLine="480" w:firstLineChars="200"/>
              <w:jc w:val="left"/>
              <w:rPr>
                <w:color w:val="auto"/>
                <w:kern w:val="0"/>
                <w:sz w:val="24"/>
                <w:lang w:bidi="ar"/>
              </w:rPr>
            </w:pPr>
            <w:r>
              <w:rPr>
                <w:rFonts w:hint="eastAsia"/>
                <w:color w:val="auto"/>
                <w:kern w:val="0"/>
                <w:sz w:val="24"/>
                <w:lang w:bidi="ar"/>
              </w:rPr>
              <w:t>施工过程中产生的废气主要为施工扬尘，扬尘污染来源：</w:t>
            </w:r>
          </w:p>
          <w:p w14:paraId="511C13B3">
            <w:pPr>
              <w:widowControl/>
              <w:spacing w:line="360" w:lineRule="auto"/>
              <w:ind w:firstLine="480" w:firstLineChars="200"/>
              <w:jc w:val="left"/>
              <w:rPr>
                <w:color w:val="auto"/>
                <w:kern w:val="0"/>
                <w:sz w:val="24"/>
                <w:lang w:bidi="ar"/>
              </w:rPr>
            </w:pPr>
            <w:r>
              <w:rPr>
                <w:rFonts w:hint="eastAsia"/>
                <w:color w:val="auto"/>
                <w:kern w:val="0"/>
                <w:sz w:val="24"/>
                <w:lang w:bidi="ar"/>
              </w:rPr>
              <w:t>（1）在基础开挖、地基处理（岩土工程）与基础施工时，产生的扬尘；</w:t>
            </w:r>
          </w:p>
          <w:p w14:paraId="3D2C92D1">
            <w:pPr>
              <w:widowControl/>
              <w:spacing w:line="360" w:lineRule="auto"/>
              <w:ind w:firstLine="480" w:firstLineChars="200"/>
              <w:jc w:val="left"/>
              <w:rPr>
                <w:color w:val="auto"/>
                <w:kern w:val="0"/>
                <w:sz w:val="24"/>
                <w:lang w:bidi="ar"/>
              </w:rPr>
            </w:pPr>
            <w:r>
              <w:rPr>
                <w:rFonts w:hint="eastAsia"/>
                <w:color w:val="auto"/>
                <w:kern w:val="0"/>
                <w:sz w:val="24"/>
                <w:lang w:bidi="ar"/>
              </w:rPr>
              <w:t>（2）挖掘机、打夯机、装载汽车等运行时产生的扬尘；</w:t>
            </w:r>
          </w:p>
          <w:p w14:paraId="72093F21">
            <w:pPr>
              <w:widowControl/>
              <w:spacing w:line="360" w:lineRule="auto"/>
              <w:ind w:firstLine="480" w:firstLineChars="200"/>
              <w:jc w:val="left"/>
              <w:rPr>
                <w:color w:val="auto"/>
                <w:kern w:val="0"/>
                <w:sz w:val="24"/>
                <w:lang w:bidi="ar"/>
              </w:rPr>
            </w:pPr>
            <w:r>
              <w:rPr>
                <w:rFonts w:hint="eastAsia"/>
                <w:color w:val="auto"/>
                <w:kern w:val="0"/>
                <w:sz w:val="24"/>
                <w:lang w:bidi="ar"/>
              </w:rPr>
              <w:t>（3）装饰、设备安装工程施工时产生的扬尘；</w:t>
            </w:r>
          </w:p>
          <w:p w14:paraId="67C7C1B5">
            <w:pPr>
              <w:widowControl/>
              <w:spacing w:line="360" w:lineRule="auto"/>
              <w:ind w:firstLine="480" w:firstLineChars="200"/>
              <w:jc w:val="left"/>
              <w:rPr>
                <w:color w:val="auto"/>
                <w:kern w:val="0"/>
                <w:sz w:val="24"/>
                <w:lang w:bidi="ar"/>
              </w:rPr>
            </w:pPr>
            <w:r>
              <w:rPr>
                <w:rFonts w:hint="eastAsia"/>
                <w:color w:val="auto"/>
                <w:kern w:val="0"/>
                <w:sz w:val="24"/>
                <w:lang w:bidi="ar"/>
              </w:rPr>
              <w:t>为了防止无组织排放的粉尘和二次扬尘，施工期间需采取以下措施：</w:t>
            </w:r>
          </w:p>
          <w:p w14:paraId="755F2C2B">
            <w:pPr>
              <w:widowControl/>
              <w:spacing w:line="360" w:lineRule="auto"/>
              <w:ind w:firstLine="480" w:firstLineChars="200"/>
              <w:jc w:val="left"/>
              <w:rPr>
                <w:color w:val="auto"/>
                <w:kern w:val="0"/>
                <w:sz w:val="24"/>
                <w:lang w:bidi="ar"/>
              </w:rPr>
            </w:pPr>
            <w:r>
              <w:rPr>
                <w:rFonts w:hint="eastAsia"/>
                <w:color w:val="auto"/>
                <w:kern w:val="0"/>
                <w:sz w:val="24"/>
                <w:lang w:bidi="ar"/>
              </w:rPr>
              <w:t>（1）严格控制施工作业范围，施工车辆必须行驶在进场道路范围内；</w:t>
            </w:r>
          </w:p>
          <w:p w14:paraId="5F2E71A5">
            <w:pPr>
              <w:widowControl/>
              <w:spacing w:line="360" w:lineRule="auto"/>
              <w:ind w:firstLine="480" w:firstLineChars="200"/>
              <w:jc w:val="left"/>
              <w:rPr>
                <w:color w:val="auto"/>
                <w:kern w:val="0"/>
                <w:sz w:val="24"/>
                <w:lang w:bidi="ar"/>
              </w:rPr>
            </w:pPr>
            <w:r>
              <w:rPr>
                <w:rFonts w:hint="eastAsia"/>
                <w:color w:val="auto"/>
                <w:kern w:val="0"/>
                <w:sz w:val="24"/>
                <w:lang w:bidi="ar"/>
              </w:rPr>
              <w:t>（2）施工过程中通过洒水车运水至场地运输通道，及时洒水以减少汽车行驶扬尘；</w:t>
            </w:r>
          </w:p>
          <w:p w14:paraId="13CAA2E2">
            <w:pPr>
              <w:widowControl/>
              <w:spacing w:line="360" w:lineRule="auto"/>
              <w:ind w:firstLine="480" w:firstLineChars="200"/>
              <w:jc w:val="left"/>
              <w:rPr>
                <w:color w:val="auto"/>
                <w:kern w:val="0"/>
                <w:sz w:val="24"/>
                <w:lang w:bidi="ar"/>
              </w:rPr>
            </w:pPr>
            <w:r>
              <w:rPr>
                <w:rFonts w:hint="eastAsia"/>
                <w:color w:val="auto"/>
                <w:kern w:val="0"/>
                <w:sz w:val="24"/>
                <w:lang w:bidi="ar"/>
              </w:rPr>
              <w:t>（3）限制运输车辆的行驶速度，场地内行车速度不得超过15km/h；</w:t>
            </w:r>
          </w:p>
          <w:p w14:paraId="5FD766B5">
            <w:pPr>
              <w:widowControl/>
              <w:spacing w:line="360" w:lineRule="auto"/>
              <w:ind w:firstLine="480" w:firstLineChars="200"/>
              <w:jc w:val="left"/>
              <w:rPr>
                <w:color w:val="auto"/>
                <w:kern w:val="0"/>
                <w:sz w:val="24"/>
                <w:lang w:bidi="ar"/>
              </w:rPr>
            </w:pPr>
            <w:r>
              <w:rPr>
                <w:rFonts w:hint="eastAsia"/>
                <w:color w:val="auto"/>
                <w:kern w:val="0"/>
                <w:sz w:val="24"/>
                <w:lang w:bidi="ar"/>
              </w:rPr>
              <w:t>（4）起尘原材料覆盖存放，大风季节严禁施工；</w:t>
            </w:r>
          </w:p>
          <w:p w14:paraId="658C06D7">
            <w:pPr>
              <w:widowControl/>
              <w:spacing w:line="360" w:lineRule="auto"/>
              <w:ind w:firstLine="480" w:firstLineChars="200"/>
              <w:jc w:val="left"/>
              <w:rPr>
                <w:color w:val="auto"/>
                <w:kern w:val="0"/>
                <w:sz w:val="24"/>
                <w:lang w:bidi="ar"/>
              </w:rPr>
            </w:pPr>
            <w:r>
              <w:rPr>
                <w:rFonts w:hint="eastAsia"/>
                <w:color w:val="auto"/>
                <w:kern w:val="0"/>
                <w:sz w:val="24"/>
                <w:lang w:bidi="ar"/>
              </w:rPr>
              <w:t>（5）临时施工场地及时洒水抑尘；</w:t>
            </w:r>
          </w:p>
          <w:p w14:paraId="47EF652F">
            <w:pPr>
              <w:widowControl/>
              <w:spacing w:line="360" w:lineRule="auto"/>
              <w:ind w:firstLine="480" w:firstLineChars="200"/>
              <w:jc w:val="left"/>
              <w:rPr>
                <w:color w:val="auto"/>
                <w:kern w:val="0"/>
                <w:sz w:val="24"/>
                <w:lang w:bidi="ar"/>
              </w:rPr>
            </w:pPr>
            <w:r>
              <w:rPr>
                <w:rFonts w:hint="eastAsia"/>
                <w:color w:val="auto"/>
                <w:kern w:val="0"/>
                <w:sz w:val="24"/>
                <w:lang w:bidi="ar"/>
              </w:rPr>
              <w:t>（6）定期对汽车进行检修和保养，确保车辆在良好工作状态；</w:t>
            </w:r>
          </w:p>
          <w:p w14:paraId="46099850">
            <w:pPr>
              <w:widowControl/>
              <w:spacing w:line="360" w:lineRule="auto"/>
              <w:ind w:firstLine="480" w:firstLineChars="200"/>
              <w:jc w:val="left"/>
              <w:rPr>
                <w:color w:val="auto"/>
                <w:kern w:val="0"/>
                <w:sz w:val="24"/>
                <w:lang w:bidi="ar"/>
              </w:rPr>
            </w:pPr>
            <w:r>
              <w:rPr>
                <w:rFonts w:hint="eastAsia"/>
                <w:color w:val="auto"/>
                <w:kern w:val="0"/>
                <w:sz w:val="24"/>
                <w:lang w:bidi="ar"/>
              </w:rPr>
              <w:t>通过采取上述措施，可有效减轻无组织排放粉尘和二次扬尘的产生，降低施工期扬尘对大气环境的影响，且施工期扬尘对大气环境的影响是短暂的，随着施工期的结束而消失。</w:t>
            </w:r>
          </w:p>
          <w:p w14:paraId="7924FF8A">
            <w:pPr>
              <w:widowControl/>
              <w:spacing w:line="360" w:lineRule="auto"/>
              <w:ind w:left="420" w:leftChars="200"/>
              <w:jc w:val="left"/>
              <w:rPr>
                <w:color w:val="auto"/>
                <w:kern w:val="0"/>
                <w:sz w:val="24"/>
                <w:lang w:bidi="ar"/>
              </w:rPr>
            </w:pPr>
            <w:r>
              <w:rPr>
                <w:rFonts w:hint="eastAsia"/>
                <w:color w:val="auto"/>
                <w:kern w:val="0"/>
                <w:sz w:val="24"/>
                <w:lang w:bidi="ar"/>
              </w:rPr>
              <w:t>2、施工期水环境保护措施</w:t>
            </w:r>
          </w:p>
          <w:p w14:paraId="1B6C401B">
            <w:pPr>
              <w:widowControl/>
              <w:spacing w:line="360" w:lineRule="auto"/>
              <w:ind w:firstLine="480" w:firstLineChars="200"/>
              <w:jc w:val="left"/>
              <w:rPr>
                <w:color w:val="auto"/>
                <w:kern w:val="0"/>
                <w:sz w:val="24"/>
                <w:lang w:bidi="ar"/>
              </w:rPr>
            </w:pPr>
            <w:r>
              <w:rPr>
                <w:rFonts w:hint="eastAsia"/>
                <w:color w:val="auto"/>
                <w:kern w:val="0"/>
                <w:sz w:val="24"/>
                <w:lang w:bidi="ar"/>
              </w:rPr>
              <w:t>施工生产废水主要是含泥浆或砂石的工程废水，该部分废水中的主要污染物为</w:t>
            </w:r>
            <w:r>
              <w:rPr>
                <w:color w:val="auto"/>
                <w:kern w:val="0"/>
                <w:sz w:val="24"/>
                <w:lang w:bidi="ar"/>
              </w:rPr>
              <w:t>SS</w:t>
            </w:r>
            <w:r>
              <w:rPr>
                <w:rFonts w:hint="eastAsia"/>
                <w:color w:val="auto"/>
                <w:kern w:val="0"/>
                <w:sz w:val="24"/>
                <w:lang w:bidi="ar"/>
              </w:rPr>
              <w:t>。根据废水特征，在施工场地内可设置防渗沉淀池，对收集的施工生产废水进行简单沉淀处理，处理水首先回用于施工生产，其余用于施工现场、临时堆场的洒水降尘，不外排，施工结束后对沉淀池进行回填恢复，采取上述措施后对周围水环境影响较小。</w:t>
            </w:r>
          </w:p>
          <w:p w14:paraId="22E3FFBC">
            <w:pPr>
              <w:widowControl/>
              <w:spacing w:line="360" w:lineRule="auto"/>
              <w:ind w:firstLine="480" w:firstLineChars="200"/>
              <w:jc w:val="left"/>
              <w:rPr>
                <w:color w:val="auto"/>
                <w:kern w:val="0"/>
                <w:sz w:val="24"/>
                <w:lang w:bidi="ar"/>
              </w:rPr>
            </w:pPr>
            <w:r>
              <w:rPr>
                <w:rFonts w:hint="eastAsia"/>
                <w:color w:val="auto"/>
                <w:kern w:val="0"/>
                <w:sz w:val="24"/>
                <w:lang w:bidi="ar"/>
              </w:rPr>
              <w:t>施工人员生活污水依托</w:t>
            </w:r>
            <w:r>
              <w:rPr>
                <w:rFonts w:hint="eastAsia"/>
                <w:color w:val="auto"/>
                <w:sz w:val="24"/>
              </w:rPr>
              <w:t>鄂托克旗新航焦化有限公司</w:t>
            </w:r>
            <w:r>
              <w:rPr>
                <w:rFonts w:hint="eastAsia"/>
                <w:color w:val="auto"/>
                <w:kern w:val="0"/>
                <w:sz w:val="24"/>
                <w:lang w:bidi="ar"/>
              </w:rPr>
              <w:t>环卫设施，</w:t>
            </w:r>
            <w:r>
              <w:rPr>
                <w:rFonts w:hint="eastAsia" w:ascii="宋体" w:hAnsi="宋体" w:cs="宋体"/>
                <w:color w:val="auto"/>
                <w:kern w:val="0"/>
                <w:sz w:val="24"/>
                <w:lang w:bidi="ar"/>
              </w:rPr>
              <w:t>主要污染物为</w:t>
            </w:r>
            <w:r>
              <w:rPr>
                <w:color w:val="auto"/>
                <w:kern w:val="0"/>
                <w:sz w:val="24"/>
                <w:lang w:bidi="ar"/>
              </w:rPr>
              <w:t>COD</w:t>
            </w:r>
            <w:r>
              <w:rPr>
                <w:rFonts w:hint="eastAsia" w:ascii="宋体" w:hAnsi="宋体" w:cs="宋体"/>
                <w:color w:val="auto"/>
                <w:kern w:val="0"/>
                <w:sz w:val="24"/>
                <w:lang w:bidi="ar"/>
              </w:rPr>
              <w:t>、</w:t>
            </w:r>
            <w:r>
              <w:rPr>
                <w:color w:val="auto"/>
                <w:kern w:val="0"/>
                <w:sz w:val="24"/>
                <w:lang w:bidi="ar"/>
              </w:rPr>
              <w:t>BOD</w:t>
            </w:r>
            <w:r>
              <w:rPr>
                <w:rFonts w:hint="eastAsia" w:ascii="宋体" w:hAnsi="宋体" w:cs="宋体"/>
                <w:color w:val="auto"/>
                <w:kern w:val="0"/>
                <w:sz w:val="24"/>
                <w:lang w:bidi="ar"/>
              </w:rPr>
              <w:t>等，依托厂区内污水处理站处理，不会对周围水环境产生影响。</w:t>
            </w:r>
          </w:p>
          <w:p w14:paraId="1FD6A46B">
            <w:pPr>
              <w:widowControl/>
              <w:spacing w:line="360" w:lineRule="auto"/>
              <w:ind w:firstLine="480" w:firstLineChars="200"/>
              <w:jc w:val="left"/>
              <w:rPr>
                <w:color w:val="auto"/>
                <w:kern w:val="0"/>
                <w:sz w:val="24"/>
                <w:lang w:bidi="ar"/>
              </w:rPr>
            </w:pPr>
            <w:r>
              <w:rPr>
                <w:rFonts w:hint="eastAsia"/>
                <w:color w:val="auto"/>
                <w:kern w:val="0"/>
                <w:sz w:val="24"/>
                <w:lang w:bidi="ar"/>
              </w:rPr>
              <w:t>本项目施工废水通过沉淀池处理后回用，不外排，生活污水依托新航焦化设施处理。只要施工单位加强环境管理，做好施工废水处理及排放措施，施工期对周围地表水环境影响可控制在一定范围之内。</w:t>
            </w:r>
          </w:p>
          <w:p w14:paraId="086E5D8A">
            <w:pPr>
              <w:widowControl/>
              <w:spacing w:line="360" w:lineRule="auto"/>
              <w:ind w:left="420" w:leftChars="200"/>
              <w:jc w:val="left"/>
              <w:rPr>
                <w:color w:val="auto"/>
                <w:kern w:val="0"/>
                <w:sz w:val="24"/>
                <w:lang w:bidi="ar"/>
              </w:rPr>
            </w:pPr>
            <w:r>
              <w:rPr>
                <w:color w:val="auto"/>
                <w:kern w:val="0"/>
                <w:sz w:val="24"/>
                <w:lang w:bidi="ar"/>
              </w:rPr>
              <w:t>3</w:t>
            </w:r>
            <w:r>
              <w:rPr>
                <w:rFonts w:hint="eastAsia"/>
                <w:color w:val="auto"/>
                <w:kern w:val="0"/>
                <w:sz w:val="24"/>
                <w:lang w:bidi="ar"/>
              </w:rPr>
              <w:t>、施工期声环境保护措施</w:t>
            </w:r>
          </w:p>
          <w:p w14:paraId="0D07213F">
            <w:pPr>
              <w:widowControl/>
              <w:spacing w:line="360" w:lineRule="auto"/>
              <w:ind w:firstLine="480" w:firstLineChars="200"/>
              <w:jc w:val="left"/>
              <w:rPr>
                <w:color w:val="auto"/>
                <w:kern w:val="0"/>
                <w:sz w:val="24"/>
                <w:lang w:bidi="ar"/>
              </w:rPr>
            </w:pPr>
            <w:r>
              <w:rPr>
                <w:color w:val="auto"/>
                <w:kern w:val="0"/>
                <w:sz w:val="24"/>
                <w:lang w:bidi="ar"/>
              </w:rPr>
              <w:t>根据工程分析，施工过程中使用的施工机械较少，施工期的噪声来自小型施工机械和运输车辆，噪声源强在75-95dB（A）之间，特点为暂时的短期间歇性行为，无规律性，在施工场地界线处，一般情况下噪声强度将超过</w:t>
            </w:r>
            <w:r>
              <w:rPr>
                <w:rFonts w:hint="eastAsia"/>
                <w:color w:val="auto"/>
                <w:kern w:val="0"/>
                <w:sz w:val="24"/>
                <w:lang w:bidi="ar"/>
              </w:rPr>
              <w:t>《建筑施工环境噪声排放标准》（GB12523-2025）</w:t>
            </w:r>
            <w:r>
              <w:rPr>
                <w:color w:val="auto"/>
                <w:kern w:val="0"/>
                <w:sz w:val="24"/>
                <w:lang w:bidi="ar"/>
              </w:rPr>
              <w:t>。为减少施工噪声对周围企业的影响，施工单位及建设单位应采取以下减缓措施：</w:t>
            </w:r>
          </w:p>
          <w:p w14:paraId="65932482">
            <w:pPr>
              <w:widowControl/>
              <w:spacing w:line="360" w:lineRule="auto"/>
              <w:ind w:firstLine="480" w:firstLineChars="200"/>
              <w:jc w:val="left"/>
              <w:rPr>
                <w:color w:val="auto"/>
                <w:kern w:val="0"/>
                <w:sz w:val="24"/>
                <w:lang w:bidi="ar"/>
              </w:rPr>
            </w:pPr>
            <w:r>
              <w:rPr>
                <w:color w:val="auto"/>
                <w:kern w:val="0"/>
                <w:sz w:val="24"/>
                <w:lang w:bidi="ar"/>
              </w:rPr>
              <w:t>①选用低噪声设备，同时在施工过程中施工单位设专人对设备进行定期保养和维护。严格按操作规范使用各类机械。</w:t>
            </w:r>
          </w:p>
          <w:p w14:paraId="02EBC74E">
            <w:pPr>
              <w:widowControl/>
              <w:spacing w:line="360" w:lineRule="auto"/>
              <w:ind w:firstLine="480" w:firstLineChars="200"/>
              <w:jc w:val="left"/>
              <w:rPr>
                <w:color w:val="auto"/>
                <w:kern w:val="0"/>
                <w:sz w:val="24"/>
                <w:lang w:bidi="ar"/>
              </w:rPr>
            </w:pPr>
            <w:r>
              <w:rPr>
                <w:color w:val="auto"/>
                <w:kern w:val="0"/>
                <w:sz w:val="24"/>
                <w:lang w:bidi="ar"/>
              </w:rPr>
              <w:t>②合理进行施工场地布置。</w:t>
            </w:r>
          </w:p>
          <w:p w14:paraId="2A49B2EF">
            <w:pPr>
              <w:widowControl/>
              <w:spacing w:line="360" w:lineRule="auto"/>
              <w:ind w:firstLine="480" w:firstLineChars="200"/>
              <w:jc w:val="left"/>
              <w:rPr>
                <w:color w:val="auto"/>
                <w:kern w:val="0"/>
                <w:sz w:val="24"/>
                <w:lang w:bidi="ar"/>
              </w:rPr>
            </w:pPr>
            <w:r>
              <w:rPr>
                <w:color w:val="auto"/>
                <w:kern w:val="0"/>
                <w:sz w:val="24"/>
                <w:lang w:bidi="ar"/>
              </w:rPr>
              <w:t>综上所述，施工期间通过选用低噪声设备、合理布局施工场地、合理安排施工时间及其他相应降噪措施后施工厂界噪声满足</w:t>
            </w:r>
            <w:r>
              <w:rPr>
                <w:rFonts w:hint="eastAsia"/>
                <w:color w:val="auto"/>
                <w:kern w:val="0"/>
                <w:sz w:val="24"/>
                <w:lang w:bidi="ar"/>
              </w:rPr>
              <w:t>《建筑施工环境噪声排放标准》（GB12523-2025）</w:t>
            </w:r>
            <w:r>
              <w:rPr>
                <w:color w:val="auto"/>
                <w:kern w:val="0"/>
                <w:sz w:val="24"/>
                <w:lang w:bidi="ar"/>
              </w:rPr>
              <w:t>所规定的噪声标准的要求</w:t>
            </w:r>
          </w:p>
          <w:p w14:paraId="68624C1F">
            <w:pPr>
              <w:widowControl/>
              <w:spacing w:line="360" w:lineRule="auto"/>
              <w:ind w:left="420" w:leftChars="200"/>
              <w:jc w:val="left"/>
              <w:rPr>
                <w:color w:val="auto"/>
                <w:kern w:val="0"/>
                <w:sz w:val="24"/>
                <w:lang w:bidi="ar"/>
              </w:rPr>
            </w:pPr>
            <w:r>
              <w:rPr>
                <w:color w:val="auto"/>
                <w:kern w:val="0"/>
                <w:sz w:val="24"/>
                <w:lang w:bidi="ar"/>
              </w:rPr>
              <w:t>4</w:t>
            </w:r>
            <w:r>
              <w:rPr>
                <w:rFonts w:hint="eastAsia"/>
                <w:color w:val="auto"/>
                <w:kern w:val="0"/>
                <w:sz w:val="24"/>
                <w:lang w:bidi="ar"/>
              </w:rPr>
              <w:t>、施工期固体废物污染防治措施</w:t>
            </w:r>
          </w:p>
          <w:p w14:paraId="1E0F352E">
            <w:pPr>
              <w:pStyle w:val="19"/>
              <w:spacing w:before="0" w:beforeAutospacing="0" w:after="0" w:afterAutospacing="0" w:line="360" w:lineRule="auto"/>
              <w:ind w:firstLine="480" w:firstLineChars="200"/>
              <w:jc w:val="both"/>
              <w:outlineLvl w:val="0"/>
              <w:rPr>
                <w:rFonts w:ascii="Times New Roman" w:hAnsi="Times New Roman"/>
                <w:b/>
                <w:bCs/>
                <w:snapToGrid w:val="0"/>
                <w:color w:val="auto"/>
                <w:sz w:val="30"/>
                <w:szCs w:val="30"/>
              </w:rPr>
            </w:pPr>
            <w:r>
              <w:rPr>
                <w:rFonts w:hint="eastAsia" w:ascii="Times New Roman" w:hAnsi="Times New Roman"/>
                <w:color w:val="auto"/>
                <w:kern w:val="2"/>
                <w:szCs w:val="24"/>
              </w:rPr>
              <w:t>施工期产生的固废主要为建筑垃圾和生活垃圾。建筑垃圾为施工过程中产生的弃土、弃料等，部分可以回用于项目建设，不能回用的定期拉运至当地政府指定地点处置。施工人员产生的生活垃圾集中收集，生活垃圾依托办公生活区收集设施集中收集，定期由园区环卫部门统一清运。施工期固体废物合理处置，对周围环境影响较小。</w:t>
            </w:r>
          </w:p>
        </w:tc>
      </w:tr>
      <w:tr w14:paraId="1481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Align w:val="center"/>
          </w:tcPr>
          <w:p w14:paraId="0B51AD22">
            <w:pPr>
              <w:adjustRightInd w:val="0"/>
              <w:snapToGrid w:val="0"/>
              <w:jc w:val="center"/>
              <w:rPr>
                <w:rFonts w:hint="eastAsia" w:ascii="宋体" w:hAnsi="宋体" w:cs="宋体"/>
                <w:bCs/>
                <w:szCs w:val="21"/>
              </w:rPr>
            </w:pPr>
            <w:r>
              <w:rPr>
                <w:rFonts w:hint="eastAsia" w:ascii="宋体" w:hAnsi="宋体" w:cs="宋体"/>
                <w:bCs/>
                <w:szCs w:val="21"/>
              </w:rPr>
              <w:t>运营</w:t>
            </w:r>
          </w:p>
          <w:p w14:paraId="7DFD355B">
            <w:pPr>
              <w:adjustRightInd w:val="0"/>
              <w:snapToGrid w:val="0"/>
              <w:jc w:val="center"/>
              <w:rPr>
                <w:rFonts w:hint="eastAsia" w:ascii="宋体" w:hAnsi="宋体" w:cs="宋体"/>
                <w:bCs/>
                <w:szCs w:val="21"/>
              </w:rPr>
            </w:pPr>
            <w:r>
              <w:rPr>
                <w:rFonts w:hint="eastAsia" w:ascii="宋体" w:hAnsi="宋体" w:cs="宋体"/>
                <w:bCs/>
                <w:szCs w:val="21"/>
              </w:rPr>
              <w:t>期环</w:t>
            </w:r>
          </w:p>
          <w:p w14:paraId="55FC4204">
            <w:pPr>
              <w:adjustRightInd w:val="0"/>
              <w:snapToGrid w:val="0"/>
              <w:jc w:val="center"/>
              <w:rPr>
                <w:rFonts w:hint="eastAsia" w:ascii="宋体" w:hAnsi="宋体" w:cs="宋体"/>
                <w:bCs/>
                <w:szCs w:val="21"/>
              </w:rPr>
            </w:pPr>
            <w:r>
              <w:rPr>
                <w:rFonts w:hint="eastAsia" w:ascii="宋体" w:hAnsi="宋体" w:cs="宋体"/>
                <w:bCs/>
                <w:szCs w:val="21"/>
              </w:rPr>
              <w:t>境影</w:t>
            </w:r>
          </w:p>
          <w:p w14:paraId="6929B7CF">
            <w:pPr>
              <w:adjustRightInd w:val="0"/>
              <w:snapToGrid w:val="0"/>
              <w:jc w:val="center"/>
              <w:rPr>
                <w:rFonts w:hint="eastAsia" w:ascii="宋体" w:hAnsi="宋体" w:cs="宋体"/>
                <w:bCs/>
                <w:szCs w:val="21"/>
              </w:rPr>
            </w:pPr>
            <w:r>
              <w:rPr>
                <w:rFonts w:hint="eastAsia" w:ascii="宋体" w:hAnsi="宋体" w:cs="宋体"/>
                <w:bCs/>
                <w:szCs w:val="21"/>
              </w:rPr>
              <w:t>响和</w:t>
            </w:r>
          </w:p>
          <w:p w14:paraId="73599D31">
            <w:pPr>
              <w:adjustRightInd w:val="0"/>
              <w:snapToGrid w:val="0"/>
              <w:jc w:val="center"/>
              <w:rPr>
                <w:rFonts w:hint="eastAsia" w:ascii="宋体" w:hAnsi="宋体" w:cs="宋体"/>
                <w:bCs/>
                <w:szCs w:val="21"/>
              </w:rPr>
            </w:pPr>
            <w:r>
              <w:rPr>
                <w:rFonts w:hint="eastAsia" w:ascii="宋体" w:hAnsi="宋体" w:cs="宋体"/>
                <w:bCs/>
                <w:szCs w:val="21"/>
              </w:rPr>
              <w:t>保护</w:t>
            </w:r>
          </w:p>
          <w:p w14:paraId="63C235F4">
            <w:pPr>
              <w:pStyle w:val="19"/>
              <w:spacing w:before="0" w:beforeAutospacing="0" w:after="0" w:afterAutospacing="0"/>
              <w:jc w:val="center"/>
              <w:outlineLvl w:val="0"/>
              <w:rPr>
                <w:rFonts w:hint="eastAsia" w:cs="宋体"/>
                <w:bCs/>
                <w:szCs w:val="21"/>
              </w:rPr>
            </w:pPr>
            <w:r>
              <w:rPr>
                <w:rFonts w:hint="eastAsia" w:cs="宋体"/>
                <w:bCs/>
                <w:sz w:val="21"/>
                <w:szCs w:val="21"/>
              </w:rPr>
              <w:t>措施</w:t>
            </w:r>
          </w:p>
        </w:tc>
        <w:tc>
          <w:tcPr>
            <w:tcW w:w="8304" w:type="dxa"/>
          </w:tcPr>
          <w:p w14:paraId="540ECCB5">
            <w:pPr>
              <w:pStyle w:val="19"/>
              <w:spacing w:before="0" w:beforeAutospacing="0" w:after="0" w:afterAutospacing="0" w:line="360" w:lineRule="auto"/>
              <w:ind w:firstLine="480" w:firstLineChars="200"/>
              <w:outlineLvl w:val="0"/>
              <w:rPr>
                <w:rFonts w:ascii="Times New Roman" w:hAnsi="Times New Roman"/>
                <w:szCs w:val="24"/>
                <w:lang w:bidi="ar"/>
              </w:rPr>
            </w:pPr>
            <w:r>
              <w:rPr>
                <w:rFonts w:hint="eastAsia" w:ascii="Times New Roman" w:hAnsi="Times New Roman"/>
                <w:szCs w:val="24"/>
                <w:lang w:bidi="ar"/>
              </w:rPr>
              <w:t>1、废气环境影响分析</w:t>
            </w:r>
          </w:p>
          <w:p w14:paraId="26C7058D">
            <w:pPr>
              <w:pStyle w:val="19"/>
              <w:spacing w:before="0" w:beforeAutospacing="0" w:after="0" w:afterAutospacing="0" w:line="360" w:lineRule="auto"/>
              <w:ind w:firstLine="480" w:firstLineChars="200"/>
              <w:outlineLvl w:val="0"/>
              <w:rPr>
                <w:rFonts w:ascii="Times New Roman" w:hAnsi="Times New Roman"/>
                <w:szCs w:val="24"/>
                <w:lang w:bidi="ar"/>
              </w:rPr>
            </w:pPr>
            <w:r>
              <w:rPr>
                <w:rFonts w:hint="eastAsia" w:ascii="Times New Roman" w:hAnsi="Times New Roman"/>
                <w:szCs w:val="24"/>
                <w:lang w:bidi="ar"/>
              </w:rPr>
              <w:t>1.1 废气污染源核算及治理措施</w:t>
            </w:r>
          </w:p>
          <w:p w14:paraId="21DB1D39">
            <w:pPr>
              <w:pStyle w:val="46"/>
              <w:spacing w:line="360" w:lineRule="auto"/>
              <w:ind w:firstLine="480" w:firstLineChars="200"/>
              <w:jc w:val="left"/>
              <w:rPr>
                <w:rFonts w:ascii="Times New Roman" w:hAnsi="Times New Roman" w:cs="Times New Roman"/>
                <w:sz w:val="24"/>
                <w:szCs w:val="24"/>
                <w:lang w:eastAsia="zh-CN"/>
              </w:rPr>
            </w:pPr>
            <w:r>
              <w:rPr>
                <w:rFonts w:hint="eastAsia" w:ascii="Times New Roman" w:hAnsi="Times New Roman" w:cs="Times New Roman"/>
                <w:sz w:val="24"/>
                <w:szCs w:val="24"/>
                <w:lang w:eastAsia="zh-CN"/>
              </w:rPr>
              <w:t>（1）运输扬尘G1</w:t>
            </w:r>
          </w:p>
          <w:p w14:paraId="6931469D">
            <w:pPr>
              <w:widowControl/>
              <w:spacing w:line="360" w:lineRule="auto"/>
              <w:ind w:firstLine="480" w:firstLineChars="200"/>
              <w:jc w:val="left"/>
              <w:rPr>
                <w:rFonts w:hint="default" w:eastAsia="宋体"/>
                <w:color w:val="auto"/>
                <w:sz w:val="24"/>
                <w:lang w:val="en-US" w:eastAsia="zh-CN"/>
              </w:rPr>
            </w:pPr>
            <w:r>
              <w:rPr>
                <w:rFonts w:hint="eastAsia"/>
                <w:color w:val="auto"/>
                <w:sz w:val="24"/>
                <w:lang w:val="en-US" w:eastAsia="zh-CN"/>
              </w:rPr>
              <w:t>本</w:t>
            </w:r>
            <w:r>
              <w:rPr>
                <w:rFonts w:hint="eastAsia"/>
                <w:color w:val="auto"/>
                <w:sz w:val="24"/>
              </w:rPr>
              <w:t>项目物料</w:t>
            </w:r>
            <w:r>
              <w:rPr>
                <w:rFonts w:hint="eastAsia"/>
                <w:color w:val="auto"/>
                <w:sz w:val="24"/>
                <w:lang w:val="en-US" w:eastAsia="zh-CN"/>
              </w:rPr>
              <w:t>为焦粉、除尘灰、兰</w:t>
            </w:r>
            <w:r>
              <w:rPr>
                <w:rFonts w:hint="eastAsia" w:ascii="Times New Roman" w:hAnsi="Times New Roman" w:eastAsia="宋体" w:cs="Times New Roman"/>
                <w:color w:val="auto"/>
                <w:sz w:val="24"/>
                <w:lang w:val="en-US" w:eastAsia="zh-CN"/>
              </w:rPr>
              <w:t>碳粉、粘结剂：</w:t>
            </w:r>
            <w:r>
              <w:rPr>
                <w:rFonts w:hint="eastAsia"/>
                <w:color w:val="auto"/>
                <w:sz w:val="24"/>
                <w:lang w:val="en-US" w:eastAsia="zh-CN"/>
              </w:rPr>
              <w:t>焦粉、</w:t>
            </w:r>
            <w:r>
              <w:rPr>
                <w:rFonts w:hint="eastAsia" w:ascii="Times New Roman" w:hAnsi="Times New Roman" w:eastAsia="宋体" w:cs="Times New Roman"/>
                <w:color w:val="auto"/>
                <w:sz w:val="24"/>
                <w:lang w:val="en-US" w:eastAsia="zh-CN"/>
              </w:rPr>
              <w:t>除尘灰</w:t>
            </w:r>
            <w:r>
              <w:rPr>
                <w:rFonts w:hint="eastAsia"/>
                <w:color w:val="auto"/>
                <w:sz w:val="24"/>
                <w:lang w:val="en-US" w:eastAsia="zh-CN"/>
              </w:rPr>
              <w:t>采用</w:t>
            </w:r>
            <w:r>
              <w:rPr>
                <w:rFonts w:ascii="宋体" w:hAnsi="宋体" w:eastAsia="宋体" w:cs="宋体"/>
                <w:color w:val="auto"/>
                <w:sz w:val="24"/>
                <w:szCs w:val="24"/>
              </w:rPr>
              <w:t>气力输送除灰系统</w:t>
            </w:r>
            <w:r>
              <w:rPr>
                <w:rFonts w:hint="eastAsia" w:ascii="宋体" w:hAnsi="宋体" w:eastAsia="宋体" w:cs="宋体"/>
                <w:color w:val="auto"/>
                <w:sz w:val="24"/>
                <w:szCs w:val="24"/>
                <w:lang w:val="en-US" w:eastAsia="zh-CN"/>
              </w:rPr>
              <w:t>由新航焦化厂区运送至原料仓库堆存和</w:t>
            </w:r>
            <w:r>
              <w:rPr>
                <w:rFonts w:hint="eastAsia" w:ascii="Times New Roman" w:hAnsi="Times New Roman" w:eastAsia="宋体" w:cs="Times New Roman"/>
                <w:color w:val="auto"/>
                <w:sz w:val="24"/>
                <w:lang w:val="en-US" w:eastAsia="zh-CN"/>
              </w:rPr>
              <w:t>钢仓储存</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外购的</w:t>
            </w:r>
            <w:r>
              <w:rPr>
                <w:rFonts w:hint="eastAsia"/>
                <w:color w:val="auto"/>
                <w:sz w:val="24"/>
                <w:lang w:val="en-US" w:eastAsia="zh-CN"/>
              </w:rPr>
              <w:t>焦粉、</w:t>
            </w:r>
            <w:r>
              <w:rPr>
                <w:rFonts w:hint="eastAsia" w:ascii="Times New Roman" w:hAnsi="Times New Roman" w:eastAsia="宋体" w:cs="Times New Roman"/>
                <w:color w:val="auto"/>
                <w:sz w:val="24"/>
                <w:lang w:val="en-US" w:eastAsia="zh-CN"/>
              </w:rPr>
              <w:t>除尘灰采用新能源负压吸排罐车运送至</w:t>
            </w:r>
            <w:r>
              <w:rPr>
                <w:rFonts w:hint="eastAsia" w:ascii="宋体" w:hAnsi="宋体" w:eastAsia="宋体" w:cs="宋体"/>
                <w:color w:val="auto"/>
                <w:sz w:val="24"/>
                <w:szCs w:val="24"/>
                <w:lang w:val="en-US" w:eastAsia="zh-CN"/>
              </w:rPr>
              <w:t>原料仓库堆存和</w:t>
            </w:r>
            <w:r>
              <w:rPr>
                <w:rFonts w:hint="eastAsia" w:ascii="Times New Roman" w:hAnsi="Times New Roman" w:eastAsia="宋体" w:cs="Times New Roman"/>
                <w:color w:val="auto"/>
                <w:sz w:val="24"/>
                <w:lang w:val="en-US" w:eastAsia="zh-CN"/>
              </w:rPr>
              <w:t>钢仓储存</w:t>
            </w:r>
            <w:r>
              <w:rPr>
                <w:rFonts w:hint="eastAsia" w:ascii="宋体" w:hAnsi="宋体" w:eastAsia="宋体" w:cs="宋体"/>
                <w:color w:val="auto"/>
                <w:sz w:val="24"/>
                <w:szCs w:val="24"/>
                <w:lang w:eastAsia="zh-CN"/>
              </w:rPr>
              <w:t>；</w:t>
            </w:r>
            <w:r>
              <w:rPr>
                <w:rFonts w:hint="eastAsia" w:ascii="Times New Roman" w:hAnsi="Times New Roman" w:eastAsia="宋体" w:cs="Times New Roman"/>
                <w:color w:val="auto"/>
                <w:sz w:val="24"/>
                <w:lang w:val="en-US" w:eastAsia="zh-CN"/>
              </w:rPr>
              <w:t>粘结剂外购采用负压吸排罐车运输至储存钢仓；</w:t>
            </w:r>
            <w:r>
              <w:rPr>
                <w:rFonts w:hint="eastAsia"/>
                <w:color w:val="auto"/>
                <w:sz w:val="24"/>
                <w:lang w:val="en-US" w:eastAsia="zh-CN"/>
              </w:rPr>
              <w:t>兰</w:t>
            </w:r>
            <w:r>
              <w:rPr>
                <w:rFonts w:hint="eastAsia" w:ascii="Times New Roman" w:hAnsi="Times New Roman" w:eastAsia="宋体" w:cs="Times New Roman"/>
                <w:color w:val="auto"/>
                <w:sz w:val="24"/>
                <w:lang w:val="en-US" w:eastAsia="zh-CN"/>
              </w:rPr>
              <w:t>碳粉外购采用负压吸排罐车运输至</w:t>
            </w:r>
            <w:r>
              <w:rPr>
                <w:rFonts w:hint="eastAsia" w:ascii="宋体" w:hAnsi="宋体" w:eastAsia="宋体" w:cs="宋体"/>
                <w:color w:val="auto"/>
                <w:sz w:val="24"/>
                <w:szCs w:val="24"/>
                <w:lang w:val="en-US" w:eastAsia="zh-CN"/>
              </w:rPr>
              <w:t>原料仓库堆存。（园区内部、距离较近的运送采用新能源汽车。）</w:t>
            </w:r>
          </w:p>
          <w:p w14:paraId="313F8DAE">
            <w:pPr>
              <w:widowControl/>
              <w:spacing w:line="360" w:lineRule="auto"/>
              <w:ind w:firstLine="480" w:firstLineChars="200"/>
              <w:jc w:val="left"/>
              <w:rPr>
                <w:color w:val="auto"/>
                <w:sz w:val="24"/>
              </w:rPr>
            </w:pPr>
            <w:r>
              <w:rPr>
                <w:rFonts w:hint="eastAsia"/>
                <w:color w:val="auto"/>
                <w:sz w:val="24"/>
              </w:rPr>
              <w:t>项目建成运行后，年运输量约为</w:t>
            </w:r>
            <w:r>
              <w:rPr>
                <w:rFonts w:hint="eastAsia"/>
                <w:color w:val="auto"/>
                <w:sz w:val="24"/>
                <w:lang w:val="en-US" w:eastAsia="zh-CN"/>
              </w:rPr>
              <w:t>74.8902</w:t>
            </w:r>
            <w:r>
              <w:rPr>
                <w:rFonts w:hint="eastAsia"/>
                <w:color w:val="auto"/>
                <w:sz w:val="24"/>
              </w:rPr>
              <w:t>万吨（其中运入量为45.636万吨</w:t>
            </w:r>
            <w:r>
              <w:rPr>
                <w:rFonts w:hint="eastAsia"/>
                <w:color w:val="auto"/>
                <w:sz w:val="24"/>
                <w:lang w:eastAsia="zh-CN"/>
              </w:rPr>
              <w:t>（</w:t>
            </w:r>
            <w:r>
              <w:rPr>
                <w:rFonts w:hint="eastAsia"/>
                <w:color w:val="auto"/>
                <w:sz w:val="24"/>
                <w:lang w:val="en-US" w:eastAsia="zh-CN"/>
              </w:rPr>
              <w:t>为外购的焦粉、除尘灰、兰碳粉、粘结剂</w:t>
            </w:r>
            <w:r>
              <w:rPr>
                <w:rFonts w:hint="eastAsia"/>
                <w:color w:val="auto"/>
                <w:sz w:val="24"/>
                <w:lang w:eastAsia="zh-CN"/>
              </w:rPr>
              <w:t>）</w:t>
            </w:r>
            <w:r>
              <w:rPr>
                <w:rFonts w:hint="eastAsia"/>
                <w:color w:val="auto"/>
                <w:sz w:val="24"/>
              </w:rPr>
              <w:t>，运出量为45万吨），车辆载重为35t，年需运输辆次约为</w:t>
            </w:r>
            <w:r>
              <w:rPr>
                <w:rFonts w:hint="eastAsia"/>
                <w:color w:val="auto"/>
                <w:sz w:val="24"/>
                <w:lang w:val="en-US" w:eastAsia="zh-CN"/>
              </w:rPr>
              <w:t>21398</w:t>
            </w:r>
            <w:r>
              <w:rPr>
                <w:rFonts w:hint="eastAsia"/>
                <w:color w:val="auto"/>
                <w:sz w:val="24"/>
              </w:rPr>
              <w:t>次，由于载重车辆频繁地进出厂区，引起道路扬尘量增加，影响到厂区内环境空气质量，本项目道路均采取混凝土硬化。</w:t>
            </w:r>
          </w:p>
          <w:p w14:paraId="0A74D5E0">
            <w:pPr>
              <w:widowControl/>
              <w:spacing w:line="360" w:lineRule="auto"/>
              <w:ind w:firstLine="480" w:firstLineChars="200"/>
              <w:jc w:val="left"/>
              <w:rPr>
                <w:color w:val="auto"/>
                <w:sz w:val="24"/>
              </w:rPr>
            </w:pPr>
            <w:r>
              <w:rPr>
                <w:rFonts w:hint="eastAsia"/>
                <w:color w:val="auto"/>
                <w:sz w:val="24"/>
              </w:rPr>
              <w:t>环评采用《无组织排放源常用分析与估算方法》（西北铀矿地质，</w:t>
            </w:r>
            <w:r>
              <w:rPr>
                <w:color w:val="auto"/>
                <w:sz w:val="24"/>
              </w:rPr>
              <w:t>2005</w:t>
            </w:r>
            <w:r>
              <w:rPr>
                <w:rFonts w:hint="eastAsia"/>
                <w:color w:val="auto"/>
                <w:sz w:val="24"/>
              </w:rPr>
              <w:t>年</w:t>
            </w:r>
            <w:r>
              <w:rPr>
                <w:color w:val="auto"/>
                <w:sz w:val="24"/>
              </w:rPr>
              <w:t>10</w:t>
            </w:r>
            <w:r>
              <w:rPr>
                <w:rFonts w:hint="eastAsia"/>
                <w:color w:val="auto"/>
                <w:sz w:val="24"/>
              </w:rPr>
              <w:t>月）推荐的经验公式估算运输车辆道路扬尘量：</w:t>
            </w:r>
          </w:p>
          <w:p w14:paraId="7E0B212D">
            <w:pPr>
              <w:widowControl/>
              <w:spacing w:line="360" w:lineRule="auto"/>
              <w:ind w:firstLine="420" w:firstLineChars="200"/>
              <w:jc w:val="left"/>
              <w:rPr>
                <w:color w:val="auto"/>
              </w:rPr>
            </w:pPr>
            <w:r>
              <w:rPr>
                <w:rFonts w:hint="eastAsia"/>
                <w:color w:val="auto"/>
              </w:rPr>
              <w:t xml:space="preserve">       </w:t>
            </w:r>
            <w:r>
              <w:rPr>
                <w:color w:val="auto"/>
              </w:rPr>
              <w:drawing>
                <wp:inline distT="0" distB="0" distL="114300" distR="114300">
                  <wp:extent cx="2952750" cy="790575"/>
                  <wp:effectExtent l="0" t="0" r="0" b="9525"/>
                  <wp:docPr id="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
                          <pic:cNvPicPr>
                            <a:picLocks noChangeAspect="1"/>
                          </pic:cNvPicPr>
                        </pic:nvPicPr>
                        <pic:blipFill>
                          <a:blip r:embed="rId18"/>
                          <a:stretch>
                            <a:fillRect/>
                          </a:stretch>
                        </pic:blipFill>
                        <pic:spPr>
                          <a:xfrm>
                            <a:off x="0" y="0"/>
                            <a:ext cx="2952750" cy="790575"/>
                          </a:xfrm>
                          <a:prstGeom prst="rect">
                            <a:avLst/>
                          </a:prstGeom>
                          <a:noFill/>
                          <a:ln>
                            <a:noFill/>
                          </a:ln>
                        </pic:spPr>
                      </pic:pic>
                    </a:graphicData>
                  </a:graphic>
                </wp:inline>
              </w:drawing>
            </w:r>
          </w:p>
          <w:p w14:paraId="5761EA53">
            <w:pPr>
              <w:widowControl/>
              <w:spacing w:line="360" w:lineRule="auto"/>
              <w:ind w:firstLine="480" w:firstLineChars="200"/>
              <w:jc w:val="left"/>
              <w:rPr>
                <w:color w:val="auto"/>
                <w:kern w:val="0"/>
                <w:sz w:val="24"/>
                <w:lang w:bidi="ar"/>
              </w:rPr>
            </w:pPr>
            <w:r>
              <w:rPr>
                <w:color w:val="auto"/>
                <w:sz w:val="24"/>
              </w:rPr>
              <w:t>式中：：</w:t>
            </w:r>
            <w:r>
              <w:rPr>
                <w:color w:val="auto"/>
                <w:kern w:val="0"/>
                <w:sz w:val="24"/>
                <w:lang w:bidi="ar"/>
              </w:rPr>
              <w:t xml:space="preserve">Qp—运输起尘量，kg/km·辆； </w:t>
            </w:r>
          </w:p>
          <w:p w14:paraId="3B3806D8">
            <w:pPr>
              <w:widowControl/>
              <w:spacing w:line="360" w:lineRule="auto"/>
              <w:ind w:firstLine="1440" w:firstLineChars="600"/>
              <w:jc w:val="left"/>
              <w:rPr>
                <w:color w:val="auto"/>
                <w:sz w:val="24"/>
              </w:rPr>
            </w:pPr>
            <w:r>
              <w:rPr>
                <w:color w:val="auto"/>
                <w:kern w:val="0"/>
                <w:sz w:val="24"/>
                <w:lang w:bidi="ar"/>
              </w:rPr>
              <w:t>Op</w:t>
            </w:r>
            <w:r>
              <w:rPr>
                <w:rFonts w:hint="eastAsia"/>
                <w:color w:val="auto"/>
                <w:kern w:val="0"/>
                <w:sz w:val="24"/>
                <w:vertAlign w:val="superscript"/>
                <w:lang w:bidi="ar"/>
              </w:rPr>
              <w:t>，</w:t>
            </w:r>
            <w:r>
              <w:rPr>
                <w:color w:val="auto"/>
                <w:kern w:val="0"/>
                <w:sz w:val="24"/>
                <w:lang w:bidi="ar"/>
              </w:rPr>
              <w:t xml:space="preserve">—运输途中起尘总量，kg/a； </w:t>
            </w:r>
          </w:p>
          <w:p w14:paraId="62DCC21A">
            <w:pPr>
              <w:widowControl/>
              <w:spacing w:line="360" w:lineRule="auto"/>
              <w:ind w:firstLine="1440" w:firstLineChars="600"/>
              <w:jc w:val="left"/>
              <w:rPr>
                <w:color w:val="auto"/>
                <w:sz w:val="24"/>
              </w:rPr>
            </w:pPr>
            <w:r>
              <w:rPr>
                <w:color w:val="auto"/>
                <w:kern w:val="0"/>
                <w:sz w:val="24"/>
                <w:lang w:bidi="ar"/>
              </w:rPr>
              <w:t xml:space="preserve">V—车辆行驶速度，km/h，取10km/h； </w:t>
            </w:r>
          </w:p>
          <w:p w14:paraId="0E2CBA20">
            <w:pPr>
              <w:widowControl/>
              <w:spacing w:line="360" w:lineRule="auto"/>
              <w:ind w:firstLine="1440" w:firstLineChars="600"/>
              <w:jc w:val="left"/>
              <w:rPr>
                <w:color w:val="auto"/>
                <w:sz w:val="24"/>
              </w:rPr>
            </w:pPr>
            <w:r>
              <w:rPr>
                <w:color w:val="auto"/>
                <w:kern w:val="0"/>
                <w:sz w:val="24"/>
                <w:lang w:bidi="ar"/>
              </w:rPr>
              <w:t xml:space="preserve">M—车辆载重量，t/辆，35t/辆； </w:t>
            </w:r>
          </w:p>
          <w:p w14:paraId="7B2B96D6">
            <w:pPr>
              <w:widowControl/>
              <w:spacing w:line="360" w:lineRule="auto"/>
              <w:ind w:firstLine="1440" w:firstLineChars="600"/>
              <w:jc w:val="left"/>
              <w:rPr>
                <w:color w:val="auto"/>
                <w:sz w:val="24"/>
              </w:rPr>
            </w:pPr>
            <w:r>
              <w:rPr>
                <w:color w:val="auto"/>
                <w:kern w:val="0"/>
                <w:sz w:val="24"/>
                <w:lang w:bidi="ar"/>
              </w:rPr>
              <w:t>P 路面灰尘覆盖率，kg/m</w:t>
            </w:r>
            <w:r>
              <w:rPr>
                <w:color w:val="auto"/>
                <w:kern w:val="0"/>
                <w:sz w:val="24"/>
                <w:vertAlign w:val="superscript"/>
                <w:lang w:bidi="ar"/>
              </w:rPr>
              <w:t>2</w:t>
            </w:r>
            <w:r>
              <w:rPr>
                <w:color w:val="auto"/>
                <w:kern w:val="0"/>
                <w:sz w:val="24"/>
                <w:lang w:bidi="ar"/>
              </w:rPr>
              <w:t>，0.1kg/m</w:t>
            </w:r>
            <w:r>
              <w:rPr>
                <w:color w:val="auto"/>
                <w:kern w:val="0"/>
                <w:sz w:val="24"/>
                <w:vertAlign w:val="superscript"/>
                <w:lang w:bidi="ar"/>
              </w:rPr>
              <w:t>2</w:t>
            </w:r>
            <w:r>
              <w:rPr>
                <w:color w:val="auto"/>
                <w:kern w:val="0"/>
                <w:sz w:val="24"/>
                <w:lang w:bidi="ar"/>
              </w:rPr>
              <w:t xml:space="preserve">； </w:t>
            </w:r>
          </w:p>
          <w:p w14:paraId="1863CDE8">
            <w:pPr>
              <w:widowControl/>
              <w:spacing w:line="360" w:lineRule="auto"/>
              <w:ind w:firstLine="1440" w:firstLineChars="600"/>
              <w:jc w:val="left"/>
              <w:rPr>
                <w:color w:val="auto"/>
                <w:sz w:val="24"/>
              </w:rPr>
            </w:pPr>
            <w:r>
              <w:rPr>
                <w:color w:val="auto"/>
                <w:kern w:val="0"/>
                <w:sz w:val="24"/>
                <w:lang w:bidi="ar"/>
              </w:rPr>
              <w:t>L—运输距离，km，0.</w:t>
            </w:r>
            <w:r>
              <w:rPr>
                <w:rFonts w:hint="eastAsia"/>
                <w:color w:val="auto"/>
                <w:kern w:val="0"/>
                <w:sz w:val="24"/>
                <w:lang w:bidi="ar"/>
              </w:rPr>
              <w:t>2</w:t>
            </w:r>
            <w:r>
              <w:rPr>
                <w:color w:val="auto"/>
                <w:kern w:val="0"/>
                <w:sz w:val="24"/>
                <w:lang w:bidi="ar"/>
              </w:rPr>
              <w:t xml:space="preserve">km; </w:t>
            </w:r>
          </w:p>
          <w:p w14:paraId="7DB30D1F">
            <w:pPr>
              <w:widowControl/>
              <w:spacing w:line="360" w:lineRule="auto"/>
              <w:ind w:firstLine="1440" w:firstLineChars="600"/>
              <w:jc w:val="left"/>
              <w:rPr>
                <w:color w:val="auto"/>
                <w:sz w:val="24"/>
              </w:rPr>
            </w:pPr>
            <w:r>
              <w:rPr>
                <w:color w:val="auto"/>
                <w:kern w:val="0"/>
                <w:sz w:val="24"/>
                <w:lang w:bidi="ar"/>
              </w:rPr>
              <w:t>Q—运输量，t/a，</w:t>
            </w:r>
            <w:r>
              <w:rPr>
                <w:rFonts w:hint="eastAsia"/>
                <w:color w:val="auto"/>
                <w:sz w:val="24"/>
                <w:lang w:val="en-US" w:eastAsia="zh-CN"/>
              </w:rPr>
              <w:t>74.8902</w:t>
            </w:r>
            <w:r>
              <w:rPr>
                <w:color w:val="auto"/>
                <w:kern w:val="0"/>
                <w:sz w:val="24"/>
                <w:lang w:bidi="ar"/>
              </w:rPr>
              <w:t>万t/a。</w:t>
            </w:r>
          </w:p>
          <w:p w14:paraId="25C73A7A">
            <w:pPr>
              <w:widowControl/>
              <w:spacing w:line="360" w:lineRule="auto"/>
              <w:ind w:firstLine="480" w:firstLineChars="200"/>
              <w:jc w:val="left"/>
              <w:rPr>
                <w:color w:val="auto"/>
                <w:sz w:val="24"/>
              </w:rPr>
            </w:pPr>
            <w:r>
              <w:rPr>
                <w:rFonts w:hint="eastAsia"/>
                <w:color w:val="auto"/>
                <w:sz w:val="24"/>
              </w:rPr>
              <w:t>经计算，运输进出场内行驶过程中汽车起尘量为</w:t>
            </w:r>
            <w:r>
              <w:rPr>
                <w:rFonts w:hint="eastAsia"/>
                <w:color w:val="auto"/>
                <w:sz w:val="24"/>
                <w:lang w:val="en-US" w:eastAsia="zh-CN"/>
              </w:rPr>
              <w:t>1.33</w:t>
            </w:r>
            <w:r>
              <w:rPr>
                <w:color w:val="auto"/>
                <w:sz w:val="24"/>
              </w:rPr>
              <w:t>t/a</w:t>
            </w:r>
            <w:r>
              <w:rPr>
                <w:rFonts w:hint="eastAsia"/>
                <w:color w:val="auto"/>
                <w:sz w:val="24"/>
              </w:rPr>
              <w:t>，排放速率为0.</w:t>
            </w:r>
            <w:r>
              <w:rPr>
                <w:rFonts w:hint="eastAsia"/>
                <w:color w:val="auto"/>
                <w:sz w:val="24"/>
                <w:lang w:val="en-US" w:eastAsia="zh-CN"/>
              </w:rPr>
              <w:t>166</w:t>
            </w:r>
            <w:r>
              <w:rPr>
                <w:color w:val="auto"/>
                <w:sz w:val="24"/>
              </w:rPr>
              <w:t>kg/h</w:t>
            </w:r>
            <w:r>
              <w:rPr>
                <w:rFonts w:hint="eastAsia"/>
                <w:color w:val="auto"/>
                <w:sz w:val="24"/>
              </w:rPr>
              <w:t>。</w:t>
            </w:r>
          </w:p>
          <w:p w14:paraId="04A56F2C">
            <w:pPr>
              <w:widowControl/>
              <w:spacing w:line="360" w:lineRule="auto"/>
              <w:ind w:firstLine="480" w:firstLineChars="200"/>
              <w:jc w:val="left"/>
              <w:rPr>
                <w:color w:val="auto"/>
                <w:sz w:val="24"/>
              </w:rPr>
            </w:pPr>
            <w:r>
              <w:rPr>
                <w:rFonts w:hint="eastAsia"/>
                <w:color w:val="auto"/>
                <w:sz w:val="24"/>
              </w:rPr>
              <w:t>为减缓和预防运输过程的扬尘现象，建设单位严禁汽车超载，要求对全厂以及运煤路线路面进行硬化，并定期进行洒水抑尘；运输车辆合理控制车速，进场运输扬尘能够得到有效控制，对周围环境影响较小。采取以上措施，运输扬尘可减少</w:t>
            </w:r>
            <w:r>
              <w:rPr>
                <w:rFonts w:hint="eastAsia"/>
                <w:color w:val="auto"/>
                <w:sz w:val="24"/>
                <w:lang w:val="en-US" w:eastAsia="zh-CN"/>
              </w:rPr>
              <w:t>80</w:t>
            </w:r>
            <w:r>
              <w:rPr>
                <w:color w:val="auto"/>
                <w:sz w:val="24"/>
              </w:rPr>
              <w:t>%</w:t>
            </w:r>
            <w:r>
              <w:rPr>
                <w:rFonts w:hint="eastAsia"/>
                <w:color w:val="auto"/>
                <w:sz w:val="24"/>
              </w:rPr>
              <w:t>，汽车运输进场、场内行驶过程中的扬尘可降至</w:t>
            </w:r>
            <w:r>
              <w:rPr>
                <w:rFonts w:hint="eastAsia"/>
                <w:color w:val="auto"/>
                <w:sz w:val="24"/>
                <w:lang w:val="en-US" w:eastAsia="zh-CN"/>
              </w:rPr>
              <w:t>0.9065</w:t>
            </w:r>
            <w:r>
              <w:rPr>
                <w:color w:val="auto"/>
                <w:sz w:val="24"/>
              </w:rPr>
              <w:t>t/a</w:t>
            </w:r>
            <w:r>
              <w:rPr>
                <w:rFonts w:hint="eastAsia"/>
                <w:color w:val="auto"/>
                <w:sz w:val="24"/>
              </w:rPr>
              <w:t>，排放速率0.</w:t>
            </w:r>
            <w:r>
              <w:rPr>
                <w:rFonts w:hint="eastAsia"/>
                <w:color w:val="auto"/>
                <w:sz w:val="24"/>
                <w:lang w:val="en-US" w:eastAsia="zh-CN"/>
              </w:rPr>
              <w:t>113</w:t>
            </w:r>
            <w:r>
              <w:rPr>
                <w:color w:val="auto"/>
                <w:sz w:val="24"/>
              </w:rPr>
              <w:t>kg/h</w:t>
            </w:r>
            <w:r>
              <w:rPr>
                <w:rFonts w:hint="eastAsia"/>
                <w:color w:val="auto"/>
                <w:sz w:val="24"/>
              </w:rPr>
              <w:t>。</w:t>
            </w:r>
          </w:p>
          <w:p w14:paraId="1E98B7D1">
            <w:pPr>
              <w:widowControl/>
              <w:spacing w:line="360" w:lineRule="auto"/>
              <w:ind w:firstLine="480" w:firstLineChars="200"/>
              <w:jc w:val="left"/>
              <w:rPr>
                <w:color w:val="auto"/>
                <w:sz w:val="24"/>
              </w:rPr>
            </w:pPr>
            <w:r>
              <w:rPr>
                <w:rFonts w:hint="eastAsia"/>
                <w:color w:val="auto"/>
                <w:sz w:val="24"/>
              </w:rPr>
              <w:t>具体排放情况见下表。</w:t>
            </w:r>
          </w:p>
          <w:p w14:paraId="0668641B">
            <w:pPr>
              <w:widowControl/>
              <w:jc w:val="center"/>
              <w:rPr>
                <w:b/>
                <w:bCs/>
                <w:color w:val="auto"/>
                <w:kern w:val="0"/>
                <w:sz w:val="24"/>
                <w:lang w:bidi="ar"/>
              </w:rPr>
            </w:pPr>
            <w:r>
              <w:rPr>
                <w:rFonts w:hint="eastAsia"/>
                <w:b/>
                <w:bCs/>
                <w:color w:val="auto"/>
                <w:kern w:val="0"/>
                <w:sz w:val="24"/>
                <w:lang w:bidi="ar"/>
              </w:rPr>
              <w:t>表4-</w:t>
            </w:r>
            <w:r>
              <w:rPr>
                <w:rFonts w:hint="eastAsia"/>
                <w:b/>
                <w:bCs/>
                <w:color w:val="auto"/>
                <w:kern w:val="0"/>
                <w:sz w:val="24"/>
                <w:lang w:val="en-US" w:eastAsia="zh-CN" w:bidi="ar"/>
              </w:rPr>
              <w:t>1</w:t>
            </w:r>
            <w:r>
              <w:rPr>
                <w:rFonts w:hint="eastAsia"/>
                <w:b/>
                <w:bCs/>
                <w:color w:val="auto"/>
                <w:kern w:val="0"/>
                <w:sz w:val="24"/>
                <w:lang w:bidi="ar"/>
              </w:rPr>
              <w:t xml:space="preserve">    本次评价运输车辆粉尘污染物排放情况</w:t>
            </w:r>
          </w:p>
          <w:tbl>
            <w:tblPr>
              <w:tblStyle w:val="23"/>
              <w:tblW w:w="7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995"/>
              <w:gridCol w:w="1084"/>
              <w:gridCol w:w="885"/>
              <w:gridCol w:w="1710"/>
              <w:gridCol w:w="870"/>
              <w:gridCol w:w="862"/>
            </w:tblGrid>
            <w:tr w14:paraId="0475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375" w:type="dxa"/>
                  <w:vAlign w:val="center"/>
                </w:tcPr>
                <w:p w14:paraId="749B38D7">
                  <w:pPr>
                    <w:snapToGrid w:val="0"/>
                    <w:jc w:val="center"/>
                    <w:rPr>
                      <w:bCs/>
                      <w:color w:val="auto"/>
                      <w:szCs w:val="21"/>
                    </w:rPr>
                  </w:pPr>
                  <w:r>
                    <w:rPr>
                      <w:rFonts w:hint="eastAsia"/>
                      <w:bCs/>
                      <w:color w:val="auto"/>
                      <w:szCs w:val="21"/>
                    </w:rPr>
                    <w:t>污染源</w:t>
                  </w:r>
                </w:p>
              </w:tc>
              <w:tc>
                <w:tcPr>
                  <w:tcW w:w="995" w:type="dxa"/>
                  <w:vAlign w:val="center"/>
                </w:tcPr>
                <w:p w14:paraId="71A573A3">
                  <w:pPr>
                    <w:snapToGrid w:val="0"/>
                    <w:jc w:val="center"/>
                    <w:rPr>
                      <w:bCs/>
                      <w:color w:val="auto"/>
                      <w:szCs w:val="21"/>
                    </w:rPr>
                  </w:pPr>
                  <w:r>
                    <w:rPr>
                      <w:rFonts w:hint="eastAsia"/>
                      <w:bCs/>
                      <w:color w:val="auto"/>
                      <w:szCs w:val="21"/>
                    </w:rPr>
                    <w:t>污染物</w:t>
                  </w:r>
                </w:p>
              </w:tc>
              <w:tc>
                <w:tcPr>
                  <w:tcW w:w="1084" w:type="dxa"/>
                  <w:vAlign w:val="center"/>
                </w:tcPr>
                <w:p w14:paraId="41344FAF">
                  <w:pPr>
                    <w:snapToGrid w:val="0"/>
                    <w:jc w:val="center"/>
                    <w:rPr>
                      <w:bCs/>
                      <w:color w:val="auto"/>
                      <w:szCs w:val="21"/>
                    </w:rPr>
                  </w:pPr>
                  <w:r>
                    <w:rPr>
                      <w:rFonts w:hint="eastAsia"/>
                      <w:bCs/>
                      <w:color w:val="auto"/>
                      <w:szCs w:val="21"/>
                    </w:rPr>
                    <w:t>运输量（万吨/年）</w:t>
                  </w:r>
                </w:p>
              </w:tc>
              <w:tc>
                <w:tcPr>
                  <w:tcW w:w="885" w:type="dxa"/>
                  <w:vAlign w:val="center"/>
                </w:tcPr>
                <w:p w14:paraId="48B42C44">
                  <w:pPr>
                    <w:snapToGrid w:val="0"/>
                    <w:jc w:val="center"/>
                    <w:rPr>
                      <w:bCs/>
                      <w:color w:val="auto"/>
                      <w:szCs w:val="21"/>
                    </w:rPr>
                  </w:pPr>
                  <w:r>
                    <w:rPr>
                      <w:rFonts w:hint="eastAsia"/>
                      <w:bCs/>
                      <w:color w:val="auto"/>
                      <w:szCs w:val="21"/>
                    </w:rPr>
                    <w:t>产生</w:t>
                  </w:r>
                </w:p>
                <w:p w14:paraId="681D79B9">
                  <w:pPr>
                    <w:snapToGrid w:val="0"/>
                    <w:jc w:val="center"/>
                    <w:rPr>
                      <w:bCs/>
                      <w:color w:val="auto"/>
                      <w:szCs w:val="21"/>
                    </w:rPr>
                  </w:pPr>
                  <w:r>
                    <w:rPr>
                      <w:rFonts w:hint="eastAsia"/>
                      <w:bCs/>
                      <w:color w:val="auto"/>
                      <w:szCs w:val="21"/>
                    </w:rPr>
                    <w:t xml:space="preserve">量 </w:t>
                  </w:r>
                  <w:r>
                    <w:rPr>
                      <w:bCs/>
                      <w:color w:val="auto"/>
                      <w:szCs w:val="21"/>
                    </w:rPr>
                    <w:t>t/a</w:t>
                  </w:r>
                </w:p>
              </w:tc>
              <w:tc>
                <w:tcPr>
                  <w:tcW w:w="1710" w:type="dxa"/>
                  <w:vAlign w:val="center"/>
                </w:tcPr>
                <w:p w14:paraId="34AC0828">
                  <w:pPr>
                    <w:snapToGrid w:val="0"/>
                    <w:jc w:val="center"/>
                    <w:rPr>
                      <w:bCs/>
                      <w:color w:val="auto"/>
                      <w:szCs w:val="21"/>
                    </w:rPr>
                  </w:pPr>
                  <w:r>
                    <w:rPr>
                      <w:rFonts w:hint="eastAsia"/>
                      <w:bCs/>
                      <w:color w:val="auto"/>
                      <w:szCs w:val="21"/>
                    </w:rPr>
                    <w:t>治理</w:t>
                  </w:r>
                </w:p>
                <w:p w14:paraId="6A1317E6">
                  <w:pPr>
                    <w:snapToGrid w:val="0"/>
                    <w:jc w:val="center"/>
                    <w:rPr>
                      <w:bCs/>
                      <w:color w:val="auto"/>
                      <w:szCs w:val="21"/>
                    </w:rPr>
                  </w:pPr>
                  <w:r>
                    <w:rPr>
                      <w:rFonts w:hint="eastAsia"/>
                      <w:bCs/>
                      <w:color w:val="auto"/>
                      <w:szCs w:val="21"/>
                    </w:rPr>
                    <w:t>措施</w:t>
                  </w:r>
                </w:p>
              </w:tc>
              <w:tc>
                <w:tcPr>
                  <w:tcW w:w="870" w:type="dxa"/>
                  <w:vAlign w:val="center"/>
                </w:tcPr>
                <w:p w14:paraId="6698407A">
                  <w:pPr>
                    <w:snapToGrid w:val="0"/>
                    <w:jc w:val="center"/>
                    <w:rPr>
                      <w:bCs/>
                      <w:color w:val="auto"/>
                      <w:szCs w:val="21"/>
                    </w:rPr>
                  </w:pPr>
                  <w:r>
                    <w:rPr>
                      <w:rFonts w:hint="eastAsia"/>
                      <w:bCs/>
                      <w:color w:val="auto"/>
                      <w:szCs w:val="21"/>
                    </w:rPr>
                    <w:t>排放量</w:t>
                  </w:r>
                </w:p>
                <w:p w14:paraId="3D9736BB">
                  <w:pPr>
                    <w:snapToGrid w:val="0"/>
                    <w:jc w:val="center"/>
                    <w:rPr>
                      <w:bCs/>
                      <w:color w:val="auto"/>
                      <w:szCs w:val="21"/>
                    </w:rPr>
                  </w:pPr>
                  <w:r>
                    <w:rPr>
                      <w:bCs/>
                      <w:color w:val="auto"/>
                      <w:szCs w:val="21"/>
                    </w:rPr>
                    <w:t>t/a</w:t>
                  </w:r>
                </w:p>
              </w:tc>
              <w:tc>
                <w:tcPr>
                  <w:tcW w:w="862" w:type="dxa"/>
                  <w:vAlign w:val="center"/>
                </w:tcPr>
                <w:p w14:paraId="6D7B57A4">
                  <w:pPr>
                    <w:snapToGrid w:val="0"/>
                    <w:jc w:val="center"/>
                    <w:rPr>
                      <w:bCs/>
                      <w:color w:val="auto"/>
                      <w:szCs w:val="21"/>
                    </w:rPr>
                  </w:pPr>
                  <w:r>
                    <w:rPr>
                      <w:rFonts w:hint="eastAsia"/>
                      <w:bCs/>
                      <w:color w:val="auto"/>
                      <w:szCs w:val="21"/>
                    </w:rPr>
                    <w:t>排放</w:t>
                  </w:r>
                </w:p>
                <w:p w14:paraId="7B6DA4EF">
                  <w:pPr>
                    <w:snapToGrid w:val="0"/>
                    <w:jc w:val="center"/>
                    <w:rPr>
                      <w:bCs/>
                      <w:color w:val="auto"/>
                      <w:szCs w:val="21"/>
                    </w:rPr>
                  </w:pPr>
                  <w:r>
                    <w:rPr>
                      <w:rFonts w:hint="eastAsia"/>
                      <w:bCs/>
                      <w:color w:val="auto"/>
                      <w:szCs w:val="21"/>
                    </w:rPr>
                    <w:t xml:space="preserve">速率 </w:t>
                  </w:r>
                  <w:r>
                    <w:rPr>
                      <w:bCs/>
                      <w:color w:val="auto"/>
                      <w:szCs w:val="21"/>
                    </w:rPr>
                    <w:t>kg/h</w:t>
                  </w:r>
                </w:p>
              </w:tc>
            </w:tr>
            <w:tr w14:paraId="4941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375" w:type="dxa"/>
                  <w:vAlign w:val="center"/>
                </w:tcPr>
                <w:p w14:paraId="037D4308">
                  <w:pPr>
                    <w:snapToGrid w:val="0"/>
                    <w:jc w:val="center"/>
                    <w:rPr>
                      <w:bCs/>
                      <w:color w:val="auto"/>
                      <w:szCs w:val="21"/>
                    </w:rPr>
                  </w:pPr>
                  <w:r>
                    <w:rPr>
                      <w:rFonts w:hint="eastAsia"/>
                      <w:bCs/>
                      <w:color w:val="auto"/>
                      <w:szCs w:val="21"/>
                    </w:rPr>
                    <w:t>运输扬尘</w:t>
                  </w:r>
                </w:p>
              </w:tc>
              <w:tc>
                <w:tcPr>
                  <w:tcW w:w="995" w:type="dxa"/>
                  <w:vAlign w:val="center"/>
                </w:tcPr>
                <w:p w14:paraId="1E5D6404">
                  <w:pPr>
                    <w:snapToGrid w:val="0"/>
                    <w:jc w:val="center"/>
                    <w:rPr>
                      <w:bCs/>
                      <w:color w:val="auto"/>
                      <w:szCs w:val="21"/>
                    </w:rPr>
                  </w:pPr>
                  <w:r>
                    <w:rPr>
                      <w:rFonts w:hint="eastAsia"/>
                      <w:bCs/>
                      <w:color w:val="auto"/>
                      <w:szCs w:val="21"/>
                    </w:rPr>
                    <w:t>颗粒物</w:t>
                  </w:r>
                </w:p>
              </w:tc>
              <w:tc>
                <w:tcPr>
                  <w:tcW w:w="1084" w:type="dxa"/>
                  <w:vAlign w:val="center"/>
                </w:tcPr>
                <w:p w14:paraId="7397EEAB">
                  <w:pPr>
                    <w:snapToGrid w:val="0"/>
                    <w:jc w:val="center"/>
                    <w:rPr>
                      <w:rFonts w:hint="default" w:eastAsia="宋体"/>
                      <w:bCs/>
                      <w:color w:val="auto"/>
                      <w:szCs w:val="21"/>
                      <w:lang w:val="en-US" w:eastAsia="zh-CN"/>
                    </w:rPr>
                  </w:pPr>
                  <w:r>
                    <w:rPr>
                      <w:rFonts w:hint="eastAsia"/>
                      <w:bCs/>
                      <w:color w:val="auto"/>
                      <w:szCs w:val="21"/>
                      <w:lang w:val="en-US" w:eastAsia="zh-CN"/>
                    </w:rPr>
                    <w:t>74.8902</w:t>
                  </w:r>
                </w:p>
              </w:tc>
              <w:tc>
                <w:tcPr>
                  <w:tcW w:w="885" w:type="dxa"/>
                  <w:vAlign w:val="center"/>
                </w:tcPr>
                <w:p w14:paraId="626FCBD6">
                  <w:pPr>
                    <w:snapToGrid w:val="0"/>
                    <w:jc w:val="center"/>
                    <w:rPr>
                      <w:rFonts w:hint="default" w:eastAsia="宋体"/>
                      <w:bCs/>
                      <w:color w:val="auto"/>
                      <w:szCs w:val="21"/>
                      <w:lang w:val="en-US" w:eastAsia="zh-CN"/>
                    </w:rPr>
                  </w:pPr>
                  <w:r>
                    <w:rPr>
                      <w:rFonts w:hint="eastAsia"/>
                      <w:bCs/>
                      <w:color w:val="auto"/>
                      <w:szCs w:val="21"/>
                      <w:lang w:val="en-US" w:eastAsia="zh-CN"/>
                    </w:rPr>
                    <w:t>1.33</w:t>
                  </w:r>
                </w:p>
              </w:tc>
              <w:tc>
                <w:tcPr>
                  <w:tcW w:w="1710" w:type="dxa"/>
                  <w:vAlign w:val="center"/>
                </w:tcPr>
                <w:p w14:paraId="5CD77873">
                  <w:pPr>
                    <w:snapToGrid w:val="0"/>
                    <w:jc w:val="center"/>
                    <w:rPr>
                      <w:bCs/>
                      <w:color w:val="auto"/>
                      <w:szCs w:val="21"/>
                    </w:rPr>
                  </w:pPr>
                  <w:r>
                    <w:rPr>
                      <w:rFonts w:hint="eastAsia"/>
                      <w:bCs/>
                      <w:color w:val="auto"/>
                      <w:szCs w:val="21"/>
                    </w:rPr>
                    <w:t>道路硬化+及时清扫+洒水降尘</w:t>
                  </w:r>
                </w:p>
              </w:tc>
              <w:tc>
                <w:tcPr>
                  <w:tcW w:w="870" w:type="dxa"/>
                  <w:vAlign w:val="center"/>
                </w:tcPr>
                <w:p w14:paraId="48A8F972">
                  <w:pPr>
                    <w:numPr>
                      <w:ilvl w:val="0"/>
                      <w:numId w:val="13"/>
                    </w:numPr>
                    <w:snapToGrid w:val="0"/>
                    <w:jc w:val="center"/>
                    <w:rPr>
                      <w:rFonts w:hint="default" w:eastAsia="宋体"/>
                      <w:bCs/>
                      <w:color w:val="auto"/>
                      <w:szCs w:val="21"/>
                      <w:lang w:val="en-US" w:eastAsia="zh-CN"/>
                    </w:rPr>
                  </w:pPr>
                  <w:r>
                    <w:rPr>
                      <w:rFonts w:hint="eastAsia" w:eastAsia="宋体"/>
                      <w:bCs/>
                      <w:color w:val="auto"/>
                      <w:szCs w:val="21"/>
                      <w:lang w:val="en-US" w:eastAsia="zh-CN"/>
                    </w:rPr>
                    <w:t>266</w:t>
                  </w:r>
                </w:p>
              </w:tc>
              <w:tc>
                <w:tcPr>
                  <w:tcW w:w="862" w:type="dxa"/>
                  <w:vAlign w:val="center"/>
                </w:tcPr>
                <w:p w14:paraId="3972B6F0">
                  <w:pPr>
                    <w:snapToGrid w:val="0"/>
                    <w:jc w:val="center"/>
                    <w:rPr>
                      <w:rFonts w:hint="default" w:eastAsia="宋体"/>
                      <w:bCs/>
                      <w:color w:val="auto"/>
                      <w:szCs w:val="21"/>
                      <w:lang w:val="en-US" w:eastAsia="zh-CN"/>
                    </w:rPr>
                  </w:pPr>
                  <w:r>
                    <w:rPr>
                      <w:rFonts w:hint="eastAsia"/>
                      <w:bCs/>
                      <w:color w:val="auto"/>
                      <w:szCs w:val="21"/>
                      <w:lang w:val="en-US" w:eastAsia="zh-CN"/>
                    </w:rPr>
                    <w:t>0.0332</w:t>
                  </w:r>
                </w:p>
              </w:tc>
            </w:tr>
          </w:tbl>
          <w:p w14:paraId="73A4613F">
            <w:pPr>
              <w:pStyle w:val="19"/>
              <w:numPr>
                <w:ilvl w:val="0"/>
                <w:numId w:val="14"/>
              </w:numPr>
              <w:spacing w:before="0" w:beforeAutospacing="0" w:after="0" w:afterAutospacing="0" w:line="360" w:lineRule="auto"/>
              <w:ind w:firstLine="480" w:firstLineChars="200"/>
              <w:outlineLvl w:val="0"/>
              <w:rPr>
                <w:rFonts w:ascii="Times New Roman" w:hAnsi="Times New Roman"/>
                <w:color w:val="auto"/>
              </w:rPr>
            </w:pPr>
            <w:r>
              <w:rPr>
                <w:rFonts w:hint="eastAsia" w:ascii="Times New Roman" w:hAnsi="Times New Roman"/>
                <w:color w:val="auto"/>
              </w:rPr>
              <w:t>卸料</w:t>
            </w:r>
            <w:r>
              <w:rPr>
                <w:rFonts w:hint="eastAsia" w:ascii="Times New Roman" w:hAnsi="Times New Roman"/>
                <w:color w:val="auto"/>
                <w:lang w:val="en-US" w:eastAsia="zh-CN"/>
              </w:rPr>
              <w:t>粉尘</w:t>
            </w:r>
            <w:r>
              <w:rPr>
                <w:rFonts w:hint="eastAsia" w:ascii="Times New Roman" w:hAnsi="Times New Roman"/>
                <w:color w:val="auto"/>
              </w:rPr>
              <w:t>G</w:t>
            </w:r>
            <w:r>
              <w:rPr>
                <w:rFonts w:hint="eastAsia" w:ascii="Times New Roman" w:hAnsi="Times New Roman"/>
                <w:color w:val="auto"/>
                <w:lang w:val="en-US" w:eastAsia="zh-CN"/>
              </w:rPr>
              <w:t>2、筒仓粉尘G3、</w:t>
            </w:r>
            <w:r>
              <w:rPr>
                <w:rFonts w:hint="eastAsia" w:ascii="Times New Roman" w:hAnsi="Times New Roman"/>
                <w:color w:val="auto"/>
              </w:rPr>
              <w:t>堆存粉尘G</w:t>
            </w:r>
            <w:r>
              <w:rPr>
                <w:rFonts w:hint="eastAsia" w:ascii="Times New Roman" w:hAnsi="Times New Roman"/>
                <w:color w:val="auto"/>
                <w:lang w:val="en-US" w:eastAsia="zh-CN"/>
              </w:rPr>
              <w:t>4</w:t>
            </w:r>
          </w:p>
          <w:p w14:paraId="6BD389DB">
            <w:pPr>
              <w:pStyle w:val="19"/>
              <w:spacing w:before="0" w:beforeAutospacing="0" w:after="0" w:afterAutospacing="0" w:line="360" w:lineRule="auto"/>
              <w:ind w:firstLine="480" w:firstLineChars="200"/>
              <w:outlineLvl w:val="0"/>
              <w:rPr>
                <w:rFonts w:hint="default" w:ascii="Times New Roman" w:hAnsi="Times New Roman" w:eastAsia="宋体"/>
                <w:color w:val="auto"/>
                <w:lang w:val="en-US" w:eastAsia="zh-CN"/>
              </w:rPr>
            </w:pPr>
            <w:r>
              <w:rPr>
                <w:rFonts w:hint="eastAsia" w:ascii="Times New Roman" w:hAnsi="Times New Roman"/>
                <w:color w:val="auto"/>
              </w:rPr>
              <w:t>焦粉、兰碳粉</w:t>
            </w:r>
            <w:r>
              <w:rPr>
                <w:rFonts w:hint="eastAsia" w:ascii="Times New Roman" w:hAnsi="Times New Roman"/>
                <w:color w:val="auto"/>
                <w:lang w:eastAsia="zh-CN"/>
              </w:rPr>
              <w:t>、</w:t>
            </w:r>
            <w:r>
              <w:rPr>
                <w:rFonts w:hint="eastAsia" w:ascii="Times New Roman" w:hAnsi="Times New Roman"/>
                <w:color w:val="auto"/>
                <w:lang w:val="en-US" w:eastAsia="zh-CN"/>
              </w:rPr>
              <w:t>除尘灰、粘结剂</w:t>
            </w:r>
            <w:r>
              <w:rPr>
                <w:rFonts w:hint="eastAsia" w:cs="宋体"/>
                <w:color w:val="auto"/>
                <w:szCs w:val="24"/>
                <w:lang w:bidi="ar"/>
              </w:rPr>
              <w:t>运来后，</w:t>
            </w:r>
            <w:r>
              <w:rPr>
                <w:rFonts w:hint="eastAsia" w:ascii="Times New Roman" w:hAnsi="Times New Roman"/>
                <w:color w:val="auto"/>
              </w:rPr>
              <w:t>本项目需要卸料</w:t>
            </w:r>
            <w:r>
              <w:rPr>
                <w:rFonts w:hint="eastAsia" w:ascii="Times New Roman" w:hAnsi="Times New Roman"/>
                <w:color w:val="auto"/>
                <w:lang w:val="en-US" w:eastAsia="zh-CN"/>
              </w:rPr>
              <w:t>为45.636</w:t>
            </w:r>
            <w:r>
              <w:rPr>
                <w:rFonts w:hint="eastAsia" w:ascii="Times New Roman" w:hAnsi="Times New Roman"/>
                <w:color w:val="auto"/>
              </w:rPr>
              <w:t>万吨</w:t>
            </w:r>
            <w:r>
              <w:rPr>
                <w:rFonts w:hint="eastAsia" w:ascii="Times New Roman" w:hAnsi="Times New Roman"/>
                <w:color w:val="auto"/>
                <w:lang w:eastAsia="zh-CN"/>
              </w:rPr>
              <w:t>；</w:t>
            </w:r>
            <w:r>
              <w:rPr>
                <w:rFonts w:hint="eastAsia" w:ascii="Times New Roman" w:hAnsi="Times New Roman"/>
                <w:color w:val="auto"/>
              </w:rPr>
              <w:t>焦粉、兰碳粉</w:t>
            </w:r>
            <w:r>
              <w:rPr>
                <w:rFonts w:hint="eastAsia" w:ascii="Times New Roman" w:hAnsi="Times New Roman"/>
                <w:color w:val="auto"/>
                <w:lang w:val="en-US" w:eastAsia="zh-CN"/>
              </w:rPr>
              <w:t>原料仓库堆存为34.056万吨；除尘灰、粘结剂为筒仓储存，储存量为11.58万吨。</w:t>
            </w:r>
          </w:p>
          <w:p w14:paraId="5FF140A1">
            <w:pPr>
              <w:widowControl/>
              <w:spacing w:line="360" w:lineRule="auto"/>
              <w:ind w:firstLine="482" w:firstLineChars="200"/>
              <w:jc w:val="left"/>
              <w:rPr>
                <w:rFonts w:hint="eastAsia" w:ascii="Times New Roman" w:hAnsi="Times New Roman"/>
                <w:color w:val="auto"/>
              </w:rPr>
            </w:pPr>
            <w:r>
              <w:rPr>
                <w:rFonts w:hint="eastAsia"/>
                <w:b/>
                <w:bCs/>
                <w:color w:val="auto"/>
                <w:kern w:val="0"/>
                <w:sz w:val="24"/>
                <w:szCs w:val="20"/>
                <w:lang w:val="en-US" w:eastAsia="zh-CN"/>
              </w:rPr>
              <w:t>卸料粉尘：</w:t>
            </w:r>
            <w:r>
              <w:rPr>
                <w:rFonts w:hint="eastAsia"/>
                <w:color w:val="auto"/>
                <w:kern w:val="0"/>
                <w:sz w:val="24"/>
                <w:szCs w:val="20"/>
                <w:lang w:val="en-US" w:eastAsia="zh-CN"/>
              </w:rPr>
              <w:t>参考</w:t>
            </w:r>
            <w:r>
              <w:rPr>
                <w:rFonts w:hint="eastAsia"/>
                <w:color w:val="auto"/>
                <w:kern w:val="0"/>
                <w:sz w:val="24"/>
                <w:szCs w:val="20"/>
              </w:rPr>
              <w:t>《逸散性工业粉尘控制技术》中“煤加工厂”表</w:t>
            </w:r>
            <w:r>
              <w:rPr>
                <w:color w:val="auto"/>
                <w:kern w:val="0"/>
                <w:sz w:val="24"/>
                <w:szCs w:val="20"/>
              </w:rPr>
              <w:t>19-2</w:t>
            </w:r>
            <w:r>
              <w:rPr>
                <w:rFonts w:hint="eastAsia"/>
                <w:color w:val="auto"/>
                <w:kern w:val="0"/>
                <w:sz w:val="24"/>
                <w:szCs w:val="20"/>
              </w:rPr>
              <w:t>中</w:t>
            </w:r>
            <w:r>
              <w:rPr>
                <w:rFonts w:hint="eastAsia"/>
                <w:color w:val="auto"/>
                <w:kern w:val="0"/>
                <w:sz w:val="24"/>
                <w:szCs w:val="20"/>
                <w:lang w:val="en-US" w:eastAsia="zh-CN"/>
              </w:rPr>
              <w:t>卸料</w:t>
            </w:r>
            <w:r>
              <w:rPr>
                <w:rFonts w:hint="eastAsia"/>
                <w:color w:val="auto"/>
                <w:kern w:val="0"/>
                <w:sz w:val="24"/>
                <w:lang w:bidi="ar"/>
              </w:rPr>
              <w:t>粉尘排放因子为</w:t>
            </w:r>
            <w:r>
              <w:rPr>
                <w:color w:val="auto"/>
                <w:kern w:val="0"/>
                <w:sz w:val="24"/>
                <w:lang w:bidi="ar"/>
              </w:rPr>
              <w:t>0.</w:t>
            </w:r>
            <w:r>
              <w:rPr>
                <w:rFonts w:hint="eastAsia"/>
                <w:color w:val="auto"/>
                <w:kern w:val="0"/>
                <w:sz w:val="24"/>
                <w:lang w:val="en-US" w:eastAsia="zh-CN" w:bidi="ar"/>
              </w:rPr>
              <w:t>0</w:t>
            </w:r>
            <w:r>
              <w:rPr>
                <w:color w:val="auto"/>
                <w:kern w:val="0"/>
                <w:sz w:val="24"/>
                <w:lang w:bidi="ar"/>
              </w:rPr>
              <w:t>1kg/t</w:t>
            </w:r>
            <w:r>
              <w:rPr>
                <w:rFonts w:hint="eastAsia"/>
                <w:color w:val="auto"/>
                <w:kern w:val="0"/>
                <w:sz w:val="24"/>
                <w:lang w:bidi="ar"/>
              </w:rPr>
              <w:t>，</w:t>
            </w:r>
            <w:r>
              <w:rPr>
                <w:rFonts w:hint="eastAsia" w:ascii="Times New Roman" w:hAnsi="Times New Roman" w:eastAsia="宋体" w:cs="Times New Roman"/>
                <w:color w:val="auto"/>
                <w:kern w:val="0"/>
                <w:sz w:val="24"/>
                <w:szCs w:val="20"/>
                <w:lang w:val="en-US" w:eastAsia="zh-CN" w:bidi="ar-SA"/>
              </w:rPr>
              <w:t>焦粉、兰碳粉、除尘灰、粘结剂为</w:t>
            </w:r>
            <w:r>
              <w:rPr>
                <w:rFonts w:hint="eastAsia" w:cs="Times New Roman"/>
                <w:color w:val="auto"/>
                <w:kern w:val="0"/>
                <w:sz w:val="24"/>
                <w:szCs w:val="20"/>
                <w:lang w:val="en-US" w:eastAsia="zh-CN" w:bidi="ar-SA"/>
              </w:rPr>
              <w:t>45.636</w:t>
            </w:r>
            <w:r>
              <w:rPr>
                <w:color w:val="auto"/>
                <w:kern w:val="0"/>
                <w:sz w:val="24"/>
                <w:lang w:bidi="ar"/>
              </w:rPr>
              <w:t>万吨</w:t>
            </w:r>
            <w:r>
              <w:rPr>
                <w:rFonts w:hint="eastAsia"/>
                <w:color w:val="auto"/>
                <w:kern w:val="0"/>
                <w:sz w:val="24"/>
                <w:lang w:bidi="ar"/>
              </w:rPr>
              <w:t>，则粉尘产生量为</w:t>
            </w:r>
            <w:r>
              <w:rPr>
                <w:rFonts w:hint="eastAsia"/>
                <w:color w:val="auto"/>
                <w:kern w:val="0"/>
                <w:sz w:val="24"/>
                <w:lang w:val="en-US" w:eastAsia="zh-CN" w:bidi="ar"/>
              </w:rPr>
              <w:t>4.5636</w:t>
            </w:r>
            <w:r>
              <w:rPr>
                <w:color w:val="auto"/>
                <w:kern w:val="0"/>
                <w:sz w:val="24"/>
                <w:lang w:bidi="ar"/>
              </w:rPr>
              <w:t>t/a</w:t>
            </w:r>
            <w:r>
              <w:rPr>
                <w:rFonts w:hint="eastAsia"/>
                <w:color w:val="auto"/>
                <w:kern w:val="0"/>
                <w:sz w:val="24"/>
                <w:lang w:bidi="ar"/>
              </w:rPr>
              <w:t>，产生速率为</w:t>
            </w:r>
            <w:r>
              <w:rPr>
                <w:rFonts w:hint="eastAsia"/>
                <w:color w:val="auto"/>
                <w:kern w:val="0"/>
                <w:sz w:val="24"/>
                <w:lang w:val="en-US" w:eastAsia="zh-CN" w:bidi="ar"/>
              </w:rPr>
              <w:t>0.57</w:t>
            </w:r>
            <w:r>
              <w:rPr>
                <w:color w:val="auto"/>
                <w:kern w:val="0"/>
                <w:sz w:val="24"/>
                <w:lang w:bidi="ar"/>
              </w:rPr>
              <w:t>kg/h</w:t>
            </w:r>
            <w:r>
              <w:rPr>
                <w:rFonts w:hint="eastAsia"/>
                <w:color w:val="auto"/>
                <w:kern w:val="0"/>
                <w:sz w:val="24"/>
                <w:lang w:eastAsia="zh-CN" w:bidi="ar"/>
              </w:rPr>
              <w:t>。</w:t>
            </w:r>
          </w:p>
          <w:p w14:paraId="12AA076A">
            <w:pPr>
              <w:pStyle w:val="19"/>
              <w:spacing w:before="0" w:beforeAutospacing="0" w:after="0" w:afterAutospacing="0" w:line="360" w:lineRule="auto"/>
              <w:ind w:firstLine="480" w:firstLineChars="200"/>
              <w:outlineLvl w:val="0"/>
              <w:rPr>
                <w:rFonts w:hint="eastAsia" w:ascii="Times New Roman" w:hAnsi="Times New Roman" w:eastAsia="宋体"/>
                <w:color w:val="auto"/>
                <w:lang w:eastAsia="zh-CN"/>
              </w:rPr>
            </w:pPr>
            <w:r>
              <w:rPr>
                <w:rFonts w:hint="eastAsia" w:ascii="Times New Roman" w:hAnsi="Times New Roman"/>
                <w:color w:val="auto"/>
                <w:lang w:val="en-US" w:eastAsia="zh-CN"/>
              </w:rPr>
              <w:t>本项目</w:t>
            </w:r>
            <w:r>
              <w:rPr>
                <w:rFonts w:hint="eastAsia" w:ascii="Times New Roman" w:hAnsi="Times New Roman"/>
                <w:color w:val="auto"/>
              </w:rPr>
              <w:t>采取封</w:t>
            </w:r>
            <w:r>
              <w:rPr>
                <w:rFonts w:hint="eastAsia" w:ascii="Times New Roman" w:hAnsi="Times New Roman"/>
                <w:color w:val="auto"/>
              </w:rPr>
              <w:t>闭厂房措施</w:t>
            </w:r>
            <w:r>
              <w:rPr>
                <w:rFonts w:hint="eastAsia" w:ascii="Times New Roman" w:hAnsi="Times New Roman"/>
                <w:color w:val="auto"/>
                <w:lang w:eastAsia="zh-CN"/>
              </w:rPr>
              <w:t>、</w:t>
            </w:r>
            <w:r>
              <w:rPr>
                <w:rFonts w:ascii="宋体" w:hAnsi="宋体" w:eastAsia="宋体" w:cs="宋体"/>
                <w:color w:val="auto"/>
                <w:sz w:val="24"/>
                <w:szCs w:val="24"/>
              </w:rPr>
              <w:t>气力输送除灰系统</w:t>
            </w:r>
            <w:r>
              <w:rPr>
                <w:rFonts w:hint="eastAsia" w:ascii="宋体" w:hAnsi="宋体" w:eastAsia="宋体" w:cs="宋体"/>
                <w:color w:val="auto"/>
                <w:sz w:val="24"/>
                <w:szCs w:val="24"/>
                <w:lang w:val="en-US" w:eastAsia="zh-CN"/>
              </w:rPr>
              <w:t>和</w:t>
            </w:r>
            <w:r>
              <w:rPr>
                <w:rFonts w:hint="eastAsia" w:ascii="Times New Roman" w:hAnsi="Times New Roman" w:eastAsia="宋体" w:cs="Times New Roman"/>
                <w:color w:val="auto"/>
                <w:sz w:val="24"/>
                <w:lang w:val="en-US" w:eastAsia="zh-CN"/>
              </w:rPr>
              <w:t>负压吸排罐车</w:t>
            </w:r>
            <w:r>
              <w:rPr>
                <w:rFonts w:hint="eastAsia" w:ascii="Times New Roman" w:hAnsi="Times New Roman"/>
                <w:color w:val="auto"/>
              </w:rPr>
              <w:t>，粉尘控制效率可达</w:t>
            </w:r>
            <w:r>
              <w:rPr>
                <w:rFonts w:hint="eastAsia" w:ascii="Times New Roman" w:hAnsi="Times New Roman"/>
                <w:color w:val="auto"/>
                <w:lang w:val="en-US" w:eastAsia="zh-CN"/>
              </w:rPr>
              <w:t>99</w:t>
            </w:r>
            <w:r>
              <w:rPr>
                <w:rFonts w:hint="eastAsia" w:ascii="Times New Roman" w:hAnsi="Times New Roman"/>
                <w:color w:val="auto"/>
              </w:rPr>
              <w:t>%，</w:t>
            </w:r>
            <w:r>
              <w:rPr>
                <w:rFonts w:hint="eastAsia" w:ascii="Times New Roman" w:hAnsi="Times New Roman"/>
                <w:color w:val="auto"/>
                <w:lang w:eastAsia="zh-CN"/>
              </w:rPr>
              <w:t>粉尘排放量为</w:t>
            </w:r>
            <w:r>
              <w:rPr>
                <w:rFonts w:hint="eastAsia" w:ascii="Times New Roman" w:hAnsi="Times New Roman"/>
                <w:color w:val="auto"/>
                <w:lang w:val="en-US" w:eastAsia="zh-CN"/>
              </w:rPr>
              <w:t>0.0456</w:t>
            </w:r>
            <w:r>
              <w:rPr>
                <w:rFonts w:hint="eastAsia" w:ascii="Times New Roman" w:hAnsi="Times New Roman"/>
                <w:color w:val="auto"/>
                <w:lang w:eastAsia="zh-CN"/>
              </w:rPr>
              <w:t>t/a，排放速率为</w:t>
            </w:r>
            <w:r>
              <w:rPr>
                <w:rFonts w:hint="eastAsia" w:ascii="Times New Roman" w:hAnsi="Times New Roman"/>
                <w:color w:val="auto"/>
                <w:lang w:val="en-US" w:eastAsia="zh-CN"/>
              </w:rPr>
              <w:t>0.0057</w:t>
            </w:r>
            <w:r>
              <w:rPr>
                <w:rFonts w:hint="eastAsia" w:ascii="Times New Roman" w:hAnsi="Times New Roman"/>
                <w:color w:val="auto"/>
                <w:lang w:eastAsia="zh-CN"/>
              </w:rPr>
              <w:t>kg/h。</w:t>
            </w:r>
          </w:p>
          <w:p w14:paraId="6A38F957">
            <w:pPr>
              <w:pStyle w:val="19"/>
              <w:spacing w:before="0" w:beforeAutospacing="0" w:after="0" w:afterAutospacing="0" w:line="360" w:lineRule="auto"/>
              <w:ind w:firstLine="482" w:firstLineChars="200"/>
              <w:outlineLvl w:val="0"/>
              <w:rPr>
                <w:rFonts w:hint="eastAsia" w:ascii="Times New Roman" w:hAnsi="Times New Roman"/>
                <w:color w:val="auto"/>
                <w:lang w:val="en-US" w:eastAsia="zh-CN"/>
              </w:rPr>
            </w:pPr>
            <w:r>
              <w:rPr>
                <w:rFonts w:hint="eastAsia" w:ascii="Times New Roman" w:hAnsi="Times New Roman" w:eastAsia="宋体" w:cs="Times New Roman"/>
                <w:b/>
                <w:bCs/>
                <w:color w:val="auto"/>
                <w:kern w:val="0"/>
                <w:sz w:val="24"/>
                <w:szCs w:val="24"/>
                <w:lang w:val="en-US" w:eastAsia="zh-CN" w:bidi="ar"/>
              </w:rPr>
              <w:t>筒仓粉尘：</w:t>
            </w:r>
            <w:r>
              <w:rPr>
                <w:rFonts w:hint="eastAsia" w:ascii="Times New Roman" w:hAnsi="Times New Roman" w:cs="Times New Roman"/>
                <w:color w:val="auto"/>
                <w:kern w:val="0"/>
                <w:sz w:val="24"/>
                <w:highlight w:val="none"/>
                <w:lang w:val="en-US" w:eastAsia="zh-CN" w:bidi="ar"/>
              </w:rPr>
              <w:t>筒仓设置在原料仓库东侧，高为15m；</w:t>
            </w:r>
            <w:r>
              <w:rPr>
                <w:rFonts w:hint="eastAsia" w:ascii="Times New Roman" w:hAnsi="Times New Roman" w:eastAsia="宋体" w:cs="Times New Roman"/>
                <w:color w:val="auto"/>
                <w:kern w:val="0"/>
                <w:sz w:val="24"/>
                <w:szCs w:val="24"/>
                <w:lang w:val="en-US" w:eastAsia="zh-CN" w:bidi="ar"/>
              </w:rPr>
              <w:t>参考《逸散性工业粉尘控制技术》中混凝土分批搅拌厂的逸散尘排放因子中贮仓排气排放因子为0.12kg/t，除尘灰、粘结剂为储存量为11.58万吨，则粉尘产生量为13.896t/a，产生速率为1.74kg/h</w:t>
            </w:r>
            <w:r>
              <w:rPr>
                <w:rFonts w:hint="eastAsia" w:ascii="Times New Roman" w:hAnsi="Times New Roman" w:cs="Times New Roman"/>
                <w:color w:val="auto"/>
                <w:kern w:val="0"/>
                <w:sz w:val="24"/>
                <w:szCs w:val="24"/>
                <w:lang w:val="en-US" w:eastAsia="zh-CN" w:bidi="ar"/>
              </w:rPr>
              <w:t>，产生浓度248</w:t>
            </w:r>
            <w:r>
              <w:rPr>
                <w:rFonts w:hint="default" w:ascii="Times New Roman" w:hAnsi="Times New Roman" w:cs="Times New Roman"/>
                <w:color w:val="auto"/>
                <w:kern w:val="0"/>
                <w:sz w:val="24"/>
                <w:szCs w:val="24"/>
                <w:lang w:val="en-US" w:eastAsia="zh-CN" w:bidi="ar"/>
              </w:rPr>
              <w:t>.57</w:t>
            </w:r>
            <w:r>
              <w:rPr>
                <w:rFonts w:hint="default" w:ascii="Times New Roman" w:hAnsi="Times New Roman" w:cs="Times New Roman"/>
                <w:bCs/>
                <w:color w:val="auto"/>
                <w:sz w:val="24"/>
              </w:rPr>
              <w:t>mg/m</w:t>
            </w:r>
            <w:r>
              <w:rPr>
                <w:rFonts w:hint="default" w:ascii="Times New Roman" w:hAnsi="Times New Roman" w:cs="Times New Roman"/>
                <w:bCs/>
                <w:color w:val="auto"/>
                <w:sz w:val="24"/>
                <w:vertAlign w:val="superscript"/>
              </w:rPr>
              <w:t>3</w:t>
            </w:r>
            <w:r>
              <w:rPr>
                <w:rFonts w:hint="default" w:ascii="Times New Roman" w:hAnsi="Times New Roman" w:eastAsia="宋体" w:cs="Times New Roman"/>
                <w:color w:val="auto"/>
                <w:kern w:val="0"/>
                <w:sz w:val="24"/>
                <w:szCs w:val="24"/>
                <w:lang w:val="en-US" w:eastAsia="zh-CN" w:bidi="ar"/>
              </w:rPr>
              <w:t>。</w:t>
            </w:r>
          </w:p>
          <w:p w14:paraId="38E5E605">
            <w:pPr>
              <w:pStyle w:val="19"/>
              <w:spacing w:before="0" w:beforeAutospacing="0" w:after="0" w:afterAutospacing="0" w:line="360" w:lineRule="auto"/>
              <w:ind w:firstLine="480" w:firstLineChars="200"/>
              <w:outlineLvl w:val="0"/>
              <w:rPr>
                <w:rFonts w:hint="eastAsia"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筒仓设仓</w:t>
            </w:r>
            <w:r>
              <w:rPr>
                <w:rFonts w:hint="default" w:ascii="Times New Roman" w:hAnsi="Times New Roman" w:eastAsia="宋体" w:cs="Times New Roman"/>
                <w:color w:val="auto"/>
                <w:sz w:val="24"/>
                <w:szCs w:val="24"/>
              </w:rPr>
              <w:t>顶布袋除尘器</w:t>
            </w:r>
            <w:r>
              <w:rPr>
                <w:rFonts w:hint="default" w:ascii="Times New Roman" w:hAnsi="Times New Roman" w:eastAsia="宋体" w:cs="Times New Roman"/>
                <w:color w:val="auto"/>
                <w:sz w:val="24"/>
                <w:szCs w:val="24"/>
                <w:lang w:eastAsia="zh-CN"/>
              </w:rPr>
              <w:t>，布袋除尘器风</w:t>
            </w:r>
            <w:r>
              <w:rPr>
                <w:rFonts w:hint="default" w:ascii="Times New Roman" w:hAnsi="Times New Roman" w:eastAsia="宋体" w:cs="Times New Roman"/>
                <w:color w:val="auto"/>
                <w:kern w:val="0"/>
                <w:sz w:val="24"/>
                <w:szCs w:val="24"/>
                <w:lang w:val="en-US" w:eastAsia="zh-CN" w:bidi="ar"/>
              </w:rPr>
              <w:t>量为</w:t>
            </w:r>
            <w:r>
              <w:rPr>
                <w:rFonts w:hint="default" w:ascii="Times New Roman" w:hAnsi="Times New Roman" w:cs="Times New Roman"/>
                <w:color w:val="auto"/>
                <w:kern w:val="0"/>
                <w:sz w:val="24"/>
                <w:szCs w:val="24"/>
                <w:lang w:val="en-US" w:eastAsia="zh-CN" w:bidi="ar"/>
              </w:rPr>
              <w:t>7000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default" w:ascii="Times New Roman" w:hAnsi="Times New Roman" w:cs="Times New Roman"/>
                <w:color w:val="auto"/>
                <w:kern w:val="0"/>
                <w:sz w:val="24"/>
                <w:lang w:bidi="ar"/>
              </w:rPr>
              <w:t>粉尘排放量为</w:t>
            </w:r>
            <w:r>
              <w:rPr>
                <w:rFonts w:hint="default" w:ascii="Times New Roman" w:hAnsi="Times New Roman" w:cs="Times New Roman"/>
                <w:color w:val="auto"/>
                <w:kern w:val="0"/>
                <w:sz w:val="24"/>
                <w:lang w:val="en-US" w:eastAsia="zh-CN" w:bidi="ar"/>
              </w:rPr>
              <w:t>0.</w:t>
            </w:r>
            <w:r>
              <w:rPr>
                <w:rFonts w:hint="eastAsia" w:ascii="Times New Roman" w:hAnsi="Times New Roman" w:cs="Times New Roman"/>
                <w:color w:val="auto"/>
                <w:kern w:val="0"/>
                <w:sz w:val="24"/>
                <w:lang w:val="en-US" w:eastAsia="zh-CN" w:bidi="ar"/>
              </w:rPr>
              <w:t>139</w:t>
            </w:r>
            <w:r>
              <w:rPr>
                <w:rFonts w:hint="default" w:ascii="Times New Roman" w:hAnsi="Times New Roman" w:cs="Times New Roman"/>
                <w:color w:val="auto"/>
                <w:kern w:val="0"/>
                <w:sz w:val="24"/>
                <w:lang w:bidi="ar"/>
              </w:rPr>
              <w:t>t/a，排放速率为</w:t>
            </w:r>
            <w:r>
              <w:rPr>
                <w:rFonts w:hint="eastAsia" w:ascii="Times New Roman" w:hAnsi="Times New Roman" w:cs="Times New Roman"/>
                <w:color w:val="auto"/>
                <w:kern w:val="0"/>
                <w:sz w:val="24"/>
                <w:lang w:val="en-US" w:eastAsia="zh-CN" w:bidi="ar"/>
              </w:rPr>
              <w:t>0.017</w:t>
            </w:r>
            <w:r>
              <w:rPr>
                <w:rFonts w:hint="default" w:ascii="Times New Roman" w:hAnsi="Times New Roman" w:cs="Times New Roman"/>
                <w:color w:val="auto"/>
                <w:kern w:val="0"/>
                <w:sz w:val="24"/>
                <w:lang w:bidi="ar"/>
              </w:rPr>
              <w:t>kg/h，排放浓度</w:t>
            </w:r>
            <w:r>
              <w:rPr>
                <w:rFonts w:hint="eastAsia" w:ascii="Times New Roman" w:hAnsi="Times New Roman" w:cs="Times New Roman"/>
                <w:color w:val="auto"/>
                <w:kern w:val="0"/>
                <w:sz w:val="24"/>
                <w:lang w:val="en-US" w:eastAsia="zh-CN" w:bidi="ar"/>
              </w:rPr>
              <w:t>2.48</w:t>
            </w:r>
            <w:r>
              <w:rPr>
                <w:rFonts w:hint="default" w:ascii="Times New Roman" w:hAnsi="Times New Roman" w:cs="Times New Roman"/>
                <w:color w:val="auto"/>
                <w:kern w:val="0"/>
                <w:sz w:val="24"/>
                <w:lang w:bidi="ar"/>
              </w:rPr>
              <w:t xml:space="preserve"> </w:t>
            </w:r>
            <w:r>
              <w:rPr>
                <w:rFonts w:hint="default" w:ascii="Times New Roman" w:hAnsi="Times New Roman" w:cs="Times New Roman"/>
                <w:bCs/>
                <w:color w:val="auto"/>
                <w:sz w:val="24"/>
              </w:rPr>
              <w:t>mg/m</w:t>
            </w:r>
            <w:r>
              <w:rPr>
                <w:rFonts w:hint="default" w:ascii="Times New Roman" w:hAnsi="Times New Roman" w:cs="Times New Roman"/>
                <w:bCs/>
                <w:color w:val="auto"/>
                <w:sz w:val="24"/>
                <w:vertAlign w:val="superscript"/>
              </w:rPr>
              <w:t>3</w:t>
            </w:r>
            <w:r>
              <w:rPr>
                <w:rFonts w:hint="eastAsia" w:ascii="Times New Roman" w:hAnsi="Times New Roman" w:cs="Times New Roman"/>
                <w:color w:val="auto"/>
                <w:kern w:val="0"/>
                <w:sz w:val="24"/>
                <w:lang w:eastAsia="zh-CN" w:bidi="ar"/>
              </w:rPr>
              <w:t>，</w:t>
            </w:r>
            <w:r>
              <w:rPr>
                <w:rFonts w:ascii="宋体" w:hAnsi="宋体" w:eastAsia="宋体" w:cs="宋体"/>
                <w:color w:val="auto"/>
                <w:sz w:val="24"/>
                <w:szCs w:val="24"/>
              </w:rPr>
              <w:t>无组织</w:t>
            </w:r>
            <w:r>
              <w:rPr>
                <w:rFonts w:hint="eastAsia" w:ascii="宋体" w:hAnsi="宋体" w:eastAsia="宋体" w:cs="宋体"/>
                <w:color w:val="auto"/>
                <w:sz w:val="24"/>
                <w:szCs w:val="24"/>
                <w:lang w:val="en-US" w:eastAsia="zh-CN"/>
              </w:rPr>
              <w:t>排放。</w:t>
            </w:r>
          </w:p>
          <w:p w14:paraId="77FA10EF">
            <w:pPr>
              <w:widowControl/>
              <w:spacing w:line="360" w:lineRule="auto"/>
              <w:ind w:firstLine="482" w:firstLineChars="200"/>
              <w:jc w:val="left"/>
              <w:rPr>
                <w:rFonts w:hint="default" w:ascii="Times New Roman" w:hAnsi="Times New Roman" w:eastAsia="宋体" w:cs="Times New Roman"/>
                <w:color w:val="auto"/>
                <w:kern w:val="0"/>
                <w:sz w:val="24"/>
                <w:szCs w:val="20"/>
                <w:lang w:val="en-US" w:eastAsia="zh-CN" w:bidi="ar"/>
              </w:rPr>
            </w:pPr>
            <w:r>
              <w:rPr>
                <w:rFonts w:hint="eastAsia" w:ascii="Times New Roman" w:hAnsi="Times New Roman" w:eastAsia="宋体" w:cs="Times New Roman"/>
                <w:b/>
                <w:bCs/>
                <w:color w:val="auto"/>
                <w:kern w:val="0"/>
                <w:sz w:val="24"/>
                <w:szCs w:val="20"/>
                <w:lang w:val="en-US" w:eastAsia="zh-CN" w:bidi="ar"/>
              </w:rPr>
              <w:t>堆存粉尘：</w:t>
            </w:r>
            <w:r>
              <w:rPr>
                <w:rFonts w:hint="eastAsia" w:ascii="Times New Roman" w:hAnsi="Times New Roman" w:eastAsia="宋体" w:cs="Times New Roman"/>
                <w:color w:val="auto"/>
                <w:kern w:val="0"/>
                <w:sz w:val="24"/>
                <w:szCs w:val="20"/>
                <w:lang w:val="en-US" w:eastAsia="zh-CN" w:bidi="ar"/>
              </w:rPr>
              <w:t>参考《逸散性工业粉尘控制技术》“煤加工厂”表</w:t>
            </w:r>
            <w:r>
              <w:rPr>
                <w:rFonts w:hint="default" w:ascii="Times New Roman" w:hAnsi="Times New Roman" w:eastAsia="宋体" w:cs="Times New Roman"/>
                <w:color w:val="auto"/>
                <w:kern w:val="0"/>
                <w:sz w:val="24"/>
                <w:szCs w:val="20"/>
                <w:lang w:val="en-US" w:eastAsia="zh-CN" w:bidi="ar"/>
              </w:rPr>
              <w:t>19-2</w:t>
            </w:r>
            <w:r>
              <w:rPr>
                <w:rFonts w:hint="eastAsia" w:ascii="Times New Roman" w:hAnsi="Times New Roman" w:eastAsia="宋体" w:cs="Times New Roman"/>
                <w:color w:val="auto"/>
                <w:kern w:val="0"/>
                <w:sz w:val="24"/>
                <w:szCs w:val="20"/>
                <w:lang w:val="en-US" w:eastAsia="zh-CN" w:bidi="ar"/>
              </w:rPr>
              <w:t>中</w:t>
            </w:r>
            <w:r>
              <w:rPr>
                <w:rFonts w:hint="default" w:ascii="Times New Roman" w:hAnsi="Times New Roman" w:eastAsia="宋体" w:cs="Times New Roman"/>
                <w:color w:val="auto"/>
                <w:kern w:val="0"/>
                <w:sz w:val="24"/>
                <w:szCs w:val="20"/>
                <w:lang w:val="en-US" w:eastAsia="zh-CN" w:bidi="ar"/>
              </w:rPr>
              <w:t>露天堆存风蚀扬尘系</w:t>
            </w:r>
            <w:r>
              <w:rPr>
                <w:rFonts w:hint="eastAsia" w:ascii="Times New Roman" w:hAnsi="Times New Roman" w:eastAsia="宋体" w:cs="Times New Roman"/>
                <w:color w:val="auto"/>
                <w:kern w:val="0"/>
                <w:sz w:val="24"/>
                <w:szCs w:val="20"/>
                <w:lang w:val="en-US" w:eastAsia="zh-CN" w:bidi="ar"/>
              </w:rPr>
              <w:t>数取0.045 kg/t，本项目采取采取封闭厂房，</w:t>
            </w:r>
            <w:r>
              <w:rPr>
                <w:rFonts w:hint="default" w:ascii="Times New Roman" w:hAnsi="Times New Roman" w:eastAsia="宋体" w:cs="Times New Roman"/>
                <w:color w:val="auto"/>
                <w:kern w:val="0"/>
                <w:sz w:val="24"/>
                <w:szCs w:val="20"/>
                <w:lang w:val="en-US" w:eastAsia="zh-CN" w:bidi="ar"/>
              </w:rPr>
              <w:t>抑尘效率</w:t>
            </w:r>
            <w:r>
              <w:rPr>
                <w:rFonts w:hint="eastAsia" w:ascii="Times New Roman" w:hAnsi="Times New Roman" w:eastAsia="宋体" w:cs="Times New Roman"/>
                <w:color w:val="auto"/>
                <w:kern w:val="0"/>
                <w:sz w:val="24"/>
                <w:szCs w:val="20"/>
                <w:lang w:val="en-US" w:eastAsia="zh-CN" w:bidi="ar"/>
              </w:rPr>
              <w:t>为</w:t>
            </w:r>
            <w:r>
              <w:rPr>
                <w:rFonts w:hint="default" w:ascii="Times New Roman" w:hAnsi="Times New Roman" w:eastAsia="宋体" w:cs="Times New Roman"/>
                <w:color w:val="auto"/>
                <w:kern w:val="0"/>
                <w:sz w:val="24"/>
                <w:szCs w:val="20"/>
                <w:lang w:val="en-US" w:eastAsia="zh-CN" w:bidi="ar"/>
              </w:rPr>
              <w:t>90%，</w:t>
            </w:r>
            <w:r>
              <w:rPr>
                <w:rFonts w:hint="eastAsia" w:ascii="Times New Roman" w:hAnsi="Times New Roman" w:eastAsia="宋体" w:cs="Times New Roman"/>
                <w:color w:val="auto"/>
                <w:kern w:val="0"/>
                <w:sz w:val="24"/>
                <w:szCs w:val="20"/>
                <w:lang w:val="en-US" w:eastAsia="zh-CN" w:bidi="ar"/>
              </w:rPr>
              <w:t>则</w:t>
            </w:r>
            <w:r>
              <w:rPr>
                <w:rFonts w:hint="default" w:ascii="Times New Roman" w:hAnsi="Times New Roman" w:eastAsia="宋体" w:cs="Times New Roman"/>
                <w:color w:val="auto"/>
                <w:kern w:val="0"/>
                <w:sz w:val="24"/>
                <w:szCs w:val="20"/>
                <w:lang w:val="en-US" w:eastAsia="zh-CN" w:bidi="ar"/>
              </w:rPr>
              <w:t>全封闭堆存产污系数为0.0045 kg/t</w:t>
            </w:r>
            <w:r>
              <w:rPr>
                <w:rFonts w:hint="eastAsia" w:ascii="Times New Roman" w:hAnsi="Times New Roman" w:eastAsia="宋体" w:cs="Times New Roman"/>
                <w:color w:val="auto"/>
                <w:kern w:val="0"/>
                <w:sz w:val="24"/>
                <w:szCs w:val="20"/>
                <w:lang w:val="en-US" w:eastAsia="zh-CN" w:bidi="ar"/>
              </w:rPr>
              <w:t>。本项目堆存的原料为焦粉、兰碳粉34.056万吨</w:t>
            </w:r>
            <w:r>
              <w:rPr>
                <w:rFonts w:hint="eastAsia" w:cs="Times New Roman"/>
                <w:color w:val="auto"/>
                <w:kern w:val="0"/>
                <w:sz w:val="24"/>
                <w:szCs w:val="20"/>
                <w:lang w:val="en-US" w:eastAsia="zh-CN" w:bidi="ar"/>
              </w:rPr>
              <w:t>，</w:t>
            </w:r>
            <w:r>
              <w:rPr>
                <w:rFonts w:hint="eastAsia" w:ascii="Times New Roman" w:hAnsi="Times New Roman" w:eastAsia="宋体" w:cs="Times New Roman"/>
                <w:color w:val="auto"/>
                <w:kern w:val="0"/>
                <w:sz w:val="24"/>
                <w:szCs w:val="20"/>
                <w:lang w:val="en-US" w:eastAsia="zh-CN" w:bidi="ar"/>
              </w:rPr>
              <w:t>则粉尘产生量为</w:t>
            </w:r>
            <w:r>
              <w:rPr>
                <w:rFonts w:hint="eastAsia" w:cs="Times New Roman"/>
                <w:color w:val="auto"/>
                <w:kern w:val="0"/>
                <w:sz w:val="24"/>
                <w:szCs w:val="20"/>
                <w:lang w:val="en-US" w:eastAsia="zh-CN" w:bidi="ar"/>
              </w:rPr>
              <w:t>1.53</w:t>
            </w:r>
            <w:r>
              <w:rPr>
                <w:rFonts w:hint="eastAsia" w:ascii="Times New Roman" w:hAnsi="Times New Roman" w:eastAsia="宋体" w:cs="Times New Roman"/>
                <w:color w:val="auto"/>
                <w:kern w:val="0"/>
                <w:sz w:val="24"/>
                <w:szCs w:val="20"/>
                <w:lang w:val="en-US" w:eastAsia="zh-CN" w:bidi="ar"/>
              </w:rPr>
              <w:t>t/a，产生速率为</w:t>
            </w:r>
            <w:r>
              <w:rPr>
                <w:rFonts w:hint="eastAsia" w:cs="Times New Roman"/>
                <w:color w:val="auto"/>
                <w:kern w:val="0"/>
                <w:sz w:val="24"/>
                <w:szCs w:val="20"/>
                <w:lang w:val="en-US" w:eastAsia="zh-CN" w:bidi="ar"/>
              </w:rPr>
              <w:t>0.19</w:t>
            </w:r>
            <w:r>
              <w:rPr>
                <w:rFonts w:hint="eastAsia" w:ascii="Times New Roman" w:hAnsi="Times New Roman" w:eastAsia="宋体" w:cs="Times New Roman"/>
                <w:color w:val="auto"/>
                <w:kern w:val="0"/>
                <w:sz w:val="24"/>
                <w:szCs w:val="20"/>
                <w:lang w:val="en-US" w:eastAsia="zh-CN" w:bidi="ar"/>
              </w:rPr>
              <w:t>kg/h。项目还采取干雾抑尘器抑尘，抑尘效率为90%，则粉尘排放量为</w:t>
            </w:r>
            <w:r>
              <w:rPr>
                <w:rFonts w:hint="eastAsia" w:cs="Times New Roman"/>
                <w:color w:val="auto"/>
                <w:kern w:val="0"/>
                <w:sz w:val="24"/>
                <w:szCs w:val="20"/>
                <w:lang w:val="en-US" w:eastAsia="zh-CN" w:bidi="ar"/>
              </w:rPr>
              <w:t>0.0153</w:t>
            </w:r>
            <w:r>
              <w:rPr>
                <w:rFonts w:hint="eastAsia" w:ascii="Times New Roman" w:hAnsi="Times New Roman" w:eastAsia="宋体" w:cs="Times New Roman"/>
                <w:color w:val="auto"/>
                <w:kern w:val="0"/>
                <w:sz w:val="24"/>
                <w:szCs w:val="20"/>
                <w:lang w:val="en-US" w:eastAsia="zh-CN" w:bidi="ar"/>
              </w:rPr>
              <w:t>t/a，产生速率为</w:t>
            </w:r>
            <w:r>
              <w:rPr>
                <w:rFonts w:hint="eastAsia" w:cs="Times New Roman"/>
                <w:color w:val="auto"/>
                <w:kern w:val="0"/>
                <w:sz w:val="24"/>
                <w:szCs w:val="20"/>
                <w:lang w:val="en-US" w:eastAsia="zh-CN" w:bidi="ar"/>
              </w:rPr>
              <w:t>0.0019</w:t>
            </w:r>
            <w:r>
              <w:rPr>
                <w:rFonts w:hint="eastAsia" w:ascii="Times New Roman" w:hAnsi="Times New Roman" w:eastAsia="宋体" w:cs="Times New Roman"/>
                <w:color w:val="auto"/>
                <w:kern w:val="0"/>
                <w:sz w:val="24"/>
                <w:szCs w:val="20"/>
                <w:lang w:val="en-US" w:eastAsia="zh-CN" w:bidi="ar"/>
              </w:rPr>
              <w:t>kg/h。</w:t>
            </w:r>
          </w:p>
          <w:p w14:paraId="23CB5786">
            <w:pPr>
              <w:widowControl/>
              <w:jc w:val="center"/>
              <w:rPr>
                <w:b/>
                <w:bCs/>
                <w:color w:val="auto"/>
                <w:kern w:val="0"/>
                <w:sz w:val="24"/>
                <w:lang w:bidi="ar"/>
              </w:rPr>
            </w:pPr>
            <w:r>
              <w:rPr>
                <w:rFonts w:hint="eastAsia"/>
                <w:b/>
                <w:bCs/>
                <w:color w:val="auto"/>
                <w:kern w:val="0"/>
                <w:sz w:val="24"/>
                <w:lang w:bidi="ar"/>
              </w:rPr>
              <w:t>表4-</w:t>
            </w:r>
            <w:r>
              <w:rPr>
                <w:rFonts w:hint="eastAsia"/>
                <w:b/>
                <w:bCs/>
                <w:color w:val="auto"/>
                <w:kern w:val="0"/>
                <w:sz w:val="24"/>
                <w:lang w:val="en-US" w:eastAsia="zh-CN" w:bidi="ar"/>
              </w:rPr>
              <w:t>2</w:t>
            </w:r>
            <w:r>
              <w:rPr>
                <w:rFonts w:hint="eastAsia"/>
                <w:b/>
                <w:bCs/>
                <w:color w:val="auto"/>
                <w:kern w:val="0"/>
                <w:sz w:val="24"/>
                <w:lang w:bidi="ar"/>
              </w:rPr>
              <w:t xml:space="preserve">   本次评价卸</w:t>
            </w:r>
            <w:r>
              <w:rPr>
                <w:rFonts w:hint="eastAsia"/>
                <w:b/>
                <w:bCs/>
                <w:color w:val="auto"/>
                <w:kern w:val="0"/>
                <w:sz w:val="24"/>
                <w:lang w:val="en-US" w:eastAsia="zh-CN" w:bidi="ar"/>
              </w:rPr>
              <w:t>料</w:t>
            </w:r>
            <w:r>
              <w:rPr>
                <w:rFonts w:hint="eastAsia"/>
                <w:b/>
                <w:bCs/>
                <w:color w:val="auto"/>
                <w:kern w:val="0"/>
                <w:sz w:val="24"/>
                <w:lang w:eastAsia="zh-CN" w:bidi="ar"/>
              </w:rPr>
              <w:t>、</w:t>
            </w:r>
            <w:r>
              <w:rPr>
                <w:rFonts w:hint="eastAsia"/>
                <w:b/>
                <w:bCs/>
                <w:color w:val="auto"/>
                <w:kern w:val="0"/>
                <w:sz w:val="24"/>
                <w:lang w:val="en-US" w:eastAsia="zh-CN" w:bidi="ar"/>
              </w:rPr>
              <w:t>筒仓、</w:t>
            </w:r>
            <w:r>
              <w:rPr>
                <w:rFonts w:hint="eastAsia"/>
                <w:b/>
                <w:bCs/>
                <w:color w:val="auto"/>
                <w:kern w:val="0"/>
                <w:sz w:val="24"/>
                <w:lang w:bidi="ar"/>
              </w:rPr>
              <w:t>堆</w:t>
            </w:r>
            <w:r>
              <w:rPr>
                <w:rFonts w:hint="eastAsia"/>
                <w:b/>
                <w:bCs/>
                <w:color w:val="auto"/>
                <w:kern w:val="0"/>
                <w:sz w:val="24"/>
                <w:lang w:val="en-US" w:eastAsia="zh-CN" w:bidi="ar"/>
              </w:rPr>
              <w:t>存</w:t>
            </w:r>
            <w:r>
              <w:rPr>
                <w:rFonts w:hint="eastAsia"/>
                <w:b/>
                <w:bCs/>
                <w:color w:val="auto"/>
                <w:kern w:val="0"/>
                <w:sz w:val="24"/>
                <w:lang w:bidi="ar"/>
              </w:rPr>
              <w:t>粉尘污染物排放情况</w:t>
            </w:r>
          </w:p>
          <w:tbl>
            <w:tblPr>
              <w:tblStyle w:val="23"/>
              <w:tblW w:w="8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
              <w:gridCol w:w="869"/>
              <w:gridCol w:w="990"/>
              <w:gridCol w:w="990"/>
              <w:gridCol w:w="944"/>
              <w:gridCol w:w="1420"/>
              <w:gridCol w:w="816"/>
              <w:gridCol w:w="1012"/>
            </w:tblGrid>
            <w:tr w14:paraId="48E4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996" w:type="dxa"/>
                  <w:vAlign w:val="center"/>
                </w:tcPr>
                <w:p w14:paraId="02D4F1B8">
                  <w:pPr>
                    <w:snapToGrid w:val="0"/>
                    <w:jc w:val="center"/>
                    <w:rPr>
                      <w:bCs/>
                      <w:color w:val="auto"/>
                      <w:szCs w:val="21"/>
                    </w:rPr>
                  </w:pPr>
                  <w:r>
                    <w:rPr>
                      <w:bCs/>
                      <w:color w:val="auto"/>
                      <w:szCs w:val="21"/>
                    </w:rPr>
                    <w:t>污染源</w:t>
                  </w:r>
                </w:p>
              </w:tc>
              <w:tc>
                <w:tcPr>
                  <w:tcW w:w="869" w:type="dxa"/>
                  <w:vAlign w:val="center"/>
                </w:tcPr>
                <w:p w14:paraId="06BAC510">
                  <w:pPr>
                    <w:snapToGrid w:val="0"/>
                    <w:jc w:val="center"/>
                    <w:rPr>
                      <w:bCs/>
                      <w:color w:val="auto"/>
                      <w:szCs w:val="21"/>
                    </w:rPr>
                  </w:pPr>
                  <w:r>
                    <w:rPr>
                      <w:bCs/>
                      <w:color w:val="auto"/>
                      <w:szCs w:val="21"/>
                    </w:rPr>
                    <w:t>污染物</w:t>
                  </w:r>
                </w:p>
              </w:tc>
              <w:tc>
                <w:tcPr>
                  <w:tcW w:w="990" w:type="dxa"/>
                  <w:vAlign w:val="center"/>
                </w:tcPr>
                <w:p w14:paraId="1352B939">
                  <w:pPr>
                    <w:snapToGrid w:val="0"/>
                    <w:jc w:val="center"/>
                    <w:rPr>
                      <w:bCs/>
                      <w:color w:val="auto"/>
                      <w:szCs w:val="21"/>
                    </w:rPr>
                  </w:pPr>
                  <w:r>
                    <w:rPr>
                      <w:bCs/>
                      <w:color w:val="auto"/>
                      <w:szCs w:val="21"/>
                    </w:rPr>
                    <w:t>产品（万吨/年）</w:t>
                  </w:r>
                </w:p>
              </w:tc>
              <w:tc>
                <w:tcPr>
                  <w:tcW w:w="990" w:type="dxa"/>
                  <w:shd w:val="clear" w:color="auto" w:fill="auto"/>
                  <w:vAlign w:val="center"/>
                </w:tcPr>
                <w:p w14:paraId="1ACFBADB">
                  <w:pPr>
                    <w:snapToGrid w:val="0"/>
                    <w:jc w:val="center"/>
                    <w:rPr>
                      <w:rFonts w:ascii="Times New Roman" w:hAnsi="Times New Roman" w:eastAsia="宋体" w:cs="Times New Roman"/>
                      <w:bCs/>
                      <w:color w:val="auto"/>
                      <w:kern w:val="2"/>
                      <w:sz w:val="21"/>
                      <w:szCs w:val="21"/>
                      <w:lang w:val="en-US" w:eastAsia="zh-CN" w:bidi="ar-SA"/>
                    </w:rPr>
                  </w:pPr>
                  <w:r>
                    <w:rPr>
                      <w:rFonts w:hint="eastAsia"/>
                      <w:bCs/>
                      <w:color w:val="auto"/>
                      <w:szCs w:val="21"/>
                    </w:rPr>
                    <w:t>产污系数</w:t>
                  </w:r>
                  <w:r>
                    <w:rPr>
                      <w:color w:val="auto"/>
                      <w:kern w:val="0"/>
                      <w:sz w:val="24"/>
                      <w:lang w:bidi="ar"/>
                    </w:rPr>
                    <w:t>kg/t</w:t>
                  </w:r>
                </w:p>
              </w:tc>
              <w:tc>
                <w:tcPr>
                  <w:tcW w:w="944" w:type="dxa"/>
                  <w:vAlign w:val="center"/>
                </w:tcPr>
                <w:p w14:paraId="0C24A56B">
                  <w:pPr>
                    <w:snapToGrid w:val="0"/>
                    <w:jc w:val="center"/>
                    <w:rPr>
                      <w:bCs/>
                      <w:color w:val="auto"/>
                      <w:szCs w:val="21"/>
                    </w:rPr>
                  </w:pPr>
                  <w:r>
                    <w:rPr>
                      <w:bCs/>
                      <w:color w:val="auto"/>
                      <w:szCs w:val="21"/>
                    </w:rPr>
                    <w:t>产生</w:t>
                  </w:r>
                </w:p>
                <w:p w14:paraId="076640C2">
                  <w:pPr>
                    <w:snapToGrid w:val="0"/>
                    <w:jc w:val="center"/>
                    <w:rPr>
                      <w:bCs/>
                      <w:color w:val="auto"/>
                      <w:szCs w:val="21"/>
                    </w:rPr>
                  </w:pPr>
                  <w:r>
                    <w:rPr>
                      <w:bCs/>
                      <w:color w:val="auto"/>
                      <w:szCs w:val="21"/>
                    </w:rPr>
                    <w:t>量 t/a</w:t>
                  </w:r>
                </w:p>
              </w:tc>
              <w:tc>
                <w:tcPr>
                  <w:tcW w:w="1420" w:type="dxa"/>
                  <w:vAlign w:val="center"/>
                </w:tcPr>
                <w:p w14:paraId="70B27431">
                  <w:pPr>
                    <w:snapToGrid w:val="0"/>
                    <w:jc w:val="center"/>
                    <w:rPr>
                      <w:bCs/>
                      <w:color w:val="auto"/>
                      <w:szCs w:val="21"/>
                    </w:rPr>
                  </w:pPr>
                  <w:r>
                    <w:rPr>
                      <w:bCs/>
                      <w:color w:val="auto"/>
                      <w:szCs w:val="21"/>
                    </w:rPr>
                    <w:t>治理</w:t>
                  </w:r>
                </w:p>
                <w:p w14:paraId="44E87A83">
                  <w:pPr>
                    <w:snapToGrid w:val="0"/>
                    <w:jc w:val="center"/>
                    <w:rPr>
                      <w:bCs/>
                      <w:color w:val="auto"/>
                      <w:szCs w:val="21"/>
                    </w:rPr>
                  </w:pPr>
                  <w:r>
                    <w:rPr>
                      <w:bCs/>
                      <w:color w:val="auto"/>
                      <w:szCs w:val="21"/>
                    </w:rPr>
                    <w:t>措施</w:t>
                  </w:r>
                </w:p>
              </w:tc>
              <w:tc>
                <w:tcPr>
                  <w:tcW w:w="816" w:type="dxa"/>
                  <w:vAlign w:val="center"/>
                </w:tcPr>
                <w:p w14:paraId="7368DA3D">
                  <w:pPr>
                    <w:snapToGrid w:val="0"/>
                    <w:jc w:val="center"/>
                    <w:rPr>
                      <w:bCs/>
                      <w:color w:val="auto"/>
                      <w:szCs w:val="21"/>
                    </w:rPr>
                  </w:pPr>
                  <w:r>
                    <w:rPr>
                      <w:bCs/>
                      <w:color w:val="auto"/>
                      <w:szCs w:val="21"/>
                    </w:rPr>
                    <w:t>排放量t/a</w:t>
                  </w:r>
                </w:p>
              </w:tc>
              <w:tc>
                <w:tcPr>
                  <w:tcW w:w="1012" w:type="dxa"/>
                  <w:vAlign w:val="center"/>
                </w:tcPr>
                <w:p w14:paraId="45F8E4A4">
                  <w:pPr>
                    <w:snapToGrid w:val="0"/>
                    <w:jc w:val="center"/>
                    <w:rPr>
                      <w:bCs/>
                      <w:color w:val="auto"/>
                      <w:szCs w:val="21"/>
                    </w:rPr>
                  </w:pPr>
                  <w:r>
                    <w:rPr>
                      <w:bCs/>
                      <w:color w:val="auto"/>
                      <w:szCs w:val="21"/>
                    </w:rPr>
                    <w:t>排放</w:t>
                  </w:r>
                </w:p>
                <w:p w14:paraId="72A5C02A">
                  <w:pPr>
                    <w:snapToGrid w:val="0"/>
                    <w:jc w:val="center"/>
                    <w:rPr>
                      <w:bCs/>
                      <w:color w:val="auto"/>
                      <w:szCs w:val="21"/>
                    </w:rPr>
                  </w:pPr>
                  <w:r>
                    <w:rPr>
                      <w:bCs/>
                      <w:color w:val="auto"/>
                      <w:szCs w:val="21"/>
                    </w:rPr>
                    <w:t>速率kg/h</w:t>
                  </w:r>
                </w:p>
              </w:tc>
            </w:tr>
            <w:tr w14:paraId="0186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96" w:type="dxa"/>
                  <w:vAlign w:val="center"/>
                </w:tcPr>
                <w:p w14:paraId="61E4A872">
                  <w:pPr>
                    <w:widowControl/>
                    <w:jc w:val="center"/>
                    <w:rPr>
                      <w:color w:val="auto"/>
                      <w:szCs w:val="21"/>
                    </w:rPr>
                  </w:pPr>
                  <w:r>
                    <w:rPr>
                      <w:color w:val="auto"/>
                      <w:szCs w:val="21"/>
                    </w:rPr>
                    <w:t>卸料</w:t>
                  </w:r>
                </w:p>
                <w:p w14:paraId="3C363112">
                  <w:pPr>
                    <w:widowControl/>
                    <w:jc w:val="center"/>
                    <w:rPr>
                      <w:rFonts w:hint="eastAsia" w:eastAsia="宋体"/>
                      <w:b/>
                      <w:bCs/>
                      <w:color w:val="auto"/>
                      <w:kern w:val="0"/>
                      <w:szCs w:val="21"/>
                      <w:lang w:val="en-US" w:eastAsia="zh-CN" w:bidi="ar"/>
                    </w:rPr>
                  </w:pPr>
                  <w:r>
                    <w:rPr>
                      <w:rFonts w:hint="eastAsia"/>
                      <w:color w:val="auto"/>
                      <w:szCs w:val="21"/>
                      <w:lang w:val="en-US" w:eastAsia="zh-CN"/>
                    </w:rPr>
                    <w:t>粉尘</w:t>
                  </w:r>
                </w:p>
              </w:tc>
              <w:tc>
                <w:tcPr>
                  <w:tcW w:w="869" w:type="dxa"/>
                  <w:vMerge w:val="restart"/>
                  <w:vAlign w:val="center"/>
                </w:tcPr>
                <w:p w14:paraId="2D402D22">
                  <w:pPr>
                    <w:snapToGrid w:val="0"/>
                    <w:jc w:val="center"/>
                    <w:rPr>
                      <w:bCs/>
                      <w:color w:val="auto"/>
                      <w:szCs w:val="21"/>
                    </w:rPr>
                  </w:pPr>
                  <w:r>
                    <w:rPr>
                      <w:bCs/>
                      <w:color w:val="auto"/>
                      <w:szCs w:val="21"/>
                    </w:rPr>
                    <w:t>颗粒物</w:t>
                  </w:r>
                </w:p>
              </w:tc>
              <w:tc>
                <w:tcPr>
                  <w:tcW w:w="990" w:type="dxa"/>
                  <w:vAlign w:val="center"/>
                </w:tcPr>
                <w:p w14:paraId="7750A35B">
                  <w:pPr>
                    <w:snapToGrid w:val="0"/>
                    <w:jc w:val="center"/>
                    <w:rPr>
                      <w:rFonts w:hint="default" w:eastAsia="宋体"/>
                      <w:bCs/>
                      <w:color w:val="auto"/>
                      <w:szCs w:val="21"/>
                      <w:lang w:val="en-US" w:eastAsia="zh-CN"/>
                    </w:rPr>
                  </w:pPr>
                  <w:r>
                    <w:rPr>
                      <w:rFonts w:hint="eastAsia"/>
                      <w:color w:val="auto"/>
                      <w:lang w:val="en-US" w:eastAsia="zh-CN"/>
                    </w:rPr>
                    <w:t>45.636</w:t>
                  </w:r>
                </w:p>
              </w:tc>
              <w:tc>
                <w:tcPr>
                  <w:tcW w:w="990" w:type="dxa"/>
                  <w:shd w:val="clear" w:color="auto" w:fill="auto"/>
                  <w:vAlign w:val="center"/>
                </w:tcPr>
                <w:p w14:paraId="63A15020">
                  <w:pPr>
                    <w:snapToGrid w:val="0"/>
                    <w:jc w:val="center"/>
                    <w:rPr>
                      <w:rFonts w:hint="default" w:ascii="Times New Roman" w:hAnsi="Times New Roman" w:eastAsia="宋体" w:cs="Times New Roman"/>
                      <w:bCs/>
                      <w:color w:val="auto"/>
                      <w:kern w:val="2"/>
                      <w:sz w:val="21"/>
                      <w:szCs w:val="21"/>
                      <w:lang w:val="en-US" w:eastAsia="zh-CN" w:bidi="ar-SA"/>
                    </w:rPr>
                  </w:pPr>
                  <w:r>
                    <w:rPr>
                      <w:rFonts w:hint="eastAsia"/>
                      <w:bCs/>
                      <w:color w:val="auto"/>
                      <w:szCs w:val="21"/>
                    </w:rPr>
                    <w:t>0.</w:t>
                  </w:r>
                  <w:r>
                    <w:rPr>
                      <w:rFonts w:hint="eastAsia"/>
                      <w:bCs/>
                      <w:color w:val="auto"/>
                      <w:szCs w:val="21"/>
                      <w:lang w:val="en-US" w:eastAsia="zh-CN"/>
                    </w:rPr>
                    <w:t>01</w:t>
                  </w:r>
                </w:p>
              </w:tc>
              <w:tc>
                <w:tcPr>
                  <w:tcW w:w="944" w:type="dxa"/>
                  <w:vAlign w:val="center"/>
                </w:tcPr>
                <w:p w14:paraId="3A4F3864">
                  <w:pPr>
                    <w:snapToGrid w:val="0"/>
                    <w:jc w:val="center"/>
                    <w:rPr>
                      <w:rFonts w:hint="default" w:eastAsia="宋体"/>
                      <w:bCs/>
                      <w:color w:val="auto"/>
                      <w:szCs w:val="21"/>
                      <w:lang w:val="en-US" w:eastAsia="zh-CN"/>
                    </w:rPr>
                  </w:pPr>
                  <w:r>
                    <w:rPr>
                      <w:rFonts w:hint="eastAsia"/>
                      <w:bCs/>
                      <w:color w:val="auto"/>
                      <w:szCs w:val="21"/>
                      <w:lang w:val="en-US" w:eastAsia="zh-CN"/>
                    </w:rPr>
                    <w:t>4.5636</w:t>
                  </w:r>
                </w:p>
              </w:tc>
              <w:tc>
                <w:tcPr>
                  <w:tcW w:w="1420" w:type="dxa"/>
                  <w:vAlign w:val="center"/>
                </w:tcPr>
                <w:p w14:paraId="4CCF9318">
                  <w:pPr>
                    <w:snapToGrid w:val="0"/>
                    <w:jc w:val="center"/>
                    <w:rPr>
                      <w:bCs/>
                      <w:color w:val="auto"/>
                      <w:szCs w:val="21"/>
                    </w:rPr>
                  </w:pPr>
                  <w:r>
                    <w:rPr>
                      <w:rFonts w:hint="eastAsia"/>
                      <w:bCs/>
                      <w:color w:val="auto"/>
                      <w:szCs w:val="21"/>
                      <w:lang w:val="en-US" w:eastAsia="zh-CN"/>
                    </w:rPr>
                    <w:t>采取封闭厂房措施、气力输送除灰系统和负压吸排罐车</w:t>
                  </w:r>
                </w:p>
              </w:tc>
              <w:tc>
                <w:tcPr>
                  <w:tcW w:w="816" w:type="dxa"/>
                  <w:vAlign w:val="center"/>
                </w:tcPr>
                <w:p w14:paraId="1B313448">
                  <w:pPr>
                    <w:snapToGrid w:val="0"/>
                    <w:jc w:val="center"/>
                    <w:rPr>
                      <w:bCs/>
                      <w:color w:val="auto"/>
                      <w:szCs w:val="21"/>
                    </w:rPr>
                  </w:pPr>
                  <w:r>
                    <w:rPr>
                      <w:bCs/>
                      <w:color w:val="auto"/>
                      <w:szCs w:val="21"/>
                    </w:rPr>
                    <w:t>0.85</w:t>
                  </w:r>
                </w:p>
              </w:tc>
              <w:tc>
                <w:tcPr>
                  <w:tcW w:w="1012" w:type="dxa"/>
                  <w:vAlign w:val="center"/>
                </w:tcPr>
                <w:p w14:paraId="3AB21AEF">
                  <w:pPr>
                    <w:snapToGrid w:val="0"/>
                    <w:jc w:val="center"/>
                    <w:rPr>
                      <w:bCs/>
                      <w:color w:val="auto"/>
                      <w:szCs w:val="21"/>
                    </w:rPr>
                  </w:pPr>
                  <w:r>
                    <w:rPr>
                      <w:bCs/>
                      <w:color w:val="auto"/>
                      <w:szCs w:val="21"/>
                    </w:rPr>
                    <w:t>0.11</w:t>
                  </w:r>
                </w:p>
              </w:tc>
            </w:tr>
            <w:tr w14:paraId="5A5F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996" w:type="dxa"/>
                  <w:vAlign w:val="center"/>
                </w:tcPr>
                <w:p w14:paraId="7AFDB36D">
                  <w:pPr>
                    <w:widowControl/>
                    <w:jc w:val="center"/>
                    <w:rPr>
                      <w:rFonts w:hint="eastAsia"/>
                      <w:color w:val="auto"/>
                      <w:szCs w:val="21"/>
                      <w:lang w:val="en-US" w:eastAsia="zh-CN"/>
                    </w:rPr>
                  </w:pPr>
                  <w:r>
                    <w:rPr>
                      <w:rFonts w:hint="eastAsia"/>
                      <w:color w:val="auto"/>
                      <w:szCs w:val="21"/>
                      <w:lang w:val="en-US" w:eastAsia="zh-CN"/>
                    </w:rPr>
                    <w:t>筒仓</w:t>
                  </w:r>
                </w:p>
                <w:p w14:paraId="34769A25">
                  <w:pPr>
                    <w:widowControl/>
                    <w:jc w:val="center"/>
                    <w:rPr>
                      <w:rFonts w:hint="default" w:eastAsia="宋体"/>
                      <w:color w:val="auto"/>
                      <w:szCs w:val="21"/>
                      <w:lang w:val="en-US" w:eastAsia="zh-CN"/>
                    </w:rPr>
                  </w:pPr>
                  <w:r>
                    <w:rPr>
                      <w:rFonts w:hint="eastAsia"/>
                      <w:color w:val="auto"/>
                      <w:szCs w:val="21"/>
                      <w:lang w:val="en-US" w:eastAsia="zh-CN"/>
                    </w:rPr>
                    <w:t>粉尘</w:t>
                  </w:r>
                </w:p>
              </w:tc>
              <w:tc>
                <w:tcPr>
                  <w:tcW w:w="869" w:type="dxa"/>
                  <w:vMerge w:val="continue"/>
                  <w:vAlign w:val="center"/>
                </w:tcPr>
                <w:p w14:paraId="25DC2F2E">
                  <w:pPr>
                    <w:snapToGrid w:val="0"/>
                    <w:jc w:val="center"/>
                    <w:rPr>
                      <w:bCs/>
                      <w:color w:val="auto"/>
                      <w:szCs w:val="21"/>
                    </w:rPr>
                  </w:pPr>
                </w:p>
              </w:tc>
              <w:tc>
                <w:tcPr>
                  <w:tcW w:w="990" w:type="dxa"/>
                  <w:vAlign w:val="center"/>
                </w:tcPr>
                <w:p w14:paraId="5492DCD4">
                  <w:pPr>
                    <w:snapToGrid w:val="0"/>
                    <w:jc w:val="center"/>
                    <w:rPr>
                      <w:rFonts w:hint="default"/>
                      <w:bCs/>
                      <w:color w:val="auto"/>
                      <w:szCs w:val="21"/>
                      <w:lang w:val="en-US" w:eastAsia="zh-CN"/>
                    </w:rPr>
                  </w:pPr>
                  <w:r>
                    <w:rPr>
                      <w:rFonts w:hint="eastAsia"/>
                      <w:bCs/>
                      <w:color w:val="auto"/>
                      <w:szCs w:val="21"/>
                      <w:lang w:val="en-US" w:eastAsia="zh-CN"/>
                    </w:rPr>
                    <w:t>11.58</w:t>
                  </w:r>
                </w:p>
              </w:tc>
              <w:tc>
                <w:tcPr>
                  <w:tcW w:w="990" w:type="dxa"/>
                  <w:shd w:val="clear" w:color="auto" w:fill="auto"/>
                  <w:vAlign w:val="center"/>
                </w:tcPr>
                <w:p w14:paraId="6B4316E5">
                  <w:pPr>
                    <w:snapToGrid w:val="0"/>
                    <w:jc w:val="center"/>
                    <w:rPr>
                      <w:rFonts w:hint="default"/>
                      <w:bCs/>
                      <w:color w:val="auto"/>
                      <w:szCs w:val="21"/>
                      <w:lang w:val="en-US" w:eastAsia="zh-CN"/>
                    </w:rPr>
                  </w:pPr>
                  <w:r>
                    <w:rPr>
                      <w:rFonts w:hint="eastAsia"/>
                      <w:bCs/>
                      <w:color w:val="auto"/>
                      <w:szCs w:val="21"/>
                      <w:lang w:val="en-US" w:eastAsia="zh-CN"/>
                    </w:rPr>
                    <w:t>0.12</w:t>
                  </w:r>
                </w:p>
              </w:tc>
              <w:tc>
                <w:tcPr>
                  <w:tcW w:w="944" w:type="dxa"/>
                  <w:vAlign w:val="center"/>
                </w:tcPr>
                <w:p w14:paraId="3164A522">
                  <w:pPr>
                    <w:snapToGrid w:val="0"/>
                    <w:jc w:val="center"/>
                    <w:rPr>
                      <w:rFonts w:hint="eastAsia"/>
                      <w:bCs/>
                      <w:color w:val="auto"/>
                      <w:szCs w:val="21"/>
                    </w:rPr>
                  </w:pPr>
                  <w:r>
                    <w:rPr>
                      <w:rFonts w:hint="eastAsia"/>
                      <w:bCs/>
                      <w:color w:val="auto"/>
                      <w:szCs w:val="21"/>
                      <w:lang w:val="en-US" w:eastAsia="zh-CN"/>
                    </w:rPr>
                    <w:t>13.896</w:t>
                  </w:r>
                </w:p>
              </w:tc>
              <w:tc>
                <w:tcPr>
                  <w:tcW w:w="1420" w:type="dxa"/>
                  <w:vAlign w:val="center"/>
                </w:tcPr>
                <w:p w14:paraId="6B6BE930">
                  <w:pPr>
                    <w:snapToGrid w:val="0"/>
                    <w:jc w:val="center"/>
                    <w:rPr>
                      <w:rFonts w:hint="eastAsia"/>
                      <w:bCs/>
                      <w:color w:val="auto"/>
                      <w:szCs w:val="21"/>
                    </w:rPr>
                  </w:pPr>
                  <w:r>
                    <w:rPr>
                      <w:rFonts w:hint="default"/>
                      <w:bCs/>
                      <w:color w:val="auto"/>
                      <w:szCs w:val="21"/>
                      <w:lang w:eastAsia="zh-CN"/>
                    </w:rPr>
                    <w:t>布袋除尘器</w:t>
                  </w:r>
                </w:p>
              </w:tc>
              <w:tc>
                <w:tcPr>
                  <w:tcW w:w="816" w:type="dxa"/>
                  <w:vAlign w:val="center"/>
                </w:tcPr>
                <w:p w14:paraId="47A75B24">
                  <w:pPr>
                    <w:snapToGrid w:val="0"/>
                    <w:jc w:val="center"/>
                    <w:rPr>
                      <w:rFonts w:hint="eastAsia"/>
                      <w:bCs/>
                      <w:color w:val="auto"/>
                      <w:szCs w:val="21"/>
                    </w:rPr>
                  </w:pPr>
                  <w:r>
                    <w:rPr>
                      <w:rFonts w:hint="default"/>
                      <w:bCs/>
                      <w:color w:val="auto"/>
                      <w:szCs w:val="21"/>
                      <w:lang w:val="en-US" w:eastAsia="zh-CN"/>
                    </w:rPr>
                    <w:t>0.</w:t>
                  </w:r>
                  <w:r>
                    <w:rPr>
                      <w:rFonts w:hint="eastAsia"/>
                      <w:bCs/>
                      <w:color w:val="auto"/>
                      <w:szCs w:val="21"/>
                      <w:lang w:val="en-US" w:eastAsia="zh-CN"/>
                    </w:rPr>
                    <w:t>139</w:t>
                  </w:r>
                </w:p>
              </w:tc>
              <w:tc>
                <w:tcPr>
                  <w:tcW w:w="1012" w:type="dxa"/>
                  <w:vAlign w:val="center"/>
                </w:tcPr>
                <w:p w14:paraId="791A4971">
                  <w:pPr>
                    <w:snapToGrid w:val="0"/>
                    <w:jc w:val="center"/>
                    <w:rPr>
                      <w:rFonts w:hint="eastAsia"/>
                      <w:bCs/>
                      <w:color w:val="auto"/>
                      <w:szCs w:val="21"/>
                    </w:rPr>
                  </w:pPr>
                  <w:r>
                    <w:rPr>
                      <w:rFonts w:hint="eastAsia"/>
                      <w:bCs/>
                      <w:color w:val="auto"/>
                      <w:szCs w:val="21"/>
                      <w:lang w:val="en-US" w:eastAsia="zh-CN"/>
                    </w:rPr>
                    <w:t>0.017</w:t>
                  </w:r>
                </w:p>
              </w:tc>
            </w:tr>
            <w:tr w14:paraId="0F41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96" w:type="dxa"/>
                  <w:vAlign w:val="center"/>
                </w:tcPr>
                <w:p w14:paraId="05ACC1DD">
                  <w:pPr>
                    <w:widowControl/>
                    <w:jc w:val="center"/>
                    <w:rPr>
                      <w:rFonts w:hint="eastAsia" w:ascii="Times New Roman" w:hAnsi="Times New Roman"/>
                      <w:color w:val="auto"/>
                    </w:rPr>
                  </w:pPr>
                  <w:r>
                    <w:rPr>
                      <w:rFonts w:hint="eastAsia" w:ascii="Times New Roman" w:hAnsi="Times New Roman"/>
                      <w:color w:val="auto"/>
                    </w:rPr>
                    <w:t>堆存</w:t>
                  </w:r>
                </w:p>
                <w:p w14:paraId="0CD7C46C">
                  <w:pPr>
                    <w:widowControl/>
                    <w:jc w:val="center"/>
                    <w:rPr>
                      <w:color w:val="auto"/>
                      <w:szCs w:val="21"/>
                    </w:rPr>
                  </w:pPr>
                  <w:r>
                    <w:rPr>
                      <w:rFonts w:hint="eastAsia" w:ascii="Times New Roman" w:hAnsi="Times New Roman"/>
                      <w:color w:val="auto"/>
                    </w:rPr>
                    <w:t>粉尘</w:t>
                  </w:r>
                </w:p>
              </w:tc>
              <w:tc>
                <w:tcPr>
                  <w:tcW w:w="869" w:type="dxa"/>
                  <w:vMerge w:val="continue"/>
                  <w:vAlign w:val="center"/>
                </w:tcPr>
                <w:p w14:paraId="52FF284A">
                  <w:pPr>
                    <w:snapToGrid w:val="0"/>
                    <w:jc w:val="center"/>
                    <w:rPr>
                      <w:bCs/>
                      <w:color w:val="auto"/>
                      <w:szCs w:val="21"/>
                    </w:rPr>
                  </w:pPr>
                </w:p>
              </w:tc>
              <w:tc>
                <w:tcPr>
                  <w:tcW w:w="990" w:type="dxa"/>
                  <w:vAlign w:val="center"/>
                </w:tcPr>
                <w:p w14:paraId="4D6DEBFC">
                  <w:pPr>
                    <w:snapToGrid w:val="0"/>
                    <w:jc w:val="center"/>
                    <w:rPr>
                      <w:rFonts w:hint="default"/>
                      <w:bCs/>
                      <w:color w:val="auto"/>
                      <w:szCs w:val="21"/>
                      <w:lang w:val="en-US" w:eastAsia="zh-CN"/>
                    </w:rPr>
                  </w:pPr>
                  <w:r>
                    <w:rPr>
                      <w:rFonts w:hint="eastAsia"/>
                      <w:bCs/>
                      <w:color w:val="auto"/>
                      <w:szCs w:val="21"/>
                      <w:lang w:val="en-US" w:eastAsia="zh-CN"/>
                    </w:rPr>
                    <w:t>34.056</w:t>
                  </w:r>
                </w:p>
              </w:tc>
              <w:tc>
                <w:tcPr>
                  <w:tcW w:w="990" w:type="dxa"/>
                  <w:shd w:val="clear" w:color="auto" w:fill="auto"/>
                  <w:vAlign w:val="center"/>
                </w:tcPr>
                <w:p w14:paraId="415DEB2A">
                  <w:pPr>
                    <w:snapToGrid w:val="0"/>
                    <w:jc w:val="center"/>
                    <w:rPr>
                      <w:rFonts w:hint="default"/>
                      <w:bCs/>
                      <w:color w:val="auto"/>
                      <w:szCs w:val="21"/>
                      <w:lang w:val="en-US" w:eastAsia="zh-CN"/>
                    </w:rPr>
                  </w:pPr>
                  <w:r>
                    <w:rPr>
                      <w:rFonts w:hint="eastAsia"/>
                      <w:bCs/>
                      <w:color w:val="auto"/>
                      <w:szCs w:val="21"/>
                      <w:lang w:val="en-US" w:eastAsia="zh-CN"/>
                    </w:rPr>
                    <w:t>0.0045</w:t>
                  </w:r>
                </w:p>
              </w:tc>
              <w:tc>
                <w:tcPr>
                  <w:tcW w:w="944" w:type="dxa"/>
                  <w:vAlign w:val="center"/>
                </w:tcPr>
                <w:p w14:paraId="0EC26FDC">
                  <w:pPr>
                    <w:snapToGrid w:val="0"/>
                    <w:jc w:val="center"/>
                    <w:rPr>
                      <w:rFonts w:hint="default"/>
                      <w:bCs/>
                      <w:color w:val="auto"/>
                      <w:szCs w:val="21"/>
                      <w:lang w:val="en-US" w:eastAsia="zh-CN"/>
                    </w:rPr>
                  </w:pPr>
                  <w:r>
                    <w:rPr>
                      <w:rFonts w:hint="eastAsia"/>
                      <w:bCs/>
                      <w:color w:val="auto"/>
                      <w:szCs w:val="21"/>
                      <w:lang w:val="en-US" w:eastAsia="zh-CN"/>
                    </w:rPr>
                    <w:t>1.53</w:t>
                  </w:r>
                </w:p>
              </w:tc>
              <w:tc>
                <w:tcPr>
                  <w:tcW w:w="1420" w:type="dxa"/>
                  <w:vAlign w:val="center"/>
                </w:tcPr>
                <w:p w14:paraId="03810CA2">
                  <w:pPr>
                    <w:snapToGrid w:val="0"/>
                    <w:jc w:val="center"/>
                    <w:rPr>
                      <w:bCs/>
                      <w:color w:val="auto"/>
                      <w:szCs w:val="21"/>
                    </w:rPr>
                  </w:pPr>
                  <w:r>
                    <w:rPr>
                      <w:rFonts w:hint="eastAsia"/>
                      <w:bCs/>
                      <w:color w:val="auto"/>
                      <w:szCs w:val="21"/>
                      <w:lang w:val="en-US" w:eastAsia="zh-CN"/>
                    </w:rPr>
                    <w:t>全</w:t>
                  </w:r>
                  <w:r>
                    <w:rPr>
                      <w:bCs/>
                      <w:color w:val="auto"/>
                      <w:szCs w:val="21"/>
                    </w:rPr>
                    <w:t>封闭厂房+干雾抑尘器</w:t>
                  </w:r>
                </w:p>
              </w:tc>
              <w:tc>
                <w:tcPr>
                  <w:tcW w:w="816" w:type="dxa"/>
                  <w:vAlign w:val="center"/>
                </w:tcPr>
                <w:p w14:paraId="32B74664">
                  <w:pPr>
                    <w:snapToGrid w:val="0"/>
                    <w:jc w:val="center"/>
                    <w:rPr>
                      <w:rFonts w:hint="default"/>
                      <w:bCs/>
                      <w:color w:val="auto"/>
                      <w:szCs w:val="21"/>
                      <w:lang w:val="en-US" w:eastAsia="zh-CN"/>
                    </w:rPr>
                  </w:pPr>
                  <w:r>
                    <w:rPr>
                      <w:rFonts w:hint="eastAsia"/>
                      <w:bCs/>
                      <w:color w:val="auto"/>
                      <w:szCs w:val="21"/>
                      <w:lang w:val="en-US" w:eastAsia="zh-CN"/>
                    </w:rPr>
                    <w:t>0.0153</w:t>
                  </w:r>
                </w:p>
              </w:tc>
              <w:tc>
                <w:tcPr>
                  <w:tcW w:w="1012" w:type="dxa"/>
                  <w:vAlign w:val="center"/>
                </w:tcPr>
                <w:p w14:paraId="2116BC37">
                  <w:pPr>
                    <w:snapToGrid w:val="0"/>
                    <w:jc w:val="center"/>
                    <w:rPr>
                      <w:rFonts w:hint="default"/>
                      <w:bCs/>
                      <w:color w:val="auto"/>
                      <w:szCs w:val="21"/>
                      <w:lang w:val="en-US" w:eastAsia="zh-CN"/>
                    </w:rPr>
                  </w:pPr>
                  <w:r>
                    <w:rPr>
                      <w:rFonts w:hint="eastAsia"/>
                      <w:bCs/>
                      <w:color w:val="auto"/>
                      <w:szCs w:val="21"/>
                      <w:lang w:val="en-US" w:eastAsia="zh-CN"/>
                    </w:rPr>
                    <w:t>0.0019</w:t>
                  </w:r>
                </w:p>
              </w:tc>
            </w:tr>
          </w:tbl>
          <w:p w14:paraId="70FE65D5">
            <w:pPr>
              <w:pStyle w:val="19"/>
              <w:numPr>
                <w:ilvl w:val="0"/>
                <w:numId w:val="14"/>
              </w:numPr>
              <w:spacing w:before="0" w:beforeAutospacing="0" w:after="0" w:afterAutospacing="0" w:line="360" w:lineRule="auto"/>
              <w:ind w:firstLine="480" w:firstLineChars="200"/>
              <w:outlineLvl w:val="0"/>
              <w:rPr>
                <w:rFonts w:hint="default" w:ascii="Times New Roman" w:hAnsi="Times New Roman"/>
                <w:color w:val="auto"/>
                <w:lang w:val="en-US"/>
              </w:rPr>
            </w:pPr>
            <w:r>
              <w:rPr>
                <w:rFonts w:hint="eastAsia" w:ascii="Times New Roman" w:hAnsi="Times New Roman"/>
                <w:color w:val="auto"/>
              </w:rPr>
              <w:t>上料粉尘G</w:t>
            </w:r>
            <w:r>
              <w:rPr>
                <w:rFonts w:hint="eastAsia" w:ascii="Times New Roman" w:hAnsi="Times New Roman"/>
                <w:color w:val="auto"/>
                <w:lang w:val="en-US" w:eastAsia="zh-CN"/>
              </w:rPr>
              <w:t>5</w:t>
            </w:r>
          </w:p>
          <w:p w14:paraId="3019B1CB">
            <w:pPr>
              <w:widowControl/>
              <w:spacing w:line="360" w:lineRule="auto"/>
              <w:ind w:firstLine="480" w:firstLineChars="200"/>
              <w:jc w:val="left"/>
              <w:rPr>
                <w:color w:val="auto"/>
                <w:kern w:val="0"/>
                <w:sz w:val="24"/>
                <w:lang w:bidi="ar"/>
              </w:rPr>
            </w:pPr>
            <w:r>
              <w:rPr>
                <w:rFonts w:hint="eastAsia"/>
                <w:color w:val="auto"/>
                <w:sz w:val="24"/>
                <w:lang w:val="en-US" w:eastAsia="zh-CN"/>
              </w:rPr>
              <w:t>参考</w:t>
            </w:r>
            <w:r>
              <w:rPr>
                <w:rFonts w:hint="eastAsia"/>
                <w:color w:val="auto"/>
                <w:kern w:val="0"/>
                <w:sz w:val="24"/>
                <w:szCs w:val="20"/>
              </w:rPr>
              <w:t>《逸散性工业粉尘控制技术》中“煤加工厂”表</w:t>
            </w:r>
            <w:r>
              <w:rPr>
                <w:color w:val="auto"/>
                <w:kern w:val="0"/>
                <w:sz w:val="24"/>
                <w:szCs w:val="20"/>
              </w:rPr>
              <w:t>19-2</w:t>
            </w:r>
            <w:r>
              <w:rPr>
                <w:rFonts w:hint="eastAsia"/>
                <w:color w:val="auto"/>
                <w:kern w:val="0"/>
                <w:sz w:val="24"/>
                <w:szCs w:val="20"/>
              </w:rPr>
              <w:t>中运</w:t>
            </w:r>
            <w:r>
              <w:rPr>
                <w:rFonts w:hint="eastAsia"/>
                <w:color w:val="auto"/>
                <w:kern w:val="0"/>
                <w:sz w:val="24"/>
                <w:lang w:bidi="ar"/>
              </w:rPr>
              <w:t>输及</w:t>
            </w:r>
            <w:r>
              <w:rPr>
                <w:rFonts w:hint="eastAsia"/>
                <w:color w:val="auto"/>
                <w:kern w:val="0"/>
                <w:sz w:val="24"/>
                <w:lang w:val="en-US" w:eastAsia="zh-CN" w:bidi="ar"/>
              </w:rPr>
              <w:t>输送</w:t>
            </w:r>
            <w:r>
              <w:rPr>
                <w:rFonts w:hint="eastAsia"/>
                <w:color w:val="auto"/>
                <w:kern w:val="0"/>
                <w:sz w:val="24"/>
                <w:lang w:bidi="ar"/>
              </w:rPr>
              <w:t>粉尘排放因子为</w:t>
            </w:r>
            <w:r>
              <w:rPr>
                <w:color w:val="auto"/>
                <w:kern w:val="0"/>
                <w:sz w:val="24"/>
                <w:lang w:bidi="ar"/>
              </w:rPr>
              <w:t>0.1kg/t</w:t>
            </w:r>
            <w:r>
              <w:rPr>
                <w:rFonts w:hint="eastAsia"/>
                <w:color w:val="auto"/>
                <w:kern w:val="0"/>
                <w:sz w:val="24"/>
                <w:lang w:bidi="ar"/>
              </w:rPr>
              <w:t>，</w:t>
            </w:r>
            <w:r>
              <w:rPr>
                <w:rFonts w:hint="eastAsia"/>
                <w:color w:val="auto"/>
                <w:kern w:val="0"/>
                <w:sz w:val="24"/>
                <w:lang w:val="en-US" w:eastAsia="zh-CN" w:bidi="ar"/>
              </w:rPr>
              <w:t>本项目上料总</w:t>
            </w:r>
            <w:r>
              <w:rPr>
                <w:rFonts w:hint="eastAsia"/>
                <w:color w:val="auto"/>
                <w:kern w:val="0"/>
                <w:sz w:val="24"/>
                <w:lang w:bidi="ar"/>
              </w:rPr>
              <w:t>为45.636</w:t>
            </w:r>
            <w:r>
              <w:rPr>
                <w:color w:val="auto"/>
                <w:kern w:val="0"/>
                <w:sz w:val="24"/>
                <w:lang w:bidi="ar"/>
              </w:rPr>
              <w:t>万吨</w:t>
            </w:r>
            <w:r>
              <w:rPr>
                <w:rFonts w:hint="eastAsia"/>
                <w:color w:val="auto"/>
                <w:kern w:val="0"/>
                <w:sz w:val="24"/>
                <w:lang w:bidi="ar"/>
              </w:rPr>
              <w:t>，则粉尘产生量为</w:t>
            </w:r>
            <w:r>
              <w:rPr>
                <w:rFonts w:hint="eastAsia"/>
                <w:color w:val="auto"/>
                <w:kern w:val="0"/>
                <w:sz w:val="24"/>
                <w:lang w:val="en-US" w:eastAsia="zh-CN" w:bidi="ar"/>
              </w:rPr>
              <w:t>45.636</w:t>
            </w:r>
            <w:r>
              <w:rPr>
                <w:color w:val="auto"/>
                <w:kern w:val="0"/>
                <w:sz w:val="24"/>
                <w:lang w:bidi="ar"/>
              </w:rPr>
              <w:t>t/a</w:t>
            </w:r>
            <w:r>
              <w:rPr>
                <w:rFonts w:hint="eastAsia"/>
                <w:color w:val="auto"/>
                <w:kern w:val="0"/>
                <w:sz w:val="24"/>
                <w:lang w:bidi="ar"/>
              </w:rPr>
              <w:t>，产生速率为</w:t>
            </w:r>
            <w:r>
              <w:rPr>
                <w:rFonts w:hint="eastAsia"/>
                <w:color w:val="auto"/>
                <w:kern w:val="0"/>
                <w:sz w:val="24"/>
                <w:lang w:val="en-US" w:eastAsia="zh-CN" w:bidi="ar"/>
              </w:rPr>
              <w:t>5.71</w:t>
            </w:r>
            <w:r>
              <w:rPr>
                <w:color w:val="auto"/>
                <w:kern w:val="0"/>
                <w:sz w:val="24"/>
                <w:lang w:bidi="ar"/>
              </w:rPr>
              <w:t>kg/h</w:t>
            </w:r>
            <w:r>
              <w:rPr>
                <w:rFonts w:hint="eastAsia"/>
                <w:color w:val="auto"/>
                <w:kern w:val="0"/>
                <w:sz w:val="24"/>
                <w:lang w:bidi="ar"/>
              </w:rPr>
              <w:t>，产生浓度</w:t>
            </w:r>
            <w:r>
              <w:rPr>
                <w:rFonts w:hint="eastAsia"/>
                <w:color w:val="auto"/>
                <w:kern w:val="0"/>
                <w:sz w:val="24"/>
                <w:lang w:val="en-US" w:eastAsia="zh-CN" w:bidi="ar"/>
              </w:rPr>
              <w:t>571</w:t>
            </w:r>
            <w:r>
              <w:rPr>
                <w:rFonts w:hint="eastAsia"/>
                <w:color w:val="auto"/>
                <w:kern w:val="0"/>
                <w:sz w:val="24"/>
                <w:lang w:bidi="ar"/>
              </w:rPr>
              <w:t xml:space="preserve"> </w:t>
            </w:r>
            <w:r>
              <w:rPr>
                <w:bCs/>
                <w:color w:val="auto"/>
                <w:sz w:val="24"/>
              </w:rPr>
              <w:t>mg/m</w:t>
            </w:r>
            <w:r>
              <w:rPr>
                <w:bCs/>
                <w:color w:val="auto"/>
                <w:sz w:val="24"/>
                <w:vertAlign w:val="superscript"/>
              </w:rPr>
              <w:t>3</w:t>
            </w:r>
            <w:r>
              <w:rPr>
                <w:rFonts w:hint="eastAsia"/>
                <w:color w:val="auto"/>
                <w:kern w:val="0"/>
                <w:sz w:val="24"/>
                <w:lang w:bidi="ar"/>
              </w:rPr>
              <w:t>。</w:t>
            </w:r>
          </w:p>
          <w:p w14:paraId="0AA20082">
            <w:pPr>
              <w:widowControl/>
              <w:spacing w:line="360" w:lineRule="auto"/>
              <w:ind w:firstLine="480" w:firstLineChars="200"/>
              <w:jc w:val="left"/>
              <w:rPr>
                <w:color w:val="auto"/>
                <w:kern w:val="0"/>
                <w:sz w:val="24"/>
                <w:lang w:bidi="ar"/>
              </w:rPr>
            </w:pPr>
            <w:r>
              <w:rPr>
                <w:color w:val="auto"/>
                <w:kern w:val="0"/>
                <w:sz w:val="24"/>
                <w:szCs w:val="20"/>
              </w:rPr>
              <w:t>焦粉兰炭粉上料时干雾抑尘器喷水抑尘</w:t>
            </w:r>
            <w:r>
              <w:rPr>
                <w:rFonts w:hint="eastAsia"/>
                <w:color w:val="auto"/>
                <w:kern w:val="0"/>
                <w:sz w:val="24"/>
                <w:szCs w:val="20"/>
              </w:rPr>
              <w:t>，</w:t>
            </w:r>
            <w:r>
              <w:rPr>
                <w:rFonts w:hint="eastAsia"/>
                <w:color w:val="auto"/>
                <w:kern w:val="0"/>
                <w:sz w:val="24"/>
                <w:lang w:bidi="ar"/>
              </w:rPr>
              <w:t>采取</w:t>
            </w:r>
            <w:r>
              <w:rPr>
                <w:color w:val="auto"/>
                <w:kern w:val="0"/>
                <w:sz w:val="24"/>
                <w:szCs w:val="20"/>
              </w:rPr>
              <w:t>干雾抑尘器喷水抑尘</w:t>
            </w:r>
            <w:r>
              <w:rPr>
                <w:rFonts w:hint="eastAsia"/>
                <w:color w:val="auto"/>
                <w:kern w:val="0"/>
                <w:sz w:val="24"/>
                <w:lang w:bidi="ar"/>
              </w:rPr>
              <w:t>措施后粉尘控制效率可达</w:t>
            </w:r>
            <w:r>
              <w:rPr>
                <w:rFonts w:hint="eastAsia"/>
                <w:color w:val="auto"/>
                <w:kern w:val="0"/>
                <w:sz w:val="24"/>
                <w:lang w:val="en-US" w:eastAsia="zh-CN" w:bidi="ar"/>
              </w:rPr>
              <w:t>90</w:t>
            </w:r>
            <w:r>
              <w:rPr>
                <w:rFonts w:hint="eastAsia"/>
                <w:color w:val="auto"/>
                <w:kern w:val="0"/>
                <w:sz w:val="24"/>
                <w:lang w:bidi="ar"/>
              </w:rPr>
              <w:t>%，</w:t>
            </w:r>
            <w:r>
              <w:rPr>
                <w:rFonts w:hint="eastAsia"/>
                <w:color w:val="auto"/>
                <w:kern w:val="0"/>
                <w:sz w:val="24"/>
                <w:szCs w:val="20"/>
              </w:rPr>
              <w:t>通过集气罩（</w:t>
            </w:r>
            <w:r>
              <w:rPr>
                <w:color w:val="auto"/>
                <w:kern w:val="0"/>
                <w:sz w:val="24"/>
                <w:szCs w:val="20"/>
              </w:rPr>
              <w:t>90%</w:t>
            </w:r>
            <w:r>
              <w:rPr>
                <w:rFonts w:hint="eastAsia"/>
                <w:color w:val="auto"/>
                <w:kern w:val="0"/>
                <w:sz w:val="24"/>
                <w:szCs w:val="20"/>
              </w:rPr>
              <w:t>）收集后经密闭抽尘管道</w:t>
            </w:r>
            <w:r>
              <w:rPr>
                <w:rFonts w:hint="eastAsia"/>
                <w:color w:val="auto"/>
                <w:kern w:val="0"/>
                <w:sz w:val="24"/>
                <w:lang w:bidi="ar"/>
              </w:rPr>
              <w:t>引至1套布袋除尘器（</w:t>
            </w:r>
            <w:r>
              <w:rPr>
                <w:color w:val="auto"/>
                <w:kern w:val="0"/>
                <w:sz w:val="24"/>
                <w:lang w:bidi="ar"/>
              </w:rPr>
              <w:t>99%</w:t>
            </w:r>
            <w:r>
              <w:rPr>
                <w:rFonts w:hint="eastAsia"/>
                <w:color w:val="auto"/>
                <w:kern w:val="0"/>
                <w:sz w:val="24"/>
                <w:lang w:bidi="ar"/>
              </w:rPr>
              <w:t>）处理后排放，布袋除尘器风量为10000m</w:t>
            </w:r>
            <w:r>
              <w:rPr>
                <w:rFonts w:hint="eastAsia"/>
                <w:color w:val="auto"/>
                <w:kern w:val="0"/>
                <w:sz w:val="24"/>
                <w:vertAlign w:val="superscript"/>
                <w:lang w:bidi="ar"/>
              </w:rPr>
              <w:t>3</w:t>
            </w:r>
            <w:r>
              <w:rPr>
                <w:rFonts w:hint="eastAsia"/>
                <w:color w:val="auto"/>
                <w:kern w:val="0"/>
                <w:sz w:val="24"/>
                <w:lang w:bidi="ar"/>
              </w:rPr>
              <w:t>/h，粉尘排放量为</w:t>
            </w:r>
            <w:r>
              <w:rPr>
                <w:rFonts w:hint="eastAsia"/>
                <w:color w:val="auto"/>
                <w:kern w:val="0"/>
                <w:sz w:val="24"/>
                <w:lang w:val="en-US" w:eastAsia="zh-CN" w:bidi="ar"/>
              </w:rPr>
              <w:t>0.00456</w:t>
            </w:r>
            <w:r>
              <w:rPr>
                <w:color w:val="auto"/>
                <w:kern w:val="0"/>
                <w:sz w:val="24"/>
                <w:lang w:bidi="ar"/>
              </w:rPr>
              <w:t>t/a</w:t>
            </w:r>
            <w:r>
              <w:rPr>
                <w:rFonts w:hint="eastAsia"/>
                <w:color w:val="auto"/>
                <w:kern w:val="0"/>
                <w:sz w:val="24"/>
                <w:lang w:bidi="ar"/>
              </w:rPr>
              <w:t>，排放速率为</w:t>
            </w:r>
            <w:r>
              <w:rPr>
                <w:rFonts w:hint="eastAsia"/>
                <w:color w:val="auto"/>
                <w:kern w:val="0"/>
                <w:sz w:val="24"/>
                <w:lang w:val="en-US" w:eastAsia="zh-CN" w:bidi="ar"/>
              </w:rPr>
              <w:t>0.571×10</w:t>
            </w:r>
            <w:r>
              <w:rPr>
                <w:rFonts w:hint="eastAsia"/>
                <w:color w:val="auto"/>
                <w:kern w:val="0"/>
                <w:sz w:val="24"/>
                <w:vertAlign w:val="superscript"/>
                <w:lang w:val="en-US" w:eastAsia="zh-CN" w:bidi="ar"/>
              </w:rPr>
              <w:t>-3</w:t>
            </w:r>
            <w:r>
              <w:rPr>
                <w:color w:val="auto"/>
                <w:kern w:val="0"/>
                <w:sz w:val="24"/>
                <w:lang w:bidi="ar"/>
              </w:rPr>
              <w:t>kg/h</w:t>
            </w:r>
            <w:r>
              <w:rPr>
                <w:rFonts w:hint="eastAsia"/>
                <w:color w:val="auto"/>
                <w:kern w:val="0"/>
                <w:sz w:val="24"/>
                <w:lang w:bidi="ar"/>
              </w:rPr>
              <w:t>，排放浓度</w:t>
            </w:r>
            <w:r>
              <w:rPr>
                <w:rFonts w:hint="eastAsia"/>
                <w:color w:val="auto"/>
                <w:kern w:val="0"/>
                <w:sz w:val="24"/>
                <w:lang w:val="en-US" w:eastAsia="zh-CN" w:bidi="ar"/>
              </w:rPr>
              <w:t>0.0571</w:t>
            </w:r>
            <w:r>
              <w:rPr>
                <w:bCs/>
                <w:color w:val="auto"/>
                <w:sz w:val="24"/>
              </w:rPr>
              <w:t>mg/m</w:t>
            </w:r>
            <w:r>
              <w:rPr>
                <w:bCs/>
                <w:color w:val="auto"/>
                <w:sz w:val="24"/>
                <w:vertAlign w:val="superscript"/>
              </w:rPr>
              <w:t>3</w:t>
            </w:r>
            <w:r>
              <w:rPr>
                <w:rFonts w:hint="eastAsia"/>
                <w:color w:val="auto"/>
                <w:kern w:val="0"/>
                <w:sz w:val="24"/>
                <w:lang w:bidi="ar"/>
              </w:rPr>
              <w:t>。</w:t>
            </w:r>
          </w:p>
          <w:p w14:paraId="71F4F187">
            <w:pPr>
              <w:widowControl/>
              <w:jc w:val="center"/>
              <w:rPr>
                <w:b/>
                <w:bCs/>
                <w:color w:val="auto"/>
                <w:kern w:val="0"/>
                <w:sz w:val="24"/>
                <w:lang w:bidi="ar"/>
              </w:rPr>
            </w:pPr>
            <w:r>
              <w:rPr>
                <w:rFonts w:hint="eastAsia"/>
                <w:b/>
                <w:bCs/>
                <w:color w:val="auto"/>
                <w:kern w:val="0"/>
                <w:sz w:val="24"/>
                <w:lang w:bidi="ar"/>
              </w:rPr>
              <w:t>表4-</w:t>
            </w:r>
            <w:r>
              <w:rPr>
                <w:rFonts w:hint="eastAsia"/>
                <w:b/>
                <w:bCs/>
                <w:color w:val="auto"/>
                <w:kern w:val="0"/>
                <w:sz w:val="24"/>
                <w:lang w:val="en-US" w:eastAsia="zh-CN" w:bidi="ar"/>
              </w:rPr>
              <w:t xml:space="preserve">3 </w:t>
            </w:r>
            <w:r>
              <w:rPr>
                <w:rFonts w:hint="eastAsia"/>
                <w:b/>
                <w:bCs/>
                <w:color w:val="auto"/>
                <w:kern w:val="0"/>
                <w:sz w:val="24"/>
                <w:lang w:bidi="ar"/>
              </w:rPr>
              <w:t xml:space="preserve">   本次评价上料粉尘污染物排放情况</w:t>
            </w:r>
          </w:p>
          <w:tbl>
            <w:tblPr>
              <w:tblStyle w:val="23"/>
              <w:tblW w:w="8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915"/>
              <w:gridCol w:w="1005"/>
              <w:gridCol w:w="1050"/>
              <w:gridCol w:w="855"/>
              <w:gridCol w:w="1455"/>
              <w:gridCol w:w="930"/>
              <w:gridCol w:w="1206"/>
            </w:tblGrid>
            <w:tr w14:paraId="0E11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44" w:type="dxa"/>
                  <w:vAlign w:val="center"/>
                </w:tcPr>
                <w:p w14:paraId="1F9DB2EB">
                  <w:pPr>
                    <w:snapToGrid w:val="0"/>
                    <w:jc w:val="center"/>
                    <w:rPr>
                      <w:bCs/>
                      <w:color w:val="auto"/>
                      <w:szCs w:val="21"/>
                    </w:rPr>
                  </w:pPr>
                  <w:r>
                    <w:rPr>
                      <w:bCs/>
                      <w:color w:val="auto"/>
                      <w:szCs w:val="21"/>
                    </w:rPr>
                    <w:t>污染源</w:t>
                  </w:r>
                </w:p>
              </w:tc>
              <w:tc>
                <w:tcPr>
                  <w:tcW w:w="915" w:type="dxa"/>
                  <w:vAlign w:val="center"/>
                </w:tcPr>
                <w:p w14:paraId="775FDFE0">
                  <w:pPr>
                    <w:snapToGrid w:val="0"/>
                    <w:jc w:val="center"/>
                    <w:rPr>
                      <w:bCs/>
                      <w:color w:val="auto"/>
                      <w:sz w:val="21"/>
                      <w:szCs w:val="21"/>
                    </w:rPr>
                  </w:pPr>
                  <w:r>
                    <w:rPr>
                      <w:bCs/>
                      <w:color w:val="auto"/>
                      <w:sz w:val="21"/>
                      <w:szCs w:val="21"/>
                    </w:rPr>
                    <w:t>污染物</w:t>
                  </w:r>
                </w:p>
              </w:tc>
              <w:tc>
                <w:tcPr>
                  <w:tcW w:w="1005" w:type="dxa"/>
                  <w:vAlign w:val="center"/>
                </w:tcPr>
                <w:p w14:paraId="49128B9E">
                  <w:pPr>
                    <w:snapToGrid w:val="0"/>
                    <w:jc w:val="center"/>
                    <w:rPr>
                      <w:bCs/>
                      <w:color w:val="auto"/>
                      <w:sz w:val="21"/>
                      <w:szCs w:val="21"/>
                    </w:rPr>
                  </w:pPr>
                  <w:r>
                    <w:rPr>
                      <w:bCs/>
                      <w:color w:val="auto"/>
                      <w:sz w:val="21"/>
                      <w:szCs w:val="21"/>
                    </w:rPr>
                    <w:t>产品（万吨/年）</w:t>
                  </w:r>
                </w:p>
              </w:tc>
              <w:tc>
                <w:tcPr>
                  <w:tcW w:w="1050" w:type="dxa"/>
                  <w:vAlign w:val="center"/>
                </w:tcPr>
                <w:p w14:paraId="71F1A76A">
                  <w:pPr>
                    <w:snapToGrid w:val="0"/>
                    <w:jc w:val="center"/>
                    <w:rPr>
                      <w:bCs/>
                      <w:color w:val="auto"/>
                      <w:sz w:val="21"/>
                      <w:szCs w:val="21"/>
                    </w:rPr>
                  </w:pPr>
                  <w:r>
                    <w:rPr>
                      <w:rFonts w:hint="eastAsia"/>
                      <w:bCs/>
                      <w:color w:val="auto"/>
                      <w:sz w:val="21"/>
                      <w:szCs w:val="21"/>
                    </w:rPr>
                    <w:t>产污系数</w:t>
                  </w:r>
                  <w:r>
                    <w:rPr>
                      <w:color w:val="auto"/>
                      <w:kern w:val="0"/>
                      <w:sz w:val="21"/>
                      <w:szCs w:val="21"/>
                      <w:lang w:bidi="ar"/>
                    </w:rPr>
                    <w:t>kg/t</w:t>
                  </w:r>
                </w:p>
              </w:tc>
              <w:tc>
                <w:tcPr>
                  <w:tcW w:w="855" w:type="dxa"/>
                  <w:vAlign w:val="center"/>
                </w:tcPr>
                <w:p w14:paraId="12B003C7">
                  <w:pPr>
                    <w:snapToGrid w:val="0"/>
                    <w:jc w:val="center"/>
                    <w:rPr>
                      <w:bCs/>
                      <w:color w:val="auto"/>
                      <w:sz w:val="21"/>
                      <w:szCs w:val="21"/>
                    </w:rPr>
                  </w:pPr>
                  <w:r>
                    <w:rPr>
                      <w:bCs/>
                      <w:color w:val="auto"/>
                      <w:sz w:val="21"/>
                      <w:szCs w:val="21"/>
                    </w:rPr>
                    <w:t>产生</w:t>
                  </w:r>
                </w:p>
                <w:p w14:paraId="30343F35">
                  <w:pPr>
                    <w:snapToGrid w:val="0"/>
                    <w:jc w:val="center"/>
                    <w:rPr>
                      <w:bCs/>
                      <w:color w:val="auto"/>
                      <w:sz w:val="21"/>
                      <w:szCs w:val="21"/>
                    </w:rPr>
                  </w:pPr>
                  <w:r>
                    <w:rPr>
                      <w:bCs/>
                      <w:color w:val="auto"/>
                      <w:sz w:val="21"/>
                      <w:szCs w:val="21"/>
                    </w:rPr>
                    <w:t>量 t/a</w:t>
                  </w:r>
                </w:p>
              </w:tc>
              <w:tc>
                <w:tcPr>
                  <w:tcW w:w="1455" w:type="dxa"/>
                  <w:vAlign w:val="center"/>
                </w:tcPr>
                <w:p w14:paraId="19AA035D">
                  <w:pPr>
                    <w:snapToGrid w:val="0"/>
                    <w:jc w:val="center"/>
                    <w:rPr>
                      <w:bCs/>
                      <w:color w:val="auto"/>
                      <w:sz w:val="21"/>
                      <w:szCs w:val="21"/>
                    </w:rPr>
                  </w:pPr>
                  <w:r>
                    <w:rPr>
                      <w:bCs/>
                      <w:color w:val="auto"/>
                      <w:sz w:val="21"/>
                      <w:szCs w:val="21"/>
                    </w:rPr>
                    <w:t>治理</w:t>
                  </w:r>
                </w:p>
                <w:p w14:paraId="3F95F73F">
                  <w:pPr>
                    <w:snapToGrid w:val="0"/>
                    <w:jc w:val="center"/>
                    <w:rPr>
                      <w:bCs/>
                      <w:color w:val="auto"/>
                      <w:sz w:val="21"/>
                      <w:szCs w:val="21"/>
                    </w:rPr>
                  </w:pPr>
                  <w:r>
                    <w:rPr>
                      <w:bCs/>
                      <w:color w:val="auto"/>
                      <w:sz w:val="21"/>
                      <w:szCs w:val="21"/>
                    </w:rPr>
                    <w:t>措施</w:t>
                  </w:r>
                </w:p>
              </w:tc>
              <w:tc>
                <w:tcPr>
                  <w:tcW w:w="930" w:type="dxa"/>
                  <w:vAlign w:val="center"/>
                </w:tcPr>
                <w:p w14:paraId="3BA19D0B">
                  <w:pPr>
                    <w:snapToGrid w:val="0"/>
                    <w:jc w:val="center"/>
                    <w:rPr>
                      <w:bCs/>
                      <w:color w:val="auto"/>
                      <w:sz w:val="21"/>
                      <w:szCs w:val="21"/>
                    </w:rPr>
                  </w:pPr>
                  <w:r>
                    <w:rPr>
                      <w:bCs/>
                      <w:color w:val="auto"/>
                      <w:sz w:val="21"/>
                      <w:szCs w:val="21"/>
                    </w:rPr>
                    <w:t>排放量</w:t>
                  </w:r>
                </w:p>
                <w:p w14:paraId="34F0F66E">
                  <w:pPr>
                    <w:snapToGrid w:val="0"/>
                    <w:jc w:val="center"/>
                    <w:rPr>
                      <w:bCs/>
                      <w:color w:val="auto"/>
                      <w:sz w:val="21"/>
                      <w:szCs w:val="21"/>
                    </w:rPr>
                  </w:pPr>
                  <w:r>
                    <w:rPr>
                      <w:bCs/>
                      <w:color w:val="auto"/>
                      <w:sz w:val="21"/>
                      <w:szCs w:val="21"/>
                    </w:rPr>
                    <w:t>t/a</w:t>
                  </w:r>
                </w:p>
              </w:tc>
              <w:tc>
                <w:tcPr>
                  <w:tcW w:w="1206" w:type="dxa"/>
                  <w:vAlign w:val="center"/>
                </w:tcPr>
                <w:p w14:paraId="59477AC9">
                  <w:pPr>
                    <w:snapToGrid w:val="0"/>
                    <w:jc w:val="center"/>
                    <w:rPr>
                      <w:bCs/>
                      <w:color w:val="auto"/>
                      <w:sz w:val="21"/>
                      <w:szCs w:val="21"/>
                    </w:rPr>
                  </w:pPr>
                  <w:r>
                    <w:rPr>
                      <w:bCs/>
                      <w:color w:val="auto"/>
                      <w:sz w:val="21"/>
                      <w:szCs w:val="21"/>
                    </w:rPr>
                    <w:t>排放</w:t>
                  </w:r>
                </w:p>
                <w:p w14:paraId="703ED3E4">
                  <w:pPr>
                    <w:snapToGrid w:val="0"/>
                    <w:jc w:val="center"/>
                    <w:rPr>
                      <w:bCs/>
                      <w:color w:val="auto"/>
                      <w:sz w:val="21"/>
                      <w:szCs w:val="21"/>
                    </w:rPr>
                  </w:pPr>
                  <w:r>
                    <w:rPr>
                      <w:rFonts w:hint="eastAsia"/>
                      <w:bCs/>
                      <w:color w:val="auto"/>
                      <w:sz w:val="21"/>
                      <w:szCs w:val="21"/>
                    </w:rPr>
                    <w:t>速率</w:t>
                  </w:r>
                  <w:r>
                    <w:rPr>
                      <w:bCs/>
                      <w:color w:val="auto"/>
                      <w:sz w:val="21"/>
                      <w:szCs w:val="21"/>
                    </w:rPr>
                    <w:t>kg/h</w:t>
                  </w:r>
                </w:p>
              </w:tc>
            </w:tr>
            <w:tr w14:paraId="3598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44" w:type="dxa"/>
                  <w:vAlign w:val="center"/>
                </w:tcPr>
                <w:p w14:paraId="11588E12">
                  <w:pPr>
                    <w:snapToGrid w:val="0"/>
                    <w:jc w:val="center"/>
                    <w:rPr>
                      <w:bCs/>
                      <w:color w:val="auto"/>
                      <w:szCs w:val="21"/>
                    </w:rPr>
                  </w:pPr>
                  <w:r>
                    <w:rPr>
                      <w:rFonts w:hint="eastAsia"/>
                      <w:bCs/>
                      <w:color w:val="auto"/>
                      <w:szCs w:val="21"/>
                    </w:rPr>
                    <w:t>上料粉尘</w:t>
                  </w:r>
                </w:p>
              </w:tc>
              <w:tc>
                <w:tcPr>
                  <w:tcW w:w="915" w:type="dxa"/>
                  <w:vAlign w:val="center"/>
                </w:tcPr>
                <w:p w14:paraId="09B614A9">
                  <w:pPr>
                    <w:snapToGrid w:val="0"/>
                    <w:jc w:val="center"/>
                    <w:rPr>
                      <w:bCs/>
                      <w:color w:val="auto"/>
                      <w:sz w:val="21"/>
                      <w:szCs w:val="21"/>
                    </w:rPr>
                  </w:pPr>
                  <w:r>
                    <w:rPr>
                      <w:rFonts w:hint="eastAsia"/>
                      <w:bCs/>
                      <w:color w:val="auto"/>
                      <w:sz w:val="21"/>
                      <w:szCs w:val="21"/>
                    </w:rPr>
                    <w:t>颗粒物</w:t>
                  </w:r>
                </w:p>
              </w:tc>
              <w:tc>
                <w:tcPr>
                  <w:tcW w:w="1005" w:type="dxa"/>
                  <w:vAlign w:val="center"/>
                </w:tcPr>
                <w:p w14:paraId="2E1998F7">
                  <w:pPr>
                    <w:snapToGrid w:val="0"/>
                    <w:jc w:val="center"/>
                    <w:rPr>
                      <w:rFonts w:hint="default" w:eastAsia="宋体"/>
                      <w:bCs/>
                      <w:color w:val="auto"/>
                      <w:sz w:val="21"/>
                      <w:szCs w:val="21"/>
                      <w:lang w:val="en-US" w:eastAsia="zh-CN"/>
                    </w:rPr>
                  </w:pPr>
                  <w:r>
                    <w:rPr>
                      <w:rFonts w:hint="eastAsia"/>
                      <w:bCs/>
                      <w:color w:val="auto"/>
                      <w:sz w:val="21"/>
                      <w:szCs w:val="21"/>
                      <w:lang w:val="en-US" w:eastAsia="zh-CN"/>
                    </w:rPr>
                    <w:t>45.636</w:t>
                  </w:r>
                </w:p>
              </w:tc>
              <w:tc>
                <w:tcPr>
                  <w:tcW w:w="1050" w:type="dxa"/>
                  <w:vAlign w:val="center"/>
                </w:tcPr>
                <w:p w14:paraId="237D034B">
                  <w:pPr>
                    <w:snapToGrid w:val="0"/>
                    <w:jc w:val="center"/>
                    <w:rPr>
                      <w:bCs/>
                      <w:color w:val="auto"/>
                      <w:sz w:val="21"/>
                      <w:szCs w:val="21"/>
                    </w:rPr>
                  </w:pPr>
                  <w:r>
                    <w:rPr>
                      <w:rFonts w:hint="eastAsia"/>
                      <w:bCs/>
                      <w:color w:val="auto"/>
                      <w:sz w:val="21"/>
                      <w:szCs w:val="21"/>
                    </w:rPr>
                    <w:t>0.1</w:t>
                  </w:r>
                </w:p>
              </w:tc>
              <w:tc>
                <w:tcPr>
                  <w:tcW w:w="855" w:type="dxa"/>
                  <w:vAlign w:val="center"/>
                </w:tcPr>
                <w:p w14:paraId="521B53C3">
                  <w:pPr>
                    <w:snapToGrid w:val="0"/>
                    <w:jc w:val="center"/>
                    <w:rPr>
                      <w:bCs/>
                      <w:color w:val="auto"/>
                      <w:sz w:val="21"/>
                      <w:szCs w:val="21"/>
                    </w:rPr>
                  </w:pPr>
                  <w:r>
                    <w:rPr>
                      <w:rFonts w:hint="eastAsia"/>
                      <w:color w:val="auto"/>
                      <w:kern w:val="0"/>
                      <w:sz w:val="21"/>
                      <w:szCs w:val="21"/>
                      <w:lang w:val="en-US" w:eastAsia="zh-CN" w:bidi="ar"/>
                    </w:rPr>
                    <w:t>45.636</w:t>
                  </w:r>
                </w:p>
              </w:tc>
              <w:tc>
                <w:tcPr>
                  <w:tcW w:w="1455" w:type="dxa"/>
                  <w:vAlign w:val="center"/>
                </w:tcPr>
                <w:p w14:paraId="1A66BCD9">
                  <w:pPr>
                    <w:snapToGrid w:val="0"/>
                    <w:jc w:val="center"/>
                    <w:rPr>
                      <w:bCs/>
                      <w:color w:val="auto"/>
                      <w:sz w:val="21"/>
                      <w:szCs w:val="21"/>
                    </w:rPr>
                  </w:pPr>
                  <w:r>
                    <w:rPr>
                      <w:rFonts w:hint="eastAsia"/>
                      <w:bCs/>
                      <w:color w:val="auto"/>
                      <w:sz w:val="21"/>
                      <w:szCs w:val="21"/>
                    </w:rPr>
                    <w:t>洒水抑尘+布袋除尘器</w:t>
                  </w:r>
                </w:p>
              </w:tc>
              <w:tc>
                <w:tcPr>
                  <w:tcW w:w="930" w:type="dxa"/>
                  <w:vAlign w:val="center"/>
                </w:tcPr>
                <w:p w14:paraId="7554B9C3">
                  <w:pPr>
                    <w:snapToGrid w:val="0"/>
                    <w:jc w:val="center"/>
                    <w:rPr>
                      <w:rFonts w:hint="default" w:eastAsia="宋体"/>
                      <w:bCs/>
                      <w:color w:val="auto"/>
                      <w:sz w:val="21"/>
                      <w:szCs w:val="21"/>
                      <w:lang w:val="en-US" w:eastAsia="zh-CN"/>
                    </w:rPr>
                  </w:pPr>
                  <w:r>
                    <w:rPr>
                      <w:rFonts w:hint="eastAsia"/>
                      <w:color w:val="auto"/>
                      <w:kern w:val="0"/>
                      <w:sz w:val="21"/>
                      <w:szCs w:val="21"/>
                      <w:lang w:val="en-US" w:eastAsia="zh-CN" w:bidi="ar"/>
                    </w:rPr>
                    <w:t>0.00456</w:t>
                  </w:r>
                </w:p>
              </w:tc>
              <w:tc>
                <w:tcPr>
                  <w:tcW w:w="1206" w:type="dxa"/>
                  <w:vAlign w:val="center"/>
                </w:tcPr>
                <w:p w14:paraId="171253CC">
                  <w:pPr>
                    <w:snapToGrid w:val="0"/>
                    <w:jc w:val="center"/>
                    <w:rPr>
                      <w:rFonts w:hint="default" w:eastAsia="宋体"/>
                      <w:bCs/>
                      <w:color w:val="auto"/>
                      <w:sz w:val="21"/>
                      <w:szCs w:val="21"/>
                      <w:lang w:val="en-US" w:eastAsia="zh-CN"/>
                    </w:rPr>
                  </w:pPr>
                  <w:r>
                    <w:rPr>
                      <w:rFonts w:hint="eastAsia"/>
                      <w:color w:val="auto"/>
                      <w:kern w:val="0"/>
                      <w:sz w:val="21"/>
                      <w:szCs w:val="21"/>
                      <w:lang w:val="en-US" w:eastAsia="zh-CN" w:bidi="ar"/>
                    </w:rPr>
                    <w:t>0.571×10</w:t>
                  </w:r>
                  <w:r>
                    <w:rPr>
                      <w:rFonts w:hint="eastAsia"/>
                      <w:color w:val="auto"/>
                      <w:kern w:val="0"/>
                      <w:sz w:val="21"/>
                      <w:szCs w:val="21"/>
                      <w:vertAlign w:val="superscript"/>
                      <w:lang w:val="en-US" w:eastAsia="zh-CN" w:bidi="ar"/>
                    </w:rPr>
                    <w:t>-3</w:t>
                  </w:r>
                </w:p>
              </w:tc>
            </w:tr>
          </w:tbl>
          <w:p w14:paraId="088016E4">
            <w:pPr>
              <w:pStyle w:val="19"/>
              <w:numPr>
                <w:ilvl w:val="0"/>
                <w:numId w:val="14"/>
              </w:numPr>
              <w:spacing w:before="0" w:beforeAutospacing="0" w:after="0" w:afterAutospacing="0" w:line="360" w:lineRule="auto"/>
              <w:ind w:firstLine="480" w:firstLineChars="200"/>
              <w:outlineLvl w:val="0"/>
              <w:rPr>
                <w:rFonts w:hint="eastAsia" w:ascii="Times New Roman" w:hAnsi="Times New Roman"/>
                <w:color w:val="auto"/>
              </w:rPr>
            </w:pPr>
            <w:r>
              <w:rPr>
                <w:rFonts w:hint="eastAsia" w:ascii="Times New Roman" w:hAnsi="Times New Roman"/>
                <w:color w:val="auto"/>
                <w:lang w:val="en-US" w:eastAsia="zh-CN"/>
              </w:rPr>
              <w:t>搅拌</w:t>
            </w:r>
            <w:r>
              <w:rPr>
                <w:rFonts w:hint="eastAsia" w:ascii="Times New Roman" w:hAnsi="Times New Roman"/>
                <w:color w:val="auto"/>
                <w:highlight w:val="none"/>
                <w:lang w:val="en-US" w:eastAsia="zh-CN"/>
              </w:rPr>
              <w:t>粉尘</w:t>
            </w:r>
            <w:r>
              <w:rPr>
                <w:rFonts w:hint="eastAsia" w:ascii="Times New Roman" w:hAnsi="Times New Roman"/>
                <w:color w:val="auto"/>
                <w:highlight w:val="none"/>
              </w:rPr>
              <w:t>G</w:t>
            </w:r>
            <w:r>
              <w:rPr>
                <w:rFonts w:hint="eastAsia" w:ascii="Times New Roman" w:hAnsi="Times New Roman"/>
                <w:color w:val="auto"/>
                <w:highlight w:val="none"/>
                <w:lang w:val="en-US" w:eastAsia="zh-CN"/>
              </w:rPr>
              <w:t>6、</w:t>
            </w:r>
            <w:r>
              <w:rPr>
                <w:rFonts w:hint="eastAsia" w:ascii="Times New Roman" w:hAnsi="Times New Roman"/>
                <w:color w:val="auto"/>
                <w:highlight w:val="none"/>
              </w:rPr>
              <w:t>烘</w:t>
            </w:r>
            <w:r>
              <w:rPr>
                <w:rFonts w:hint="eastAsia" w:ascii="Times New Roman" w:hAnsi="Times New Roman"/>
                <w:color w:val="auto"/>
              </w:rPr>
              <w:t>干粉尘G</w:t>
            </w:r>
            <w:r>
              <w:rPr>
                <w:rFonts w:hint="eastAsia" w:ascii="Times New Roman" w:hAnsi="Times New Roman"/>
                <w:color w:val="auto"/>
                <w:lang w:val="en-US" w:eastAsia="zh-CN"/>
              </w:rPr>
              <w:t>7</w:t>
            </w:r>
            <w:r>
              <w:rPr>
                <w:rFonts w:hint="eastAsia" w:ascii="Times New Roman" w:hAnsi="Times New Roman"/>
                <w:color w:val="auto"/>
                <w:lang w:eastAsia="zh-CN"/>
              </w:rPr>
              <w:t>、</w:t>
            </w:r>
            <w:r>
              <w:rPr>
                <w:rFonts w:hint="eastAsia" w:ascii="Times New Roman" w:hAnsi="Times New Roman"/>
                <w:color w:val="auto"/>
              </w:rPr>
              <w:t>筛分粉尘G</w:t>
            </w:r>
            <w:r>
              <w:rPr>
                <w:rFonts w:hint="eastAsia" w:ascii="Times New Roman" w:hAnsi="Times New Roman"/>
                <w:color w:val="auto"/>
                <w:lang w:val="en-US" w:eastAsia="zh-CN"/>
              </w:rPr>
              <w:t>8、包装粉尘G9</w:t>
            </w:r>
          </w:p>
          <w:p w14:paraId="5B413358">
            <w:pPr>
              <w:pStyle w:val="19"/>
              <w:spacing w:before="0" w:beforeAutospacing="0" w:after="0" w:afterAutospacing="0" w:line="360" w:lineRule="auto"/>
              <w:ind w:firstLine="480" w:firstLineChars="200"/>
              <w:outlineLvl w:val="0"/>
              <w:rPr>
                <w:rFonts w:hint="eastAsia" w:ascii="Times New Roman" w:hAnsi="Times New Roman"/>
                <w:color w:val="auto"/>
              </w:rPr>
            </w:pPr>
            <w:r>
              <w:rPr>
                <w:rFonts w:hint="eastAsia" w:ascii="Times New Roman" w:hAnsi="Times New Roman"/>
                <w:color w:val="auto"/>
              </w:rPr>
              <w:t>参照《排放源统计调查产排污核算方法和系数手册》附表1工业行业产排污系数手册，《252 煤炭加工行业系数手册》中型煤生产的产污系数。该手册用于《国民经济行业分类》(GB/T4754-2017)中 2524 煤制品制造行业使用系数法核算工业污染物产生量和排放量的工业企业。因本工程所用原料为焦粉及除尘灰，与煤制品制造行业中型煤生产所用原料相似，且生产工艺基本相同，因此本工程排污系数类比参照该手册系数表。</w:t>
            </w:r>
          </w:p>
          <w:p w14:paraId="690ACF63">
            <w:pPr>
              <w:pStyle w:val="19"/>
              <w:spacing w:before="0" w:beforeAutospacing="0" w:after="0" w:afterAutospacing="0" w:line="360" w:lineRule="auto"/>
              <w:ind w:firstLine="482" w:firstLineChars="200"/>
              <w:outlineLvl w:val="0"/>
              <w:rPr>
                <w:rFonts w:hint="eastAsia" w:ascii="Times New Roman" w:hAnsi="Times New Roman" w:eastAsia="宋体"/>
                <w:color w:val="auto"/>
                <w:lang w:eastAsia="zh-CN"/>
              </w:rPr>
            </w:pPr>
            <w:r>
              <w:rPr>
                <w:rFonts w:hint="eastAsia" w:ascii="Times New Roman" w:hAnsi="Times New Roman"/>
                <w:b/>
                <w:bCs/>
                <w:color w:val="auto"/>
                <w:lang w:eastAsia="zh-CN"/>
              </w:rPr>
              <w:t>搅拌粉尘：</w:t>
            </w:r>
            <w:r>
              <w:rPr>
                <w:rFonts w:hint="eastAsia" w:ascii="Times New Roman" w:hAnsi="Times New Roman"/>
                <w:color w:val="auto"/>
                <w:lang w:eastAsia="zh-CN"/>
              </w:rPr>
              <w:t>参照《逸散性工业粉尘控制技术》</w:t>
            </w:r>
            <w:r>
              <w:rPr>
                <w:rFonts w:hint="eastAsia" w:ascii="Times New Roman" w:hAnsi="Times New Roman"/>
                <w:color w:val="auto"/>
                <w:lang w:val="en-US" w:eastAsia="zh-CN"/>
              </w:rPr>
              <w:t>中</w:t>
            </w:r>
            <w:r>
              <w:rPr>
                <w:rFonts w:hint="eastAsia" w:ascii="Times New Roman" w:hAnsi="Times New Roman"/>
                <w:color w:val="auto"/>
                <w:lang w:eastAsia="zh-CN"/>
              </w:rPr>
              <w:t>混凝土分批搅拌厂“装水泥、砂和粒料入搅拌机”排放因子0.02 kg/t，结合本项目密闭搅拌、</w:t>
            </w:r>
            <w:r>
              <w:rPr>
                <w:rFonts w:hint="eastAsia" w:ascii="Times New Roman" w:hAnsi="Times New Roman"/>
                <w:color w:val="auto"/>
                <w:lang w:val="en-US" w:eastAsia="zh-CN"/>
              </w:rPr>
              <w:t>物料加水</w:t>
            </w:r>
            <w:r>
              <w:rPr>
                <w:rFonts w:hint="eastAsia" w:ascii="Times New Roman" w:hAnsi="Times New Roman"/>
                <w:color w:val="auto"/>
                <w:lang w:eastAsia="zh-CN"/>
              </w:rPr>
              <w:t>的实际工况，按0.01 kg/t原料核算。</w:t>
            </w:r>
            <w:r>
              <w:rPr>
                <w:rFonts w:hint="eastAsia" w:ascii="Times New Roman" w:hAnsi="Times New Roman"/>
                <w:color w:val="auto"/>
              </w:rPr>
              <w:t>则本项目烘干粉尘产生量为</w:t>
            </w:r>
            <w:r>
              <w:rPr>
                <w:rFonts w:hint="eastAsia" w:ascii="Times New Roman" w:hAnsi="Times New Roman"/>
                <w:color w:val="auto"/>
                <w:lang w:val="en-US" w:eastAsia="zh-CN"/>
              </w:rPr>
              <w:t>4.5636</w:t>
            </w:r>
            <w:r>
              <w:rPr>
                <w:rFonts w:hint="eastAsia" w:ascii="Times New Roman" w:hAnsi="Times New Roman"/>
                <w:color w:val="auto"/>
              </w:rPr>
              <w:t>t/a</w:t>
            </w:r>
            <w:r>
              <w:rPr>
                <w:rFonts w:hint="eastAsia" w:ascii="Times New Roman" w:hAnsi="Times New Roman"/>
                <w:color w:val="auto"/>
                <w:lang w:eastAsia="zh-CN"/>
              </w:rPr>
              <w:t>。</w:t>
            </w:r>
          </w:p>
          <w:p w14:paraId="61D9F047">
            <w:pPr>
              <w:pStyle w:val="19"/>
              <w:spacing w:before="0" w:beforeAutospacing="0" w:after="0" w:afterAutospacing="0" w:line="360" w:lineRule="auto"/>
              <w:ind w:firstLine="482" w:firstLineChars="200"/>
              <w:outlineLvl w:val="0"/>
              <w:rPr>
                <w:rFonts w:hint="eastAsia" w:ascii="Times New Roman" w:hAnsi="Times New Roman" w:eastAsia="宋体"/>
                <w:color w:val="auto"/>
                <w:lang w:eastAsia="zh-CN"/>
              </w:rPr>
            </w:pPr>
            <w:r>
              <w:rPr>
                <w:rFonts w:hint="eastAsia" w:ascii="Times New Roman" w:hAnsi="Times New Roman"/>
                <w:b/>
                <w:bCs/>
                <w:color w:val="auto"/>
              </w:rPr>
              <w:t>烘干粉尘</w:t>
            </w:r>
            <w:r>
              <w:rPr>
                <w:rFonts w:hint="eastAsia" w:ascii="Times New Roman" w:hAnsi="Times New Roman"/>
                <w:b/>
                <w:bCs/>
                <w:color w:val="auto"/>
                <w:lang w:eastAsia="zh-CN"/>
              </w:rPr>
              <w:t>：</w:t>
            </w:r>
            <w:r>
              <w:rPr>
                <w:rFonts w:hint="eastAsia" w:ascii="Times New Roman" w:hAnsi="Times New Roman"/>
                <w:color w:val="auto"/>
              </w:rPr>
              <w:t>参照《排放源统计调查产排污核算方法和系数手册》的公告（2021年第24号）中252煤炭加工行业系数手册--2524煤制品制造行业系数表和污染源源强核算指南中得知，</w:t>
            </w:r>
            <w:r>
              <w:rPr>
                <w:rFonts w:hint="eastAsia" w:ascii="Times New Roman" w:hAnsi="Times New Roman"/>
                <w:color w:val="auto"/>
                <w:szCs w:val="24"/>
                <w:lang w:bidi="ar"/>
              </w:rPr>
              <w:t>烘干工序</w:t>
            </w:r>
            <w:r>
              <w:rPr>
                <w:rFonts w:hint="eastAsia" w:ascii="Times New Roman" w:hAnsi="Times New Roman"/>
                <w:color w:val="auto"/>
              </w:rPr>
              <w:t>产污系数为0.554kg/t，则本项目烘干粉尘产生量为252.82t/a</w:t>
            </w:r>
            <w:r>
              <w:rPr>
                <w:rFonts w:hint="eastAsia" w:ascii="Times New Roman" w:hAnsi="Times New Roman"/>
                <w:color w:val="auto"/>
                <w:lang w:eastAsia="zh-CN"/>
              </w:rPr>
              <w:t>。</w:t>
            </w:r>
          </w:p>
          <w:p w14:paraId="233C5402">
            <w:pPr>
              <w:pStyle w:val="19"/>
              <w:spacing w:before="0" w:beforeAutospacing="0" w:after="0" w:afterAutospacing="0" w:line="360" w:lineRule="auto"/>
              <w:ind w:firstLine="482" w:firstLineChars="200"/>
              <w:outlineLvl w:val="0"/>
              <w:rPr>
                <w:rFonts w:hint="eastAsia" w:ascii="Times New Roman" w:hAnsi="Times New Roman"/>
                <w:color w:val="auto"/>
                <w:lang w:eastAsia="zh-CN"/>
              </w:rPr>
            </w:pPr>
            <w:r>
              <w:rPr>
                <w:rFonts w:hint="eastAsia" w:ascii="Times New Roman" w:hAnsi="Times New Roman"/>
                <w:b/>
                <w:bCs/>
                <w:color w:val="auto"/>
              </w:rPr>
              <w:t>筛分粉尘</w:t>
            </w:r>
            <w:r>
              <w:rPr>
                <w:rFonts w:hint="eastAsia" w:ascii="Times New Roman" w:hAnsi="Times New Roman"/>
                <w:b/>
                <w:bCs/>
                <w:color w:val="auto"/>
                <w:lang w:eastAsia="zh-CN"/>
              </w:rPr>
              <w:t>：</w:t>
            </w:r>
            <w:r>
              <w:rPr>
                <w:rFonts w:hint="eastAsia" w:ascii="Times New Roman" w:hAnsi="Times New Roman"/>
                <w:color w:val="auto"/>
                <w:lang w:val="en-US" w:eastAsia="zh-CN"/>
              </w:rPr>
              <w:t>参考</w:t>
            </w:r>
            <w:r>
              <w:rPr>
                <w:rFonts w:hint="eastAsia" w:ascii="Times New Roman" w:hAnsi="Times New Roman"/>
                <w:color w:val="auto"/>
              </w:rPr>
              <w:t>《排放源统计调查产排污核算方法和系数手册》的公告（2021年第24号）中252煤炭加工行业系数手册--2524煤制品制造行业系数表和污染源源强核算指南中得知，筛分颗粒物产污系数为0.0667kg/t，则本项目筛分工序的产生量为30.44t/a</w:t>
            </w:r>
            <w:r>
              <w:rPr>
                <w:rFonts w:hint="eastAsia" w:ascii="Times New Roman" w:hAnsi="Times New Roman"/>
                <w:color w:val="auto"/>
                <w:lang w:eastAsia="zh-CN"/>
              </w:rPr>
              <w:t>。</w:t>
            </w:r>
          </w:p>
          <w:p w14:paraId="373BA53E">
            <w:pPr>
              <w:pStyle w:val="19"/>
              <w:spacing w:before="0" w:beforeAutospacing="0" w:after="0" w:afterAutospacing="0" w:line="360" w:lineRule="auto"/>
              <w:ind w:firstLine="482" w:firstLineChars="200"/>
              <w:outlineLvl w:val="0"/>
              <w:rPr>
                <w:rFonts w:hint="eastAsia" w:ascii="Times New Roman" w:hAnsi="Times New Roman" w:eastAsia="宋体"/>
                <w:color w:val="auto"/>
                <w:lang w:eastAsia="zh-CN"/>
              </w:rPr>
            </w:pPr>
            <w:r>
              <w:rPr>
                <w:rFonts w:hint="eastAsia" w:ascii="Times New Roman" w:hAnsi="Times New Roman"/>
                <w:b/>
                <w:bCs/>
                <w:color w:val="auto"/>
                <w:lang w:val="en-US" w:eastAsia="zh-CN"/>
              </w:rPr>
              <w:t>包装粉尘：</w:t>
            </w:r>
            <w:r>
              <w:rPr>
                <w:rFonts w:hint="eastAsia" w:ascii="Times New Roman" w:hAnsi="Times New Roman"/>
                <w:color w:val="auto"/>
                <w:lang w:eastAsia="zh-CN"/>
              </w:rPr>
              <w:t>参照《逸散性工业粉尘控制技术》</w:t>
            </w:r>
            <w:r>
              <w:rPr>
                <w:rFonts w:hint="eastAsia" w:ascii="Times New Roman" w:hAnsi="Times New Roman"/>
                <w:color w:val="auto"/>
                <w:lang w:val="en-US" w:eastAsia="zh-CN"/>
              </w:rPr>
              <w:t>中水泥厂</w:t>
            </w:r>
            <w:r>
              <w:rPr>
                <w:rFonts w:hint="eastAsia" w:ascii="Times New Roman" w:hAnsi="Times New Roman"/>
                <w:color w:val="auto"/>
                <w:lang w:eastAsia="zh-CN"/>
              </w:rPr>
              <w:t>“水泥装袋”排放因子</w:t>
            </w:r>
            <w:r>
              <w:rPr>
                <w:rFonts w:hint="eastAsia" w:ascii="Times New Roman" w:hAnsi="Times New Roman"/>
                <w:color w:val="auto"/>
                <w:lang w:val="en-US" w:eastAsia="zh-CN"/>
              </w:rPr>
              <w:t>0.005</w:t>
            </w:r>
            <w:r>
              <w:rPr>
                <w:rFonts w:hint="eastAsia" w:ascii="Times New Roman" w:hAnsi="Times New Roman"/>
                <w:color w:val="auto"/>
                <w:lang w:eastAsia="zh-CN"/>
              </w:rPr>
              <w:t xml:space="preserve"> kg/t，</w:t>
            </w:r>
            <w:r>
              <w:rPr>
                <w:rFonts w:hint="eastAsia" w:ascii="Times New Roman" w:hAnsi="Times New Roman"/>
                <w:color w:val="auto"/>
              </w:rPr>
              <w:t>则本项目</w:t>
            </w:r>
            <w:r>
              <w:rPr>
                <w:rFonts w:hint="eastAsia" w:ascii="Times New Roman" w:hAnsi="Times New Roman"/>
                <w:color w:val="auto"/>
                <w:lang w:val="en-US" w:eastAsia="zh-CN"/>
              </w:rPr>
              <w:t>包装</w:t>
            </w:r>
            <w:r>
              <w:rPr>
                <w:rFonts w:hint="eastAsia" w:ascii="Times New Roman" w:hAnsi="Times New Roman"/>
                <w:color w:val="auto"/>
              </w:rPr>
              <w:t>粉尘产生量为</w:t>
            </w:r>
            <w:r>
              <w:rPr>
                <w:rFonts w:hint="eastAsia" w:ascii="Times New Roman" w:hAnsi="Times New Roman"/>
                <w:color w:val="auto"/>
                <w:lang w:val="en-US" w:eastAsia="zh-CN"/>
              </w:rPr>
              <w:t>2.28</w:t>
            </w:r>
            <w:r>
              <w:rPr>
                <w:rFonts w:hint="eastAsia" w:ascii="Times New Roman" w:hAnsi="Times New Roman"/>
                <w:color w:val="auto"/>
              </w:rPr>
              <w:t>t/a</w:t>
            </w:r>
            <w:r>
              <w:rPr>
                <w:rFonts w:hint="eastAsia" w:ascii="Times New Roman" w:hAnsi="Times New Roman"/>
                <w:color w:val="auto"/>
                <w:lang w:eastAsia="zh-CN"/>
              </w:rPr>
              <w:t>。</w:t>
            </w:r>
          </w:p>
          <w:p w14:paraId="0D400ED8">
            <w:pPr>
              <w:widowControl/>
              <w:spacing w:line="360" w:lineRule="auto"/>
              <w:ind w:firstLine="480" w:firstLineChars="200"/>
              <w:jc w:val="left"/>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0"/>
                <w:lang w:val="en-US" w:eastAsia="zh-CN" w:bidi="ar-SA"/>
              </w:rPr>
              <w:t>综上，搅拌粉尘、烘干粉</w:t>
            </w:r>
            <w:r>
              <w:rPr>
                <w:rFonts w:hint="eastAsia"/>
                <w:color w:val="auto"/>
                <w:kern w:val="0"/>
                <w:sz w:val="24"/>
                <w:lang w:val="en-US" w:eastAsia="zh-CN"/>
              </w:rPr>
              <w:t>尘、筛分粉尘、包装粉尘共产生290.1</w:t>
            </w:r>
            <w:r>
              <w:rPr>
                <w:rFonts w:hint="eastAsia" w:ascii="Times New Roman" w:hAnsi="Times New Roman"/>
                <w:color w:val="auto"/>
              </w:rPr>
              <w:t>t/a</w:t>
            </w:r>
            <w:r>
              <w:rPr>
                <w:rFonts w:hint="eastAsia" w:ascii="Times New Roman" w:hAnsi="Times New Roman"/>
                <w:color w:val="auto"/>
                <w:lang w:eastAsia="zh-CN"/>
              </w:rPr>
              <w:t>，</w:t>
            </w:r>
            <w:r>
              <w:rPr>
                <w:rFonts w:hint="default" w:ascii="Times New Roman" w:hAnsi="Times New Roman" w:eastAsia="宋体" w:cs="Times New Roman"/>
                <w:color w:val="auto"/>
                <w:sz w:val="24"/>
                <w:szCs w:val="24"/>
              </w:rPr>
              <w:t>产生速率为</w:t>
            </w:r>
            <w:r>
              <w:rPr>
                <w:rFonts w:hint="eastAsia" w:cs="Times New Roman"/>
                <w:color w:val="auto"/>
                <w:sz w:val="24"/>
                <w:szCs w:val="24"/>
                <w:lang w:val="en-US" w:eastAsia="zh-CN"/>
              </w:rPr>
              <w:t>36.3</w:t>
            </w:r>
            <w:r>
              <w:rPr>
                <w:rFonts w:hint="default" w:ascii="Times New Roman" w:hAnsi="Times New Roman" w:eastAsia="宋体" w:cs="Times New Roman"/>
                <w:color w:val="auto"/>
                <w:sz w:val="24"/>
                <w:szCs w:val="24"/>
              </w:rPr>
              <w:t>kg/h，产生浓度为</w:t>
            </w:r>
            <w:r>
              <w:rPr>
                <w:rFonts w:hint="eastAsia" w:cs="Times New Roman"/>
                <w:color w:val="auto"/>
                <w:sz w:val="24"/>
                <w:szCs w:val="24"/>
                <w:lang w:val="en-US" w:eastAsia="zh-CN"/>
              </w:rPr>
              <w:t>363</w:t>
            </w:r>
            <w:r>
              <w:rPr>
                <w:rFonts w:hint="default" w:ascii="Times New Roman" w:hAnsi="Times New Roman" w:eastAsia="宋体" w:cs="Times New Roman"/>
                <w:bCs/>
                <w:color w:val="auto"/>
                <w:sz w:val="24"/>
                <w:szCs w:val="24"/>
              </w:rPr>
              <w:t>mg/m</w:t>
            </w:r>
            <w:r>
              <w:rPr>
                <w:rFonts w:hint="default" w:ascii="Times New Roman" w:hAnsi="Times New Roman" w:eastAsia="宋体" w:cs="Times New Roman"/>
                <w:bCs/>
                <w:color w:val="auto"/>
                <w:sz w:val="24"/>
                <w:szCs w:val="24"/>
                <w:vertAlign w:val="superscript"/>
              </w:rPr>
              <w:t>3</w:t>
            </w:r>
            <w:r>
              <w:rPr>
                <w:rFonts w:hint="default" w:ascii="Times New Roman" w:hAnsi="Times New Roman" w:eastAsia="宋体" w:cs="Times New Roman"/>
                <w:color w:val="auto"/>
                <w:sz w:val="24"/>
                <w:szCs w:val="24"/>
              </w:rPr>
              <w:t>。</w:t>
            </w:r>
          </w:p>
          <w:p w14:paraId="698272B6">
            <w:pPr>
              <w:widowControl/>
              <w:spacing w:line="360" w:lineRule="auto"/>
              <w:ind w:firstLine="480" w:firstLineChars="200"/>
              <w:jc w:val="left"/>
              <w:rPr>
                <w:color w:val="auto"/>
                <w:kern w:val="0"/>
                <w:sz w:val="24"/>
                <w:lang w:bidi="ar"/>
              </w:rPr>
            </w:pPr>
            <w:r>
              <w:rPr>
                <w:color w:val="auto"/>
                <w:kern w:val="0"/>
                <w:sz w:val="24"/>
              </w:rPr>
              <w:t>本项</w:t>
            </w:r>
            <w:r>
              <w:rPr>
                <w:rFonts w:hint="eastAsia" w:ascii="Times New Roman" w:hAnsi="Times New Roman" w:eastAsia="宋体" w:cs="Times New Roman"/>
                <w:color w:val="auto"/>
                <w:kern w:val="0"/>
                <w:sz w:val="24"/>
                <w:szCs w:val="20"/>
                <w:lang w:val="en-US" w:eastAsia="zh-CN" w:bidi="ar-SA"/>
              </w:rPr>
              <w:t>目搅拌粉尘</w:t>
            </w:r>
            <w:r>
              <w:rPr>
                <w:rFonts w:hint="default" w:ascii="Times New Roman" w:hAnsi="Times New Roman" w:cs="Times New Roman"/>
                <w:color w:val="auto"/>
                <w:sz w:val="24"/>
                <w:szCs w:val="24"/>
              </w:rPr>
              <w:t>经集气罩（90%）收集后经密闭抽尘管道引布袋除尘器（与烘干尾气处共用共用，效率99%）处理后通过1根</w:t>
            </w:r>
            <w:r>
              <w:rPr>
                <w:rFonts w:hint="eastAsia" w:cs="Times New Roman"/>
                <w:color w:val="auto"/>
                <w:sz w:val="24"/>
                <w:szCs w:val="24"/>
                <w:lang w:val="en-US" w:eastAsia="zh-CN"/>
              </w:rPr>
              <w:t>20</w:t>
            </w:r>
            <w:r>
              <w:rPr>
                <w:rFonts w:hint="default" w:ascii="Times New Roman" w:hAnsi="Times New Roman" w:cs="Times New Roman"/>
                <w:color w:val="auto"/>
                <w:sz w:val="24"/>
                <w:szCs w:val="24"/>
              </w:rPr>
              <w:t>m 高排气筒（DA002）排放</w:t>
            </w:r>
            <w:r>
              <w:rPr>
                <w:rFonts w:hint="eastAsia" w:cs="Times New Roman"/>
                <w:color w:val="auto"/>
                <w:sz w:val="24"/>
                <w:szCs w:val="24"/>
                <w:lang w:eastAsia="zh-CN"/>
              </w:rPr>
              <w:t>；</w:t>
            </w:r>
            <w:r>
              <w:rPr>
                <w:color w:val="auto"/>
                <w:kern w:val="0"/>
                <w:sz w:val="24"/>
              </w:rPr>
              <w:t>干燥热</w:t>
            </w:r>
            <w:r>
              <w:rPr>
                <w:color w:val="auto"/>
                <w:kern w:val="0"/>
                <w:sz w:val="24"/>
                <w:lang w:bidi="ar"/>
              </w:rPr>
              <w:t>源采用在新航焦化新设上升管余热回收装置产生的饱和蒸汽，采用布袋除尘器（99%）除尘后由引风机</w:t>
            </w:r>
            <w:r>
              <w:rPr>
                <w:rFonts w:hint="eastAsia"/>
                <w:color w:val="auto"/>
                <w:kern w:val="0"/>
                <w:sz w:val="24"/>
                <w:lang w:val="en-US" w:eastAsia="zh-CN" w:bidi="ar"/>
              </w:rPr>
              <w:t>20</w:t>
            </w:r>
            <w:r>
              <w:rPr>
                <w:color w:val="auto"/>
                <w:kern w:val="0"/>
                <w:sz w:val="24"/>
                <w:lang w:bidi="ar"/>
              </w:rPr>
              <w:t>m高排气筒（DA002）处理排放</w:t>
            </w:r>
            <w:r>
              <w:rPr>
                <w:rFonts w:hint="eastAsia"/>
                <w:color w:val="auto"/>
                <w:kern w:val="0"/>
                <w:sz w:val="24"/>
                <w:lang w:eastAsia="zh-CN" w:bidi="ar"/>
              </w:rPr>
              <w:t>；</w:t>
            </w:r>
            <w:r>
              <w:rPr>
                <w:rFonts w:hint="default" w:ascii="Times New Roman" w:hAnsi="Times New Roman" w:cs="Times New Roman"/>
                <w:color w:val="auto"/>
                <w:sz w:val="24"/>
                <w:szCs w:val="24"/>
              </w:rPr>
              <w:t>筛分粉尘经集气罩（90%）收集后经密闭抽尘管道引布袋除尘器（与烘干尾气处共用共用，效率99%）处理后通过1根</w:t>
            </w:r>
            <w:r>
              <w:rPr>
                <w:rFonts w:hint="eastAsia" w:cs="Times New Roman"/>
                <w:color w:val="auto"/>
                <w:sz w:val="24"/>
                <w:szCs w:val="24"/>
                <w:lang w:val="en-US" w:eastAsia="zh-CN"/>
              </w:rPr>
              <w:t>20</w:t>
            </w:r>
            <w:r>
              <w:rPr>
                <w:rFonts w:hint="default" w:ascii="Times New Roman" w:hAnsi="Times New Roman" w:cs="Times New Roman"/>
                <w:color w:val="auto"/>
                <w:sz w:val="24"/>
                <w:szCs w:val="24"/>
              </w:rPr>
              <w:t>m 高排气筒（DA002）排放</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包装粉尘</w:t>
            </w:r>
            <w:r>
              <w:rPr>
                <w:rFonts w:hint="default" w:ascii="Times New Roman" w:hAnsi="Times New Roman" w:cs="Times New Roman"/>
                <w:color w:val="auto"/>
                <w:sz w:val="24"/>
                <w:szCs w:val="24"/>
              </w:rPr>
              <w:t>经集气罩（90%）收集后经密闭抽尘管道引布袋除尘器（与烘干尾气处共用共用，效率99%）处理后通过1根</w:t>
            </w:r>
            <w:r>
              <w:rPr>
                <w:rFonts w:hint="eastAsia" w:cs="Times New Roman"/>
                <w:color w:val="auto"/>
                <w:sz w:val="24"/>
                <w:szCs w:val="24"/>
                <w:lang w:val="en-US" w:eastAsia="zh-CN"/>
              </w:rPr>
              <w:t>20</w:t>
            </w:r>
            <w:r>
              <w:rPr>
                <w:rFonts w:hint="default" w:ascii="Times New Roman" w:hAnsi="Times New Roman" w:cs="Times New Roman"/>
                <w:color w:val="auto"/>
                <w:sz w:val="24"/>
                <w:szCs w:val="24"/>
              </w:rPr>
              <w:t>m 高排气筒（DA002）排放，</w:t>
            </w:r>
            <w:r>
              <w:rPr>
                <w:rFonts w:hint="default" w:ascii="Times New Roman" w:hAnsi="Times New Roman" w:cs="Times New Roman"/>
                <w:color w:val="auto"/>
                <w:sz w:val="24"/>
                <w:szCs w:val="24"/>
                <w:lang w:bidi="ar"/>
              </w:rPr>
              <w:t>布袋除尘器风量为100000m</w:t>
            </w:r>
            <w:r>
              <w:rPr>
                <w:rFonts w:hint="default" w:ascii="Times New Roman" w:hAnsi="Times New Roman" w:cs="Times New Roman"/>
                <w:color w:val="auto"/>
                <w:sz w:val="24"/>
                <w:szCs w:val="24"/>
                <w:vertAlign w:val="superscript"/>
                <w:lang w:bidi="ar"/>
              </w:rPr>
              <w:t>3</w:t>
            </w:r>
            <w:r>
              <w:rPr>
                <w:rFonts w:hint="default" w:ascii="Times New Roman" w:hAnsi="Times New Roman" w:cs="Times New Roman"/>
                <w:color w:val="auto"/>
                <w:sz w:val="24"/>
                <w:szCs w:val="24"/>
                <w:lang w:bidi="ar"/>
              </w:rPr>
              <w:t>/h</w:t>
            </w:r>
            <w:r>
              <w:rPr>
                <w:rFonts w:hint="eastAsia" w:cs="Times New Roman"/>
                <w:color w:val="auto"/>
                <w:sz w:val="24"/>
                <w:szCs w:val="24"/>
                <w:lang w:eastAsia="zh-CN" w:bidi="ar"/>
              </w:rPr>
              <w:t>；</w:t>
            </w:r>
            <w:r>
              <w:rPr>
                <w:color w:val="auto"/>
                <w:kern w:val="0"/>
                <w:sz w:val="24"/>
                <w:lang w:bidi="ar"/>
              </w:rPr>
              <w:t>粉尘排放量为</w:t>
            </w:r>
            <w:r>
              <w:rPr>
                <w:rFonts w:hint="eastAsia"/>
                <w:color w:val="auto"/>
                <w:kern w:val="0"/>
                <w:sz w:val="24"/>
                <w:lang w:val="en-US" w:eastAsia="zh-CN" w:bidi="ar"/>
              </w:rPr>
              <w:t>2.8638</w:t>
            </w:r>
            <w:r>
              <w:rPr>
                <w:color w:val="auto"/>
                <w:kern w:val="0"/>
                <w:sz w:val="24"/>
                <w:lang w:bidi="ar"/>
              </w:rPr>
              <w:t>t/a，排放速率为</w:t>
            </w:r>
            <w:r>
              <w:rPr>
                <w:rFonts w:hint="eastAsia"/>
                <w:color w:val="auto"/>
                <w:kern w:val="0"/>
                <w:sz w:val="24"/>
                <w:lang w:val="en-US" w:eastAsia="zh-CN" w:bidi="ar"/>
              </w:rPr>
              <w:t>0.358</w:t>
            </w:r>
            <w:r>
              <w:rPr>
                <w:color w:val="auto"/>
                <w:kern w:val="0"/>
                <w:sz w:val="24"/>
                <w:lang w:bidi="ar"/>
              </w:rPr>
              <w:t>kg/h，</w:t>
            </w:r>
            <w:r>
              <w:rPr>
                <w:color w:val="auto"/>
                <w:sz w:val="24"/>
              </w:rPr>
              <w:t>排放浓度为</w:t>
            </w:r>
            <w:r>
              <w:rPr>
                <w:rFonts w:hint="eastAsia"/>
                <w:color w:val="auto"/>
                <w:sz w:val="24"/>
                <w:lang w:val="en-US" w:eastAsia="zh-CN"/>
              </w:rPr>
              <w:t>3.58</w:t>
            </w:r>
            <w:r>
              <w:rPr>
                <w:bCs/>
                <w:color w:val="auto"/>
                <w:sz w:val="24"/>
              </w:rPr>
              <w:t>mg/m</w:t>
            </w:r>
            <w:r>
              <w:rPr>
                <w:bCs/>
                <w:color w:val="auto"/>
                <w:sz w:val="24"/>
                <w:vertAlign w:val="superscript"/>
              </w:rPr>
              <w:t>3</w:t>
            </w:r>
            <w:r>
              <w:rPr>
                <w:color w:val="auto"/>
                <w:kern w:val="0"/>
                <w:sz w:val="24"/>
                <w:lang w:bidi="ar"/>
              </w:rPr>
              <w:t>。</w:t>
            </w:r>
          </w:p>
          <w:p w14:paraId="20CDFB4A">
            <w:pPr>
              <w:widowControl/>
              <w:jc w:val="center"/>
              <w:rPr>
                <w:b/>
                <w:bCs/>
                <w:color w:val="auto"/>
                <w:kern w:val="0"/>
                <w:sz w:val="24"/>
                <w:lang w:bidi="ar"/>
              </w:rPr>
            </w:pPr>
            <w:r>
              <w:rPr>
                <w:rFonts w:hint="eastAsia"/>
                <w:b/>
                <w:bCs/>
                <w:color w:val="auto"/>
                <w:kern w:val="0"/>
                <w:sz w:val="24"/>
                <w:lang w:bidi="ar"/>
              </w:rPr>
              <w:t>表4-</w:t>
            </w:r>
            <w:r>
              <w:rPr>
                <w:rFonts w:hint="eastAsia"/>
                <w:b/>
                <w:bCs/>
                <w:color w:val="auto"/>
                <w:kern w:val="0"/>
                <w:sz w:val="24"/>
                <w:lang w:val="en-US" w:eastAsia="zh-CN" w:bidi="ar"/>
              </w:rPr>
              <w:t xml:space="preserve">4 </w:t>
            </w:r>
            <w:r>
              <w:rPr>
                <w:rFonts w:hint="eastAsia"/>
                <w:b/>
                <w:bCs/>
                <w:color w:val="auto"/>
                <w:kern w:val="0"/>
                <w:sz w:val="24"/>
                <w:lang w:bidi="ar"/>
              </w:rPr>
              <w:t xml:space="preserve">   本次评价</w:t>
            </w:r>
            <w:r>
              <w:rPr>
                <w:rFonts w:hint="eastAsia"/>
                <w:b/>
                <w:bCs/>
                <w:color w:val="auto"/>
                <w:kern w:val="0"/>
                <w:sz w:val="24"/>
                <w:lang w:val="en-US" w:eastAsia="zh-CN" w:bidi="ar"/>
              </w:rPr>
              <w:t>搅拌、</w:t>
            </w:r>
            <w:r>
              <w:rPr>
                <w:rFonts w:hint="eastAsia"/>
                <w:b/>
                <w:bCs/>
                <w:color w:val="auto"/>
                <w:kern w:val="0"/>
                <w:sz w:val="24"/>
                <w:lang w:bidi="ar"/>
              </w:rPr>
              <w:t>烘干</w:t>
            </w:r>
            <w:r>
              <w:rPr>
                <w:rFonts w:hint="eastAsia"/>
                <w:b/>
                <w:bCs/>
                <w:color w:val="auto"/>
                <w:kern w:val="0"/>
                <w:sz w:val="24"/>
                <w:lang w:eastAsia="zh-CN" w:bidi="ar"/>
              </w:rPr>
              <w:t>、</w:t>
            </w:r>
            <w:r>
              <w:rPr>
                <w:rFonts w:hint="eastAsia"/>
                <w:b/>
                <w:bCs/>
                <w:color w:val="auto"/>
                <w:kern w:val="0"/>
                <w:sz w:val="24"/>
                <w:lang w:bidi="ar"/>
              </w:rPr>
              <w:t>筛分粉尘污染物排放情况</w:t>
            </w:r>
          </w:p>
          <w:tbl>
            <w:tblPr>
              <w:tblStyle w:val="23"/>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1004"/>
              <w:gridCol w:w="1004"/>
              <w:gridCol w:w="1005"/>
              <w:gridCol w:w="1005"/>
              <w:gridCol w:w="1005"/>
              <w:gridCol w:w="1005"/>
              <w:gridCol w:w="1005"/>
            </w:tblGrid>
            <w:tr w14:paraId="1B02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004" w:type="dxa"/>
                  <w:vAlign w:val="center"/>
                </w:tcPr>
                <w:p w14:paraId="797587D4">
                  <w:pPr>
                    <w:snapToGrid w:val="0"/>
                    <w:jc w:val="center"/>
                    <w:rPr>
                      <w:bCs/>
                      <w:color w:val="auto"/>
                      <w:szCs w:val="21"/>
                    </w:rPr>
                  </w:pPr>
                  <w:r>
                    <w:rPr>
                      <w:bCs/>
                      <w:color w:val="auto"/>
                      <w:szCs w:val="21"/>
                    </w:rPr>
                    <w:t>污染源</w:t>
                  </w:r>
                </w:p>
              </w:tc>
              <w:tc>
                <w:tcPr>
                  <w:tcW w:w="1004" w:type="dxa"/>
                  <w:vAlign w:val="center"/>
                </w:tcPr>
                <w:p w14:paraId="30185E53">
                  <w:pPr>
                    <w:snapToGrid w:val="0"/>
                    <w:jc w:val="center"/>
                    <w:rPr>
                      <w:bCs/>
                      <w:color w:val="auto"/>
                      <w:szCs w:val="21"/>
                    </w:rPr>
                  </w:pPr>
                  <w:r>
                    <w:rPr>
                      <w:bCs/>
                      <w:color w:val="auto"/>
                      <w:szCs w:val="21"/>
                    </w:rPr>
                    <w:t>污染物</w:t>
                  </w:r>
                </w:p>
              </w:tc>
              <w:tc>
                <w:tcPr>
                  <w:tcW w:w="1004" w:type="dxa"/>
                  <w:vAlign w:val="center"/>
                </w:tcPr>
                <w:p w14:paraId="6182109B">
                  <w:pPr>
                    <w:snapToGrid w:val="0"/>
                    <w:jc w:val="center"/>
                    <w:rPr>
                      <w:bCs/>
                      <w:color w:val="auto"/>
                      <w:szCs w:val="21"/>
                    </w:rPr>
                  </w:pPr>
                  <w:r>
                    <w:rPr>
                      <w:rFonts w:hint="eastAsia"/>
                      <w:bCs/>
                      <w:color w:val="auto"/>
                      <w:szCs w:val="21"/>
                      <w:lang w:val="en-US" w:eastAsia="zh-CN"/>
                    </w:rPr>
                    <w:t>产品</w:t>
                  </w:r>
                  <w:r>
                    <w:rPr>
                      <w:bCs/>
                      <w:color w:val="auto"/>
                      <w:szCs w:val="21"/>
                    </w:rPr>
                    <w:t>（万吨/年）</w:t>
                  </w:r>
                </w:p>
              </w:tc>
              <w:tc>
                <w:tcPr>
                  <w:tcW w:w="1005" w:type="dxa"/>
                  <w:vAlign w:val="center"/>
                </w:tcPr>
                <w:p w14:paraId="0BC96F33">
                  <w:pPr>
                    <w:snapToGrid w:val="0"/>
                    <w:jc w:val="center"/>
                    <w:rPr>
                      <w:bCs/>
                      <w:color w:val="auto"/>
                      <w:szCs w:val="21"/>
                    </w:rPr>
                  </w:pPr>
                  <w:r>
                    <w:rPr>
                      <w:rFonts w:hint="eastAsia"/>
                      <w:bCs/>
                      <w:color w:val="auto"/>
                      <w:szCs w:val="21"/>
                    </w:rPr>
                    <w:t>产污系数</w:t>
                  </w:r>
                  <w:r>
                    <w:rPr>
                      <w:color w:val="auto"/>
                      <w:kern w:val="0"/>
                      <w:sz w:val="24"/>
                      <w:lang w:bidi="ar"/>
                    </w:rPr>
                    <w:t>kg/t</w:t>
                  </w:r>
                </w:p>
              </w:tc>
              <w:tc>
                <w:tcPr>
                  <w:tcW w:w="1005" w:type="dxa"/>
                  <w:vAlign w:val="center"/>
                </w:tcPr>
                <w:p w14:paraId="02794635">
                  <w:pPr>
                    <w:snapToGrid w:val="0"/>
                    <w:jc w:val="center"/>
                    <w:rPr>
                      <w:bCs/>
                      <w:color w:val="auto"/>
                      <w:szCs w:val="21"/>
                    </w:rPr>
                  </w:pPr>
                  <w:r>
                    <w:rPr>
                      <w:bCs/>
                      <w:color w:val="auto"/>
                      <w:szCs w:val="21"/>
                    </w:rPr>
                    <w:t>产生</w:t>
                  </w:r>
                </w:p>
                <w:p w14:paraId="1D65ED46">
                  <w:pPr>
                    <w:snapToGrid w:val="0"/>
                    <w:jc w:val="center"/>
                    <w:rPr>
                      <w:bCs/>
                      <w:color w:val="auto"/>
                      <w:szCs w:val="21"/>
                    </w:rPr>
                  </w:pPr>
                  <w:r>
                    <w:rPr>
                      <w:bCs/>
                      <w:color w:val="auto"/>
                      <w:szCs w:val="21"/>
                    </w:rPr>
                    <w:t>量 t/a</w:t>
                  </w:r>
                </w:p>
              </w:tc>
              <w:tc>
                <w:tcPr>
                  <w:tcW w:w="1005" w:type="dxa"/>
                  <w:vAlign w:val="center"/>
                </w:tcPr>
                <w:p w14:paraId="6CC9C924">
                  <w:pPr>
                    <w:snapToGrid w:val="0"/>
                    <w:jc w:val="center"/>
                    <w:rPr>
                      <w:bCs/>
                      <w:color w:val="auto"/>
                      <w:szCs w:val="21"/>
                    </w:rPr>
                  </w:pPr>
                  <w:r>
                    <w:rPr>
                      <w:bCs/>
                      <w:color w:val="auto"/>
                      <w:szCs w:val="21"/>
                    </w:rPr>
                    <w:t>治理</w:t>
                  </w:r>
                </w:p>
                <w:p w14:paraId="4D79A159">
                  <w:pPr>
                    <w:snapToGrid w:val="0"/>
                    <w:jc w:val="center"/>
                    <w:rPr>
                      <w:bCs/>
                      <w:color w:val="auto"/>
                      <w:szCs w:val="21"/>
                    </w:rPr>
                  </w:pPr>
                  <w:r>
                    <w:rPr>
                      <w:bCs/>
                      <w:color w:val="auto"/>
                      <w:szCs w:val="21"/>
                    </w:rPr>
                    <w:t>措施</w:t>
                  </w:r>
                </w:p>
              </w:tc>
              <w:tc>
                <w:tcPr>
                  <w:tcW w:w="1005" w:type="dxa"/>
                  <w:vAlign w:val="center"/>
                </w:tcPr>
                <w:p w14:paraId="4C3AC315">
                  <w:pPr>
                    <w:snapToGrid w:val="0"/>
                    <w:jc w:val="center"/>
                    <w:rPr>
                      <w:bCs/>
                      <w:color w:val="auto"/>
                      <w:szCs w:val="21"/>
                    </w:rPr>
                  </w:pPr>
                  <w:r>
                    <w:rPr>
                      <w:bCs/>
                      <w:color w:val="auto"/>
                      <w:szCs w:val="21"/>
                    </w:rPr>
                    <w:t>排放量</w:t>
                  </w:r>
                </w:p>
                <w:p w14:paraId="1CF4941C">
                  <w:pPr>
                    <w:snapToGrid w:val="0"/>
                    <w:jc w:val="center"/>
                    <w:rPr>
                      <w:bCs/>
                      <w:color w:val="auto"/>
                      <w:szCs w:val="21"/>
                    </w:rPr>
                  </w:pPr>
                  <w:r>
                    <w:rPr>
                      <w:bCs/>
                      <w:color w:val="auto"/>
                      <w:szCs w:val="21"/>
                    </w:rPr>
                    <w:t>t/a</w:t>
                  </w:r>
                </w:p>
              </w:tc>
              <w:tc>
                <w:tcPr>
                  <w:tcW w:w="1005" w:type="dxa"/>
                  <w:vAlign w:val="center"/>
                </w:tcPr>
                <w:p w14:paraId="1AD2121B">
                  <w:pPr>
                    <w:snapToGrid w:val="0"/>
                    <w:jc w:val="center"/>
                    <w:rPr>
                      <w:bCs/>
                      <w:color w:val="auto"/>
                      <w:szCs w:val="21"/>
                    </w:rPr>
                  </w:pPr>
                  <w:r>
                    <w:rPr>
                      <w:bCs/>
                      <w:color w:val="auto"/>
                      <w:szCs w:val="21"/>
                    </w:rPr>
                    <w:t>排放</w:t>
                  </w:r>
                </w:p>
                <w:p w14:paraId="531D34D1">
                  <w:pPr>
                    <w:snapToGrid w:val="0"/>
                    <w:jc w:val="center"/>
                    <w:rPr>
                      <w:bCs/>
                      <w:color w:val="auto"/>
                      <w:szCs w:val="21"/>
                    </w:rPr>
                  </w:pPr>
                  <w:r>
                    <w:rPr>
                      <w:rFonts w:hint="eastAsia"/>
                      <w:bCs/>
                      <w:color w:val="auto"/>
                      <w:szCs w:val="21"/>
                    </w:rPr>
                    <w:t>速率</w:t>
                  </w:r>
                  <w:r>
                    <w:rPr>
                      <w:bCs/>
                      <w:color w:val="auto"/>
                      <w:szCs w:val="21"/>
                    </w:rPr>
                    <w:t>kg/h</w:t>
                  </w:r>
                </w:p>
              </w:tc>
            </w:tr>
            <w:tr w14:paraId="736D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04" w:type="dxa"/>
                  <w:vAlign w:val="center"/>
                </w:tcPr>
                <w:p w14:paraId="4C6548B3">
                  <w:pPr>
                    <w:snapToGrid w:val="0"/>
                    <w:jc w:val="center"/>
                    <w:rPr>
                      <w:rFonts w:hint="eastAsia"/>
                      <w:bCs/>
                      <w:color w:val="auto"/>
                      <w:szCs w:val="21"/>
                      <w:lang w:val="en-US" w:eastAsia="zh-CN"/>
                    </w:rPr>
                  </w:pPr>
                  <w:r>
                    <w:rPr>
                      <w:rFonts w:hint="eastAsia"/>
                      <w:bCs/>
                      <w:color w:val="auto"/>
                      <w:szCs w:val="21"/>
                      <w:lang w:val="en-US" w:eastAsia="zh-CN"/>
                    </w:rPr>
                    <w:t>搅拌</w:t>
                  </w:r>
                </w:p>
                <w:p w14:paraId="2ED0149A">
                  <w:pPr>
                    <w:snapToGrid w:val="0"/>
                    <w:jc w:val="center"/>
                    <w:rPr>
                      <w:rFonts w:hint="default" w:eastAsia="宋体"/>
                      <w:bCs/>
                      <w:color w:val="auto"/>
                      <w:szCs w:val="21"/>
                      <w:lang w:val="en-US" w:eastAsia="zh-CN"/>
                    </w:rPr>
                  </w:pPr>
                  <w:r>
                    <w:rPr>
                      <w:rFonts w:hint="eastAsia"/>
                      <w:bCs/>
                      <w:color w:val="auto"/>
                      <w:szCs w:val="21"/>
                      <w:lang w:val="en-US" w:eastAsia="zh-CN"/>
                    </w:rPr>
                    <w:t>粉尘</w:t>
                  </w:r>
                </w:p>
              </w:tc>
              <w:tc>
                <w:tcPr>
                  <w:tcW w:w="1004" w:type="dxa"/>
                  <w:vMerge w:val="restart"/>
                  <w:vAlign w:val="center"/>
                </w:tcPr>
                <w:p w14:paraId="606E4C8A">
                  <w:pPr>
                    <w:snapToGrid w:val="0"/>
                    <w:jc w:val="center"/>
                    <w:rPr>
                      <w:bCs/>
                      <w:color w:val="auto"/>
                      <w:szCs w:val="21"/>
                    </w:rPr>
                  </w:pPr>
                  <w:r>
                    <w:rPr>
                      <w:rFonts w:hint="eastAsia"/>
                      <w:bCs/>
                      <w:color w:val="auto"/>
                      <w:szCs w:val="21"/>
                    </w:rPr>
                    <w:t>颗粒物</w:t>
                  </w:r>
                </w:p>
              </w:tc>
              <w:tc>
                <w:tcPr>
                  <w:tcW w:w="1004" w:type="dxa"/>
                  <w:vMerge w:val="restart"/>
                  <w:vAlign w:val="center"/>
                </w:tcPr>
                <w:p w14:paraId="3CEC5E72">
                  <w:pPr>
                    <w:snapToGrid w:val="0"/>
                    <w:jc w:val="center"/>
                    <w:rPr>
                      <w:bCs/>
                      <w:color w:val="auto"/>
                      <w:szCs w:val="21"/>
                    </w:rPr>
                  </w:pPr>
                  <w:r>
                    <w:rPr>
                      <w:rFonts w:hint="eastAsia"/>
                      <w:bCs/>
                      <w:color w:val="auto"/>
                      <w:szCs w:val="21"/>
                    </w:rPr>
                    <w:t>45.636</w:t>
                  </w:r>
                </w:p>
              </w:tc>
              <w:tc>
                <w:tcPr>
                  <w:tcW w:w="1005" w:type="dxa"/>
                  <w:vAlign w:val="center"/>
                </w:tcPr>
                <w:p w14:paraId="3685AA4D">
                  <w:pPr>
                    <w:snapToGrid w:val="0"/>
                    <w:jc w:val="center"/>
                    <w:rPr>
                      <w:rFonts w:hint="default" w:eastAsia="宋体"/>
                      <w:bCs/>
                      <w:color w:val="auto"/>
                      <w:szCs w:val="21"/>
                      <w:lang w:val="en-US" w:eastAsia="zh-CN"/>
                    </w:rPr>
                  </w:pPr>
                  <w:r>
                    <w:rPr>
                      <w:rFonts w:hint="eastAsia"/>
                      <w:bCs/>
                      <w:color w:val="auto"/>
                      <w:szCs w:val="21"/>
                      <w:lang w:val="en-US" w:eastAsia="zh-CN"/>
                    </w:rPr>
                    <w:t>0.01</w:t>
                  </w:r>
                </w:p>
              </w:tc>
              <w:tc>
                <w:tcPr>
                  <w:tcW w:w="1005" w:type="dxa"/>
                  <w:vAlign w:val="center"/>
                </w:tcPr>
                <w:p w14:paraId="035EB8FE">
                  <w:pPr>
                    <w:snapToGrid w:val="0"/>
                    <w:jc w:val="center"/>
                    <w:rPr>
                      <w:rFonts w:hint="default" w:eastAsia="宋体"/>
                      <w:bCs/>
                      <w:color w:val="auto"/>
                      <w:szCs w:val="21"/>
                      <w:lang w:val="en-US" w:eastAsia="zh-CN"/>
                    </w:rPr>
                  </w:pPr>
                  <w:r>
                    <w:rPr>
                      <w:rFonts w:hint="eastAsia"/>
                      <w:bCs/>
                      <w:color w:val="auto"/>
                      <w:szCs w:val="21"/>
                      <w:lang w:val="en-US" w:eastAsia="zh-CN"/>
                    </w:rPr>
                    <w:t>4.5636</w:t>
                  </w:r>
                </w:p>
              </w:tc>
              <w:tc>
                <w:tcPr>
                  <w:tcW w:w="1005" w:type="dxa"/>
                  <w:vMerge w:val="restart"/>
                  <w:vAlign w:val="center"/>
                </w:tcPr>
                <w:p w14:paraId="13081ABC">
                  <w:pPr>
                    <w:snapToGrid w:val="0"/>
                    <w:jc w:val="center"/>
                    <w:rPr>
                      <w:rFonts w:hint="default" w:eastAsia="宋体"/>
                      <w:bCs/>
                      <w:color w:val="auto"/>
                      <w:szCs w:val="21"/>
                      <w:lang w:val="en-US" w:eastAsia="zh-CN"/>
                    </w:rPr>
                  </w:pPr>
                  <w:r>
                    <w:rPr>
                      <w:bCs/>
                      <w:color w:val="auto"/>
                      <w:szCs w:val="21"/>
                    </w:rPr>
                    <w:t>布袋除尘器</w:t>
                  </w:r>
                  <w:r>
                    <w:rPr>
                      <w:rFonts w:hint="eastAsia"/>
                      <w:bCs/>
                      <w:color w:val="auto"/>
                      <w:szCs w:val="21"/>
                      <w:lang w:val="en-US" w:eastAsia="zh-CN"/>
                    </w:rPr>
                    <w:t>+排气筒</w:t>
                  </w:r>
                </w:p>
              </w:tc>
              <w:tc>
                <w:tcPr>
                  <w:tcW w:w="1005" w:type="dxa"/>
                  <w:vMerge w:val="restart"/>
                  <w:vAlign w:val="center"/>
                </w:tcPr>
                <w:p w14:paraId="59394D3E">
                  <w:pPr>
                    <w:snapToGrid w:val="0"/>
                    <w:jc w:val="center"/>
                    <w:rPr>
                      <w:rFonts w:hint="default" w:eastAsia="宋体"/>
                      <w:bCs/>
                      <w:color w:val="auto"/>
                      <w:szCs w:val="21"/>
                      <w:lang w:val="en-US" w:eastAsia="zh-CN"/>
                    </w:rPr>
                  </w:pPr>
                  <w:r>
                    <w:rPr>
                      <w:rFonts w:hint="eastAsia"/>
                      <w:bCs/>
                      <w:color w:val="auto"/>
                      <w:szCs w:val="21"/>
                      <w:lang w:val="en-US" w:eastAsia="zh-CN"/>
                    </w:rPr>
                    <w:t>2.8638</w:t>
                  </w:r>
                </w:p>
              </w:tc>
              <w:tc>
                <w:tcPr>
                  <w:tcW w:w="1005" w:type="dxa"/>
                  <w:vMerge w:val="restart"/>
                  <w:vAlign w:val="center"/>
                </w:tcPr>
                <w:p w14:paraId="7F7BB053">
                  <w:pPr>
                    <w:snapToGrid w:val="0"/>
                    <w:jc w:val="center"/>
                    <w:rPr>
                      <w:rFonts w:hint="default" w:eastAsia="宋体"/>
                      <w:bCs/>
                      <w:color w:val="auto"/>
                      <w:szCs w:val="21"/>
                      <w:lang w:val="en-US" w:eastAsia="zh-CN"/>
                    </w:rPr>
                  </w:pPr>
                  <w:r>
                    <w:rPr>
                      <w:rFonts w:hint="eastAsia" w:eastAsia="宋体"/>
                      <w:bCs/>
                      <w:color w:val="auto"/>
                      <w:szCs w:val="21"/>
                      <w:lang w:val="en-US" w:eastAsia="zh-CN"/>
                    </w:rPr>
                    <w:t>0.358</w:t>
                  </w:r>
                </w:p>
              </w:tc>
            </w:tr>
            <w:tr w14:paraId="6288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04" w:type="dxa"/>
                  <w:vAlign w:val="center"/>
                </w:tcPr>
                <w:p w14:paraId="0F5C79EF">
                  <w:pPr>
                    <w:snapToGrid w:val="0"/>
                    <w:jc w:val="center"/>
                    <w:rPr>
                      <w:bCs/>
                      <w:color w:val="auto"/>
                      <w:szCs w:val="21"/>
                    </w:rPr>
                  </w:pPr>
                  <w:r>
                    <w:rPr>
                      <w:rFonts w:hint="eastAsia"/>
                      <w:bCs/>
                      <w:color w:val="auto"/>
                      <w:szCs w:val="21"/>
                    </w:rPr>
                    <w:t>烘干</w:t>
                  </w:r>
                </w:p>
                <w:p w14:paraId="27420CB9">
                  <w:pPr>
                    <w:snapToGrid w:val="0"/>
                    <w:jc w:val="center"/>
                    <w:rPr>
                      <w:bCs/>
                      <w:color w:val="auto"/>
                      <w:szCs w:val="21"/>
                    </w:rPr>
                  </w:pPr>
                  <w:r>
                    <w:rPr>
                      <w:rFonts w:hint="eastAsia"/>
                      <w:bCs/>
                      <w:color w:val="auto"/>
                      <w:szCs w:val="21"/>
                    </w:rPr>
                    <w:t>粉尘</w:t>
                  </w:r>
                </w:p>
              </w:tc>
              <w:tc>
                <w:tcPr>
                  <w:tcW w:w="1004" w:type="dxa"/>
                  <w:vMerge w:val="continue"/>
                  <w:vAlign w:val="center"/>
                </w:tcPr>
                <w:p w14:paraId="042F0ACD">
                  <w:pPr>
                    <w:snapToGrid w:val="0"/>
                    <w:jc w:val="center"/>
                    <w:rPr>
                      <w:bCs/>
                      <w:color w:val="auto"/>
                      <w:szCs w:val="21"/>
                    </w:rPr>
                  </w:pPr>
                </w:p>
              </w:tc>
              <w:tc>
                <w:tcPr>
                  <w:tcW w:w="1004" w:type="dxa"/>
                  <w:vMerge w:val="continue"/>
                  <w:vAlign w:val="center"/>
                </w:tcPr>
                <w:p w14:paraId="68F17053">
                  <w:pPr>
                    <w:snapToGrid w:val="0"/>
                    <w:jc w:val="center"/>
                    <w:rPr>
                      <w:bCs/>
                      <w:color w:val="auto"/>
                      <w:szCs w:val="21"/>
                    </w:rPr>
                  </w:pPr>
                </w:p>
              </w:tc>
              <w:tc>
                <w:tcPr>
                  <w:tcW w:w="1005" w:type="dxa"/>
                  <w:vAlign w:val="center"/>
                </w:tcPr>
                <w:p w14:paraId="552F2880">
                  <w:pPr>
                    <w:snapToGrid w:val="0"/>
                    <w:jc w:val="center"/>
                    <w:rPr>
                      <w:bCs/>
                      <w:color w:val="auto"/>
                      <w:szCs w:val="21"/>
                    </w:rPr>
                  </w:pPr>
                  <w:r>
                    <w:rPr>
                      <w:rFonts w:hint="eastAsia"/>
                      <w:bCs/>
                      <w:color w:val="auto"/>
                      <w:szCs w:val="21"/>
                    </w:rPr>
                    <w:t>0.554</w:t>
                  </w:r>
                </w:p>
              </w:tc>
              <w:tc>
                <w:tcPr>
                  <w:tcW w:w="1005" w:type="dxa"/>
                  <w:vAlign w:val="center"/>
                </w:tcPr>
                <w:p w14:paraId="2831A1A0">
                  <w:pPr>
                    <w:snapToGrid w:val="0"/>
                    <w:jc w:val="center"/>
                    <w:rPr>
                      <w:bCs/>
                      <w:color w:val="auto"/>
                      <w:szCs w:val="21"/>
                    </w:rPr>
                  </w:pPr>
                  <w:r>
                    <w:rPr>
                      <w:rFonts w:hint="eastAsia"/>
                      <w:bCs/>
                      <w:color w:val="auto"/>
                      <w:szCs w:val="21"/>
                    </w:rPr>
                    <w:t>252.82</w:t>
                  </w:r>
                </w:p>
              </w:tc>
              <w:tc>
                <w:tcPr>
                  <w:tcW w:w="1005" w:type="dxa"/>
                  <w:vMerge w:val="continue"/>
                  <w:vAlign w:val="center"/>
                </w:tcPr>
                <w:p w14:paraId="1007143F">
                  <w:pPr>
                    <w:snapToGrid w:val="0"/>
                    <w:jc w:val="center"/>
                    <w:rPr>
                      <w:rFonts w:hint="default" w:eastAsia="宋体"/>
                      <w:bCs/>
                      <w:color w:val="auto"/>
                      <w:szCs w:val="21"/>
                      <w:lang w:val="en-US" w:eastAsia="zh-CN"/>
                    </w:rPr>
                  </w:pPr>
                </w:p>
              </w:tc>
              <w:tc>
                <w:tcPr>
                  <w:tcW w:w="1005" w:type="dxa"/>
                  <w:vMerge w:val="continue"/>
                  <w:vAlign w:val="center"/>
                </w:tcPr>
                <w:p w14:paraId="652C3D93">
                  <w:pPr>
                    <w:snapToGrid w:val="0"/>
                    <w:jc w:val="center"/>
                    <w:rPr>
                      <w:rFonts w:hint="default" w:eastAsia="宋体"/>
                      <w:bCs/>
                      <w:color w:val="auto"/>
                      <w:szCs w:val="21"/>
                      <w:lang w:val="en-US" w:eastAsia="zh-CN"/>
                    </w:rPr>
                  </w:pPr>
                </w:p>
              </w:tc>
              <w:tc>
                <w:tcPr>
                  <w:tcW w:w="1005" w:type="dxa"/>
                  <w:vMerge w:val="continue"/>
                  <w:vAlign w:val="center"/>
                </w:tcPr>
                <w:p w14:paraId="6249C342">
                  <w:pPr>
                    <w:snapToGrid w:val="0"/>
                    <w:jc w:val="center"/>
                    <w:rPr>
                      <w:rFonts w:hint="default" w:eastAsia="宋体"/>
                      <w:bCs/>
                      <w:color w:val="auto"/>
                      <w:szCs w:val="21"/>
                      <w:lang w:val="en-US" w:eastAsia="zh-CN"/>
                    </w:rPr>
                  </w:pPr>
                </w:p>
              </w:tc>
            </w:tr>
            <w:tr w14:paraId="7451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04" w:type="dxa"/>
                  <w:shd w:val="clear" w:color="auto" w:fill="auto"/>
                  <w:vAlign w:val="center"/>
                </w:tcPr>
                <w:p w14:paraId="6C3B1CE8">
                  <w:pPr>
                    <w:snapToGrid w:val="0"/>
                    <w:jc w:val="center"/>
                    <w:rPr>
                      <w:bCs/>
                      <w:color w:val="auto"/>
                      <w:szCs w:val="21"/>
                    </w:rPr>
                  </w:pPr>
                  <w:r>
                    <w:rPr>
                      <w:bCs/>
                      <w:color w:val="auto"/>
                      <w:szCs w:val="21"/>
                    </w:rPr>
                    <w:t>筛</w:t>
                  </w:r>
                  <w:r>
                    <w:rPr>
                      <w:rFonts w:hint="eastAsia"/>
                      <w:bCs/>
                      <w:color w:val="auto"/>
                      <w:szCs w:val="21"/>
                    </w:rPr>
                    <w:t>分</w:t>
                  </w:r>
                </w:p>
                <w:p w14:paraId="70B55C5A">
                  <w:pPr>
                    <w:snapToGrid w:val="0"/>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Cs w:val="21"/>
                    </w:rPr>
                    <w:t>粉尘</w:t>
                  </w:r>
                </w:p>
              </w:tc>
              <w:tc>
                <w:tcPr>
                  <w:tcW w:w="1004" w:type="dxa"/>
                  <w:vMerge w:val="continue"/>
                  <w:shd w:val="clear" w:color="auto" w:fill="auto"/>
                  <w:vAlign w:val="center"/>
                </w:tcPr>
                <w:p w14:paraId="0DBE644C">
                  <w:pPr>
                    <w:snapToGrid w:val="0"/>
                    <w:jc w:val="center"/>
                    <w:rPr>
                      <w:rFonts w:hint="eastAsia" w:ascii="Times New Roman" w:hAnsi="Times New Roman" w:eastAsia="宋体" w:cs="Times New Roman"/>
                      <w:bCs/>
                      <w:color w:val="auto"/>
                      <w:kern w:val="2"/>
                      <w:sz w:val="21"/>
                      <w:szCs w:val="21"/>
                      <w:lang w:val="en-US" w:eastAsia="zh-CN" w:bidi="ar-SA"/>
                    </w:rPr>
                  </w:pPr>
                </w:p>
              </w:tc>
              <w:tc>
                <w:tcPr>
                  <w:tcW w:w="1004" w:type="dxa"/>
                  <w:vMerge w:val="continue"/>
                  <w:shd w:val="clear" w:color="auto" w:fill="auto"/>
                  <w:vAlign w:val="center"/>
                </w:tcPr>
                <w:p w14:paraId="59FF55AD">
                  <w:pPr>
                    <w:snapToGrid w:val="0"/>
                    <w:jc w:val="center"/>
                    <w:rPr>
                      <w:rFonts w:hint="eastAsia" w:ascii="Times New Roman" w:hAnsi="Times New Roman" w:eastAsia="宋体" w:cs="Times New Roman"/>
                      <w:bCs/>
                      <w:color w:val="auto"/>
                      <w:kern w:val="2"/>
                      <w:sz w:val="21"/>
                      <w:szCs w:val="21"/>
                      <w:lang w:val="en-US" w:eastAsia="zh-CN" w:bidi="ar-SA"/>
                    </w:rPr>
                  </w:pPr>
                </w:p>
              </w:tc>
              <w:tc>
                <w:tcPr>
                  <w:tcW w:w="1005" w:type="dxa"/>
                  <w:shd w:val="clear" w:color="auto" w:fill="auto"/>
                  <w:vAlign w:val="center"/>
                </w:tcPr>
                <w:p w14:paraId="735AE9D3">
                  <w:pPr>
                    <w:snapToGrid w:val="0"/>
                    <w:jc w:val="center"/>
                    <w:rPr>
                      <w:rFonts w:hint="eastAsia" w:ascii="Times New Roman" w:hAnsi="Times New Roman" w:eastAsia="宋体" w:cs="Times New Roman"/>
                      <w:bCs/>
                      <w:color w:val="auto"/>
                      <w:kern w:val="2"/>
                      <w:sz w:val="21"/>
                      <w:szCs w:val="21"/>
                      <w:lang w:val="en-US" w:eastAsia="zh-CN" w:bidi="ar-SA"/>
                    </w:rPr>
                  </w:pPr>
                  <w:r>
                    <w:rPr>
                      <w:bCs/>
                      <w:color w:val="auto"/>
                      <w:szCs w:val="21"/>
                    </w:rPr>
                    <w:t>0.0667</w:t>
                  </w:r>
                </w:p>
              </w:tc>
              <w:tc>
                <w:tcPr>
                  <w:tcW w:w="1005" w:type="dxa"/>
                  <w:shd w:val="clear" w:color="auto" w:fill="auto"/>
                  <w:vAlign w:val="center"/>
                </w:tcPr>
                <w:p w14:paraId="3AF8E09C">
                  <w:pPr>
                    <w:snapToGrid w:val="0"/>
                    <w:jc w:val="center"/>
                    <w:rPr>
                      <w:rFonts w:hint="eastAsia" w:ascii="Times New Roman" w:hAnsi="Times New Roman" w:eastAsia="宋体" w:cs="Times New Roman"/>
                      <w:bCs/>
                      <w:color w:val="auto"/>
                      <w:kern w:val="2"/>
                      <w:sz w:val="21"/>
                      <w:szCs w:val="21"/>
                      <w:lang w:val="en-US" w:eastAsia="zh-CN" w:bidi="ar-SA"/>
                    </w:rPr>
                  </w:pPr>
                  <w:r>
                    <w:rPr>
                      <w:bCs/>
                      <w:color w:val="auto"/>
                      <w:szCs w:val="21"/>
                    </w:rPr>
                    <w:t>30.</w:t>
                  </w:r>
                  <w:r>
                    <w:rPr>
                      <w:rFonts w:hint="eastAsia"/>
                      <w:bCs/>
                      <w:color w:val="auto"/>
                      <w:szCs w:val="21"/>
                    </w:rPr>
                    <w:t>44</w:t>
                  </w:r>
                </w:p>
              </w:tc>
              <w:tc>
                <w:tcPr>
                  <w:tcW w:w="1005" w:type="dxa"/>
                  <w:vMerge w:val="continue"/>
                  <w:shd w:val="clear" w:color="auto" w:fill="auto"/>
                  <w:vAlign w:val="center"/>
                </w:tcPr>
                <w:p w14:paraId="627B14F2">
                  <w:pPr>
                    <w:snapToGrid w:val="0"/>
                    <w:jc w:val="center"/>
                    <w:rPr>
                      <w:rFonts w:ascii="Times New Roman" w:hAnsi="Times New Roman" w:eastAsia="宋体" w:cs="Times New Roman"/>
                      <w:bCs/>
                      <w:color w:val="auto"/>
                      <w:kern w:val="2"/>
                      <w:sz w:val="21"/>
                      <w:szCs w:val="21"/>
                      <w:lang w:val="en-US" w:eastAsia="zh-CN" w:bidi="ar-SA"/>
                    </w:rPr>
                  </w:pPr>
                </w:p>
              </w:tc>
              <w:tc>
                <w:tcPr>
                  <w:tcW w:w="1005" w:type="dxa"/>
                  <w:vMerge w:val="continue"/>
                  <w:vAlign w:val="center"/>
                </w:tcPr>
                <w:p w14:paraId="0746B751">
                  <w:pPr>
                    <w:snapToGrid w:val="0"/>
                    <w:jc w:val="center"/>
                    <w:rPr>
                      <w:rFonts w:hint="eastAsia"/>
                      <w:bCs/>
                      <w:color w:val="auto"/>
                      <w:szCs w:val="21"/>
                    </w:rPr>
                  </w:pPr>
                </w:p>
              </w:tc>
              <w:tc>
                <w:tcPr>
                  <w:tcW w:w="1005" w:type="dxa"/>
                  <w:vMerge w:val="continue"/>
                  <w:vAlign w:val="center"/>
                </w:tcPr>
                <w:p w14:paraId="08A61B3A">
                  <w:pPr>
                    <w:snapToGrid w:val="0"/>
                    <w:jc w:val="center"/>
                    <w:rPr>
                      <w:rFonts w:hint="eastAsia"/>
                      <w:bCs/>
                      <w:color w:val="auto"/>
                      <w:szCs w:val="21"/>
                    </w:rPr>
                  </w:pPr>
                </w:p>
              </w:tc>
            </w:tr>
            <w:tr w14:paraId="0912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04" w:type="dxa"/>
                  <w:shd w:val="clear" w:color="auto" w:fill="auto"/>
                  <w:vAlign w:val="center"/>
                </w:tcPr>
                <w:p w14:paraId="41F2825C">
                  <w:pPr>
                    <w:snapToGrid w:val="0"/>
                    <w:jc w:val="center"/>
                    <w:rPr>
                      <w:rFonts w:hint="eastAsia"/>
                      <w:bCs/>
                      <w:color w:val="auto"/>
                      <w:szCs w:val="21"/>
                      <w:lang w:val="en-US" w:eastAsia="zh-CN"/>
                    </w:rPr>
                  </w:pPr>
                  <w:r>
                    <w:rPr>
                      <w:rFonts w:hint="eastAsia"/>
                      <w:bCs/>
                      <w:color w:val="auto"/>
                      <w:szCs w:val="21"/>
                      <w:lang w:val="en-US" w:eastAsia="zh-CN"/>
                    </w:rPr>
                    <w:t>包装</w:t>
                  </w:r>
                </w:p>
                <w:p w14:paraId="2B71C579">
                  <w:pPr>
                    <w:snapToGrid w:val="0"/>
                    <w:jc w:val="center"/>
                    <w:rPr>
                      <w:rFonts w:hint="default" w:eastAsia="宋体"/>
                      <w:bCs/>
                      <w:color w:val="auto"/>
                      <w:szCs w:val="21"/>
                      <w:lang w:val="en-US" w:eastAsia="zh-CN"/>
                    </w:rPr>
                  </w:pPr>
                  <w:r>
                    <w:rPr>
                      <w:rFonts w:hint="eastAsia"/>
                      <w:bCs/>
                      <w:color w:val="auto"/>
                      <w:szCs w:val="21"/>
                      <w:lang w:val="en-US" w:eastAsia="zh-CN"/>
                    </w:rPr>
                    <w:t>粉尘</w:t>
                  </w:r>
                </w:p>
              </w:tc>
              <w:tc>
                <w:tcPr>
                  <w:tcW w:w="1004" w:type="dxa"/>
                  <w:vMerge w:val="continue"/>
                  <w:shd w:val="clear" w:color="auto" w:fill="auto"/>
                  <w:vAlign w:val="center"/>
                </w:tcPr>
                <w:p w14:paraId="4FB280B6">
                  <w:pPr>
                    <w:snapToGrid w:val="0"/>
                    <w:jc w:val="center"/>
                    <w:rPr>
                      <w:rFonts w:hint="eastAsia" w:ascii="Times New Roman" w:hAnsi="Times New Roman" w:eastAsia="宋体" w:cs="Times New Roman"/>
                      <w:bCs/>
                      <w:color w:val="auto"/>
                      <w:kern w:val="2"/>
                      <w:sz w:val="21"/>
                      <w:szCs w:val="21"/>
                      <w:lang w:val="en-US" w:eastAsia="zh-CN" w:bidi="ar-SA"/>
                    </w:rPr>
                  </w:pPr>
                </w:p>
              </w:tc>
              <w:tc>
                <w:tcPr>
                  <w:tcW w:w="1004" w:type="dxa"/>
                  <w:vMerge w:val="continue"/>
                  <w:shd w:val="clear" w:color="auto" w:fill="auto"/>
                  <w:vAlign w:val="center"/>
                </w:tcPr>
                <w:p w14:paraId="481A8F18">
                  <w:pPr>
                    <w:snapToGrid w:val="0"/>
                    <w:jc w:val="center"/>
                    <w:rPr>
                      <w:rFonts w:hint="default" w:ascii="Times New Roman" w:hAnsi="Times New Roman" w:eastAsia="宋体" w:cs="Times New Roman"/>
                      <w:bCs/>
                      <w:color w:val="auto"/>
                      <w:kern w:val="2"/>
                      <w:sz w:val="21"/>
                      <w:szCs w:val="21"/>
                      <w:lang w:val="en-US" w:eastAsia="zh-CN" w:bidi="ar-SA"/>
                    </w:rPr>
                  </w:pPr>
                </w:p>
              </w:tc>
              <w:tc>
                <w:tcPr>
                  <w:tcW w:w="1005" w:type="dxa"/>
                  <w:shd w:val="clear" w:color="auto" w:fill="auto"/>
                  <w:vAlign w:val="center"/>
                </w:tcPr>
                <w:p w14:paraId="52B42E13">
                  <w:pPr>
                    <w:snapToGrid w:val="0"/>
                    <w:jc w:val="center"/>
                    <w:rPr>
                      <w:rFonts w:hint="default" w:eastAsia="宋体"/>
                      <w:bCs/>
                      <w:color w:val="auto"/>
                      <w:szCs w:val="21"/>
                      <w:lang w:val="en-US" w:eastAsia="zh-CN"/>
                    </w:rPr>
                  </w:pPr>
                  <w:r>
                    <w:rPr>
                      <w:rFonts w:hint="eastAsia"/>
                      <w:bCs/>
                      <w:color w:val="auto"/>
                      <w:szCs w:val="21"/>
                      <w:lang w:val="en-US" w:eastAsia="zh-CN"/>
                    </w:rPr>
                    <w:t>0.005</w:t>
                  </w:r>
                </w:p>
              </w:tc>
              <w:tc>
                <w:tcPr>
                  <w:tcW w:w="1005" w:type="dxa"/>
                  <w:shd w:val="clear" w:color="auto" w:fill="auto"/>
                  <w:vAlign w:val="center"/>
                </w:tcPr>
                <w:p w14:paraId="619A295A">
                  <w:pPr>
                    <w:snapToGrid w:val="0"/>
                    <w:jc w:val="center"/>
                    <w:rPr>
                      <w:rFonts w:hint="default" w:eastAsia="宋体"/>
                      <w:bCs/>
                      <w:color w:val="auto"/>
                      <w:szCs w:val="21"/>
                      <w:lang w:val="en-US" w:eastAsia="zh-CN"/>
                    </w:rPr>
                  </w:pPr>
                  <w:r>
                    <w:rPr>
                      <w:rFonts w:hint="eastAsia"/>
                      <w:bCs/>
                      <w:color w:val="auto"/>
                      <w:szCs w:val="21"/>
                      <w:lang w:val="en-US" w:eastAsia="zh-CN"/>
                    </w:rPr>
                    <w:t>2.28</w:t>
                  </w:r>
                </w:p>
              </w:tc>
              <w:tc>
                <w:tcPr>
                  <w:tcW w:w="1005" w:type="dxa"/>
                  <w:vMerge w:val="continue"/>
                  <w:shd w:val="clear" w:color="auto" w:fill="auto"/>
                  <w:vAlign w:val="center"/>
                </w:tcPr>
                <w:p w14:paraId="4C9173B5">
                  <w:pPr>
                    <w:snapToGrid w:val="0"/>
                    <w:jc w:val="center"/>
                    <w:rPr>
                      <w:rFonts w:ascii="Times New Roman" w:hAnsi="Times New Roman" w:eastAsia="宋体" w:cs="Times New Roman"/>
                      <w:bCs/>
                      <w:color w:val="auto"/>
                      <w:kern w:val="2"/>
                      <w:sz w:val="21"/>
                      <w:szCs w:val="21"/>
                      <w:lang w:val="en-US" w:eastAsia="zh-CN" w:bidi="ar-SA"/>
                    </w:rPr>
                  </w:pPr>
                </w:p>
              </w:tc>
              <w:tc>
                <w:tcPr>
                  <w:tcW w:w="1005" w:type="dxa"/>
                  <w:vMerge w:val="continue"/>
                  <w:vAlign w:val="center"/>
                </w:tcPr>
                <w:p w14:paraId="07707C95">
                  <w:pPr>
                    <w:snapToGrid w:val="0"/>
                    <w:jc w:val="center"/>
                    <w:rPr>
                      <w:rFonts w:hint="eastAsia"/>
                      <w:bCs/>
                      <w:color w:val="auto"/>
                      <w:szCs w:val="21"/>
                    </w:rPr>
                  </w:pPr>
                </w:p>
              </w:tc>
              <w:tc>
                <w:tcPr>
                  <w:tcW w:w="1005" w:type="dxa"/>
                  <w:vMerge w:val="continue"/>
                  <w:vAlign w:val="center"/>
                </w:tcPr>
                <w:p w14:paraId="153E605A">
                  <w:pPr>
                    <w:snapToGrid w:val="0"/>
                    <w:jc w:val="center"/>
                    <w:rPr>
                      <w:rFonts w:hint="eastAsia"/>
                      <w:bCs/>
                      <w:color w:val="auto"/>
                      <w:szCs w:val="21"/>
                    </w:rPr>
                  </w:pPr>
                </w:p>
              </w:tc>
            </w:tr>
          </w:tbl>
          <w:p w14:paraId="37D7861A">
            <w:pPr>
              <w:pStyle w:val="19"/>
              <w:spacing w:before="0" w:beforeAutospacing="0" w:after="0" w:afterAutospacing="0" w:line="360" w:lineRule="auto"/>
              <w:ind w:firstLine="480" w:firstLineChars="200"/>
              <w:outlineLvl w:val="0"/>
              <w:rPr>
                <w:rFonts w:hint="eastAsia" w:ascii="Times New Roman" w:hAnsi="Times New Roman"/>
                <w:color w:val="auto"/>
                <w:lang w:val="en-US" w:eastAsia="zh-CN"/>
              </w:rPr>
            </w:pPr>
            <w:r>
              <w:rPr>
                <w:rFonts w:hint="eastAsia" w:ascii="Times New Roman" w:hAnsi="Times New Roman"/>
                <w:color w:val="auto"/>
              </w:rPr>
              <w:t>（</w:t>
            </w:r>
            <w:r>
              <w:rPr>
                <w:rFonts w:hint="eastAsia" w:ascii="Times New Roman" w:hAnsi="Times New Roman"/>
                <w:color w:val="auto"/>
                <w:lang w:val="en-US" w:eastAsia="zh-CN"/>
              </w:rPr>
              <w:t>5</w:t>
            </w:r>
            <w:r>
              <w:rPr>
                <w:rFonts w:hint="eastAsia" w:ascii="Times New Roman" w:hAnsi="Times New Roman"/>
                <w:color w:val="auto"/>
              </w:rPr>
              <w:t>）未被收集的粉尘G</w:t>
            </w:r>
            <w:r>
              <w:rPr>
                <w:rFonts w:hint="eastAsia" w:ascii="Times New Roman" w:hAnsi="Times New Roman"/>
                <w:color w:val="auto"/>
                <w:lang w:val="en-US" w:eastAsia="zh-CN"/>
              </w:rPr>
              <w:t>9</w:t>
            </w:r>
          </w:p>
          <w:p w14:paraId="6D67CBB8">
            <w:pPr>
              <w:pStyle w:val="19"/>
              <w:spacing w:before="0" w:beforeAutospacing="0" w:after="0" w:afterAutospacing="0" w:line="360" w:lineRule="auto"/>
              <w:ind w:firstLine="480" w:firstLineChars="200"/>
              <w:outlineLvl w:val="0"/>
              <w:rPr>
                <w:rFonts w:hint="eastAsia" w:ascii="Times New Roman" w:hAnsi="Times New Roman"/>
                <w:color w:val="auto"/>
                <w:lang w:val="en-US" w:eastAsia="zh-CN"/>
              </w:rPr>
            </w:pPr>
            <w:r>
              <w:rPr>
                <w:rFonts w:hint="eastAsia" w:ascii="Times New Roman" w:hAnsi="Times New Roman"/>
                <w:color w:val="auto"/>
                <w:lang w:val="en-US" w:eastAsia="zh-CN"/>
              </w:rPr>
              <w:t>本项目采取全封闭厂房，原料仓库采用</w:t>
            </w:r>
            <w:r>
              <w:rPr>
                <w:bCs/>
                <w:color w:val="auto"/>
                <w:szCs w:val="21"/>
              </w:rPr>
              <w:t>干雾抑尘器</w:t>
            </w:r>
            <w:r>
              <w:rPr>
                <w:rFonts w:hint="eastAsia"/>
                <w:bCs/>
                <w:color w:val="auto"/>
                <w:szCs w:val="21"/>
                <w:lang w:eastAsia="zh-CN"/>
              </w:rPr>
              <w:t>，</w:t>
            </w:r>
            <w:r>
              <w:rPr>
                <w:rFonts w:hint="eastAsia"/>
                <w:bCs/>
                <w:color w:val="auto"/>
                <w:szCs w:val="21"/>
                <w:lang w:val="en-US" w:eastAsia="zh-CN"/>
              </w:rPr>
              <w:t>采取</w:t>
            </w:r>
            <w:r>
              <w:rPr>
                <w:rFonts w:hint="eastAsia" w:ascii="Times New Roman" w:hAnsi="Times New Roman"/>
                <w:color w:val="auto"/>
                <w:lang w:val="en-US" w:eastAsia="zh-CN"/>
              </w:rPr>
              <w:t xml:space="preserve">封闭厂房抑尘效率 90%+ </w:t>
            </w:r>
            <w:r>
              <w:rPr>
                <w:bCs/>
                <w:color w:val="auto"/>
                <w:szCs w:val="21"/>
              </w:rPr>
              <w:t>干雾抑尘器</w:t>
            </w:r>
            <w:r>
              <w:rPr>
                <w:rFonts w:hint="eastAsia"/>
                <w:bCs/>
                <w:color w:val="auto"/>
                <w:szCs w:val="21"/>
                <w:lang w:val="en-US" w:eastAsia="zh-CN"/>
              </w:rPr>
              <w:t>抑尘</w:t>
            </w:r>
            <w:r>
              <w:rPr>
                <w:rFonts w:hint="eastAsia" w:ascii="Times New Roman" w:hAnsi="Times New Roman"/>
                <w:color w:val="auto"/>
                <w:lang w:val="en-US" w:eastAsia="zh-CN"/>
              </w:rPr>
              <w:t>效率90%，综合抑尘控制效率可达 99%；型焦生产车间洒水抑尘，封闭厂房抑尘效率 90%+ 洒水抑尘效率74%，综合抑尘控制效率可达 97%。</w:t>
            </w:r>
          </w:p>
          <w:p w14:paraId="7E6B7C71">
            <w:pPr>
              <w:pStyle w:val="19"/>
              <w:spacing w:before="0" w:beforeAutospacing="0" w:after="0" w:afterAutospacing="0" w:line="360" w:lineRule="auto"/>
              <w:ind w:firstLine="480" w:firstLineChars="200"/>
              <w:outlineLvl w:val="0"/>
              <w:rPr>
                <w:rFonts w:hint="default" w:ascii="Times New Roman" w:hAnsi="Times New Roman" w:eastAsia="宋体"/>
                <w:color w:val="auto"/>
                <w:lang w:val="en-US" w:eastAsia="zh-CN"/>
              </w:rPr>
            </w:pPr>
            <w:r>
              <w:rPr>
                <w:rFonts w:hint="eastAsia" w:ascii="Times New Roman" w:hAnsi="Times New Roman"/>
                <w:color w:val="auto"/>
                <w:lang w:val="en-US" w:eastAsia="zh-CN"/>
              </w:rPr>
              <w:t>原料仓库：上料粉尘</w:t>
            </w:r>
            <w:r>
              <w:rPr>
                <w:rFonts w:hint="eastAsia" w:ascii="Times New Roman" w:hAnsi="Times New Roman"/>
                <w:color w:val="auto"/>
              </w:rPr>
              <w:t>未被收集的粉尘</w:t>
            </w:r>
            <w:r>
              <w:rPr>
                <w:rFonts w:hint="eastAsia" w:ascii="Times New Roman" w:hAnsi="Times New Roman"/>
                <w:color w:val="auto"/>
                <w:lang w:val="en-US" w:eastAsia="zh-CN"/>
              </w:rPr>
              <w:t>量为0.4564</w:t>
            </w:r>
            <w:r>
              <w:rPr>
                <w:rFonts w:hint="eastAsia" w:ascii="Times New Roman" w:hAnsi="Times New Roman"/>
                <w:color w:val="auto"/>
              </w:rPr>
              <w:t>t/a，产生速率</w:t>
            </w:r>
            <w:r>
              <w:rPr>
                <w:rFonts w:hint="eastAsia" w:ascii="Times New Roman" w:hAnsi="Times New Roman"/>
                <w:color w:val="auto"/>
                <w:lang w:val="en-US" w:eastAsia="zh-CN"/>
              </w:rPr>
              <w:t>0.0571</w:t>
            </w:r>
            <w:r>
              <w:rPr>
                <w:rFonts w:hint="eastAsia" w:ascii="Times New Roman" w:hAnsi="Times New Roman"/>
                <w:color w:val="auto"/>
              </w:rPr>
              <w:t>kg/h</w:t>
            </w:r>
            <w:r>
              <w:rPr>
                <w:rFonts w:hint="eastAsia" w:ascii="Times New Roman" w:hAnsi="Times New Roman"/>
                <w:color w:val="auto"/>
                <w:lang w:eastAsia="zh-CN"/>
              </w:rPr>
              <w:t>；</w:t>
            </w:r>
            <w:r>
              <w:rPr>
                <w:rFonts w:hint="eastAsia" w:ascii="Times New Roman" w:hAnsi="Times New Roman"/>
                <w:color w:val="auto"/>
                <w:lang w:val="en-US" w:eastAsia="zh-CN"/>
              </w:rPr>
              <w:t>采取措施后</w:t>
            </w:r>
            <w:r>
              <w:rPr>
                <w:rFonts w:hint="eastAsia" w:ascii="Times New Roman" w:hAnsi="Times New Roman"/>
                <w:color w:val="auto"/>
              </w:rPr>
              <w:t>逸散粉尘量为</w:t>
            </w:r>
            <w:r>
              <w:rPr>
                <w:rFonts w:hint="eastAsia" w:ascii="Times New Roman" w:hAnsi="Times New Roman"/>
                <w:color w:val="auto"/>
                <w:lang w:val="en-US" w:eastAsia="zh-CN"/>
              </w:rPr>
              <w:t>0.0046</w:t>
            </w:r>
            <w:r>
              <w:rPr>
                <w:rFonts w:hint="eastAsia" w:ascii="Times New Roman" w:hAnsi="Times New Roman"/>
                <w:color w:val="auto"/>
              </w:rPr>
              <w:t>t/a，排放速率为</w:t>
            </w:r>
            <w:r>
              <w:rPr>
                <w:rFonts w:hint="eastAsia" w:ascii="Times New Roman" w:hAnsi="Times New Roman"/>
                <w:color w:val="auto"/>
                <w:lang w:val="en-US" w:eastAsia="zh-CN"/>
              </w:rPr>
              <w:t>0.57×10</w:t>
            </w:r>
            <w:r>
              <w:rPr>
                <w:rFonts w:hint="eastAsia" w:ascii="Times New Roman" w:hAnsi="Times New Roman"/>
                <w:color w:val="auto"/>
                <w:vertAlign w:val="superscript"/>
                <w:lang w:val="en-US" w:eastAsia="zh-CN"/>
              </w:rPr>
              <w:t>-3</w:t>
            </w:r>
            <w:r>
              <w:rPr>
                <w:rFonts w:hint="eastAsia" w:ascii="Times New Roman" w:hAnsi="Times New Roman"/>
                <w:color w:val="auto"/>
              </w:rPr>
              <w:t>kg/h。</w:t>
            </w:r>
          </w:p>
          <w:p w14:paraId="26523BE5">
            <w:pPr>
              <w:pStyle w:val="19"/>
              <w:spacing w:before="0" w:beforeAutospacing="0" w:after="0" w:afterAutospacing="0" w:line="360" w:lineRule="auto"/>
              <w:ind w:firstLine="480" w:firstLineChars="200"/>
              <w:outlineLvl w:val="0"/>
              <w:rPr>
                <w:rFonts w:hint="eastAsia" w:ascii="Times New Roman" w:hAnsi="Times New Roman"/>
                <w:color w:val="auto"/>
                <w:lang w:eastAsia="zh-CN"/>
              </w:rPr>
            </w:pPr>
            <w:r>
              <w:rPr>
                <w:rFonts w:hint="eastAsia" w:ascii="Times New Roman" w:hAnsi="Times New Roman"/>
                <w:color w:val="auto"/>
                <w:lang w:val="en-US" w:eastAsia="zh-CN"/>
              </w:rPr>
              <w:t>型焦生产车间：①搅拌粉尘</w:t>
            </w:r>
            <w:r>
              <w:rPr>
                <w:rFonts w:hint="eastAsia" w:ascii="Times New Roman" w:hAnsi="Times New Roman"/>
                <w:color w:val="auto"/>
              </w:rPr>
              <w:t>未被收集的粉尘</w:t>
            </w:r>
            <w:r>
              <w:rPr>
                <w:rFonts w:hint="eastAsia" w:ascii="Times New Roman" w:hAnsi="Times New Roman"/>
                <w:color w:val="auto"/>
                <w:lang w:val="en-US" w:eastAsia="zh-CN"/>
              </w:rPr>
              <w:t>量为0.4564</w:t>
            </w:r>
            <w:r>
              <w:rPr>
                <w:rFonts w:hint="eastAsia" w:ascii="Times New Roman" w:hAnsi="Times New Roman"/>
                <w:color w:val="auto"/>
              </w:rPr>
              <w:t>t/a，产生速率为</w:t>
            </w:r>
            <w:r>
              <w:rPr>
                <w:rFonts w:hint="eastAsia" w:ascii="Times New Roman" w:hAnsi="Times New Roman"/>
                <w:color w:val="auto"/>
                <w:lang w:val="en-US" w:eastAsia="zh-CN"/>
              </w:rPr>
              <w:t>0.057</w:t>
            </w:r>
            <w:r>
              <w:rPr>
                <w:rFonts w:hint="eastAsia" w:ascii="Times New Roman" w:hAnsi="Times New Roman"/>
                <w:color w:val="auto"/>
              </w:rPr>
              <w:t>kg/h</w:t>
            </w:r>
            <w:r>
              <w:rPr>
                <w:rFonts w:hint="eastAsia" w:ascii="Times New Roman" w:hAnsi="Times New Roman"/>
                <w:color w:val="auto"/>
                <w:lang w:eastAsia="zh-CN"/>
              </w:rPr>
              <w:t>；</w:t>
            </w:r>
            <w:r>
              <w:rPr>
                <w:rFonts w:hint="eastAsia" w:ascii="Times New Roman" w:hAnsi="Times New Roman"/>
                <w:color w:val="auto"/>
                <w:lang w:val="en-US" w:eastAsia="zh-CN"/>
              </w:rPr>
              <w:t>采取措施后</w:t>
            </w:r>
            <w:r>
              <w:rPr>
                <w:rFonts w:hint="eastAsia" w:ascii="Times New Roman" w:hAnsi="Times New Roman"/>
                <w:color w:val="auto"/>
              </w:rPr>
              <w:t>逸散粉尘量为</w:t>
            </w:r>
            <w:r>
              <w:rPr>
                <w:rFonts w:hint="eastAsia" w:ascii="Times New Roman" w:hAnsi="Times New Roman"/>
                <w:color w:val="auto"/>
                <w:lang w:val="en-US" w:eastAsia="zh-CN"/>
              </w:rPr>
              <w:t>0.0137</w:t>
            </w:r>
            <w:r>
              <w:rPr>
                <w:rFonts w:hint="eastAsia" w:ascii="Times New Roman" w:hAnsi="Times New Roman"/>
                <w:color w:val="auto"/>
              </w:rPr>
              <w:t>t/a，排放速率为</w:t>
            </w:r>
            <w:r>
              <w:rPr>
                <w:rFonts w:hint="eastAsia" w:ascii="Times New Roman" w:hAnsi="Times New Roman"/>
                <w:color w:val="auto"/>
                <w:lang w:val="en-US" w:eastAsia="zh-CN"/>
              </w:rPr>
              <w:t>0.0017</w:t>
            </w:r>
            <w:r>
              <w:rPr>
                <w:rFonts w:hint="eastAsia" w:ascii="Times New Roman" w:hAnsi="Times New Roman"/>
                <w:color w:val="auto"/>
              </w:rPr>
              <w:t>kg/h。</w:t>
            </w:r>
            <w:r>
              <w:rPr>
                <w:rFonts w:hint="eastAsia" w:ascii="Times New Roman" w:hAnsi="Times New Roman"/>
                <w:color w:val="auto"/>
                <w:lang w:val="en-US" w:eastAsia="zh-CN"/>
              </w:rPr>
              <w:t>②筛分粉尘</w:t>
            </w:r>
            <w:r>
              <w:rPr>
                <w:rFonts w:hint="eastAsia" w:ascii="Times New Roman" w:hAnsi="Times New Roman"/>
                <w:color w:val="auto"/>
              </w:rPr>
              <w:t>未被收集的粉尘</w:t>
            </w:r>
            <w:r>
              <w:rPr>
                <w:rFonts w:hint="eastAsia" w:ascii="Times New Roman" w:hAnsi="Times New Roman"/>
                <w:color w:val="auto"/>
                <w:lang w:val="en-US" w:eastAsia="zh-CN"/>
              </w:rPr>
              <w:t>量为3.044</w:t>
            </w:r>
            <w:r>
              <w:rPr>
                <w:rFonts w:hint="eastAsia" w:ascii="Times New Roman" w:hAnsi="Times New Roman"/>
                <w:color w:val="auto"/>
              </w:rPr>
              <w:t>t/a，产生速率为</w:t>
            </w:r>
            <w:r>
              <w:rPr>
                <w:rFonts w:hint="eastAsia" w:ascii="Times New Roman" w:hAnsi="Times New Roman"/>
                <w:color w:val="auto"/>
                <w:lang w:val="en-US" w:eastAsia="zh-CN"/>
              </w:rPr>
              <w:t>0.381</w:t>
            </w:r>
            <w:r>
              <w:rPr>
                <w:rFonts w:hint="eastAsia" w:ascii="Times New Roman" w:hAnsi="Times New Roman"/>
                <w:color w:val="auto"/>
              </w:rPr>
              <w:t>kg/h</w:t>
            </w:r>
            <w:r>
              <w:rPr>
                <w:rFonts w:hint="eastAsia" w:ascii="Times New Roman" w:hAnsi="Times New Roman"/>
                <w:color w:val="auto"/>
                <w:lang w:eastAsia="zh-CN"/>
              </w:rPr>
              <w:t>。</w:t>
            </w:r>
            <w:r>
              <w:rPr>
                <w:rFonts w:hint="eastAsia" w:ascii="Times New Roman" w:hAnsi="Times New Roman"/>
                <w:color w:val="auto"/>
                <w:lang w:val="en-US" w:eastAsia="zh-CN"/>
              </w:rPr>
              <w:t>③筛分粉尘</w:t>
            </w:r>
            <w:r>
              <w:rPr>
                <w:rFonts w:hint="eastAsia" w:ascii="Times New Roman" w:hAnsi="Times New Roman"/>
                <w:color w:val="auto"/>
              </w:rPr>
              <w:t>未被收集的粉尘</w:t>
            </w:r>
            <w:r>
              <w:rPr>
                <w:rFonts w:hint="eastAsia" w:ascii="Times New Roman" w:hAnsi="Times New Roman"/>
                <w:color w:val="auto"/>
                <w:lang w:val="en-US" w:eastAsia="zh-CN"/>
              </w:rPr>
              <w:t>量为0.23</w:t>
            </w:r>
            <w:r>
              <w:rPr>
                <w:rFonts w:hint="eastAsia" w:ascii="Times New Roman" w:hAnsi="Times New Roman"/>
                <w:color w:val="auto"/>
              </w:rPr>
              <w:t>t/a，产生速率为</w:t>
            </w:r>
            <w:r>
              <w:rPr>
                <w:rFonts w:hint="eastAsia" w:ascii="Times New Roman" w:hAnsi="Times New Roman"/>
                <w:color w:val="auto"/>
                <w:lang w:val="en-US" w:eastAsia="zh-CN"/>
              </w:rPr>
              <w:t>0.029</w:t>
            </w:r>
            <w:r>
              <w:rPr>
                <w:rFonts w:hint="eastAsia" w:ascii="Times New Roman" w:hAnsi="Times New Roman"/>
                <w:color w:val="auto"/>
              </w:rPr>
              <w:t>kg/h</w:t>
            </w:r>
            <w:r>
              <w:rPr>
                <w:rFonts w:hint="eastAsia" w:ascii="Times New Roman" w:hAnsi="Times New Roman"/>
                <w:color w:val="auto"/>
                <w:lang w:eastAsia="zh-CN"/>
              </w:rPr>
              <w:t>。</w:t>
            </w:r>
          </w:p>
          <w:p w14:paraId="26F0CBFD">
            <w:pPr>
              <w:pStyle w:val="19"/>
              <w:spacing w:before="0" w:beforeAutospacing="0" w:after="0" w:afterAutospacing="0" w:line="360" w:lineRule="auto"/>
              <w:ind w:firstLine="480" w:firstLineChars="200"/>
              <w:outlineLvl w:val="0"/>
              <w:rPr>
                <w:rFonts w:hint="eastAsia" w:ascii="Times New Roman" w:hAnsi="Times New Roman"/>
                <w:color w:val="auto"/>
              </w:rPr>
            </w:pPr>
            <w:r>
              <w:rPr>
                <w:rFonts w:hint="eastAsia" w:ascii="Times New Roman" w:hAnsi="Times New Roman"/>
                <w:color w:val="auto"/>
                <w:lang w:val="en-US" w:eastAsia="zh-CN"/>
              </w:rPr>
              <w:t>采取措施后</w:t>
            </w:r>
            <w:r>
              <w:rPr>
                <w:rFonts w:hint="eastAsia" w:ascii="Times New Roman" w:hAnsi="Times New Roman"/>
                <w:color w:val="auto"/>
              </w:rPr>
              <w:t>逸散粉尘量为</w:t>
            </w:r>
            <w:r>
              <w:rPr>
                <w:rFonts w:hint="eastAsia" w:ascii="Times New Roman" w:hAnsi="Times New Roman"/>
                <w:color w:val="auto"/>
                <w:lang w:val="en-US" w:eastAsia="zh-CN"/>
              </w:rPr>
              <w:t>0.112</w:t>
            </w:r>
            <w:r>
              <w:rPr>
                <w:rFonts w:hint="eastAsia" w:ascii="Times New Roman" w:hAnsi="Times New Roman"/>
                <w:color w:val="auto"/>
              </w:rPr>
              <w:t>t/a，排放速率为</w:t>
            </w:r>
            <w:r>
              <w:rPr>
                <w:rFonts w:hint="eastAsia" w:ascii="Times New Roman" w:hAnsi="Times New Roman"/>
                <w:color w:val="auto"/>
                <w:lang w:val="en-US" w:eastAsia="zh-CN"/>
              </w:rPr>
              <w:t>0.014</w:t>
            </w:r>
            <w:r>
              <w:rPr>
                <w:rFonts w:hint="eastAsia" w:ascii="Times New Roman" w:hAnsi="Times New Roman"/>
                <w:color w:val="auto"/>
              </w:rPr>
              <w:t>kg/h。</w:t>
            </w:r>
          </w:p>
          <w:p w14:paraId="4E56A0B6">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总体工程废气产排量见下表：</w:t>
            </w:r>
          </w:p>
          <w:p w14:paraId="2DEC9CA3">
            <w:pPr>
              <w:widowControl/>
              <w:ind w:firstLine="2409" w:firstLineChars="1000"/>
              <w:jc w:val="left"/>
              <w:rPr>
                <w:b/>
                <w:color w:val="auto"/>
                <w:sz w:val="24"/>
              </w:rPr>
            </w:pPr>
            <w:r>
              <w:rPr>
                <w:rFonts w:hint="eastAsia"/>
                <w:b/>
                <w:color w:val="auto"/>
                <w:sz w:val="24"/>
              </w:rPr>
              <w:t>表4-</w:t>
            </w:r>
            <w:r>
              <w:rPr>
                <w:rFonts w:hint="eastAsia"/>
                <w:b/>
                <w:color w:val="auto"/>
                <w:sz w:val="24"/>
                <w:lang w:val="en-US" w:eastAsia="zh-CN"/>
              </w:rPr>
              <w:t>5</w:t>
            </w:r>
            <w:r>
              <w:rPr>
                <w:rFonts w:hint="eastAsia"/>
                <w:b/>
                <w:color w:val="auto"/>
                <w:sz w:val="24"/>
              </w:rPr>
              <w:t xml:space="preserve">    总体工程废气产排一览表</w:t>
            </w:r>
          </w:p>
          <w:tbl>
            <w:tblPr>
              <w:tblStyle w:val="23"/>
              <w:tblW w:w="81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394"/>
              <w:gridCol w:w="795"/>
              <w:gridCol w:w="720"/>
              <w:gridCol w:w="825"/>
              <w:gridCol w:w="1765"/>
              <w:gridCol w:w="775"/>
              <w:gridCol w:w="689"/>
              <w:gridCol w:w="693"/>
              <w:gridCol w:w="683"/>
            </w:tblGrid>
            <w:tr w14:paraId="656F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71" w:type="dxa"/>
                  <w:vAlign w:val="center"/>
                </w:tcPr>
                <w:p w14:paraId="4EC03E9A">
                  <w:pPr>
                    <w:widowControl/>
                    <w:jc w:val="center"/>
                    <w:rPr>
                      <w:bCs/>
                      <w:color w:val="auto"/>
                      <w:szCs w:val="21"/>
                    </w:rPr>
                  </w:pPr>
                  <w:r>
                    <w:rPr>
                      <w:rFonts w:hint="eastAsia"/>
                      <w:bCs/>
                      <w:color w:val="auto"/>
                      <w:szCs w:val="21"/>
                    </w:rPr>
                    <w:t>污染源</w:t>
                  </w:r>
                </w:p>
              </w:tc>
              <w:tc>
                <w:tcPr>
                  <w:tcW w:w="394" w:type="dxa"/>
                  <w:vAlign w:val="center"/>
                </w:tcPr>
                <w:p w14:paraId="2FC362D0">
                  <w:pPr>
                    <w:widowControl/>
                    <w:jc w:val="center"/>
                    <w:rPr>
                      <w:bCs/>
                      <w:color w:val="auto"/>
                      <w:szCs w:val="21"/>
                    </w:rPr>
                  </w:pPr>
                  <w:r>
                    <w:rPr>
                      <w:rFonts w:hint="eastAsia"/>
                      <w:bCs/>
                      <w:color w:val="auto"/>
                      <w:szCs w:val="21"/>
                    </w:rPr>
                    <w:t>污染物</w:t>
                  </w:r>
                </w:p>
              </w:tc>
              <w:tc>
                <w:tcPr>
                  <w:tcW w:w="795" w:type="dxa"/>
                  <w:vAlign w:val="center"/>
                </w:tcPr>
                <w:p w14:paraId="054B5BE7">
                  <w:pPr>
                    <w:widowControl/>
                    <w:jc w:val="center"/>
                    <w:rPr>
                      <w:bCs/>
                      <w:color w:val="auto"/>
                      <w:szCs w:val="21"/>
                    </w:rPr>
                  </w:pPr>
                  <w:r>
                    <w:rPr>
                      <w:rFonts w:hint="eastAsia"/>
                      <w:bCs/>
                      <w:color w:val="auto"/>
                      <w:szCs w:val="21"/>
                    </w:rPr>
                    <w:t>产生浓度</w:t>
                  </w:r>
                  <w:r>
                    <w:rPr>
                      <w:bCs/>
                      <w:color w:val="auto"/>
                      <w:szCs w:val="21"/>
                    </w:rPr>
                    <w:t>mg/m</w:t>
                  </w:r>
                  <w:r>
                    <w:rPr>
                      <w:rFonts w:hint="eastAsia"/>
                      <w:bCs/>
                      <w:color w:val="auto"/>
                      <w:szCs w:val="21"/>
                      <w:vertAlign w:val="superscript"/>
                    </w:rPr>
                    <w:t>3</w:t>
                  </w:r>
                </w:p>
              </w:tc>
              <w:tc>
                <w:tcPr>
                  <w:tcW w:w="720" w:type="dxa"/>
                  <w:vAlign w:val="center"/>
                </w:tcPr>
                <w:p w14:paraId="587DE43B">
                  <w:pPr>
                    <w:widowControl/>
                    <w:jc w:val="center"/>
                    <w:rPr>
                      <w:bCs/>
                      <w:color w:val="auto"/>
                      <w:szCs w:val="21"/>
                    </w:rPr>
                  </w:pPr>
                  <w:r>
                    <w:rPr>
                      <w:rFonts w:hint="eastAsia"/>
                      <w:bCs/>
                      <w:color w:val="auto"/>
                      <w:szCs w:val="21"/>
                    </w:rPr>
                    <w:t>产生</w:t>
                  </w:r>
                </w:p>
                <w:p w14:paraId="2DE56A25">
                  <w:pPr>
                    <w:widowControl/>
                    <w:jc w:val="center"/>
                    <w:rPr>
                      <w:bCs/>
                      <w:color w:val="auto"/>
                      <w:szCs w:val="21"/>
                    </w:rPr>
                  </w:pPr>
                  <w:r>
                    <w:rPr>
                      <w:rFonts w:hint="eastAsia"/>
                      <w:bCs/>
                      <w:color w:val="auto"/>
                      <w:szCs w:val="21"/>
                    </w:rPr>
                    <w:t>速率</w:t>
                  </w:r>
                </w:p>
                <w:p w14:paraId="4E6C041B">
                  <w:pPr>
                    <w:widowControl/>
                    <w:jc w:val="center"/>
                    <w:rPr>
                      <w:bCs/>
                      <w:color w:val="auto"/>
                      <w:szCs w:val="21"/>
                    </w:rPr>
                  </w:pPr>
                  <w:r>
                    <w:rPr>
                      <w:bCs/>
                      <w:color w:val="auto"/>
                      <w:szCs w:val="21"/>
                    </w:rPr>
                    <w:t>kg/h</w:t>
                  </w:r>
                </w:p>
              </w:tc>
              <w:tc>
                <w:tcPr>
                  <w:tcW w:w="825" w:type="dxa"/>
                  <w:vAlign w:val="center"/>
                </w:tcPr>
                <w:p w14:paraId="064C2C65">
                  <w:pPr>
                    <w:widowControl/>
                    <w:jc w:val="center"/>
                    <w:rPr>
                      <w:bCs/>
                      <w:color w:val="auto"/>
                      <w:szCs w:val="21"/>
                    </w:rPr>
                  </w:pPr>
                  <w:r>
                    <w:rPr>
                      <w:rFonts w:hint="eastAsia"/>
                      <w:bCs/>
                      <w:color w:val="auto"/>
                      <w:szCs w:val="21"/>
                    </w:rPr>
                    <w:t>产生</w:t>
                  </w:r>
                </w:p>
                <w:p w14:paraId="3FA61963">
                  <w:pPr>
                    <w:widowControl/>
                    <w:jc w:val="center"/>
                    <w:rPr>
                      <w:bCs/>
                      <w:color w:val="auto"/>
                      <w:szCs w:val="21"/>
                    </w:rPr>
                  </w:pPr>
                  <w:r>
                    <w:rPr>
                      <w:rFonts w:hint="eastAsia"/>
                      <w:bCs/>
                      <w:color w:val="auto"/>
                      <w:szCs w:val="21"/>
                    </w:rPr>
                    <w:t xml:space="preserve">量 </w:t>
                  </w:r>
                  <w:r>
                    <w:rPr>
                      <w:bCs/>
                      <w:color w:val="auto"/>
                      <w:szCs w:val="21"/>
                    </w:rPr>
                    <w:t>t/a</w:t>
                  </w:r>
                </w:p>
              </w:tc>
              <w:tc>
                <w:tcPr>
                  <w:tcW w:w="1765" w:type="dxa"/>
                  <w:vAlign w:val="center"/>
                </w:tcPr>
                <w:p w14:paraId="485A4D33">
                  <w:pPr>
                    <w:widowControl/>
                    <w:jc w:val="center"/>
                    <w:rPr>
                      <w:bCs/>
                      <w:color w:val="auto"/>
                      <w:szCs w:val="21"/>
                    </w:rPr>
                  </w:pPr>
                  <w:r>
                    <w:rPr>
                      <w:rFonts w:hint="eastAsia"/>
                      <w:bCs/>
                      <w:color w:val="auto"/>
                      <w:szCs w:val="21"/>
                    </w:rPr>
                    <w:t>治理措施</w:t>
                  </w:r>
                </w:p>
              </w:tc>
              <w:tc>
                <w:tcPr>
                  <w:tcW w:w="775" w:type="dxa"/>
                  <w:vAlign w:val="center"/>
                </w:tcPr>
                <w:p w14:paraId="06A9ED44">
                  <w:pPr>
                    <w:widowControl/>
                    <w:jc w:val="center"/>
                    <w:rPr>
                      <w:bCs/>
                      <w:color w:val="auto"/>
                      <w:szCs w:val="21"/>
                    </w:rPr>
                  </w:pPr>
                  <w:r>
                    <w:rPr>
                      <w:rFonts w:hint="eastAsia"/>
                      <w:bCs/>
                      <w:color w:val="auto"/>
                      <w:szCs w:val="21"/>
                    </w:rPr>
                    <w:t>排放</w:t>
                  </w:r>
                </w:p>
                <w:p w14:paraId="495C12C0">
                  <w:pPr>
                    <w:widowControl/>
                    <w:jc w:val="center"/>
                    <w:rPr>
                      <w:bCs/>
                      <w:color w:val="auto"/>
                      <w:szCs w:val="21"/>
                    </w:rPr>
                  </w:pPr>
                  <w:r>
                    <w:rPr>
                      <w:rFonts w:hint="eastAsia"/>
                      <w:bCs/>
                      <w:color w:val="auto"/>
                      <w:szCs w:val="21"/>
                    </w:rPr>
                    <w:t>浓度</w:t>
                  </w:r>
                </w:p>
                <w:p w14:paraId="7D102D01">
                  <w:pPr>
                    <w:widowControl/>
                    <w:jc w:val="center"/>
                    <w:rPr>
                      <w:bCs/>
                      <w:color w:val="auto"/>
                      <w:szCs w:val="21"/>
                    </w:rPr>
                  </w:pPr>
                  <w:r>
                    <w:rPr>
                      <w:bCs/>
                      <w:color w:val="auto"/>
                      <w:szCs w:val="21"/>
                    </w:rPr>
                    <w:t>mg/m</w:t>
                  </w:r>
                  <w:r>
                    <w:rPr>
                      <w:rFonts w:hint="eastAsia"/>
                      <w:bCs/>
                      <w:color w:val="auto"/>
                      <w:szCs w:val="21"/>
                      <w:vertAlign w:val="superscript"/>
                    </w:rPr>
                    <w:t>3</w:t>
                  </w:r>
                </w:p>
              </w:tc>
              <w:tc>
                <w:tcPr>
                  <w:tcW w:w="689" w:type="dxa"/>
                  <w:vAlign w:val="center"/>
                </w:tcPr>
                <w:p w14:paraId="2A002BB0">
                  <w:pPr>
                    <w:widowControl/>
                    <w:jc w:val="center"/>
                    <w:rPr>
                      <w:bCs/>
                      <w:color w:val="auto"/>
                      <w:szCs w:val="21"/>
                    </w:rPr>
                  </w:pPr>
                  <w:r>
                    <w:rPr>
                      <w:rFonts w:hint="eastAsia"/>
                      <w:bCs/>
                      <w:color w:val="auto"/>
                      <w:szCs w:val="21"/>
                    </w:rPr>
                    <w:t>排放</w:t>
                  </w:r>
                </w:p>
                <w:p w14:paraId="593A7523">
                  <w:pPr>
                    <w:widowControl/>
                    <w:jc w:val="center"/>
                    <w:rPr>
                      <w:bCs/>
                      <w:color w:val="auto"/>
                      <w:szCs w:val="21"/>
                    </w:rPr>
                  </w:pPr>
                  <w:r>
                    <w:rPr>
                      <w:rFonts w:hint="eastAsia"/>
                      <w:bCs/>
                      <w:color w:val="auto"/>
                      <w:szCs w:val="21"/>
                    </w:rPr>
                    <w:t>速率</w:t>
                  </w:r>
                </w:p>
                <w:p w14:paraId="39210E5C">
                  <w:pPr>
                    <w:widowControl/>
                    <w:jc w:val="center"/>
                    <w:rPr>
                      <w:bCs/>
                      <w:color w:val="auto"/>
                      <w:szCs w:val="21"/>
                    </w:rPr>
                  </w:pPr>
                  <w:r>
                    <w:rPr>
                      <w:bCs/>
                      <w:color w:val="auto"/>
                      <w:szCs w:val="21"/>
                    </w:rPr>
                    <w:t>kg/h</w:t>
                  </w:r>
                </w:p>
              </w:tc>
              <w:tc>
                <w:tcPr>
                  <w:tcW w:w="693" w:type="dxa"/>
                  <w:vAlign w:val="center"/>
                </w:tcPr>
                <w:p w14:paraId="7167EFFE">
                  <w:pPr>
                    <w:widowControl/>
                    <w:jc w:val="center"/>
                    <w:rPr>
                      <w:bCs/>
                      <w:color w:val="auto"/>
                      <w:szCs w:val="21"/>
                    </w:rPr>
                  </w:pPr>
                  <w:r>
                    <w:rPr>
                      <w:rFonts w:hint="eastAsia"/>
                      <w:bCs/>
                      <w:color w:val="auto"/>
                      <w:szCs w:val="21"/>
                    </w:rPr>
                    <w:t>排放</w:t>
                  </w:r>
                </w:p>
                <w:p w14:paraId="48F69B2C">
                  <w:pPr>
                    <w:widowControl/>
                    <w:jc w:val="center"/>
                    <w:rPr>
                      <w:bCs/>
                      <w:color w:val="auto"/>
                      <w:szCs w:val="21"/>
                    </w:rPr>
                  </w:pPr>
                  <w:r>
                    <w:rPr>
                      <w:rFonts w:hint="eastAsia"/>
                      <w:bCs/>
                      <w:color w:val="auto"/>
                      <w:szCs w:val="21"/>
                    </w:rPr>
                    <w:t>量</w:t>
                  </w:r>
                  <w:r>
                    <w:rPr>
                      <w:bCs/>
                      <w:color w:val="auto"/>
                      <w:szCs w:val="21"/>
                    </w:rPr>
                    <w:t>t/a</w:t>
                  </w:r>
                </w:p>
              </w:tc>
              <w:tc>
                <w:tcPr>
                  <w:tcW w:w="683" w:type="dxa"/>
                  <w:vAlign w:val="center"/>
                </w:tcPr>
                <w:p w14:paraId="1A79D9CC">
                  <w:pPr>
                    <w:widowControl/>
                    <w:jc w:val="center"/>
                    <w:rPr>
                      <w:bCs/>
                      <w:color w:val="auto"/>
                      <w:szCs w:val="21"/>
                    </w:rPr>
                  </w:pPr>
                  <w:r>
                    <w:rPr>
                      <w:rFonts w:hint="eastAsia"/>
                      <w:bCs/>
                      <w:color w:val="auto"/>
                      <w:szCs w:val="21"/>
                    </w:rPr>
                    <w:t>排放 情况</w:t>
                  </w:r>
                </w:p>
              </w:tc>
            </w:tr>
            <w:tr w14:paraId="6C25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71" w:type="dxa"/>
                  <w:vAlign w:val="center"/>
                </w:tcPr>
                <w:p w14:paraId="7B88BAB2">
                  <w:pPr>
                    <w:snapToGrid w:val="0"/>
                    <w:jc w:val="center"/>
                    <w:rPr>
                      <w:bCs/>
                      <w:color w:val="auto"/>
                      <w:szCs w:val="21"/>
                    </w:rPr>
                  </w:pPr>
                  <w:r>
                    <w:rPr>
                      <w:rFonts w:hint="eastAsia"/>
                      <w:bCs/>
                      <w:color w:val="auto"/>
                      <w:szCs w:val="21"/>
                    </w:rPr>
                    <w:t>运输扬尘G1</w:t>
                  </w:r>
                </w:p>
              </w:tc>
              <w:tc>
                <w:tcPr>
                  <w:tcW w:w="394" w:type="dxa"/>
                  <w:vMerge w:val="restart"/>
                  <w:vAlign w:val="center"/>
                </w:tcPr>
                <w:p w14:paraId="62D2F9E1">
                  <w:pPr>
                    <w:snapToGrid w:val="0"/>
                    <w:jc w:val="center"/>
                    <w:rPr>
                      <w:bCs/>
                      <w:color w:val="auto"/>
                      <w:szCs w:val="21"/>
                    </w:rPr>
                  </w:pPr>
                  <w:r>
                    <w:rPr>
                      <w:rFonts w:hint="eastAsia"/>
                      <w:bCs/>
                      <w:color w:val="auto"/>
                      <w:szCs w:val="21"/>
                    </w:rPr>
                    <w:t>无组织颗粒物</w:t>
                  </w:r>
                </w:p>
              </w:tc>
              <w:tc>
                <w:tcPr>
                  <w:tcW w:w="795" w:type="dxa"/>
                  <w:vAlign w:val="center"/>
                </w:tcPr>
                <w:p w14:paraId="298F22FB">
                  <w:pPr>
                    <w:snapToGrid w:val="0"/>
                    <w:jc w:val="center"/>
                    <w:rPr>
                      <w:bCs/>
                      <w:color w:val="auto"/>
                      <w:szCs w:val="21"/>
                    </w:rPr>
                  </w:pPr>
                  <w:r>
                    <w:rPr>
                      <w:rFonts w:hint="eastAsia"/>
                      <w:bCs/>
                      <w:color w:val="auto"/>
                      <w:szCs w:val="21"/>
                    </w:rPr>
                    <w:t>/</w:t>
                  </w:r>
                </w:p>
              </w:tc>
              <w:tc>
                <w:tcPr>
                  <w:tcW w:w="720" w:type="dxa"/>
                  <w:vAlign w:val="center"/>
                </w:tcPr>
                <w:p w14:paraId="2881FD52">
                  <w:pPr>
                    <w:snapToGrid w:val="0"/>
                    <w:jc w:val="center"/>
                    <w:rPr>
                      <w:rFonts w:hint="default" w:eastAsia="宋体"/>
                      <w:bCs/>
                      <w:color w:val="auto"/>
                      <w:szCs w:val="21"/>
                      <w:lang w:val="en-US" w:eastAsia="zh-CN"/>
                    </w:rPr>
                  </w:pPr>
                  <w:r>
                    <w:rPr>
                      <w:rFonts w:hint="eastAsia"/>
                      <w:bCs/>
                      <w:color w:val="auto"/>
                      <w:szCs w:val="21"/>
                      <w:lang w:val="en-US" w:eastAsia="zh-CN"/>
                    </w:rPr>
                    <w:t>1.33</w:t>
                  </w:r>
                </w:p>
              </w:tc>
              <w:tc>
                <w:tcPr>
                  <w:tcW w:w="825" w:type="dxa"/>
                  <w:vAlign w:val="center"/>
                </w:tcPr>
                <w:p w14:paraId="77569AF7">
                  <w:pPr>
                    <w:snapToGrid w:val="0"/>
                    <w:jc w:val="center"/>
                    <w:rPr>
                      <w:rFonts w:hint="default" w:eastAsia="宋体"/>
                      <w:bCs/>
                      <w:color w:val="auto"/>
                      <w:szCs w:val="21"/>
                      <w:lang w:val="en-US" w:eastAsia="zh-CN"/>
                    </w:rPr>
                  </w:pPr>
                  <w:r>
                    <w:rPr>
                      <w:rFonts w:hint="eastAsia"/>
                      <w:bCs/>
                      <w:color w:val="auto"/>
                      <w:szCs w:val="21"/>
                      <w:lang w:val="en-US" w:eastAsia="zh-CN"/>
                    </w:rPr>
                    <w:t>0.166</w:t>
                  </w:r>
                </w:p>
              </w:tc>
              <w:tc>
                <w:tcPr>
                  <w:tcW w:w="1765" w:type="dxa"/>
                  <w:vAlign w:val="center"/>
                </w:tcPr>
                <w:p w14:paraId="08689B03">
                  <w:pPr>
                    <w:snapToGrid w:val="0"/>
                    <w:jc w:val="center"/>
                    <w:rPr>
                      <w:bCs/>
                      <w:color w:val="auto"/>
                      <w:szCs w:val="21"/>
                    </w:rPr>
                  </w:pPr>
                  <w:r>
                    <w:rPr>
                      <w:rFonts w:hint="eastAsia"/>
                      <w:bCs/>
                      <w:color w:val="auto"/>
                      <w:szCs w:val="21"/>
                    </w:rPr>
                    <w:t>道路硬化+及时清扫+洒水降尘</w:t>
                  </w:r>
                </w:p>
              </w:tc>
              <w:tc>
                <w:tcPr>
                  <w:tcW w:w="775" w:type="dxa"/>
                  <w:vAlign w:val="center"/>
                </w:tcPr>
                <w:p w14:paraId="04DC7557">
                  <w:pPr>
                    <w:snapToGrid w:val="0"/>
                    <w:jc w:val="center"/>
                    <w:rPr>
                      <w:bCs/>
                      <w:color w:val="auto"/>
                      <w:szCs w:val="21"/>
                    </w:rPr>
                  </w:pPr>
                  <w:r>
                    <w:rPr>
                      <w:rFonts w:hint="eastAsia"/>
                      <w:bCs/>
                      <w:color w:val="auto"/>
                      <w:szCs w:val="21"/>
                    </w:rPr>
                    <w:t>/</w:t>
                  </w:r>
                </w:p>
              </w:tc>
              <w:tc>
                <w:tcPr>
                  <w:tcW w:w="689" w:type="dxa"/>
                  <w:vAlign w:val="center"/>
                </w:tcPr>
                <w:p w14:paraId="1BDB13B5">
                  <w:pPr>
                    <w:snapToGrid w:val="0"/>
                    <w:jc w:val="center"/>
                    <w:rPr>
                      <w:rFonts w:hint="default" w:eastAsia="宋体"/>
                      <w:bCs/>
                      <w:color w:val="auto"/>
                      <w:szCs w:val="21"/>
                      <w:lang w:val="en-US" w:eastAsia="zh-CN"/>
                    </w:rPr>
                  </w:pPr>
                  <w:r>
                    <w:rPr>
                      <w:rFonts w:hint="eastAsia" w:eastAsia="宋体"/>
                      <w:bCs/>
                      <w:color w:val="auto"/>
                      <w:szCs w:val="21"/>
                      <w:lang w:val="en-US" w:eastAsia="zh-CN"/>
                    </w:rPr>
                    <w:t>0.0332</w:t>
                  </w:r>
                </w:p>
              </w:tc>
              <w:tc>
                <w:tcPr>
                  <w:tcW w:w="693" w:type="dxa"/>
                  <w:vAlign w:val="center"/>
                </w:tcPr>
                <w:p w14:paraId="0757680D">
                  <w:pPr>
                    <w:snapToGrid w:val="0"/>
                    <w:jc w:val="center"/>
                    <w:rPr>
                      <w:rFonts w:hint="default" w:eastAsia="宋体"/>
                      <w:bCs/>
                      <w:color w:val="auto"/>
                      <w:szCs w:val="21"/>
                      <w:lang w:val="en-US" w:eastAsia="zh-CN"/>
                    </w:rPr>
                  </w:pPr>
                  <w:r>
                    <w:rPr>
                      <w:rFonts w:hint="eastAsia"/>
                      <w:bCs/>
                      <w:color w:val="auto"/>
                      <w:szCs w:val="21"/>
                      <w:lang w:val="en-US" w:eastAsia="zh-CN"/>
                    </w:rPr>
                    <w:t>0.266</w:t>
                  </w:r>
                </w:p>
              </w:tc>
              <w:tc>
                <w:tcPr>
                  <w:tcW w:w="683" w:type="dxa"/>
                  <w:vAlign w:val="center"/>
                </w:tcPr>
                <w:p w14:paraId="00186186">
                  <w:pPr>
                    <w:snapToGrid w:val="0"/>
                    <w:jc w:val="center"/>
                    <w:rPr>
                      <w:bCs/>
                      <w:color w:val="auto"/>
                      <w:szCs w:val="21"/>
                    </w:rPr>
                  </w:pPr>
                  <w:r>
                    <w:rPr>
                      <w:rFonts w:hint="eastAsia"/>
                      <w:bCs/>
                      <w:color w:val="auto"/>
                      <w:szCs w:val="21"/>
                    </w:rPr>
                    <w:t>达标</w:t>
                  </w:r>
                </w:p>
              </w:tc>
            </w:tr>
            <w:tr w14:paraId="5407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71" w:type="dxa"/>
                  <w:vAlign w:val="center"/>
                </w:tcPr>
                <w:p w14:paraId="7EB7D5D6">
                  <w:pPr>
                    <w:snapToGrid w:val="0"/>
                    <w:jc w:val="center"/>
                    <w:rPr>
                      <w:color w:val="auto"/>
                      <w:kern w:val="0"/>
                      <w:szCs w:val="21"/>
                      <w:lang w:bidi="ar"/>
                    </w:rPr>
                  </w:pPr>
                  <w:r>
                    <w:rPr>
                      <w:color w:val="auto"/>
                      <w:kern w:val="0"/>
                      <w:szCs w:val="21"/>
                      <w:lang w:bidi="ar"/>
                    </w:rPr>
                    <w:t>卸料</w:t>
                  </w:r>
                </w:p>
                <w:p w14:paraId="4917AFD5">
                  <w:pPr>
                    <w:widowControl/>
                    <w:jc w:val="center"/>
                    <w:rPr>
                      <w:color w:val="auto"/>
                      <w:kern w:val="0"/>
                      <w:szCs w:val="21"/>
                      <w:lang w:bidi="ar"/>
                    </w:rPr>
                  </w:pPr>
                  <w:r>
                    <w:rPr>
                      <w:color w:val="auto"/>
                      <w:kern w:val="0"/>
                      <w:szCs w:val="21"/>
                      <w:lang w:bidi="ar"/>
                    </w:rPr>
                    <w:t>粉尘</w:t>
                  </w:r>
                  <w:r>
                    <w:rPr>
                      <w:rFonts w:hint="eastAsia"/>
                      <w:color w:val="auto"/>
                      <w:kern w:val="0"/>
                      <w:szCs w:val="21"/>
                      <w:lang w:bidi="ar"/>
                    </w:rPr>
                    <w:t>G2</w:t>
                  </w:r>
                </w:p>
              </w:tc>
              <w:tc>
                <w:tcPr>
                  <w:tcW w:w="394" w:type="dxa"/>
                  <w:vMerge w:val="continue"/>
                  <w:vAlign w:val="center"/>
                </w:tcPr>
                <w:p w14:paraId="26B55DE8">
                  <w:pPr>
                    <w:snapToGrid w:val="0"/>
                    <w:jc w:val="center"/>
                    <w:rPr>
                      <w:bCs/>
                      <w:color w:val="auto"/>
                      <w:szCs w:val="21"/>
                    </w:rPr>
                  </w:pPr>
                </w:p>
              </w:tc>
              <w:tc>
                <w:tcPr>
                  <w:tcW w:w="795" w:type="dxa"/>
                  <w:vAlign w:val="center"/>
                </w:tcPr>
                <w:p w14:paraId="15B1A1AE">
                  <w:pPr>
                    <w:snapToGrid w:val="0"/>
                    <w:jc w:val="center"/>
                    <w:rPr>
                      <w:bCs/>
                      <w:color w:val="auto"/>
                      <w:szCs w:val="21"/>
                    </w:rPr>
                  </w:pPr>
                  <w:r>
                    <w:rPr>
                      <w:rFonts w:hint="eastAsia"/>
                      <w:bCs/>
                      <w:color w:val="auto"/>
                      <w:szCs w:val="21"/>
                    </w:rPr>
                    <w:t>/</w:t>
                  </w:r>
                </w:p>
              </w:tc>
              <w:tc>
                <w:tcPr>
                  <w:tcW w:w="720" w:type="dxa"/>
                  <w:vAlign w:val="center"/>
                </w:tcPr>
                <w:p w14:paraId="0D8CC05E">
                  <w:pPr>
                    <w:snapToGrid w:val="0"/>
                    <w:jc w:val="center"/>
                    <w:rPr>
                      <w:rFonts w:hint="default" w:eastAsia="宋体"/>
                      <w:bCs/>
                      <w:color w:val="auto"/>
                      <w:szCs w:val="21"/>
                      <w:lang w:val="en-US" w:eastAsia="zh-CN"/>
                    </w:rPr>
                  </w:pPr>
                  <w:r>
                    <w:rPr>
                      <w:rFonts w:hint="eastAsia"/>
                      <w:bCs/>
                      <w:color w:val="auto"/>
                      <w:szCs w:val="21"/>
                      <w:lang w:val="en-US" w:eastAsia="zh-CN"/>
                    </w:rPr>
                    <w:t>0.57</w:t>
                  </w:r>
                </w:p>
              </w:tc>
              <w:tc>
                <w:tcPr>
                  <w:tcW w:w="825" w:type="dxa"/>
                  <w:vAlign w:val="center"/>
                </w:tcPr>
                <w:p w14:paraId="7F0FAC5F">
                  <w:pPr>
                    <w:snapToGrid w:val="0"/>
                    <w:jc w:val="center"/>
                    <w:rPr>
                      <w:bCs/>
                      <w:color w:val="auto"/>
                      <w:szCs w:val="21"/>
                    </w:rPr>
                  </w:pPr>
                  <w:r>
                    <w:rPr>
                      <w:rFonts w:hint="eastAsia"/>
                      <w:bCs/>
                      <w:color w:val="auto"/>
                      <w:szCs w:val="21"/>
                      <w:lang w:val="en-US" w:eastAsia="zh-CN"/>
                    </w:rPr>
                    <w:t>4.5636</w:t>
                  </w:r>
                </w:p>
              </w:tc>
              <w:tc>
                <w:tcPr>
                  <w:tcW w:w="1765" w:type="dxa"/>
                  <w:vAlign w:val="center"/>
                </w:tcPr>
                <w:p w14:paraId="72677A27">
                  <w:pPr>
                    <w:snapToGrid w:val="0"/>
                    <w:jc w:val="center"/>
                    <w:rPr>
                      <w:bCs/>
                      <w:color w:val="auto"/>
                      <w:szCs w:val="21"/>
                    </w:rPr>
                  </w:pPr>
                  <w:r>
                    <w:rPr>
                      <w:rFonts w:hint="eastAsia" w:ascii="Times New Roman" w:hAnsi="Times New Roman"/>
                      <w:color w:val="auto"/>
                    </w:rPr>
                    <w:t>采取封</w:t>
                  </w:r>
                  <w:r>
                    <w:rPr>
                      <w:rFonts w:hint="eastAsia" w:ascii="Times New Roman" w:hAnsi="Times New Roman"/>
                      <w:color w:val="auto"/>
                    </w:rPr>
                    <w:t>闭厂房措施</w:t>
                  </w:r>
                  <w:r>
                    <w:rPr>
                      <w:rFonts w:hint="eastAsia" w:ascii="Times New Roman" w:hAnsi="Times New Roman"/>
                      <w:color w:val="auto"/>
                      <w:lang w:eastAsia="zh-CN"/>
                    </w:rPr>
                    <w:t>、</w:t>
                  </w:r>
                  <w:r>
                    <w:rPr>
                      <w:rFonts w:hint="eastAsia" w:ascii="Times New Roman" w:hAnsi="Times New Roman" w:eastAsia="宋体" w:cs="Times New Roman"/>
                      <w:color w:val="auto"/>
                    </w:rPr>
                    <w:t>气力输送除灰系统</w:t>
                  </w:r>
                  <w:r>
                    <w:rPr>
                      <w:rFonts w:hint="eastAsia" w:ascii="Times New Roman" w:hAnsi="Times New Roman" w:eastAsia="宋体" w:cs="Times New Roman"/>
                      <w:color w:val="auto"/>
                      <w:lang w:val="en-US" w:eastAsia="zh-CN"/>
                    </w:rPr>
                    <w:t>和负压吸排罐车</w:t>
                  </w:r>
                </w:p>
              </w:tc>
              <w:tc>
                <w:tcPr>
                  <w:tcW w:w="775" w:type="dxa"/>
                  <w:vAlign w:val="center"/>
                </w:tcPr>
                <w:p w14:paraId="3944B8C0">
                  <w:pPr>
                    <w:snapToGrid w:val="0"/>
                    <w:jc w:val="center"/>
                    <w:rPr>
                      <w:bCs/>
                      <w:color w:val="auto"/>
                      <w:szCs w:val="21"/>
                    </w:rPr>
                  </w:pPr>
                  <w:r>
                    <w:rPr>
                      <w:rFonts w:hint="eastAsia"/>
                      <w:bCs/>
                      <w:color w:val="auto"/>
                      <w:szCs w:val="21"/>
                    </w:rPr>
                    <w:t>/</w:t>
                  </w:r>
                </w:p>
              </w:tc>
              <w:tc>
                <w:tcPr>
                  <w:tcW w:w="689" w:type="dxa"/>
                  <w:vAlign w:val="center"/>
                </w:tcPr>
                <w:p w14:paraId="480D253E">
                  <w:pPr>
                    <w:snapToGrid w:val="0"/>
                    <w:jc w:val="center"/>
                    <w:rPr>
                      <w:rFonts w:hint="default" w:eastAsia="宋体"/>
                      <w:bCs/>
                      <w:color w:val="auto"/>
                      <w:szCs w:val="21"/>
                      <w:lang w:val="en-US" w:eastAsia="zh-CN"/>
                    </w:rPr>
                  </w:pPr>
                  <w:r>
                    <w:rPr>
                      <w:rFonts w:hint="eastAsia"/>
                      <w:bCs/>
                      <w:color w:val="auto"/>
                      <w:szCs w:val="21"/>
                      <w:lang w:val="en-US" w:eastAsia="zh-CN"/>
                    </w:rPr>
                    <w:t>0.11</w:t>
                  </w:r>
                </w:p>
              </w:tc>
              <w:tc>
                <w:tcPr>
                  <w:tcW w:w="693" w:type="dxa"/>
                  <w:vAlign w:val="center"/>
                </w:tcPr>
                <w:p w14:paraId="7957A284">
                  <w:pPr>
                    <w:snapToGrid w:val="0"/>
                    <w:jc w:val="center"/>
                    <w:rPr>
                      <w:bCs/>
                      <w:color w:val="auto"/>
                      <w:szCs w:val="21"/>
                    </w:rPr>
                  </w:pPr>
                  <w:r>
                    <w:rPr>
                      <w:bCs/>
                      <w:color w:val="auto"/>
                      <w:szCs w:val="21"/>
                    </w:rPr>
                    <w:t>0.85</w:t>
                  </w:r>
                </w:p>
              </w:tc>
              <w:tc>
                <w:tcPr>
                  <w:tcW w:w="683" w:type="dxa"/>
                  <w:vAlign w:val="center"/>
                </w:tcPr>
                <w:p w14:paraId="6EBFF8D7">
                  <w:pPr>
                    <w:snapToGrid w:val="0"/>
                    <w:jc w:val="center"/>
                    <w:rPr>
                      <w:bCs/>
                      <w:color w:val="auto"/>
                      <w:szCs w:val="21"/>
                    </w:rPr>
                  </w:pPr>
                  <w:r>
                    <w:rPr>
                      <w:rFonts w:hint="eastAsia"/>
                      <w:bCs/>
                      <w:color w:val="auto"/>
                      <w:szCs w:val="21"/>
                    </w:rPr>
                    <w:t>达标</w:t>
                  </w:r>
                </w:p>
              </w:tc>
            </w:tr>
            <w:tr w14:paraId="5400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71" w:type="dxa"/>
                  <w:vAlign w:val="center"/>
                </w:tcPr>
                <w:p w14:paraId="566164ED">
                  <w:pPr>
                    <w:widowControl/>
                    <w:jc w:val="center"/>
                    <w:rPr>
                      <w:rFonts w:hint="eastAsia" w:eastAsia="宋体"/>
                      <w:color w:val="auto"/>
                      <w:kern w:val="0"/>
                      <w:szCs w:val="21"/>
                      <w:lang w:val="en-US" w:eastAsia="zh-CN" w:bidi="ar"/>
                    </w:rPr>
                  </w:pPr>
                  <w:r>
                    <w:rPr>
                      <w:rFonts w:hint="eastAsia"/>
                      <w:color w:val="auto"/>
                      <w:kern w:val="0"/>
                      <w:szCs w:val="21"/>
                      <w:lang w:val="en-US" w:eastAsia="zh-CN" w:bidi="ar"/>
                    </w:rPr>
                    <w:t>堆存粉尘</w:t>
                  </w:r>
                  <w:r>
                    <w:rPr>
                      <w:rFonts w:hint="eastAsia"/>
                      <w:color w:val="auto"/>
                      <w:kern w:val="0"/>
                      <w:szCs w:val="21"/>
                      <w:lang w:bidi="ar"/>
                    </w:rPr>
                    <w:t>G</w:t>
                  </w:r>
                  <w:r>
                    <w:rPr>
                      <w:rFonts w:hint="eastAsia"/>
                      <w:color w:val="auto"/>
                      <w:kern w:val="0"/>
                      <w:szCs w:val="21"/>
                      <w:lang w:val="en-US" w:eastAsia="zh-CN" w:bidi="ar"/>
                    </w:rPr>
                    <w:t>3</w:t>
                  </w:r>
                </w:p>
              </w:tc>
              <w:tc>
                <w:tcPr>
                  <w:tcW w:w="394" w:type="dxa"/>
                  <w:vMerge w:val="continue"/>
                  <w:vAlign w:val="center"/>
                </w:tcPr>
                <w:p w14:paraId="7661481E">
                  <w:pPr>
                    <w:snapToGrid w:val="0"/>
                    <w:jc w:val="center"/>
                    <w:rPr>
                      <w:bCs/>
                      <w:color w:val="auto"/>
                      <w:szCs w:val="21"/>
                    </w:rPr>
                  </w:pPr>
                </w:p>
              </w:tc>
              <w:tc>
                <w:tcPr>
                  <w:tcW w:w="795" w:type="dxa"/>
                  <w:shd w:val="clear" w:color="auto" w:fill="auto"/>
                  <w:vAlign w:val="center"/>
                </w:tcPr>
                <w:p w14:paraId="2997D855">
                  <w:pPr>
                    <w:snapToGrid w:val="0"/>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Cs w:val="21"/>
                    </w:rPr>
                    <w:t>/</w:t>
                  </w:r>
                </w:p>
              </w:tc>
              <w:tc>
                <w:tcPr>
                  <w:tcW w:w="720" w:type="dxa"/>
                  <w:vAlign w:val="center"/>
                </w:tcPr>
                <w:p w14:paraId="2951722B">
                  <w:pPr>
                    <w:snapToGrid w:val="0"/>
                    <w:jc w:val="center"/>
                    <w:rPr>
                      <w:rFonts w:hint="default" w:eastAsia="宋体"/>
                      <w:bCs/>
                      <w:color w:val="auto"/>
                      <w:szCs w:val="21"/>
                      <w:lang w:val="en-US" w:eastAsia="zh-CN"/>
                    </w:rPr>
                  </w:pPr>
                  <w:r>
                    <w:rPr>
                      <w:rFonts w:hint="eastAsia"/>
                      <w:bCs/>
                      <w:color w:val="auto"/>
                      <w:szCs w:val="21"/>
                      <w:lang w:val="en-US" w:eastAsia="zh-CN"/>
                    </w:rPr>
                    <w:t>0.19</w:t>
                  </w:r>
                </w:p>
              </w:tc>
              <w:tc>
                <w:tcPr>
                  <w:tcW w:w="825" w:type="dxa"/>
                  <w:vAlign w:val="center"/>
                </w:tcPr>
                <w:p w14:paraId="7DBBA243">
                  <w:pPr>
                    <w:snapToGrid w:val="0"/>
                    <w:jc w:val="center"/>
                    <w:rPr>
                      <w:rFonts w:hint="eastAsia"/>
                      <w:bCs/>
                      <w:color w:val="auto"/>
                      <w:szCs w:val="21"/>
                    </w:rPr>
                  </w:pPr>
                  <w:r>
                    <w:rPr>
                      <w:rFonts w:hint="eastAsia"/>
                      <w:bCs/>
                      <w:color w:val="auto"/>
                      <w:szCs w:val="21"/>
                      <w:lang w:val="en-US" w:eastAsia="zh-CN"/>
                    </w:rPr>
                    <w:t>1.53</w:t>
                  </w:r>
                </w:p>
              </w:tc>
              <w:tc>
                <w:tcPr>
                  <w:tcW w:w="1765" w:type="dxa"/>
                  <w:vAlign w:val="center"/>
                </w:tcPr>
                <w:p w14:paraId="4E60C829">
                  <w:pPr>
                    <w:snapToGrid w:val="0"/>
                    <w:jc w:val="center"/>
                    <w:rPr>
                      <w:bCs/>
                      <w:color w:val="auto"/>
                      <w:szCs w:val="21"/>
                    </w:rPr>
                  </w:pPr>
                  <w:r>
                    <w:rPr>
                      <w:bCs/>
                      <w:color w:val="auto"/>
                      <w:szCs w:val="21"/>
                    </w:rPr>
                    <w:t>封闭厂房+干雾抑尘器</w:t>
                  </w:r>
                </w:p>
              </w:tc>
              <w:tc>
                <w:tcPr>
                  <w:tcW w:w="775" w:type="dxa"/>
                  <w:shd w:val="clear" w:color="auto" w:fill="auto"/>
                  <w:vAlign w:val="center"/>
                </w:tcPr>
                <w:p w14:paraId="1CB6031B">
                  <w:pPr>
                    <w:snapToGrid w:val="0"/>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Cs w:val="21"/>
                    </w:rPr>
                    <w:t>/</w:t>
                  </w:r>
                </w:p>
              </w:tc>
              <w:tc>
                <w:tcPr>
                  <w:tcW w:w="689" w:type="dxa"/>
                  <w:vAlign w:val="center"/>
                </w:tcPr>
                <w:p w14:paraId="364C90E0">
                  <w:pPr>
                    <w:snapToGrid w:val="0"/>
                    <w:jc w:val="center"/>
                    <w:rPr>
                      <w:rFonts w:hint="default" w:eastAsia="宋体"/>
                      <w:bCs/>
                      <w:color w:val="auto"/>
                      <w:szCs w:val="21"/>
                      <w:lang w:val="en-US" w:eastAsia="zh-CN"/>
                    </w:rPr>
                  </w:pPr>
                  <w:r>
                    <w:rPr>
                      <w:rFonts w:hint="eastAsia"/>
                      <w:bCs/>
                      <w:color w:val="auto"/>
                      <w:szCs w:val="21"/>
                      <w:lang w:val="en-US" w:eastAsia="zh-CN"/>
                    </w:rPr>
                    <w:t>0.00019</w:t>
                  </w:r>
                </w:p>
              </w:tc>
              <w:tc>
                <w:tcPr>
                  <w:tcW w:w="693" w:type="dxa"/>
                  <w:vAlign w:val="center"/>
                </w:tcPr>
                <w:p w14:paraId="2DFAF83D">
                  <w:pPr>
                    <w:snapToGrid w:val="0"/>
                    <w:jc w:val="center"/>
                    <w:rPr>
                      <w:rFonts w:hint="eastAsia"/>
                      <w:bCs/>
                      <w:color w:val="auto"/>
                      <w:szCs w:val="21"/>
                    </w:rPr>
                  </w:pPr>
                  <w:r>
                    <w:rPr>
                      <w:rFonts w:hint="default"/>
                      <w:bCs/>
                      <w:color w:val="auto"/>
                      <w:szCs w:val="21"/>
                      <w:lang w:val="en-US" w:eastAsia="zh-CN"/>
                    </w:rPr>
                    <w:t>0.</w:t>
                  </w:r>
                  <w:r>
                    <w:rPr>
                      <w:rFonts w:hint="eastAsia"/>
                      <w:bCs/>
                      <w:color w:val="auto"/>
                      <w:szCs w:val="21"/>
                      <w:lang w:val="en-US" w:eastAsia="zh-CN"/>
                    </w:rPr>
                    <w:t>139</w:t>
                  </w:r>
                </w:p>
              </w:tc>
              <w:tc>
                <w:tcPr>
                  <w:tcW w:w="683" w:type="dxa"/>
                  <w:vAlign w:val="center"/>
                </w:tcPr>
                <w:p w14:paraId="7B894B39">
                  <w:pPr>
                    <w:snapToGrid w:val="0"/>
                    <w:jc w:val="center"/>
                    <w:rPr>
                      <w:rFonts w:hint="eastAsia"/>
                      <w:bCs/>
                      <w:color w:val="auto"/>
                      <w:szCs w:val="21"/>
                    </w:rPr>
                  </w:pPr>
                  <w:r>
                    <w:rPr>
                      <w:rFonts w:hint="eastAsia"/>
                      <w:bCs/>
                      <w:color w:val="auto"/>
                      <w:szCs w:val="21"/>
                    </w:rPr>
                    <w:t>达标</w:t>
                  </w:r>
                </w:p>
              </w:tc>
            </w:tr>
            <w:tr w14:paraId="7037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71" w:type="dxa"/>
                  <w:vAlign w:val="center"/>
                </w:tcPr>
                <w:p w14:paraId="055014EB">
                  <w:pPr>
                    <w:widowControl/>
                    <w:jc w:val="center"/>
                    <w:rPr>
                      <w:rFonts w:hint="eastAsia" w:eastAsia="宋体"/>
                      <w:color w:val="auto"/>
                      <w:kern w:val="0"/>
                      <w:szCs w:val="21"/>
                      <w:lang w:val="en-US" w:eastAsia="zh-CN" w:bidi="ar"/>
                    </w:rPr>
                  </w:pPr>
                  <w:r>
                    <w:rPr>
                      <w:rFonts w:hint="eastAsia"/>
                      <w:color w:val="auto"/>
                      <w:kern w:val="0"/>
                      <w:szCs w:val="21"/>
                      <w:lang w:val="en-US" w:eastAsia="zh-CN" w:bidi="ar"/>
                    </w:rPr>
                    <w:t>筒仓粉尘</w:t>
                  </w:r>
                  <w:r>
                    <w:rPr>
                      <w:rFonts w:hint="eastAsia"/>
                      <w:color w:val="auto"/>
                      <w:kern w:val="0"/>
                      <w:szCs w:val="21"/>
                      <w:lang w:bidi="ar"/>
                    </w:rPr>
                    <w:t>G</w:t>
                  </w:r>
                  <w:r>
                    <w:rPr>
                      <w:rFonts w:hint="eastAsia"/>
                      <w:color w:val="auto"/>
                      <w:kern w:val="0"/>
                      <w:szCs w:val="21"/>
                      <w:lang w:val="en-US" w:eastAsia="zh-CN" w:bidi="ar"/>
                    </w:rPr>
                    <w:t>4</w:t>
                  </w:r>
                </w:p>
              </w:tc>
              <w:tc>
                <w:tcPr>
                  <w:tcW w:w="394" w:type="dxa"/>
                  <w:vMerge w:val="continue"/>
                  <w:vAlign w:val="center"/>
                </w:tcPr>
                <w:p w14:paraId="2A13C51D">
                  <w:pPr>
                    <w:snapToGrid w:val="0"/>
                    <w:jc w:val="center"/>
                    <w:rPr>
                      <w:bCs/>
                      <w:color w:val="auto"/>
                      <w:szCs w:val="21"/>
                    </w:rPr>
                  </w:pPr>
                </w:p>
              </w:tc>
              <w:tc>
                <w:tcPr>
                  <w:tcW w:w="795" w:type="dxa"/>
                  <w:shd w:val="clear" w:color="auto" w:fill="auto"/>
                  <w:vAlign w:val="center"/>
                </w:tcPr>
                <w:p w14:paraId="725647FA">
                  <w:pPr>
                    <w:snapToGrid w:val="0"/>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Cs w:val="21"/>
                    </w:rPr>
                    <w:t>/</w:t>
                  </w:r>
                </w:p>
              </w:tc>
              <w:tc>
                <w:tcPr>
                  <w:tcW w:w="720" w:type="dxa"/>
                  <w:vAlign w:val="center"/>
                </w:tcPr>
                <w:p w14:paraId="79B9AC1A">
                  <w:pPr>
                    <w:snapToGrid w:val="0"/>
                    <w:jc w:val="center"/>
                    <w:rPr>
                      <w:rFonts w:hint="default" w:eastAsia="宋体"/>
                      <w:bCs/>
                      <w:color w:val="auto"/>
                      <w:szCs w:val="21"/>
                      <w:lang w:val="en-US" w:eastAsia="zh-CN"/>
                    </w:rPr>
                  </w:pPr>
                  <w:r>
                    <w:rPr>
                      <w:rFonts w:hint="eastAsia"/>
                      <w:bCs/>
                      <w:color w:val="auto"/>
                      <w:szCs w:val="21"/>
                      <w:lang w:val="en-US" w:eastAsia="zh-CN"/>
                    </w:rPr>
                    <w:t>1.74</w:t>
                  </w:r>
                </w:p>
              </w:tc>
              <w:tc>
                <w:tcPr>
                  <w:tcW w:w="825" w:type="dxa"/>
                  <w:vAlign w:val="center"/>
                </w:tcPr>
                <w:p w14:paraId="39D53325">
                  <w:pPr>
                    <w:snapToGrid w:val="0"/>
                    <w:jc w:val="center"/>
                    <w:rPr>
                      <w:rFonts w:hint="eastAsia"/>
                      <w:bCs/>
                      <w:color w:val="auto"/>
                      <w:szCs w:val="21"/>
                    </w:rPr>
                  </w:pPr>
                  <w:r>
                    <w:rPr>
                      <w:rFonts w:hint="eastAsia"/>
                      <w:bCs/>
                      <w:color w:val="auto"/>
                      <w:szCs w:val="21"/>
                      <w:lang w:val="en-US" w:eastAsia="zh-CN"/>
                    </w:rPr>
                    <w:t>13.896</w:t>
                  </w:r>
                </w:p>
              </w:tc>
              <w:tc>
                <w:tcPr>
                  <w:tcW w:w="1765" w:type="dxa"/>
                  <w:vAlign w:val="center"/>
                </w:tcPr>
                <w:p w14:paraId="7DA88709">
                  <w:pPr>
                    <w:snapToGrid w:val="0"/>
                    <w:jc w:val="center"/>
                    <w:rPr>
                      <w:bCs/>
                      <w:color w:val="auto"/>
                      <w:szCs w:val="21"/>
                    </w:rPr>
                  </w:pPr>
                  <w:r>
                    <w:rPr>
                      <w:rFonts w:hint="default"/>
                      <w:bCs/>
                      <w:color w:val="auto"/>
                      <w:szCs w:val="21"/>
                      <w:lang w:val="en-US" w:eastAsia="zh-CN"/>
                    </w:rPr>
                    <w:t>仓</w:t>
                  </w:r>
                  <w:r>
                    <w:rPr>
                      <w:rFonts w:hint="default"/>
                      <w:bCs/>
                      <w:color w:val="auto"/>
                      <w:szCs w:val="21"/>
                    </w:rPr>
                    <w:t>顶</w:t>
                  </w:r>
                  <w:r>
                    <w:rPr>
                      <w:rFonts w:hint="eastAsia"/>
                      <w:bCs/>
                      <w:color w:val="auto"/>
                      <w:szCs w:val="21"/>
                      <w:lang w:val="en-US" w:eastAsia="zh-CN"/>
                    </w:rPr>
                    <w:t>设置</w:t>
                  </w:r>
                  <w:r>
                    <w:rPr>
                      <w:rFonts w:hint="default"/>
                      <w:bCs/>
                      <w:color w:val="auto"/>
                      <w:szCs w:val="21"/>
                    </w:rPr>
                    <w:t>布袋除尘器</w:t>
                  </w:r>
                  <w:r>
                    <w:rPr>
                      <w:rFonts w:hint="default"/>
                      <w:bCs/>
                      <w:color w:val="auto"/>
                      <w:szCs w:val="21"/>
                      <w:lang w:eastAsia="zh-CN"/>
                    </w:rPr>
                    <w:t>，</w:t>
                  </w:r>
                  <w:r>
                    <w:rPr>
                      <w:bCs/>
                      <w:color w:val="auto"/>
                      <w:szCs w:val="21"/>
                    </w:rPr>
                    <w:t>车间内无组织</w:t>
                  </w:r>
                  <w:r>
                    <w:rPr>
                      <w:rFonts w:hint="eastAsia"/>
                      <w:bCs/>
                      <w:color w:val="auto"/>
                      <w:szCs w:val="21"/>
                      <w:lang w:val="en-US" w:eastAsia="zh-CN"/>
                    </w:rPr>
                    <w:t>排放。</w:t>
                  </w:r>
                </w:p>
              </w:tc>
              <w:tc>
                <w:tcPr>
                  <w:tcW w:w="775" w:type="dxa"/>
                  <w:shd w:val="clear" w:color="auto" w:fill="auto"/>
                  <w:vAlign w:val="center"/>
                </w:tcPr>
                <w:p w14:paraId="55FD208F">
                  <w:pPr>
                    <w:snapToGrid w:val="0"/>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Cs w:val="21"/>
                    </w:rPr>
                    <w:t>/</w:t>
                  </w:r>
                </w:p>
              </w:tc>
              <w:tc>
                <w:tcPr>
                  <w:tcW w:w="689" w:type="dxa"/>
                  <w:vAlign w:val="center"/>
                </w:tcPr>
                <w:p w14:paraId="3540D19C">
                  <w:pPr>
                    <w:snapToGrid w:val="0"/>
                    <w:jc w:val="center"/>
                    <w:rPr>
                      <w:rFonts w:hint="default" w:eastAsia="宋体"/>
                      <w:bCs/>
                      <w:color w:val="auto"/>
                      <w:szCs w:val="21"/>
                      <w:lang w:val="en-US" w:eastAsia="zh-CN"/>
                    </w:rPr>
                  </w:pPr>
                  <w:r>
                    <w:rPr>
                      <w:rFonts w:hint="eastAsia"/>
                      <w:bCs/>
                      <w:color w:val="auto"/>
                      <w:szCs w:val="21"/>
                      <w:lang w:val="en-US" w:eastAsia="zh-CN"/>
                    </w:rPr>
                    <w:t>0.017</w:t>
                  </w:r>
                </w:p>
              </w:tc>
              <w:tc>
                <w:tcPr>
                  <w:tcW w:w="693" w:type="dxa"/>
                  <w:vAlign w:val="center"/>
                </w:tcPr>
                <w:p w14:paraId="29191926">
                  <w:pPr>
                    <w:snapToGrid w:val="0"/>
                    <w:jc w:val="center"/>
                    <w:rPr>
                      <w:rFonts w:hint="eastAsia"/>
                      <w:bCs/>
                      <w:color w:val="auto"/>
                      <w:szCs w:val="21"/>
                    </w:rPr>
                  </w:pPr>
                  <w:r>
                    <w:rPr>
                      <w:rFonts w:hint="eastAsia"/>
                      <w:bCs/>
                      <w:color w:val="auto"/>
                      <w:szCs w:val="21"/>
                      <w:lang w:val="en-US" w:eastAsia="zh-CN"/>
                    </w:rPr>
                    <w:t>0.0153</w:t>
                  </w:r>
                </w:p>
              </w:tc>
              <w:tc>
                <w:tcPr>
                  <w:tcW w:w="683" w:type="dxa"/>
                  <w:vAlign w:val="center"/>
                </w:tcPr>
                <w:p w14:paraId="5BB9D4D9">
                  <w:pPr>
                    <w:snapToGrid w:val="0"/>
                    <w:jc w:val="center"/>
                    <w:rPr>
                      <w:rFonts w:hint="eastAsia"/>
                      <w:bCs/>
                      <w:color w:val="auto"/>
                      <w:szCs w:val="21"/>
                    </w:rPr>
                  </w:pPr>
                  <w:r>
                    <w:rPr>
                      <w:rFonts w:hint="eastAsia"/>
                      <w:bCs/>
                      <w:color w:val="auto"/>
                      <w:szCs w:val="21"/>
                    </w:rPr>
                    <w:t>达标</w:t>
                  </w:r>
                </w:p>
              </w:tc>
            </w:tr>
            <w:tr w14:paraId="1226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71" w:type="dxa"/>
                  <w:vAlign w:val="center"/>
                </w:tcPr>
                <w:p w14:paraId="5913536F">
                  <w:pPr>
                    <w:widowControl/>
                    <w:jc w:val="center"/>
                    <w:rPr>
                      <w:color w:val="auto"/>
                      <w:kern w:val="0"/>
                      <w:szCs w:val="21"/>
                      <w:lang w:bidi="ar"/>
                    </w:rPr>
                  </w:pPr>
                  <w:r>
                    <w:rPr>
                      <w:color w:val="auto"/>
                      <w:kern w:val="0"/>
                      <w:szCs w:val="21"/>
                      <w:lang w:bidi="ar"/>
                    </w:rPr>
                    <w:t>未被</w:t>
                  </w:r>
                </w:p>
                <w:p w14:paraId="596A03A8">
                  <w:pPr>
                    <w:widowControl/>
                    <w:jc w:val="center"/>
                    <w:rPr>
                      <w:rFonts w:hint="eastAsia" w:eastAsia="宋体"/>
                      <w:bCs/>
                      <w:color w:val="auto"/>
                      <w:szCs w:val="21"/>
                      <w:lang w:eastAsia="zh-CN"/>
                    </w:rPr>
                  </w:pPr>
                  <w:r>
                    <w:rPr>
                      <w:color w:val="auto"/>
                      <w:kern w:val="0"/>
                      <w:szCs w:val="21"/>
                      <w:lang w:bidi="ar"/>
                    </w:rPr>
                    <w:t>收集的</w:t>
                  </w:r>
                  <w:r>
                    <w:rPr>
                      <w:rFonts w:hint="eastAsia" w:ascii="Times New Roman" w:hAnsi="Times New Roman"/>
                      <w:color w:val="auto"/>
                      <w:lang w:val="en-US" w:eastAsia="zh-CN"/>
                    </w:rPr>
                    <w:t>上料粉尘</w:t>
                  </w:r>
                </w:p>
              </w:tc>
              <w:tc>
                <w:tcPr>
                  <w:tcW w:w="394" w:type="dxa"/>
                  <w:vMerge w:val="continue"/>
                  <w:vAlign w:val="center"/>
                </w:tcPr>
                <w:p w14:paraId="166286AB">
                  <w:pPr>
                    <w:snapToGrid w:val="0"/>
                    <w:jc w:val="center"/>
                    <w:rPr>
                      <w:bCs/>
                      <w:color w:val="auto"/>
                      <w:szCs w:val="21"/>
                    </w:rPr>
                  </w:pPr>
                </w:p>
              </w:tc>
              <w:tc>
                <w:tcPr>
                  <w:tcW w:w="795" w:type="dxa"/>
                  <w:vAlign w:val="center"/>
                </w:tcPr>
                <w:p w14:paraId="79D9EF31">
                  <w:pPr>
                    <w:snapToGrid w:val="0"/>
                    <w:jc w:val="center"/>
                    <w:rPr>
                      <w:bCs/>
                      <w:color w:val="auto"/>
                      <w:szCs w:val="21"/>
                    </w:rPr>
                  </w:pPr>
                  <w:r>
                    <w:rPr>
                      <w:rFonts w:hint="eastAsia"/>
                      <w:bCs/>
                      <w:color w:val="auto"/>
                      <w:szCs w:val="21"/>
                    </w:rPr>
                    <w:t>/</w:t>
                  </w:r>
                </w:p>
              </w:tc>
              <w:tc>
                <w:tcPr>
                  <w:tcW w:w="720" w:type="dxa"/>
                  <w:vAlign w:val="center"/>
                </w:tcPr>
                <w:p w14:paraId="2FAFEFB9">
                  <w:pPr>
                    <w:snapToGrid w:val="0"/>
                    <w:jc w:val="center"/>
                    <w:rPr>
                      <w:rFonts w:hint="default" w:eastAsia="宋体"/>
                      <w:bCs/>
                      <w:color w:val="auto"/>
                      <w:szCs w:val="21"/>
                      <w:lang w:val="en-US" w:eastAsia="zh-CN"/>
                    </w:rPr>
                  </w:pPr>
                  <w:r>
                    <w:rPr>
                      <w:rFonts w:hint="eastAsia"/>
                      <w:bCs/>
                      <w:color w:val="auto"/>
                      <w:szCs w:val="21"/>
                      <w:lang w:val="en-US" w:eastAsia="zh-CN"/>
                    </w:rPr>
                    <w:t>0.0571</w:t>
                  </w:r>
                </w:p>
              </w:tc>
              <w:tc>
                <w:tcPr>
                  <w:tcW w:w="825" w:type="dxa"/>
                  <w:vAlign w:val="center"/>
                </w:tcPr>
                <w:p w14:paraId="1BC2CC9B">
                  <w:pPr>
                    <w:snapToGrid w:val="0"/>
                    <w:jc w:val="center"/>
                    <w:rPr>
                      <w:rFonts w:hint="default" w:eastAsia="宋体"/>
                      <w:bCs/>
                      <w:color w:val="auto"/>
                      <w:szCs w:val="21"/>
                      <w:lang w:val="en-US" w:eastAsia="zh-CN"/>
                    </w:rPr>
                  </w:pPr>
                  <w:r>
                    <w:rPr>
                      <w:rFonts w:hint="eastAsia"/>
                      <w:bCs/>
                      <w:color w:val="auto"/>
                      <w:szCs w:val="21"/>
                      <w:lang w:val="en-US" w:eastAsia="zh-CN"/>
                    </w:rPr>
                    <w:t>0.4564</w:t>
                  </w:r>
                </w:p>
              </w:tc>
              <w:tc>
                <w:tcPr>
                  <w:tcW w:w="1765" w:type="dxa"/>
                  <w:vMerge w:val="restart"/>
                  <w:vAlign w:val="center"/>
                </w:tcPr>
                <w:p w14:paraId="38EB627B">
                  <w:pPr>
                    <w:snapToGrid w:val="0"/>
                    <w:jc w:val="center"/>
                    <w:rPr>
                      <w:bCs/>
                      <w:color w:val="auto"/>
                      <w:szCs w:val="21"/>
                    </w:rPr>
                  </w:pPr>
                  <w:r>
                    <w:rPr>
                      <w:rFonts w:hint="eastAsia" w:ascii="宋体" w:hAnsi="宋体" w:cs="宋体"/>
                      <w:color w:val="auto"/>
                      <w:szCs w:val="21"/>
                    </w:rPr>
                    <w:t>原料仓库</w:t>
                  </w:r>
                  <w:r>
                    <w:rPr>
                      <w:bCs/>
                      <w:color w:val="auto"/>
                      <w:szCs w:val="21"/>
                    </w:rPr>
                    <w:t>干雾抑尘器</w:t>
                  </w:r>
                  <w:r>
                    <w:rPr>
                      <w:rFonts w:hint="eastAsia"/>
                      <w:bCs/>
                      <w:color w:val="auto"/>
                      <w:szCs w:val="21"/>
                      <w:lang w:val="en-US" w:eastAsia="zh-CN"/>
                    </w:rPr>
                    <w:t>洒水抑尘+</w:t>
                  </w:r>
                  <w:r>
                    <w:rPr>
                      <w:rFonts w:hint="eastAsia"/>
                      <w:bCs/>
                      <w:color w:val="auto"/>
                      <w:szCs w:val="21"/>
                    </w:rPr>
                    <w:t>封闭厂房</w:t>
                  </w:r>
                  <w:r>
                    <w:rPr>
                      <w:rFonts w:hint="eastAsia" w:ascii="宋体" w:hAnsi="宋体" w:cs="宋体"/>
                      <w:color w:val="auto"/>
                      <w:szCs w:val="21"/>
                      <w:lang w:eastAsia="zh-CN"/>
                    </w:rPr>
                    <w:t>；</w:t>
                  </w:r>
                  <w:r>
                    <w:rPr>
                      <w:rFonts w:hint="eastAsia" w:ascii="宋体" w:hAnsi="宋体" w:cs="宋体"/>
                      <w:color w:val="auto"/>
                      <w:szCs w:val="21"/>
                      <w:lang w:val="en-US" w:eastAsia="zh-CN"/>
                    </w:rPr>
                    <w:t>型焦</w:t>
                  </w:r>
                  <w:r>
                    <w:rPr>
                      <w:rFonts w:hint="eastAsia" w:ascii="宋体" w:hAnsi="宋体" w:cs="宋体"/>
                      <w:color w:val="auto"/>
                      <w:szCs w:val="21"/>
                    </w:rPr>
                    <w:t>生产车间</w:t>
                  </w:r>
                  <w:r>
                    <w:rPr>
                      <w:rFonts w:hint="eastAsia"/>
                      <w:bCs/>
                      <w:color w:val="auto"/>
                      <w:szCs w:val="21"/>
                      <w:lang w:val="en-US" w:eastAsia="zh-CN"/>
                    </w:rPr>
                    <w:t>洒水抑尘+</w:t>
                  </w:r>
                  <w:r>
                    <w:rPr>
                      <w:rFonts w:hint="eastAsia"/>
                      <w:bCs/>
                      <w:color w:val="auto"/>
                      <w:szCs w:val="21"/>
                    </w:rPr>
                    <w:t>封闭厂房</w:t>
                  </w:r>
                </w:p>
              </w:tc>
              <w:tc>
                <w:tcPr>
                  <w:tcW w:w="775" w:type="dxa"/>
                  <w:vAlign w:val="center"/>
                </w:tcPr>
                <w:p w14:paraId="4938594E">
                  <w:pPr>
                    <w:snapToGrid w:val="0"/>
                    <w:jc w:val="center"/>
                    <w:rPr>
                      <w:bCs/>
                      <w:color w:val="auto"/>
                      <w:szCs w:val="21"/>
                    </w:rPr>
                  </w:pPr>
                  <w:r>
                    <w:rPr>
                      <w:rFonts w:hint="eastAsia"/>
                      <w:bCs/>
                      <w:color w:val="auto"/>
                      <w:szCs w:val="21"/>
                    </w:rPr>
                    <w:t>/</w:t>
                  </w:r>
                </w:p>
              </w:tc>
              <w:tc>
                <w:tcPr>
                  <w:tcW w:w="689" w:type="dxa"/>
                  <w:vAlign w:val="center"/>
                </w:tcPr>
                <w:p w14:paraId="6E5C600B">
                  <w:pPr>
                    <w:snapToGrid w:val="0"/>
                    <w:jc w:val="center"/>
                    <w:rPr>
                      <w:rFonts w:hint="default" w:eastAsia="宋体"/>
                      <w:bCs/>
                      <w:color w:val="auto"/>
                      <w:szCs w:val="21"/>
                      <w:lang w:val="en-US" w:eastAsia="zh-CN"/>
                    </w:rPr>
                  </w:pPr>
                  <w:r>
                    <w:rPr>
                      <w:rFonts w:hint="eastAsia"/>
                      <w:color w:val="auto"/>
                      <w:kern w:val="0"/>
                      <w:sz w:val="21"/>
                      <w:szCs w:val="21"/>
                      <w:lang w:val="en-US" w:eastAsia="zh-CN" w:bidi="ar"/>
                    </w:rPr>
                    <w:t>0.571×10</w:t>
                  </w:r>
                  <w:r>
                    <w:rPr>
                      <w:rFonts w:hint="eastAsia"/>
                      <w:color w:val="auto"/>
                      <w:kern w:val="0"/>
                      <w:sz w:val="21"/>
                      <w:szCs w:val="21"/>
                      <w:vertAlign w:val="superscript"/>
                      <w:lang w:val="en-US" w:eastAsia="zh-CN" w:bidi="ar"/>
                    </w:rPr>
                    <w:t>-3</w:t>
                  </w:r>
                </w:p>
              </w:tc>
              <w:tc>
                <w:tcPr>
                  <w:tcW w:w="693" w:type="dxa"/>
                  <w:vAlign w:val="center"/>
                </w:tcPr>
                <w:p w14:paraId="01B82215">
                  <w:pPr>
                    <w:snapToGrid w:val="0"/>
                    <w:jc w:val="center"/>
                    <w:rPr>
                      <w:rFonts w:hint="default" w:eastAsia="宋体"/>
                      <w:bCs/>
                      <w:color w:val="auto"/>
                      <w:szCs w:val="21"/>
                      <w:lang w:val="en-US" w:eastAsia="zh-CN"/>
                    </w:rPr>
                  </w:pPr>
                  <w:r>
                    <w:rPr>
                      <w:rFonts w:hint="eastAsia"/>
                      <w:bCs/>
                      <w:color w:val="auto"/>
                      <w:szCs w:val="21"/>
                      <w:lang w:val="en-US" w:eastAsia="zh-CN"/>
                    </w:rPr>
                    <w:t>0.0046</w:t>
                  </w:r>
                </w:p>
              </w:tc>
              <w:tc>
                <w:tcPr>
                  <w:tcW w:w="683" w:type="dxa"/>
                  <w:vAlign w:val="center"/>
                </w:tcPr>
                <w:p w14:paraId="3679C62E">
                  <w:pPr>
                    <w:snapToGrid w:val="0"/>
                    <w:jc w:val="center"/>
                    <w:rPr>
                      <w:bCs/>
                      <w:color w:val="auto"/>
                      <w:szCs w:val="21"/>
                    </w:rPr>
                  </w:pPr>
                  <w:r>
                    <w:rPr>
                      <w:rFonts w:hint="eastAsia"/>
                      <w:bCs/>
                      <w:color w:val="auto"/>
                      <w:szCs w:val="21"/>
                    </w:rPr>
                    <w:t>达标</w:t>
                  </w:r>
                </w:p>
              </w:tc>
            </w:tr>
            <w:tr w14:paraId="50F1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71" w:type="dxa"/>
                  <w:vAlign w:val="center"/>
                </w:tcPr>
                <w:p w14:paraId="2E7B1277">
                  <w:pPr>
                    <w:widowControl/>
                    <w:jc w:val="center"/>
                    <w:rPr>
                      <w:color w:val="auto"/>
                      <w:kern w:val="0"/>
                      <w:szCs w:val="21"/>
                      <w:lang w:bidi="ar"/>
                    </w:rPr>
                  </w:pPr>
                  <w:r>
                    <w:rPr>
                      <w:color w:val="auto"/>
                      <w:kern w:val="0"/>
                      <w:szCs w:val="21"/>
                      <w:lang w:bidi="ar"/>
                    </w:rPr>
                    <w:t>未被</w:t>
                  </w:r>
                </w:p>
                <w:p w14:paraId="49ADF93D">
                  <w:pPr>
                    <w:widowControl/>
                    <w:jc w:val="center"/>
                    <w:rPr>
                      <w:color w:val="auto"/>
                      <w:kern w:val="0"/>
                      <w:szCs w:val="21"/>
                      <w:lang w:bidi="ar"/>
                    </w:rPr>
                  </w:pPr>
                  <w:r>
                    <w:rPr>
                      <w:color w:val="auto"/>
                      <w:kern w:val="0"/>
                      <w:szCs w:val="21"/>
                      <w:lang w:bidi="ar"/>
                    </w:rPr>
                    <w:t>收集的</w:t>
                  </w:r>
                  <w:r>
                    <w:rPr>
                      <w:rFonts w:hint="eastAsia"/>
                      <w:color w:val="auto"/>
                      <w:lang w:val="en-US" w:eastAsia="zh-CN"/>
                    </w:rPr>
                    <w:t>搅拌</w:t>
                  </w:r>
                  <w:r>
                    <w:rPr>
                      <w:rFonts w:hint="eastAsia" w:ascii="Times New Roman" w:hAnsi="Times New Roman"/>
                      <w:color w:val="auto"/>
                      <w:lang w:val="en-US" w:eastAsia="zh-CN"/>
                    </w:rPr>
                    <w:t>粉尘</w:t>
                  </w:r>
                </w:p>
              </w:tc>
              <w:tc>
                <w:tcPr>
                  <w:tcW w:w="394" w:type="dxa"/>
                  <w:vMerge w:val="continue"/>
                  <w:vAlign w:val="center"/>
                </w:tcPr>
                <w:p w14:paraId="3D295B0A">
                  <w:pPr>
                    <w:snapToGrid w:val="0"/>
                    <w:jc w:val="center"/>
                    <w:rPr>
                      <w:bCs/>
                      <w:color w:val="auto"/>
                      <w:szCs w:val="21"/>
                    </w:rPr>
                  </w:pPr>
                </w:p>
              </w:tc>
              <w:tc>
                <w:tcPr>
                  <w:tcW w:w="795" w:type="dxa"/>
                  <w:vAlign w:val="center"/>
                </w:tcPr>
                <w:p w14:paraId="371F892D">
                  <w:pPr>
                    <w:snapToGrid w:val="0"/>
                    <w:jc w:val="center"/>
                    <w:rPr>
                      <w:rFonts w:hint="eastAsia"/>
                      <w:bCs/>
                      <w:color w:val="auto"/>
                      <w:szCs w:val="21"/>
                    </w:rPr>
                  </w:pPr>
                  <w:r>
                    <w:rPr>
                      <w:rFonts w:hint="eastAsia"/>
                      <w:bCs/>
                      <w:color w:val="auto"/>
                      <w:szCs w:val="21"/>
                    </w:rPr>
                    <w:t>/</w:t>
                  </w:r>
                </w:p>
              </w:tc>
              <w:tc>
                <w:tcPr>
                  <w:tcW w:w="720" w:type="dxa"/>
                  <w:shd w:val="clear" w:color="auto" w:fill="auto"/>
                  <w:vAlign w:val="center"/>
                </w:tcPr>
                <w:p w14:paraId="053F7879">
                  <w:pPr>
                    <w:snapToGrid w:val="0"/>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Cs w:val="21"/>
                      <w:lang w:val="en-US" w:eastAsia="zh-CN"/>
                    </w:rPr>
                    <w:t>0.0571</w:t>
                  </w:r>
                </w:p>
              </w:tc>
              <w:tc>
                <w:tcPr>
                  <w:tcW w:w="825" w:type="dxa"/>
                  <w:shd w:val="clear" w:color="auto" w:fill="auto"/>
                  <w:vAlign w:val="center"/>
                </w:tcPr>
                <w:p w14:paraId="7BC6C81F">
                  <w:pPr>
                    <w:snapToGrid w:val="0"/>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Cs w:val="21"/>
                      <w:lang w:val="en-US" w:eastAsia="zh-CN"/>
                    </w:rPr>
                    <w:t>0.4564</w:t>
                  </w:r>
                </w:p>
              </w:tc>
              <w:tc>
                <w:tcPr>
                  <w:tcW w:w="1765" w:type="dxa"/>
                  <w:vMerge w:val="continue"/>
                  <w:vAlign w:val="center"/>
                </w:tcPr>
                <w:p w14:paraId="038CB693">
                  <w:pPr>
                    <w:snapToGrid w:val="0"/>
                    <w:jc w:val="center"/>
                    <w:rPr>
                      <w:rFonts w:hint="eastAsia"/>
                      <w:bCs/>
                      <w:color w:val="auto"/>
                      <w:szCs w:val="21"/>
                      <w:lang w:val="en-US" w:eastAsia="zh-CN"/>
                    </w:rPr>
                  </w:pPr>
                </w:p>
              </w:tc>
              <w:tc>
                <w:tcPr>
                  <w:tcW w:w="775" w:type="dxa"/>
                  <w:vAlign w:val="center"/>
                </w:tcPr>
                <w:p w14:paraId="535E89A2">
                  <w:pPr>
                    <w:snapToGrid w:val="0"/>
                    <w:jc w:val="center"/>
                    <w:rPr>
                      <w:rFonts w:hint="eastAsia"/>
                      <w:bCs/>
                      <w:color w:val="auto"/>
                      <w:szCs w:val="21"/>
                    </w:rPr>
                  </w:pPr>
                  <w:r>
                    <w:rPr>
                      <w:rFonts w:hint="eastAsia"/>
                      <w:bCs/>
                      <w:color w:val="auto"/>
                      <w:szCs w:val="21"/>
                    </w:rPr>
                    <w:t>/</w:t>
                  </w:r>
                </w:p>
              </w:tc>
              <w:tc>
                <w:tcPr>
                  <w:tcW w:w="689" w:type="dxa"/>
                  <w:shd w:val="clear" w:color="auto" w:fill="auto"/>
                  <w:vAlign w:val="center"/>
                </w:tcPr>
                <w:p w14:paraId="13E147B6">
                  <w:pPr>
                    <w:snapToGrid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0.0017</w:t>
                  </w:r>
                </w:p>
              </w:tc>
              <w:tc>
                <w:tcPr>
                  <w:tcW w:w="693" w:type="dxa"/>
                  <w:shd w:val="clear" w:color="auto" w:fill="auto"/>
                  <w:vAlign w:val="center"/>
                </w:tcPr>
                <w:p w14:paraId="63B30C02">
                  <w:pPr>
                    <w:snapToGrid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0.0137</w:t>
                  </w:r>
                </w:p>
              </w:tc>
              <w:tc>
                <w:tcPr>
                  <w:tcW w:w="683" w:type="dxa"/>
                  <w:shd w:val="clear" w:color="auto" w:fill="auto"/>
                  <w:vAlign w:val="center"/>
                </w:tcPr>
                <w:p w14:paraId="79A27D78">
                  <w:pPr>
                    <w:snapToGrid w:val="0"/>
                    <w:jc w:val="center"/>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达标</w:t>
                  </w:r>
                </w:p>
              </w:tc>
            </w:tr>
            <w:tr w14:paraId="5F28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71" w:type="dxa"/>
                  <w:vAlign w:val="center"/>
                </w:tcPr>
                <w:p w14:paraId="1046538D">
                  <w:pPr>
                    <w:widowControl/>
                    <w:jc w:val="center"/>
                    <w:rPr>
                      <w:color w:val="auto"/>
                      <w:kern w:val="0"/>
                      <w:szCs w:val="21"/>
                      <w:lang w:bidi="ar"/>
                    </w:rPr>
                  </w:pPr>
                  <w:r>
                    <w:rPr>
                      <w:color w:val="auto"/>
                      <w:kern w:val="0"/>
                      <w:szCs w:val="21"/>
                      <w:lang w:bidi="ar"/>
                    </w:rPr>
                    <w:t>未被</w:t>
                  </w:r>
                </w:p>
                <w:p w14:paraId="65CC0882">
                  <w:pPr>
                    <w:widowControl/>
                    <w:jc w:val="center"/>
                    <w:rPr>
                      <w:color w:val="auto"/>
                      <w:kern w:val="0"/>
                      <w:szCs w:val="21"/>
                      <w:lang w:bidi="ar"/>
                    </w:rPr>
                  </w:pPr>
                  <w:r>
                    <w:rPr>
                      <w:color w:val="auto"/>
                      <w:kern w:val="0"/>
                      <w:szCs w:val="21"/>
                      <w:lang w:bidi="ar"/>
                    </w:rPr>
                    <w:t>收集的</w:t>
                  </w:r>
                  <w:r>
                    <w:rPr>
                      <w:rFonts w:hint="eastAsia" w:ascii="Times New Roman" w:hAnsi="Times New Roman"/>
                      <w:color w:val="auto"/>
                      <w:lang w:val="en-US" w:eastAsia="zh-CN"/>
                    </w:rPr>
                    <w:t>筛分粉尘</w:t>
                  </w:r>
                </w:p>
              </w:tc>
              <w:tc>
                <w:tcPr>
                  <w:tcW w:w="394" w:type="dxa"/>
                  <w:vMerge w:val="continue"/>
                  <w:vAlign w:val="center"/>
                </w:tcPr>
                <w:p w14:paraId="425C2E8F">
                  <w:pPr>
                    <w:snapToGrid w:val="0"/>
                    <w:jc w:val="center"/>
                    <w:rPr>
                      <w:bCs/>
                      <w:color w:val="auto"/>
                      <w:szCs w:val="21"/>
                    </w:rPr>
                  </w:pPr>
                </w:p>
              </w:tc>
              <w:tc>
                <w:tcPr>
                  <w:tcW w:w="795" w:type="dxa"/>
                  <w:vAlign w:val="center"/>
                </w:tcPr>
                <w:p w14:paraId="5C452DD1">
                  <w:pPr>
                    <w:snapToGrid w:val="0"/>
                    <w:jc w:val="center"/>
                    <w:rPr>
                      <w:rFonts w:hint="eastAsia"/>
                      <w:bCs/>
                      <w:color w:val="auto"/>
                      <w:szCs w:val="21"/>
                    </w:rPr>
                  </w:pPr>
                  <w:r>
                    <w:rPr>
                      <w:rFonts w:hint="eastAsia"/>
                      <w:bCs/>
                      <w:color w:val="auto"/>
                      <w:szCs w:val="21"/>
                    </w:rPr>
                    <w:t>/</w:t>
                  </w:r>
                </w:p>
              </w:tc>
              <w:tc>
                <w:tcPr>
                  <w:tcW w:w="720" w:type="dxa"/>
                  <w:vAlign w:val="center"/>
                </w:tcPr>
                <w:p w14:paraId="63D4DE87">
                  <w:pPr>
                    <w:snapToGrid w:val="0"/>
                    <w:jc w:val="center"/>
                    <w:rPr>
                      <w:rFonts w:hint="default"/>
                      <w:bCs/>
                      <w:color w:val="auto"/>
                      <w:szCs w:val="21"/>
                      <w:lang w:val="en-US" w:eastAsia="zh-CN"/>
                    </w:rPr>
                  </w:pPr>
                  <w:r>
                    <w:rPr>
                      <w:rFonts w:hint="eastAsia"/>
                      <w:bCs/>
                      <w:color w:val="auto"/>
                      <w:szCs w:val="21"/>
                      <w:lang w:val="en-US" w:eastAsia="zh-CN"/>
                    </w:rPr>
                    <w:t>0.381</w:t>
                  </w:r>
                </w:p>
              </w:tc>
              <w:tc>
                <w:tcPr>
                  <w:tcW w:w="825" w:type="dxa"/>
                  <w:vAlign w:val="center"/>
                </w:tcPr>
                <w:p w14:paraId="0276A22B">
                  <w:pPr>
                    <w:snapToGrid w:val="0"/>
                    <w:jc w:val="center"/>
                    <w:rPr>
                      <w:rFonts w:hint="default"/>
                      <w:bCs/>
                      <w:color w:val="auto"/>
                      <w:szCs w:val="21"/>
                      <w:lang w:val="en-US" w:eastAsia="zh-CN"/>
                    </w:rPr>
                  </w:pPr>
                  <w:r>
                    <w:rPr>
                      <w:rFonts w:hint="eastAsia"/>
                      <w:bCs/>
                      <w:color w:val="auto"/>
                      <w:szCs w:val="21"/>
                      <w:lang w:val="en-US" w:eastAsia="zh-CN"/>
                    </w:rPr>
                    <w:t>3.044</w:t>
                  </w:r>
                </w:p>
              </w:tc>
              <w:tc>
                <w:tcPr>
                  <w:tcW w:w="1765" w:type="dxa"/>
                  <w:vMerge w:val="continue"/>
                  <w:vAlign w:val="center"/>
                </w:tcPr>
                <w:p w14:paraId="2CE2B919">
                  <w:pPr>
                    <w:snapToGrid w:val="0"/>
                    <w:jc w:val="center"/>
                    <w:rPr>
                      <w:rFonts w:hint="eastAsia"/>
                      <w:bCs/>
                      <w:color w:val="auto"/>
                      <w:szCs w:val="21"/>
                      <w:lang w:val="en-US" w:eastAsia="zh-CN"/>
                    </w:rPr>
                  </w:pPr>
                </w:p>
              </w:tc>
              <w:tc>
                <w:tcPr>
                  <w:tcW w:w="775" w:type="dxa"/>
                  <w:vAlign w:val="center"/>
                </w:tcPr>
                <w:p w14:paraId="2AAA0261">
                  <w:pPr>
                    <w:snapToGrid w:val="0"/>
                    <w:jc w:val="center"/>
                    <w:rPr>
                      <w:rFonts w:hint="eastAsia"/>
                      <w:bCs/>
                      <w:color w:val="auto"/>
                      <w:szCs w:val="21"/>
                    </w:rPr>
                  </w:pPr>
                  <w:r>
                    <w:rPr>
                      <w:rFonts w:hint="eastAsia"/>
                      <w:bCs/>
                      <w:color w:val="auto"/>
                      <w:szCs w:val="21"/>
                    </w:rPr>
                    <w:t>/</w:t>
                  </w:r>
                </w:p>
              </w:tc>
              <w:tc>
                <w:tcPr>
                  <w:tcW w:w="689" w:type="dxa"/>
                  <w:vAlign w:val="center"/>
                </w:tcPr>
                <w:p w14:paraId="273D127C">
                  <w:pPr>
                    <w:snapToGrid w:val="0"/>
                    <w:jc w:val="center"/>
                    <w:rPr>
                      <w:rFonts w:hint="default"/>
                      <w:bCs/>
                      <w:color w:val="auto"/>
                      <w:szCs w:val="21"/>
                      <w:lang w:val="en-US" w:eastAsia="zh-CN"/>
                    </w:rPr>
                  </w:pPr>
                  <w:r>
                    <w:rPr>
                      <w:rFonts w:hint="eastAsia"/>
                      <w:bCs/>
                      <w:color w:val="auto"/>
                      <w:szCs w:val="21"/>
                      <w:lang w:val="en-US" w:eastAsia="zh-CN"/>
                    </w:rPr>
                    <w:t>0.0114</w:t>
                  </w:r>
                </w:p>
              </w:tc>
              <w:tc>
                <w:tcPr>
                  <w:tcW w:w="693" w:type="dxa"/>
                  <w:vAlign w:val="center"/>
                </w:tcPr>
                <w:p w14:paraId="57D6B45E">
                  <w:pPr>
                    <w:snapToGrid w:val="0"/>
                    <w:jc w:val="center"/>
                    <w:rPr>
                      <w:rFonts w:hint="default"/>
                      <w:bCs/>
                      <w:color w:val="auto"/>
                      <w:szCs w:val="21"/>
                      <w:lang w:val="en-US" w:eastAsia="zh-CN"/>
                    </w:rPr>
                  </w:pPr>
                  <w:r>
                    <w:rPr>
                      <w:rFonts w:hint="eastAsia"/>
                      <w:bCs/>
                      <w:color w:val="auto"/>
                      <w:szCs w:val="21"/>
                      <w:lang w:val="en-US" w:eastAsia="zh-CN"/>
                    </w:rPr>
                    <w:t>0.0913</w:t>
                  </w:r>
                </w:p>
              </w:tc>
              <w:tc>
                <w:tcPr>
                  <w:tcW w:w="683" w:type="dxa"/>
                  <w:vAlign w:val="center"/>
                </w:tcPr>
                <w:p w14:paraId="50436239">
                  <w:pPr>
                    <w:snapToGrid w:val="0"/>
                    <w:jc w:val="center"/>
                    <w:rPr>
                      <w:rFonts w:hint="eastAsia"/>
                      <w:bCs/>
                      <w:color w:val="auto"/>
                      <w:szCs w:val="21"/>
                    </w:rPr>
                  </w:pPr>
                  <w:r>
                    <w:rPr>
                      <w:rFonts w:hint="eastAsia"/>
                      <w:bCs/>
                      <w:color w:val="auto"/>
                      <w:szCs w:val="21"/>
                    </w:rPr>
                    <w:t>达标</w:t>
                  </w:r>
                </w:p>
              </w:tc>
            </w:tr>
            <w:tr w14:paraId="652F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71" w:type="dxa"/>
                  <w:vAlign w:val="center"/>
                </w:tcPr>
                <w:p w14:paraId="1B2A2D84">
                  <w:pPr>
                    <w:snapToGrid w:val="0"/>
                    <w:jc w:val="center"/>
                    <w:rPr>
                      <w:bCs/>
                      <w:color w:val="auto"/>
                      <w:szCs w:val="21"/>
                    </w:rPr>
                  </w:pPr>
                  <w:r>
                    <w:rPr>
                      <w:bCs/>
                      <w:color w:val="auto"/>
                      <w:szCs w:val="21"/>
                    </w:rPr>
                    <w:t>上料</w:t>
                  </w:r>
                </w:p>
                <w:p w14:paraId="70461659">
                  <w:pPr>
                    <w:snapToGrid w:val="0"/>
                    <w:jc w:val="center"/>
                    <w:rPr>
                      <w:rFonts w:hint="eastAsia" w:eastAsia="宋体"/>
                      <w:bCs/>
                      <w:color w:val="auto"/>
                      <w:szCs w:val="21"/>
                      <w:lang w:eastAsia="zh-CN"/>
                    </w:rPr>
                  </w:pPr>
                  <w:r>
                    <w:rPr>
                      <w:bCs/>
                      <w:color w:val="auto"/>
                      <w:szCs w:val="21"/>
                    </w:rPr>
                    <w:t>粉尘G</w:t>
                  </w:r>
                  <w:r>
                    <w:rPr>
                      <w:rFonts w:hint="eastAsia"/>
                      <w:bCs/>
                      <w:color w:val="auto"/>
                      <w:szCs w:val="21"/>
                      <w:lang w:val="en-US" w:eastAsia="zh-CN"/>
                    </w:rPr>
                    <w:t>5</w:t>
                  </w:r>
                </w:p>
              </w:tc>
              <w:tc>
                <w:tcPr>
                  <w:tcW w:w="394" w:type="dxa"/>
                  <w:vMerge w:val="restart"/>
                  <w:vAlign w:val="center"/>
                </w:tcPr>
                <w:p w14:paraId="727BF8DF">
                  <w:pPr>
                    <w:snapToGrid w:val="0"/>
                    <w:jc w:val="center"/>
                    <w:rPr>
                      <w:bCs/>
                      <w:color w:val="auto"/>
                      <w:szCs w:val="21"/>
                    </w:rPr>
                  </w:pPr>
                  <w:r>
                    <w:rPr>
                      <w:rFonts w:hint="eastAsia"/>
                      <w:bCs/>
                      <w:color w:val="auto"/>
                      <w:szCs w:val="21"/>
                    </w:rPr>
                    <w:t>有组织颗粒物</w:t>
                  </w:r>
                </w:p>
                <w:p w14:paraId="55262710">
                  <w:pPr>
                    <w:snapToGrid w:val="0"/>
                    <w:jc w:val="center"/>
                    <w:rPr>
                      <w:bCs/>
                      <w:color w:val="auto"/>
                      <w:szCs w:val="21"/>
                    </w:rPr>
                  </w:pPr>
                </w:p>
              </w:tc>
              <w:tc>
                <w:tcPr>
                  <w:tcW w:w="795" w:type="dxa"/>
                  <w:vAlign w:val="center"/>
                </w:tcPr>
                <w:p w14:paraId="78F8246E">
                  <w:pPr>
                    <w:snapToGrid w:val="0"/>
                    <w:jc w:val="center"/>
                    <w:rPr>
                      <w:rFonts w:hint="default" w:eastAsia="宋体"/>
                      <w:bCs/>
                      <w:color w:val="auto"/>
                      <w:szCs w:val="21"/>
                      <w:lang w:val="en-US" w:eastAsia="zh-CN"/>
                    </w:rPr>
                  </w:pPr>
                  <w:r>
                    <w:rPr>
                      <w:rFonts w:hint="eastAsia"/>
                      <w:bCs/>
                      <w:color w:val="auto"/>
                      <w:szCs w:val="21"/>
                      <w:lang w:val="en-US" w:eastAsia="zh-CN"/>
                    </w:rPr>
                    <w:t>571</w:t>
                  </w:r>
                </w:p>
              </w:tc>
              <w:tc>
                <w:tcPr>
                  <w:tcW w:w="720" w:type="dxa"/>
                  <w:vAlign w:val="center"/>
                </w:tcPr>
                <w:p w14:paraId="6C6FA94D">
                  <w:pPr>
                    <w:snapToGrid w:val="0"/>
                    <w:jc w:val="center"/>
                    <w:rPr>
                      <w:rFonts w:hint="default" w:eastAsia="宋体"/>
                      <w:bCs/>
                      <w:color w:val="auto"/>
                      <w:szCs w:val="21"/>
                      <w:lang w:val="en-US" w:eastAsia="zh-CN"/>
                    </w:rPr>
                  </w:pPr>
                  <w:r>
                    <w:rPr>
                      <w:rFonts w:hint="eastAsia"/>
                      <w:bCs/>
                      <w:color w:val="auto"/>
                      <w:szCs w:val="21"/>
                      <w:lang w:val="en-US" w:eastAsia="zh-CN"/>
                    </w:rPr>
                    <w:t>5.71</w:t>
                  </w:r>
                </w:p>
              </w:tc>
              <w:tc>
                <w:tcPr>
                  <w:tcW w:w="825" w:type="dxa"/>
                  <w:vAlign w:val="center"/>
                </w:tcPr>
                <w:p w14:paraId="549AB426">
                  <w:pPr>
                    <w:snapToGrid w:val="0"/>
                    <w:jc w:val="center"/>
                    <w:rPr>
                      <w:bCs/>
                      <w:color w:val="auto"/>
                      <w:szCs w:val="21"/>
                    </w:rPr>
                  </w:pPr>
                  <w:r>
                    <w:rPr>
                      <w:rFonts w:hint="eastAsia"/>
                      <w:color w:val="auto"/>
                      <w:kern w:val="0"/>
                      <w:sz w:val="21"/>
                      <w:szCs w:val="21"/>
                      <w:lang w:val="en-US" w:eastAsia="zh-CN" w:bidi="ar"/>
                    </w:rPr>
                    <w:t>45.636</w:t>
                  </w:r>
                </w:p>
              </w:tc>
              <w:tc>
                <w:tcPr>
                  <w:tcW w:w="1765" w:type="dxa"/>
                  <w:vAlign w:val="center"/>
                </w:tcPr>
                <w:p w14:paraId="6128697E">
                  <w:pPr>
                    <w:snapToGrid w:val="0"/>
                    <w:jc w:val="center"/>
                    <w:rPr>
                      <w:bCs/>
                      <w:color w:val="auto"/>
                      <w:szCs w:val="21"/>
                    </w:rPr>
                  </w:pPr>
                  <w:r>
                    <w:rPr>
                      <w:bCs/>
                      <w:color w:val="auto"/>
                      <w:szCs w:val="21"/>
                    </w:rPr>
                    <w:t>干雾抑尘器</w:t>
                  </w:r>
                  <w:r>
                    <w:rPr>
                      <w:rFonts w:hint="eastAsia"/>
                      <w:bCs/>
                      <w:color w:val="auto"/>
                      <w:szCs w:val="21"/>
                    </w:rPr>
                    <w:t>+</w:t>
                  </w:r>
                  <w:r>
                    <w:rPr>
                      <w:bCs/>
                      <w:color w:val="auto"/>
                      <w:szCs w:val="21"/>
                    </w:rPr>
                    <w:t>集气罩（90%）收集后经密闭抽尘管道引至1套布袋除尘器（99%）处理后排放</w:t>
                  </w:r>
                  <w:r>
                    <w:rPr>
                      <w:rFonts w:hint="eastAsia"/>
                      <w:bCs/>
                      <w:color w:val="auto"/>
                      <w:szCs w:val="21"/>
                    </w:rPr>
                    <w:t>（DA001）</w:t>
                  </w:r>
                </w:p>
              </w:tc>
              <w:tc>
                <w:tcPr>
                  <w:tcW w:w="775" w:type="dxa"/>
                  <w:vAlign w:val="center"/>
                </w:tcPr>
                <w:p w14:paraId="14C38643">
                  <w:pPr>
                    <w:snapToGrid w:val="0"/>
                    <w:jc w:val="center"/>
                    <w:rPr>
                      <w:rFonts w:hint="default" w:eastAsia="宋体"/>
                      <w:bCs/>
                      <w:color w:val="auto"/>
                      <w:szCs w:val="21"/>
                      <w:lang w:val="en-US" w:eastAsia="zh-CN"/>
                    </w:rPr>
                  </w:pPr>
                  <w:r>
                    <w:rPr>
                      <w:rFonts w:hint="eastAsia"/>
                      <w:bCs/>
                      <w:color w:val="auto"/>
                      <w:szCs w:val="21"/>
                      <w:lang w:val="en-US" w:eastAsia="zh-CN"/>
                    </w:rPr>
                    <w:t>0.0571</w:t>
                  </w:r>
                </w:p>
              </w:tc>
              <w:tc>
                <w:tcPr>
                  <w:tcW w:w="689" w:type="dxa"/>
                  <w:vAlign w:val="center"/>
                </w:tcPr>
                <w:p w14:paraId="3A8378FA">
                  <w:pPr>
                    <w:snapToGrid w:val="0"/>
                    <w:jc w:val="center"/>
                    <w:rPr>
                      <w:rFonts w:hint="default" w:eastAsia="宋体"/>
                      <w:bCs/>
                      <w:color w:val="auto"/>
                      <w:szCs w:val="21"/>
                      <w:lang w:val="en-US" w:eastAsia="zh-CN"/>
                    </w:rPr>
                  </w:pPr>
                  <w:r>
                    <w:rPr>
                      <w:rFonts w:hint="eastAsia"/>
                      <w:color w:val="auto"/>
                      <w:kern w:val="0"/>
                      <w:sz w:val="21"/>
                      <w:szCs w:val="21"/>
                      <w:lang w:val="en-US" w:eastAsia="zh-CN" w:bidi="ar"/>
                    </w:rPr>
                    <w:t>0.571×10</w:t>
                  </w:r>
                  <w:r>
                    <w:rPr>
                      <w:rFonts w:hint="eastAsia"/>
                      <w:color w:val="auto"/>
                      <w:kern w:val="0"/>
                      <w:sz w:val="21"/>
                      <w:szCs w:val="21"/>
                      <w:vertAlign w:val="superscript"/>
                      <w:lang w:val="en-US" w:eastAsia="zh-CN" w:bidi="ar"/>
                    </w:rPr>
                    <w:t>-3</w:t>
                  </w:r>
                </w:p>
              </w:tc>
              <w:tc>
                <w:tcPr>
                  <w:tcW w:w="693" w:type="dxa"/>
                  <w:vAlign w:val="center"/>
                </w:tcPr>
                <w:p w14:paraId="7624FC0F">
                  <w:pPr>
                    <w:snapToGrid w:val="0"/>
                    <w:jc w:val="center"/>
                    <w:rPr>
                      <w:rFonts w:hint="default" w:eastAsia="宋体"/>
                      <w:bCs/>
                      <w:color w:val="auto"/>
                      <w:szCs w:val="21"/>
                      <w:lang w:val="en-US" w:eastAsia="zh-CN"/>
                    </w:rPr>
                  </w:pPr>
                  <w:r>
                    <w:rPr>
                      <w:rFonts w:hint="eastAsia"/>
                      <w:color w:val="auto"/>
                      <w:kern w:val="0"/>
                      <w:sz w:val="21"/>
                      <w:szCs w:val="21"/>
                      <w:lang w:val="en-US" w:eastAsia="zh-CN" w:bidi="ar"/>
                    </w:rPr>
                    <w:t>0.00456</w:t>
                  </w:r>
                </w:p>
              </w:tc>
              <w:tc>
                <w:tcPr>
                  <w:tcW w:w="683" w:type="dxa"/>
                  <w:vAlign w:val="center"/>
                </w:tcPr>
                <w:p w14:paraId="4B3C4D64">
                  <w:pPr>
                    <w:snapToGrid w:val="0"/>
                    <w:jc w:val="center"/>
                    <w:rPr>
                      <w:bCs/>
                      <w:color w:val="auto"/>
                      <w:szCs w:val="21"/>
                    </w:rPr>
                  </w:pPr>
                  <w:r>
                    <w:rPr>
                      <w:rFonts w:hint="eastAsia"/>
                      <w:bCs/>
                      <w:color w:val="auto"/>
                      <w:szCs w:val="21"/>
                    </w:rPr>
                    <w:t>达标</w:t>
                  </w:r>
                </w:p>
              </w:tc>
            </w:tr>
            <w:tr w14:paraId="7262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71" w:type="dxa"/>
                  <w:vAlign w:val="center"/>
                </w:tcPr>
                <w:p w14:paraId="39A6D9EB">
                  <w:pPr>
                    <w:snapToGrid w:val="0"/>
                    <w:jc w:val="center"/>
                    <w:rPr>
                      <w:rFonts w:hint="eastAsia" w:eastAsia="宋体"/>
                      <w:bCs/>
                      <w:color w:val="auto"/>
                      <w:szCs w:val="21"/>
                      <w:lang w:val="en-US" w:eastAsia="zh-CN"/>
                    </w:rPr>
                  </w:pPr>
                  <w:r>
                    <w:rPr>
                      <w:rFonts w:hint="eastAsia"/>
                      <w:bCs/>
                      <w:color w:val="auto"/>
                      <w:szCs w:val="21"/>
                      <w:lang w:val="en-US" w:eastAsia="zh-CN"/>
                    </w:rPr>
                    <w:t>搅拌粉尘</w:t>
                  </w:r>
                  <w:r>
                    <w:rPr>
                      <w:bCs/>
                      <w:color w:val="auto"/>
                      <w:szCs w:val="21"/>
                    </w:rPr>
                    <w:t>G</w:t>
                  </w:r>
                  <w:r>
                    <w:rPr>
                      <w:rFonts w:hint="eastAsia"/>
                      <w:bCs/>
                      <w:color w:val="auto"/>
                      <w:szCs w:val="21"/>
                      <w:lang w:val="en-US" w:eastAsia="zh-CN"/>
                    </w:rPr>
                    <w:t>6</w:t>
                  </w:r>
                </w:p>
              </w:tc>
              <w:tc>
                <w:tcPr>
                  <w:tcW w:w="394" w:type="dxa"/>
                  <w:vMerge w:val="continue"/>
                  <w:vAlign w:val="center"/>
                </w:tcPr>
                <w:p w14:paraId="2F369088">
                  <w:pPr>
                    <w:snapToGrid w:val="0"/>
                    <w:jc w:val="center"/>
                    <w:rPr>
                      <w:bCs/>
                      <w:color w:val="auto"/>
                      <w:szCs w:val="21"/>
                    </w:rPr>
                  </w:pPr>
                </w:p>
              </w:tc>
              <w:tc>
                <w:tcPr>
                  <w:tcW w:w="795" w:type="dxa"/>
                  <w:vMerge w:val="restart"/>
                  <w:vAlign w:val="center"/>
                </w:tcPr>
                <w:p w14:paraId="4FFC1A95">
                  <w:pPr>
                    <w:snapToGrid w:val="0"/>
                    <w:jc w:val="center"/>
                    <w:rPr>
                      <w:rFonts w:hint="eastAsia"/>
                      <w:bCs/>
                      <w:color w:val="auto"/>
                      <w:szCs w:val="21"/>
                      <w:lang w:val="en-US" w:eastAsia="zh-CN"/>
                    </w:rPr>
                  </w:pPr>
                </w:p>
                <w:p w14:paraId="73D757EE">
                  <w:pPr>
                    <w:snapToGrid w:val="0"/>
                    <w:jc w:val="center"/>
                    <w:rPr>
                      <w:rFonts w:hint="eastAsia"/>
                      <w:bCs/>
                      <w:color w:val="auto"/>
                      <w:szCs w:val="21"/>
                      <w:lang w:val="en-US" w:eastAsia="zh-CN"/>
                    </w:rPr>
                  </w:pPr>
                </w:p>
                <w:p w14:paraId="1EFC69A3">
                  <w:pPr>
                    <w:snapToGrid w:val="0"/>
                    <w:jc w:val="center"/>
                    <w:rPr>
                      <w:rFonts w:hint="eastAsia"/>
                      <w:bCs/>
                      <w:color w:val="auto"/>
                      <w:szCs w:val="21"/>
                      <w:lang w:val="en-US" w:eastAsia="zh-CN"/>
                    </w:rPr>
                  </w:pPr>
                </w:p>
                <w:p w14:paraId="623C06DB">
                  <w:pPr>
                    <w:snapToGrid w:val="0"/>
                    <w:jc w:val="center"/>
                    <w:rPr>
                      <w:rFonts w:hint="eastAsia"/>
                      <w:bCs/>
                      <w:color w:val="auto"/>
                      <w:szCs w:val="21"/>
                      <w:lang w:val="en-US" w:eastAsia="zh-CN"/>
                    </w:rPr>
                  </w:pPr>
                </w:p>
                <w:p w14:paraId="2FF1CEB0">
                  <w:pPr>
                    <w:snapToGrid w:val="0"/>
                    <w:jc w:val="center"/>
                    <w:rPr>
                      <w:rFonts w:hint="eastAsia"/>
                      <w:bCs/>
                      <w:color w:val="auto"/>
                      <w:szCs w:val="21"/>
                      <w:lang w:val="en-US" w:eastAsia="zh-CN"/>
                    </w:rPr>
                  </w:pPr>
                </w:p>
                <w:p w14:paraId="3494B956">
                  <w:pPr>
                    <w:snapToGrid w:val="0"/>
                    <w:jc w:val="center"/>
                    <w:rPr>
                      <w:rFonts w:hint="default" w:eastAsia="宋体"/>
                      <w:bCs/>
                      <w:color w:val="auto"/>
                      <w:szCs w:val="21"/>
                      <w:lang w:val="en-US" w:eastAsia="zh-CN"/>
                    </w:rPr>
                  </w:pPr>
                  <w:r>
                    <w:rPr>
                      <w:rFonts w:hint="eastAsia"/>
                      <w:bCs/>
                      <w:color w:val="auto"/>
                      <w:szCs w:val="21"/>
                      <w:lang w:val="en-US" w:eastAsia="zh-CN"/>
                    </w:rPr>
                    <w:t>363</w:t>
                  </w:r>
                </w:p>
              </w:tc>
              <w:tc>
                <w:tcPr>
                  <w:tcW w:w="720" w:type="dxa"/>
                  <w:vMerge w:val="restart"/>
                  <w:vAlign w:val="center"/>
                </w:tcPr>
                <w:p w14:paraId="66D604C9">
                  <w:pPr>
                    <w:snapToGrid w:val="0"/>
                    <w:jc w:val="center"/>
                    <w:rPr>
                      <w:rFonts w:hint="eastAsia"/>
                      <w:bCs/>
                      <w:color w:val="auto"/>
                      <w:szCs w:val="21"/>
                      <w:lang w:val="en-US" w:eastAsia="zh-CN"/>
                    </w:rPr>
                  </w:pPr>
                </w:p>
                <w:p w14:paraId="449F32FA">
                  <w:pPr>
                    <w:snapToGrid w:val="0"/>
                    <w:jc w:val="center"/>
                    <w:rPr>
                      <w:rFonts w:hint="eastAsia"/>
                      <w:bCs/>
                      <w:color w:val="auto"/>
                      <w:szCs w:val="21"/>
                      <w:lang w:val="en-US" w:eastAsia="zh-CN"/>
                    </w:rPr>
                  </w:pPr>
                </w:p>
                <w:p w14:paraId="14C97671">
                  <w:pPr>
                    <w:snapToGrid w:val="0"/>
                    <w:jc w:val="center"/>
                    <w:rPr>
                      <w:rFonts w:hint="eastAsia"/>
                      <w:bCs/>
                      <w:color w:val="auto"/>
                      <w:szCs w:val="21"/>
                      <w:lang w:val="en-US" w:eastAsia="zh-CN"/>
                    </w:rPr>
                  </w:pPr>
                </w:p>
                <w:p w14:paraId="12B3F01B">
                  <w:pPr>
                    <w:snapToGrid w:val="0"/>
                    <w:jc w:val="center"/>
                    <w:rPr>
                      <w:rFonts w:hint="eastAsia"/>
                      <w:bCs/>
                      <w:color w:val="auto"/>
                      <w:szCs w:val="21"/>
                      <w:lang w:val="en-US" w:eastAsia="zh-CN"/>
                    </w:rPr>
                  </w:pPr>
                </w:p>
                <w:p w14:paraId="2AE1C2EB">
                  <w:pPr>
                    <w:snapToGrid w:val="0"/>
                    <w:jc w:val="center"/>
                    <w:rPr>
                      <w:rFonts w:hint="eastAsia"/>
                      <w:bCs/>
                      <w:color w:val="auto"/>
                      <w:szCs w:val="21"/>
                      <w:lang w:val="en-US" w:eastAsia="zh-CN"/>
                    </w:rPr>
                  </w:pPr>
                </w:p>
                <w:p w14:paraId="421523D6">
                  <w:pPr>
                    <w:snapToGrid w:val="0"/>
                    <w:jc w:val="center"/>
                    <w:rPr>
                      <w:rFonts w:hint="default" w:eastAsia="宋体"/>
                      <w:bCs/>
                      <w:color w:val="auto"/>
                      <w:szCs w:val="21"/>
                      <w:lang w:val="en-US" w:eastAsia="zh-CN"/>
                    </w:rPr>
                  </w:pPr>
                  <w:r>
                    <w:rPr>
                      <w:rFonts w:hint="eastAsia"/>
                      <w:bCs/>
                      <w:color w:val="auto"/>
                      <w:szCs w:val="21"/>
                      <w:lang w:val="en-US" w:eastAsia="zh-CN"/>
                    </w:rPr>
                    <w:t>36.3</w:t>
                  </w:r>
                </w:p>
              </w:tc>
              <w:tc>
                <w:tcPr>
                  <w:tcW w:w="825" w:type="dxa"/>
                  <w:vMerge w:val="restart"/>
                  <w:vAlign w:val="center"/>
                </w:tcPr>
                <w:p w14:paraId="39A75DD8">
                  <w:pPr>
                    <w:snapToGrid w:val="0"/>
                    <w:jc w:val="center"/>
                    <w:rPr>
                      <w:rFonts w:hint="eastAsia"/>
                      <w:bCs/>
                      <w:color w:val="auto"/>
                      <w:szCs w:val="21"/>
                      <w:lang w:val="en-US" w:eastAsia="zh-CN"/>
                    </w:rPr>
                  </w:pPr>
                </w:p>
                <w:p w14:paraId="39D1C899">
                  <w:pPr>
                    <w:snapToGrid w:val="0"/>
                    <w:jc w:val="center"/>
                    <w:rPr>
                      <w:rFonts w:hint="eastAsia"/>
                      <w:bCs/>
                      <w:color w:val="auto"/>
                      <w:szCs w:val="21"/>
                      <w:lang w:val="en-US" w:eastAsia="zh-CN"/>
                    </w:rPr>
                  </w:pPr>
                </w:p>
                <w:p w14:paraId="4F66C723">
                  <w:pPr>
                    <w:snapToGrid w:val="0"/>
                    <w:jc w:val="center"/>
                    <w:rPr>
                      <w:rFonts w:hint="eastAsia"/>
                      <w:bCs/>
                      <w:color w:val="auto"/>
                      <w:szCs w:val="21"/>
                      <w:lang w:val="en-US" w:eastAsia="zh-CN"/>
                    </w:rPr>
                  </w:pPr>
                </w:p>
                <w:p w14:paraId="52E2CF23">
                  <w:pPr>
                    <w:snapToGrid w:val="0"/>
                    <w:jc w:val="center"/>
                    <w:rPr>
                      <w:rFonts w:hint="eastAsia"/>
                      <w:bCs/>
                      <w:color w:val="auto"/>
                      <w:szCs w:val="21"/>
                      <w:lang w:val="en-US" w:eastAsia="zh-CN"/>
                    </w:rPr>
                  </w:pPr>
                </w:p>
                <w:p w14:paraId="6DC5C981">
                  <w:pPr>
                    <w:snapToGrid w:val="0"/>
                    <w:jc w:val="center"/>
                    <w:rPr>
                      <w:rFonts w:hint="eastAsia"/>
                      <w:bCs/>
                      <w:color w:val="auto"/>
                      <w:szCs w:val="21"/>
                      <w:lang w:val="en-US" w:eastAsia="zh-CN"/>
                    </w:rPr>
                  </w:pPr>
                </w:p>
                <w:p w14:paraId="1A62D48E">
                  <w:pPr>
                    <w:snapToGrid w:val="0"/>
                    <w:jc w:val="center"/>
                    <w:rPr>
                      <w:rFonts w:hint="default" w:eastAsia="宋体"/>
                      <w:bCs/>
                      <w:color w:val="auto"/>
                      <w:szCs w:val="21"/>
                      <w:lang w:val="en-US" w:eastAsia="zh-CN"/>
                    </w:rPr>
                  </w:pPr>
                  <w:r>
                    <w:rPr>
                      <w:rFonts w:hint="eastAsia"/>
                      <w:bCs/>
                      <w:color w:val="auto"/>
                      <w:szCs w:val="21"/>
                      <w:lang w:val="en-US" w:eastAsia="zh-CN"/>
                    </w:rPr>
                    <w:t>290.1</w:t>
                  </w:r>
                </w:p>
              </w:tc>
              <w:tc>
                <w:tcPr>
                  <w:tcW w:w="1765" w:type="dxa"/>
                  <w:vAlign w:val="center"/>
                </w:tcPr>
                <w:p w14:paraId="4B840A10">
                  <w:pPr>
                    <w:snapToGrid w:val="0"/>
                    <w:jc w:val="center"/>
                    <w:rPr>
                      <w:bCs/>
                      <w:color w:val="auto"/>
                      <w:szCs w:val="21"/>
                    </w:rPr>
                  </w:pPr>
                  <w:r>
                    <w:rPr>
                      <w:rFonts w:hint="eastAsia"/>
                      <w:bCs/>
                      <w:color w:val="auto"/>
                      <w:szCs w:val="21"/>
                    </w:rPr>
                    <w:t>经集气罩（90%）收集后经密闭抽尘管道引布袋除尘器（与烘干尾气处共用共用，效率99%）处理后通过1根</w:t>
                  </w:r>
                  <w:r>
                    <w:rPr>
                      <w:rFonts w:hint="eastAsia"/>
                      <w:bCs/>
                      <w:color w:val="auto"/>
                      <w:szCs w:val="21"/>
                      <w:lang w:val="en-US" w:eastAsia="zh-CN"/>
                    </w:rPr>
                    <w:t>20</w:t>
                  </w:r>
                  <w:r>
                    <w:rPr>
                      <w:rFonts w:hint="eastAsia"/>
                      <w:bCs/>
                      <w:color w:val="auto"/>
                      <w:szCs w:val="21"/>
                    </w:rPr>
                    <w:t>m 高排气筒（DA002）排放；</w:t>
                  </w:r>
                </w:p>
              </w:tc>
              <w:tc>
                <w:tcPr>
                  <w:tcW w:w="775" w:type="dxa"/>
                  <w:vMerge w:val="restart"/>
                  <w:vAlign w:val="center"/>
                </w:tcPr>
                <w:p w14:paraId="4BEB8558">
                  <w:pPr>
                    <w:snapToGrid w:val="0"/>
                    <w:jc w:val="center"/>
                    <w:rPr>
                      <w:rFonts w:hint="eastAsia" w:ascii="Times New Roman" w:hAnsi="Times New Roman" w:eastAsia="宋体" w:cs="Times New Roman"/>
                      <w:bCs/>
                      <w:color w:val="auto"/>
                      <w:szCs w:val="21"/>
                      <w:lang w:val="en-US" w:eastAsia="zh-CN"/>
                    </w:rPr>
                  </w:pPr>
                </w:p>
                <w:p w14:paraId="3CD1B933">
                  <w:pPr>
                    <w:snapToGrid w:val="0"/>
                    <w:jc w:val="center"/>
                    <w:rPr>
                      <w:rFonts w:hint="eastAsia" w:ascii="Times New Roman" w:hAnsi="Times New Roman" w:eastAsia="宋体" w:cs="Times New Roman"/>
                      <w:bCs/>
                      <w:color w:val="auto"/>
                      <w:szCs w:val="21"/>
                      <w:lang w:val="en-US" w:eastAsia="zh-CN"/>
                    </w:rPr>
                  </w:pPr>
                </w:p>
                <w:p w14:paraId="37EFF4CB">
                  <w:pPr>
                    <w:snapToGrid w:val="0"/>
                    <w:jc w:val="center"/>
                    <w:rPr>
                      <w:rFonts w:hint="eastAsia" w:ascii="Times New Roman" w:hAnsi="Times New Roman" w:eastAsia="宋体" w:cs="Times New Roman"/>
                      <w:bCs/>
                      <w:color w:val="auto"/>
                      <w:szCs w:val="21"/>
                      <w:lang w:val="en-US" w:eastAsia="zh-CN"/>
                    </w:rPr>
                  </w:pPr>
                </w:p>
                <w:p w14:paraId="38168F8B">
                  <w:pPr>
                    <w:snapToGrid w:val="0"/>
                    <w:jc w:val="center"/>
                    <w:rPr>
                      <w:rFonts w:hint="eastAsia" w:ascii="Times New Roman" w:hAnsi="Times New Roman" w:eastAsia="宋体" w:cs="Times New Roman"/>
                      <w:bCs/>
                      <w:color w:val="auto"/>
                      <w:szCs w:val="21"/>
                      <w:lang w:val="en-US" w:eastAsia="zh-CN"/>
                    </w:rPr>
                  </w:pPr>
                </w:p>
                <w:p w14:paraId="66821E3E">
                  <w:pPr>
                    <w:snapToGrid w:val="0"/>
                    <w:jc w:val="center"/>
                    <w:rPr>
                      <w:rFonts w:hint="eastAsia" w:ascii="Times New Roman" w:hAnsi="Times New Roman" w:eastAsia="宋体" w:cs="Times New Roman"/>
                      <w:bCs/>
                      <w:color w:val="auto"/>
                      <w:szCs w:val="21"/>
                      <w:lang w:val="en-US" w:eastAsia="zh-CN"/>
                    </w:rPr>
                  </w:pPr>
                </w:p>
                <w:p w14:paraId="74967C8D">
                  <w:pPr>
                    <w:snapToGrid w:val="0"/>
                    <w:jc w:val="center"/>
                    <w:rPr>
                      <w:rFonts w:hint="default"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3.58</w:t>
                  </w:r>
                </w:p>
              </w:tc>
              <w:tc>
                <w:tcPr>
                  <w:tcW w:w="689" w:type="dxa"/>
                  <w:vMerge w:val="restart"/>
                  <w:vAlign w:val="center"/>
                </w:tcPr>
                <w:p w14:paraId="66B173ED">
                  <w:pPr>
                    <w:snapToGrid w:val="0"/>
                    <w:jc w:val="center"/>
                    <w:rPr>
                      <w:rFonts w:hint="eastAsia" w:ascii="Times New Roman" w:hAnsi="Times New Roman" w:eastAsia="宋体" w:cs="Times New Roman"/>
                      <w:bCs/>
                      <w:color w:val="auto"/>
                      <w:szCs w:val="21"/>
                      <w:lang w:val="en-US" w:eastAsia="zh-CN"/>
                    </w:rPr>
                  </w:pPr>
                </w:p>
                <w:p w14:paraId="58F10119">
                  <w:pPr>
                    <w:snapToGrid w:val="0"/>
                    <w:jc w:val="center"/>
                    <w:rPr>
                      <w:rFonts w:hint="eastAsia" w:ascii="Times New Roman" w:hAnsi="Times New Roman" w:eastAsia="宋体" w:cs="Times New Roman"/>
                      <w:bCs/>
                      <w:color w:val="auto"/>
                      <w:szCs w:val="21"/>
                      <w:lang w:val="en-US" w:eastAsia="zh-CN"/>
                    </w:rPr>
                  </w:pPr>
                </w:p>
                <w:p w14:paraId="7CB03D78">
                  <w:pPr>
                    <w:snapToGrid w:val="0"/>
                    <w:jc w:val="center"/>
                    <w:rPr>
                      <w:rFonts w:hint="eastAsia" w:ascii="Times New Roman" w:hAnsi="Times New Roman" w:eastAsia="宋体" w:cs="Times New Roman"/>
                      <w:bCs/>
                      <w:color w:val="auto"/>
                      <w:szCs w:val="21"/>
                      <w:lang w:val="en-US" w:eastAsia="zh-CN"/>
                    </w:rPr>
                  </w:pPr>
                </w:p>
                <w:p w14:paraId="075D6CB7">
                  <w:pPr>
                    <w:snapToGrid w:val="0"/>
                    <w:jc w:val="center"/>
                    <w:rPr>
                      <w:rFonts w:hint="eastAsia" w:ascii="Times New Roman" w:hAnsi="Times New Roman" w:eastAsia="宋体" w:cs="Times New Roman"/>
                      <w:bCs/>
                      <w:color w:val="auto"/>
                      <w:szCs w:val="21"/>
                      <w:lang w:val="en-US" w:eastAsia="zh-CN"/>
                    </w:rPr>
                  </w:pPr>
                </w:p>
                <w:p w14:paraId="689AB834">
                  <w:pPr>
                    <w:snapToGrid w:val="0"/>
                    <w:jc w:val="center"/>
                    <w:rPr>
                      <w:rFonts w:hint="eastAsia" w:ascii="Times New Roman" w:hAnsi="Times New Roman" w:eastAsia="宋体" w:cs="Times New Roman"/>
                      <w:bCs/>
                      <w:color w:val="auto"/>
                      <w:szCs w:val="21"/>
                      <w:lang w:val="en-US" w:eastAsia="zh-CN"/>
                    </w:rPr>
                  </w:pPr>
                </w:p>
                <w:p w14:paraId="73875CD4">
                  <w:pPr>
                    <w:snapToGrid w:val="0"/>
                    <w:jc w:val="both"/>
                    <w:rPr>
                      <w:rFonts w:hint="default"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0.358</w:t>
                  </w:r>
                </w:p>
              </w:tc>
              <w:tc>
                <w:tcPr>
                  <w:tcW w:w="693" w:type="dxa"/>
                  <w:vMerge w:val="restart"/>
                  <w:vAlign w:val="center"/>
                </w:tcPr>
                <w:p w14:paraId="3BC8A758">
                  <w:pPr>
                    <w:snapToGrid w:val="0"/>
                    <w:jc w:val="center"/>
                    <w:rPr>
                      <w:rFonts w:hint="eastAsia" w:ascii="Times New Roman" w:hAnsi="Times New Roman" w:eastAsia="宋体" w:cs="Times New Roman"/>
                      <w:bCs/>
                      <w:color w:val="auto"/>
                      <w:szCs w:val="21"/>
                      <w:lang w:val="en-US" w:eastAsia="zh-CN"/>
                    </w:rPr>
                  </w:pPr>
                </w:p>
                <w:p w14:paraId="27575BEA">
                  <w:pPr>
                    <w:snapToGrid w:val="0"/>
                    <w:jc w:val="center"/>
                    <w:rPr>
                      <w:rFonts w:hint="eastAsia" w:ascii="Times New Roman" w:hAnsi="Times New Roman" w:eastAsia="宋体" w:cs="Times New Roman"/>
                      <w:bCs/>
                      <w:color w:val="auto"/>
                      <w:szCs w:val="21"/>
                      <w:lang w:val="en-US" w:eastAsia="zh-CN"/>
                    </w:rPr>
                  </w:pPr>
                </w:p>
                <w:p w14:paraId="32996A0B">
                  <w:pPr>
                    <w:snapToGrid w:val="0"/>
                    <w:jc w:val="center"/>
                    <w:rPr>
                      <w:rFonts w:hint="eastAsia" w:ascii="Times New Roman" w:hAnsi="Times New Roman" w:eastAsia="宋体" w:cs="Times New Roman"/>
                      <w:bCs/>
                      <w:color w:val="auto"/>
                      <w:szCs w:val="21"/>
                      <w:lang w:val="en-US" w:eastAsia="zh-CN"/>
                    </w:rPr>
                  </w:pPr>
                </w:p>
                <w:p w14:paraId="2A7C2FCC">
                  <w:pPr>
                    <w:snapToGrid w:val="0"/>
                    <w:jc w:val="center"/>
                    <w:rPr>
                      <w:rFonts w:hint="eastAsia" w:ascii="Times New Roman" w:hAnsi="Times New Roman" w:eastAsia="宋体" w:cs="Times New Roman"/>
                      <w:bCs/>
                      <w:color w:val="auto"/>
                      <w:szCs w:val="21"/>
                      <w:lang w:val="en-US" w:eastAsia="zh-CN"/>
                    </w:rPr>
                  </w:pPr>
                </w:p>
                <w:p w14:paraId="59F0AE31">
                  <w:pPr>
                    <w:snapToGrid w:val="0"/>
                    <w:jc w:val="center"/>
                    <w:rPr>
                      <w:rFonts w:hint="eastAsia" w:ascii="Times New Roman" w:hAnsi="Times New Roman" w:eastAsia="宋体" w:cs="Times New Roman"/>
                      <w:bCs/>
                      <w:color w:val="auto"/>
                      <w:szCs w:val="21"/>
                      <w:lang w:val="en-US" w:eastAsia="zh-CN"/>
                    </w:rPr>
                  </w:pPr>
                </w:p>
                <w:p w14:paraId="08F1C765">
                  <w:pPr>
                    <w:snapToGrid w:val="0"/>
                    <w:jc w:val="center"/>
                    <w:rPr>
                      <w:rFonts w:hint="default"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2.8638</w:t>
                  </w:r>
                </w:p>
              </w:tc>
              <w:tc>
                <w:tcPr>
                  <w:tcW w:w="683" w:type="dxa"/>
                  <w:vAlign w:val="center"/>
                </w:tcPr>
                <w:p w14:paraId="11C7F5A5">
                  <w:pPr>
                    <w:snapToGrid w:val="0"/>
                    <w:jc w:val="center"/>
                    <w:rPr>
                      <w:rFonts w:hint="eastAsia"/>
                      <w:bCs/>
                      <w:color w:val="auto"/>
                      <w:szCs w:val="21"/>
                    </w:rPr>
                  </w:pPr>
                  <w:r>
                    <w:rPr>
                      <w:rFonts w:hint="eastAsia"/>
                      <w:bCs/>
                      <w:color w:val="auto"/>
                      <w:szCs w:val="21"/>
                    </w:rPr>
                    <w:t>达标</w:t>
                  </w:r>
                </w:p>
              </w:tc>
            </w:tr>
            <w:tr w14:paraId="47D3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71" w:type="dxa"/>
                  <w:vAlign w:val="center"/>
                </w:tcPr>
                <w:p w14:paraId="168BDC66">
                  <w:pPr>
                    <w:snapToGrid w:val="0"/>
                    <w:jc w:val="center"/>
                    <w:rPr>
                      <w:color w:val="auto"/>
                      <w:kern w:val="0"/>
                      <w:szCs w:val="21"/>
                      <w:lang w:bidi="ar"/>
                    </w:rPr>
                  </w:pPr>
                  <w:r>
                    <w:rPr>
                      <w:color w:val="auto"/>
                      <w:kern w:val="0"/>
                      <w:szCs w:val="21"/>
                      <w:lang w:bidi="ar"/>
                    </w:rPr>
                    <w:t>烘干</w:t>
                  </w:r>
                </w:p>
                <w:p w14:paraId="488A05EC">
                  <w:pPr>
                    <w:snapToGrid w:val="0"/>
                    <w:jc w:val="center"/>
                    <w:rPr>
                      <w:rFonts w:hint="eastAsia" w:eastAsia="宋体"/>
                      <w:bCs/>
                      <w:color w:val="auto"/>
                      <w:szCs w:val="21"/>
                      <w:lang w:eastAsia="zh-CN"/>
                    </w:rPr>
                  </w:pPr>
                  <w:r>
                    <w:rPr>
                      <w:color w:val="auto"/>
                      <w:kern w:val="0"/>
                      <w:szCs w:val="21"/>
                      <w:lang w:bidi="ar"/>
                    </w:rPr>
                    <w:t>废气</w:t>
                  </w:r>
                  <w:r>
                    <w:rPr>
                      <w:rFonts w:hint="eastAsia"/>
                      <w:color w:val="auto"/>
                      <w:kern w:val="0"/>
                      <w:szCs w:val="21"/>
                      <w:lang w:bidi="ar"/>
                    </w:rPr>
                    <w:t>G</w:t>
                  </w:r>
                  <w:r>
                    <w:rPr>
                      <w:rFonts w:hint="eastAsia"/>
                      <w:color w:val="auto"/>
                      <w:kern w:val="0"/>
                      <w:szCs w:val="21"/>
                      <w:lang w:val="en-US" w:eastAsia="zh-CN" w:bidi="ar"/>
                    </w:rPr>
                    <w:t>7</w:t>
                  </w:r>
                </w:p>
              </w:tc>
              <w:tc>
                <w:tcPr>
                  <w:tcW w:w="394" w:type="dxa"/>
                  <w:vMerge w:val="continue"/>
                  <w:vAlign w:val="center"/>
                </w:tcPr>
                <w:p w14:paraId="4E328C2A">
                  <w:pPr>
                    <w:snapToGrid w:val="0"/>
                    <w:jc w:val="center"/>
                    <w:rPr>
                      <w:bCs/>
                      <w:color w:val="auto"/>
                      <w:szCs w:val="21"/>
                    </w:rPr>
                  </w:pPr>
                </w:p>
              </w:tc>
              <w:tc>
                <w:tcPr>
                  <w:tcW w:w="795" w:type="dxa"/>
                  <w:vMerge w:val="continue"/>
                  <w:vAlign w:val="center"/>
                </w:tcPr>
                <w:p w14:paraId="043CF5CF">
                  <w:pPr>
                    <w:snapToGrid w:val="0"/>
                    <w:jc w:val="center"/>
                    <w:rPr>
                      <w:rFonts w:hint="default" w:eastAsia="宋体"/>
                      <w:bCs/>
                      <w:color w:val="auto"/>
                      <w:szCs w:val="21"/>
                      <w:lang w:val="en-US" w:eastAsia="zh-CN"/>
                    </w:rPr>
                  </w:pPr>
                </w:p>
              </w:tc>
              <w:tc>
                <w:tcPr>
                  <w:tcW w:w="720" w:type="dxa"/>
                  <w:vMerge w:val="continue"/>
                  <w:vAlign w:val="center"/>
                </w:tcPr>
                <w:p w14:paraId="605C2C9D">
                  <w:pPr>
                    <w:snapToGrid w:val="0"/>
                    <w:jc w:val="center"/>
                    <w:rPr>
                      <w:rFonts w:hint="default" w:eastAsia="宋体"/>
                      <w:bCs/>
                      <w:color w:val="auto"/>
                      <w:szCs w:val="21"/>
                      <w:lang w:val="en-US" w:eastAsia="zh-CN"/>
                    </w:rPr>
                  </w:pPr>
                </w:p>
              </w:tc>
              <w:tc>
                <w:tcPr>
                  <w:tcW w:w="825" w:type="dxa"/>
                  <w:vMerge w:val="continue"/>
                  <w:vAlign w:val="center"/>
                </w:tcPr>
                <w:p w14:paraId="07EAE2CA">
                  <w:pPr>
                    <w:snapToGrid w:val="0"/>
                    <w:jc w:val="center"/>
                    <w:rPr>
                      <w:rFonts w:hint="default" w:eastAsia="宋体"/>
                      <w:bCs/>
                      <w:color w:val="auto"/>
                      <w:szCs w:val="21"/>
                      <w:lang w:val="en-US" w:eastAsia="zh-CN"/>
                    </w:rPr>
                  </w:pPr>
                </w:p>
              </w:tc>
              <w:tc>
                <w:tcPr>
                  <w:tcW w:w="1765" w:type="dxa"/>
                  <w:vAlign w:val="center"/>
                </w:tcPr>
                <w:p w14:paraId="4F1C193B">
                  <w:pPr>
                    <w:snapToGrid w:val="0"/>
                    <w:jc w:val="center"/>
                    <w:rPr>
                      <w:bCs/>
                      <w:color w:val="auto"/>
                      <w:szCs w:val="21"/>
                    </w:rPr>
                  </w:pPr>
                  <w:r>
                    <w:rPr>
                      <w:bCs/>
                      <w:color w:val="auto"/>
                      <w:szCs w:val="21"/>
                    </w:rPr>
                    <w:t>布袋除尘器（99%）处理后排放</w:t>
                  </w:r>
                  <w:r>
                    <w:rPr>
                      <w:rFonts w:hint="eastAsia"/>
                      <w:bCs/>
                      <w:color w:val="auto"/>
                      <w:szCs w:val="21"/>
                    </w:rPr>
                    <w:t>（DA002）</w:t>
                  </w:r>
                </w:p>
              </w:tc>
              <w:tc>
                <w:tcPr>
                  <w:tcW w:w="775" w:type="dxa"/>
                  <w:vMerge w:val="continue"/>
                  <w:vAlign w:val="center"/>
                </w:tcPr>
                <w:p w14:paraId="7208AE4B">
                  <w:pPr>
                    <w:snapToGrid w:val="0"/>
                    <w:jc w:val="center"/>
                    <w:rPr>
                      <w:rFonts w:hint="default" w:eastAsia="宋体"/>
                      <w:bCs/>
                      <w:color w:val="auto"/>
                      <w:szCs w:val="21"/>
                      <w:lang w:val="en-US" w:eastAsia="zh-CN"/>
                    </w:rPr>
                  </w:pPr>
                </w:p>
              </w:tc>
              <w:tc>
                <w:tcPr>
                  <w:tcW w:w="689" w:type="dxa"/>
                  <w:vMerge w:val="continue"/>
                  <w:vAlign w:val="center"/>
                </w:tcPr>
                <w:p w14:paraId="58B3CCF0">
                  <w:pPr>
                    <w:snapToGrid w:val="0"/>
                    <w:jc w:val="center"/>
                    <w:rPr>
                      <w:rFonts w:hint="default" w:eastAsia="宋体"/>
                      <w:bCs/>
                      <w:color w:val="auto"/>
                      <w:szCs w:val="21"/>
                      <w:lang w:val="en-US" w:eastAsia="zh-CN"/>
                    </w:rPr>
                  </w:pPr>
                </w:p>
              </w:tc>
              <w:tc>
                <w:tcPr>
                  <w:tcW w:w="693" w:type="dxa"/>
                  <w:vMerge w:val="continue"/>
                  <w:vAlign w:val="center"/>
                </w:tcPr>
                <w:p w14:paraId="2A659697">
                  <w:pPr>
                    <w:snapToGrid w:val="0"/>
                    <w:jc w:val="center"/>
                    <w:rPr>
                      <w:rFonts w:hint="default" w:eastAsia="宋体"/>
                      <w:bCs/>
                      <w:color w:val="auto"/>
                      <w:szCs w:val="21"/>
                      <w:lang w:val="en-US" w:eastAsia="zh-CN"/>
                    </w:rPr>
                  </w:pPr>
                </w:p>
              </w:tc>
              <w:tc>
                <w:tcPr>
                  <w:tcW w:w="683" w:type="dxa"/>
                  <w:vAlign w:val="center"/>
                </w:tcPr>
                <w:p w14:paraId="5A93CBDB">
                  <w:pPr>
                    <w:snapToGrid w:val="0"/>
                    <w:jc w:val="center"/>
                    <w:rPr>
                      <w:bCs/>
                      <w:color w:val="auto"/>
                      <w:szCs w:val="21"/>
                    </w:rPr>
                  </w:pPr>
                  <w:r>
                    <w:rPr>
                      <w:rFonts w:hint="eastAsia"/>
                      <w:bCs/>
                      <w:color w:val="auto"/>
                      <w:szCs w:val="21"/>
                    </w:rPr>
                    <w:t>达标</w:t>
                  </w:r>
                </w:p>
              </w:tc>
            </w:tr>
            <w:tr w14:paraId="14C8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71" w:type="dxa"/>
                  <w:vAlign w:val="center"/>
                </w:tcPr>
                <w:p w14:paraId="18FD9A2C">
                  <w:pPr>
                    <w:snapToGrid w:val="0"/>
                    <w:jc w:val="center"/>
                    <w:rPr>
                      <w:bCs/>
                      <w:color w:val="auto"/>
                      <w:szCs w:val="21"/>
                    </w:rPr>
                  </w:pPr>
                  <w:r>
                    <w:rPr>
                      <w:bCs/>
                      <w:color w:val="auto"/>
                      <w:szCs w:val="21"/>
                    </w:rPr>
                    <w:t>筛分</w:t>
                  </w:r>
                </w:p>
                <w:p w14:paraId="03203596">
                  <w:pPr>
                    <w:snapToGrid w:val="0"/>
                    <w:jc w:val="center"/>
                    <w:rPr>
                      <w:rFonts w:hint="eastAsia" w:eastAsia="宋体"/>
                      <w:bCs/>
                      <w:color w:val="auto"/>
                      <w:szCs w:val="21"/>
                      <w:lang w:eastAsia="zh-CN"/>
                    </w:rPr>
                  </w:pPr>
                  <w:r>
                    <w:rPr>
                      <w:bCs/>
                      <w:color w:val="auto"/>
                      <w:szCs w:val="21"/>
                    </w:rPr>
                    <w:t>粉尘G</w:t>
                  </w:r>
                  <w:r>
                    <w:rPr>
                      <w:rFonts w:hint="eastAsia"/>
                      <w:bCs/>
                      <w:color w:val="auto"/>
                      <w:szCs w:val="21"/>
                      <w:lang w:val="en-US" w:eastAsia="zh-CN"/>
                    </w:rPr>
                    <w:t>8</w:t>
                  </w:r>
                </w:p>
              </w:tc>
              <w:tc>
                <w:tcPr>
                  <w:tcW w:w="394" w:type="dxa"/>
                  <w:vMerge w:val="continue"/>
                  <w:vAlign w:val="center"/>
                </w:tcPr>
                <w:p w14:paraId="74ED4CCA">
                  <w:pPr>
                    <w:snapToGrid w:val="0"/>
                    <w:jc w:val="center"/>
                    <w:rPr>
                      <w:bCs/>
                      <w:color w:val="auto"/>
                      <w:szCs w:val="21"/>
                    </w:rPr>
                  </w:pPr>
                </w:p>
              </w:tc>
              <w:tc>
                <w:tcPr>
                  <w:tcW w:w="795" w:type="dxa"/>
                  <w:vMerge w:val="continue"/>
                  <w:vAlign w:val="center"/>
                </w:tcPr>
                <w:p w14:paraId="2BD0207D">
                  <w:pPr>
                    <w:snapToGrid w:val="0"/>
                    <w:jc w:val="center"/>
                    <w:rPr>
                      <w:bCs/>
                      <w:color w:val="auto"/>
                      <w:szCs w:val="21"/>
                    </w:rPr>
                  </w:pPr>
                </w:p>
              </w:tc>
              <w:tc>
                <w:tcPr>
                  <w:tcW w:w="720" w:type="dxa"/>
                  <w:vMerge w:val="continue"/>
                  <w:vAlign w:val="center"/>
                </w:tcPr>
                <w:p w14:paraId="5A47224F">
                  <w:pPr>
                    <w:snapToGrid w:val="0"/>
                    <w:jc w:val="center"/>
                    <w:rPr>
                      <w:bCs/>
                      <w:color w:val="auto"/>
                      <w:szCs w:val="21"/>
                    </w:rPr>
                  </w:pPr>
                </w:p>
              </w:tc>
              <w:tc>
                <w:tcPr>
                  <w:tcW w:w="825" w:type="dxa"/>
                  <w:vMerge w:val="continue"/>
                  <w:vAlign w:val="center"/>
                </w:tcPr>
                <w:p w14:paraId="69598D07">
                  <w:pPr>
                    <w:snapToGrid w:val="0"/>
                    <w:jc w:val="center"/>
                    <w:rPr>
                      <w:bCs/>
                      <w:color w:val="auto"/>
                      <w:szCs w:val="21"/>
                    </w:rPr>
                  </w:pPr>
                </w:p>
              </w:tc>
              <w:tc>
                <w:tcPr>
                  <w:tcW w:w="1765" w:type="dxa"/>
                  <w:vAlign w:val="center"/>
                </w:tcPr>
                <w:p w14:paraId="2091EF21">
                  <w:pPr>
                    <w:snapToGrid w:val="0"/>
                    <w:jc w:val="center"/>
                    <w:rPr>
                      <w:bCs/>
                      <w:color w:val="auto"/>
                      <w:szCs w:val="21"/>
                    </w:rPr>
                  </w:pPr>
                  <w:r>
                    <w:rPr>
                      <w:bCs/>
                      <w:color w:val="auto"/>
                      <w:szCs w:val="21"/>
                    </w:rPr>
                    <w:t>经集气罩（90%）收集后经密闭抽尘管道引布袋除尘器（与烘干尾气处共用共用，效率99%）处理后通过1根</w:t>
                  </w:r>
                  <w:r>
                    <w:rPr>
                      <w:rFonts w:hint="eastAsia"/>
                      <w:bCs/>
                      <w:color w:val="auto"/>
                      <w:szCs w:val="21"/>
                      <w:lang w:val="en-US" w:eastAsia="zh-CN"/>
                    </w:rPr>
                    <w:t>20</w:t>
                  </w:r>
                  <w:r>
                    <w:rPr>
                      <w:bCs/>
                      <w:color w:val="auto"/>
                      <w:szCs w:val="21"/>
                    </w:rPr>
                    <w:t>m 高排气筒排放</w:t>
                  </w:r>
                  <w:r>
                    <w:rPr>
                      <w:rFonts w:hint="eastAsia"/>
                      <w:bCs/>
                      <w:color w:val="auto"/>
                      <w:szCs w:val="21"/>
                    </w:rPr>
                    <w:t>（DA002）</w:t>
                  </w:r>
                </w:p>
              </w:tc>
              <w:tc>
                <w:tcPr>
                  <w:tcW w:w="775" w:type="dxa"/>
                  <w:vMerge w:val="continue"/>
                  <w:vAlign w:val="center"/>
                </w:tcPr>
                <w:p w14:paraId="00014339">
                  <w:pPr>
                    <w:snapToGrid w:val="0"/>
                    <w:jc w:val="center"/>
                    <w:rPr>
                      <w:bCs/>
                      <w:color w:val="auto"/>
                      <w:szCs w:val="21"/>
                    </w:rPr>
                  </w:pPr>
                </w:p>
              </w:tc>
              <w:tc>
                <w:tcPr>
                  <w:tcW w:w="689" w:type="dxa"/>
                  <w:vMerge w:val="continue"/>
                  <w:vAlign w:val="center"/>
                </w:tcPr>
                <w:p w14:paraId="5A1F4F76">
                  <w:pPr>
                    <w:snapToGrid w:val="0"/>
                    <w:jc w:val="center"/>
                    <w:rPr>
                      <w:bCs/>
                      <w:color w:val="auto"/>
                      <w:szCs w:val="21"/>
                    </w:rPr>
                  </w:pPr>
                </w:p>
              </w:tc>
              <w:tc>
                <w:tcPr>
                  <w:tcW w:w="693" w:type="dxa"/>
                  <w:vMerge w:val="continue"/>
                  <w:vAlign w:val="center"/>
                </w:tcPr>
                <w:p w14:paraId="093E997B">
                  <w:pPr>
                    <w:snapToGrid w:val="0"/>
                    <w:jc w:val="center"/>
                    <w:rPr>
                      <w:bCs/>
                      <w:color w:val="auto"/>
                      <w:szCs w:val="21"/>
                    </w:rPr>
                  </w:pPr>
                </w:p>
              </w:tc>
              <w:tc>
                <w:tcPr>
                  <w:tcW w:w="683" w:type="dxa"/>
                  <w:vAlign w:val="center"/>
                </w:tcPr>
                <w:p w14:paraId="3097F16F">
                  <w:pPr>
                    <w:snapToGrid w:val="0"/>
                    <w:jc w:val="center"/>
                    <w:rPr>
                      <w:bCs/>
                      <w:color w:val="auto"/>
                      <w:szCs w:val="21"/>
                    </w:rPr>
                  </w:pPr>
                  <w:r>
                    <w:rPr>
                      <w:rFonts w:hint="eastAsia"/>
                      <w:bCs/>
                      <w:color w:val="auto"/>
                      <w:szCs w:val="21"/>
                    </w:rPr>
                    <w:t>达标</w:t>
                  </w:r>
                </w:p>
              </w:tc>
            </w:tr>
            <w:tr w14:paraId="7889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71" w:type="dxa"/>
                  <w:vAlign w:val="center"/>
                </w:tcPr>
                <w:p w14:paraId="017B20D9">
                  <w:pPr>
                    <w:snapToGrid w:val="0"/>
                    <w:jc w:val="center"/>
                    <w:rPr>
                      <w:rFonts w:hint="default" w:eastAsia="宋体"/>
                      <w:bCs/>
                      <w:color w:val="auto"/>
                      <w:szCs w:val="21"/>
                      <w:lang w:val="en-US" w:eastAsia="zh-CN"/>
                    </w:rPr>
                  </w:pPr>
                  <w:r>
                    <w:rPr>
                      <w:rFonts w:hint="eastAsia"/>
                      <w:bCs/>
                      <w:color w:val="auto"/>
                      <w:szCs w:val="21"/>
                      <w:lang w:val="en-US" w:eastAsia="zh-CN"/>
                    </w:rPr>
                    <w:t>包装粉尘G9</w:t>
                  </w:r>
                </w:p>
              </w:tc>
              <w:tc>
                <w:tcPr>
                  <w:tcW w:w="394" w:type="dxa"/>
                  <w:vMerge w:val="continue"/>
                  <w:vAlign w:val="center"/>
                </w:tcPr>
                <w:p w14:paraId="55ACA3AB">
                  <w:pPr>
                    <w:snapToGrid w:val="0"/>
                    <w:jc w:val="center"/>
                    <w:rPr>
                      <w:bCs/>
                      <w:color w:val="auto"/>
                      <w:szCs w:val="21"/>
                    </w:rPr>
                  </w:pPr>
                </w:p>
              </w:tc>
              <w:tc>
                <w:tcPr>
                  <w:tcW w:w="795" w:type="dxa"/>
                  <w:vMerge w:val="continue"/>
                  <w:vAlign w:val="center"/>
                </w:tcPr>
                <w:p w14:paraId="686868C2">
                  <w:pPr>
                    <w:snapToGrid w:val="0"/>
                    <w:jc w:val="center"/>
                    <w:rPr>
                      <w:bCs/>
                      <w:color w:val="auto"/>
                      <w:szCs w:val="21"/>
                    </w:rPr>
                  </w:pPr>
                </w:p>
              </w:tc>
              <w:tc>
                <w:tcPr>
                  <w:tcW w:w="720" w:type="dxa"/>
                  <w:vMerge w:val="continue"/>
                  <w:vAlign w:val="center"/>
                </w:tcPr>
                <w:p w14:paraId="2F97ADA8">
                  <w:pPr>
                    <w:snapToGrid w:val="0"/>
                    <w:jc w:val="center"/>
                    <w:rPr>
                      <w:bCs/>
                      <w:color w:val="auto"/>
                      <w:szCs w:val="21"/>
                    </w:rPr>
                  </w:pPr>
                </w:p>
              </w:tc>
              <w:tc>
                <w:tcPr>
                  <w:tcW w:w="825" w:type="dxa"/>
                  <w:vMerge w:val="continue"/>
                  <w:vAlign w:val="center"/>
                </w:tcPr>
                <w:p w14:paraId="1CA21431">
                  <w:pPr>
                    <w:snapToGrid w:val="0"/>
                    <w:jc w:val="center"/>
                    <w:rPr>
                      <w:bCs/>
                      <w:color w:val="auto"/>
                      <w:szCs w:val="21"/>
                    </w:rPr>
                  </w:pPr>
                </w:p>
              </w:tc>
              <w:tc>
                <w:tcPr>
                  <w:tcW w:w="1765" w:type="dxa"/>
                  <w:vAlign w:val="center"/>
                </w:tcPr>
                <w:p w14:paraId="50C16DC8">
                  <w:pPr>
                    <w:snapToGrid w:val="0"/>
                    <w:jc w:val="center"/>
                    <w:rPr>
                      <w:bCs/>
                      <w:color w:val="auto"/>
                      <w:szCs w:val="21"/>
                    </w:rPr>
                  </w:pPr>
                  <w:r>
                    <w:rPr>
                      <w:rFonts w:hint="default" w:ascii="Times New Roman" w:hAnsi="Times New Roman" w:eastAsia="宋体" w:cs="Times New Roman"/>
                      <w:bCs/>
                      <w:color w:val="auto"/>
                      <w:szCs w:val="21"/>
                    </w:rPr>
                    <w:t>经集气罩（90%）收集后经密闭抽尘管道引布袋除尘器（与烘干尾气处共用共用，效率99%）处理后通过1根</w:t>
                  </w:r>
                  <w:r>
                    <w:rPr>
                      <w:rFonts w:hint="eastAsia" w:ascii="Times New Roman" w:hAnsi="Times New Roman" w:eastAsia="宋体" w:cs="Times New Roman"/>
                      <w:bCs/>
                      <w:color w:val="auto"/>
                      <w:szCs w:val="21"/>
                      <w:lang w:val="en-US" w:eastAsia="zh-CN"/>
                    </w:rPr>
                    <w:t>20</w:t>
                  </w:r>
                  <w:r>
                    <w:rPr>
                      <w:rFonts w:hint="default" w:ascii="Times New Roman" w:hAnsi="Times New Roman" w:eastAsia="宋体" w:cs="Times New Roman"/>
                      <w:bCs/>
                      <w:color w:val="auto"/>
                      <w:szCs w:val="21"/>
                    </w:rPr>
                    <w:t>m 高排气筒（DA002）排放</w:t>
                  </w:r>
                </w:p>
              </w:tc>
              <w:tc>
                <w:tcPr>
                  <w:tcW w:w="775" w:type="dxa"/>
                  <w:vMerge w:val="continue"/>
                  <w:vAlign w:val="center"/>
                </w:tcPr>
                <w:p w14:paraId="7A1F6374">
                  <w:pPr>
                    <w:snapToGrid w:val="0"/>
                    <w:jc w:val="center"/>
                    <w:rPr>
                      <w:bCs/>
                      <w:color w:val="auto"/>
                      <w:szCs w:val="21"/>
                    </w:rPr>
                  </w:pPr>
                </w:p>
              </w:tc>
              <w:tc>
                <w:tcPr>
                  <w:tcW w:w="689" w:type="dxa"/>
                  <w:vMerge w:val="continue"/>
                  <w:vAlign w:val="center"/>
                </w:tcPr>
                <w:p w14:paraId="00680009">
                  <w:pPr>
                    <w:snapToGrid w:val="0"/>
                    <w:jc w:val="center"/>
                    <w:rPr>
                      <w:bCs/>
                      <w:color w:val="auto"/>
                      <w:szCs w:val="21"/>
                    </w:rPr>
                  </w:pPr>
                </w:p>
              </w:tc>
              <w:tc>
                <w:tcPr>
                  <w:tcW w:w="693" w:type="dxa"/>
                  <w:vMerge w:val="continue"/>
                  <w:vAlign w:val="center"/>
                </w:tcPr>
                <w:p w14:paraId="0AEB96F8">
                  <w:pPr>
                    <w:snapToGrid w:val="0"/>
                    <w:jc w:val="center"/>
                    <w:rPr>
                      <w:bCs/>
                      <w:color w:val="auto"/>
                      <w:szCs w:val="21"/>
                    </w:rPr>
                  </w:pPr>
                </w:p>
              </w:tc>
              <w:tc>
                <w:tcPr>
                  <w:tcW w:w="683" w:type="dxa"/>
                  <w:vAlign w:val="center"/>
                </w:tcPr>
                <w:p w14:paraId="6C274631">
                  <w:pPr>
                    <w:snapToGrid w:val="0"/>
                    <w:jc w:val="center"/>
                    <w:rPr>
                      <w:rFonts w:hint="eastAsia" w:eastAsia="宋体"/>
                      <w:bCs/>
                      <w:color w:val="auto"/>
                      <w:szCs w:val="21"/>
                      <w:lang w:val="en-US" w:eastAsia="zh-CN"/>
                    </w:rPr>
                  </w:pPr>
                  <w:r>
                    <w:rPr>
                      <w:rFonts w:hint="eastAsia"/>
                      <w:bCs/>
                      <w:color w:val="auto"/>
                      <w:szCs w:val="21"/>
                      <w:lang w:val="en-US" w:eastAsia="zh-CN"/>
                    </w:rPr>
                    <w:t>达标</w:t>
                  </w:r>
                </w:p>
              </w:tc>
            </w:tr>
          </w:tbl>
          <w:p w14:paraId="409AACA3">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ascii="Times New Roman" w:hAnsi="Times New Roman" w:cs="Times New Roman"/>
                <w:color w:val="auto"/>
                <w:spacing w:val="5"/>
                <w:sz w:val="24"/>
                <w:szCs w:val="24"/>
                <w:lang w:eastAsia="zh-CN"/>
              </w:rPr>
              <w:t>1.</w:t>
            </w:r>
            <w:r>
              <w:rPr>
                <w:rFonts w:hint="eastAsia" w:ascii="Times New Roman" w:hAnsi="Times New Roman" w:cs="Times New Roman"/>
                <w:color w:val="auto"/>
                <w:spacing w:val="5"/>
                <w:sz w:val="24"/>
                <w:szCs w:val="24"/>
                <w:lang w:eastAsia="zh-CN"/>
              </w:rPr>
              <w:t xml:space="preserve">2 </w:t>
            </w:r>
            <w:r>
              <w:rPr>
                <w:rFonts w:ascii="Times New Roman" w:hAnsi="Times New Roman" w:cs="Times New Roman"/>
                <w:color w:val="auto"/>
                <w:spacing w:val="5"/>
                <w:sz w:val="24"/>
                <w:szCs w:val="24"/>
                <w:lang w:eastAsia="zh-CN"/>
              </w:rPr>
              <w:t>非正常情况分析</w:t>
            </w:r>
          </w:p>
          <w:p w14:paraId="571FE25C">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非正常工况包括设备故障、污染物排放控制措施达不到应有效率、工艺设备运转异常等情况。</w:t>
            </w:r>
          </w:p>
          <w:p w14:paraId="1EEA3F9A">
            <w:pPr>
              <w:pStyle w:val="46"/>
              <w:spacing w:line="360" w:lineRule="auto"/>
              <w:ind w:firstLine="500" w:firstLineChars="200"/>
              <w:jc w:val="left"/>
              <w:rPr>
                <w:rFonts w:hint="eastAsia" w:ascii="Times New Roman" w:hAnsi="Times New Roman" w:cs="Times New Roman"/>
                <w:b/>
                <w:color w:val="auto"/>
                <w:kern w:val="0"/>
                <w:sz w:val="24"/>
                <w:lang w:eastAsia="zh-CN"/>
              </w:rPr>
            </w:pPr>
            <w:r>
              <w:rPr>
                <w:rFonts w:hint="eastAsia" w:ascii="Times New Roman" w:hAnsi="Times New Roman" w:cs="Times New Roman"/>
                <w:color w:val="auto"/>
                <w:spacing w:val="5"/>
                <w:sz w:val="24"/>
                <w:szCs w:val="24"/>
                <w:lang w:eastAsia="zh-CN"/>
              </w:rPr>
              <w:t>本项目环保设备发生故障时，</w:t>
            </w:r>
            <w:r>
              <w:rPr>
                <w:rFonts w:hint="eastAsia" w:ascii="Times New Roman" w:hAnsi="Times New Roman" w:cs="Times New Roman"/>
                <w:color w:val="auto"/>
                <w:spacing w:val="5"/>
                <w:sz w:val="24"/>
                <w:szCs w:val="24"/>
                <w:lang w:val="en-US" w:eastAsia="zh-CN"/>
              </w:rPr>
              <w:t>集气罩及</w:t>
            </w:r>
            <w:r>
              <w:rPr>
                <w:rFonts w:hint="eastAsia" w:ascii="Times New Roman" w:hAnsi="Times New Roman" w:cs="Times New Roman"/>
                <w:color w:val="auto"/>
                <w:spacing w:val="5"/>
                <w:sz w:val="24"/>
                <w:szCs w:val="24"/>
                <w:lang w:eastAsia="zh-CN"/>
              </w:rPr>
              <w:t>布袋除尘器除尘</w:t>
            </w:r>
            <w:r>
              <w:rPr>
                <w:rFonts w:hint="eastAsia" w:ascii="Times New Roman" w:hAnsi="Times New Roman" w:cs="Times New Roman"/>
                <w:color w:val="auto"/>
                <w:spacing w:val="5"/>
                <w:sz w:val="24"/>
                <w:szCs w:val="24"/>
                <w:lang w:val="en-US" w:eastAsia="zh-CN"/>
              </w:rPr>
              <w:t>不工作</w:t>
            </w:r>
            <w:r>
              <w:rPr>
                <w:rFonts w:hint="eastAsia" w:ascii="Times New Roman" w:hAnsi="Times New Roman" w:cs="Times New Roman"/>
                <w:color w:val="auto"/>
                <w:spacing w:val="5"/>
                <w:sz w:val="24"/>
                <w:szCs w:val="24"/>
                <w:lang w:eastAsia="zh-CN"/>
              </w:rPr>
              <w:t>，项目非正常工况下废气排放情况汇总见下表。</w:t>
            </w:r>
          </w:p>
          <w:p w14:paraId="4518EEF2">
            <w:pPr>
              <w:pStyle w:val="46"/>
              <w:ind w:firstLine="482" w:firstLineChars="200"/>
              <w:jc w:val="center"/>
              <w:rPr>
                <w:rFonts w:ascii="Times New Roman" w:hAnsi="Times New Roman" w:cs="Times New Roman"/>
                <w:b/>
                <w:color w:val="auto"/>
                <w:kern w:val="0"/>
                <w:sz w:val="24"/>
                <w:lang w:eastAsia="zh-CN"/>
              </w:rPr>
            </w:pPr>
            <w:r>
              <w:rPr>
                <w:rFonts w:hint="eastAsia" w:ascii="Times New Roman" w:hAnsi="Times New Roman" w:cs="Times New Roman"/>
                <w:b/>
                <w:color w:val="auto"/>
                <w:kern w:val="0"/>
                <w:sz w:val="24"/>
                <w:lang w:eastAsia="zh-CN"/>
              </w:rPr>
              <w:t>表4-</w:t>
            </w:r>
            <w:r>
              <w:rPr>
                <w:rFonts w:hint="eastAsia" w:ascii="Times New Roman" w:hAnsi="Times New Roman" w:cs="Times New Roman"/>
                <w:b/>
                <w:color w:val="auto"/>
                <w:kern w:val="0"/>
                <w:sz w:val="24"/>
                <w:lang w:val="en-US" w:eastAsia="zh-CN"/>
              </w:rPr>
              <w:t>6</w:t>
            </w:r>
            <w:r>
              <w:rPr>
                <w:rFonts w:hint="eastAsia" w:ascii="Times New Roman" w:hAnsi="Times New Roman" w:cs="Times New Roman"/>
                <w:b/>
                <w:color w:val="auto"/>
                <w:kern w:val="0"/>
                <w:sz w:val="24"/>
                <w:lang w:eastAsia="zh-CN"/>
              </w:rPr>
              <w:t xml:space="preserve">    非正常工况下废气产排情况一览表</w:t>
            </w:r>
          </w:p>
          <w:tbl>
            <w:tblPr>
              <w:tblStyle w:val="23"/>
              <w:tblW w:w="8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960"/>
              <w:gridCol w:w="825"/>
              <w:gridCol w:w="675"/>
              <w:gridCol w:w="1126"/>
              <w:gridCol w:w="869"/>
              <w:gridCol w:w="855"/>
              <w:gridCol w:w="780"/>
              <w:gridCol w:w="705"/>
              <w:gridCol w:w="900"/>
            </w:tblGrid>
            <w:tr w14:paraId="08A4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399" w:type="dxa"/>
                  <w:vAlign w:val="center"/>
                </w:tcPr>
                <w:p w14:paraId="6A9561A3">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序号</w:t>
                  </w:r>
                </w:p>
              </w:tc>
              <w:tc>
                <w:tcPr>
                  <w:tcW w:w="960" w:type="dxa"/>
                  <w:vAlign w:val="center"/>
                </w:tcPr>
                <w:p w14:paraId="6ADD9906">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非正常排放源</w:t>
                  </w:r>
                </w:p>
              </w:tc>
              <w:tc>
                <w:tcPr>
                  <w:tcW w:w="825" w:type="dxa"/>
                  <w:vAlign w:val="center"/>
                </w:tcPr>
                <w:p w14:paraId="132C67A9">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非正常排放原因</w:t>
                  </w:r>
                </w:p>
              </w:tc>
              <w:tc>
                <w:tcPr>
                  <w:tcW w:w="675" w:type="dxa"/>
                  <w:vAlign w:val="center"/>
                </w:tcPr>
                <w:p w14:paraId="1C72E6F8">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污染物种类</w:t>
                  </w:r>
                </w:p>
              </w:tc>
              <w:tc>
                <w:tcPr>
                  <w:tcW w:w="1126" w:type="dxa"/>
                  <w:vAlign w:val="center"/>
                </w:tcPr>
                <w:p w14:paraId="3FBC48BC">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非正常工况下设备处理效率</w:t>
                  </w:r>
                </w:p>
              </w:tc>
              <w:tc>
                <w:tcPr>
                  <w:tcW w:w="869" w:type="dxa"/>
                  <w:vAlign w:val="center"/>
                </w:tcPr>
                <w:p w14:paraId="24FF6E0A">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非正常排放量t/a</w:t>
                  </w:r>
                </w:p>
              </w:tc>
              <w:tc>
                <w:tcPr>
                  <w:tcW w:w="855" w:type="dxa"/>
                  <w:vAlign w:val="center"/>
                </w:tcPr>
                <w:p w14:paraId="3B0BE98A">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非正常排放速率kg/h</w:t>
                  </w:r>
                </w:p>
              </w:tc>
              <w:tc>
                <w:tcPr>
                  <w:tcW w:w="780" w:type="dxa"/>
                  <w:vAlign w:val="center"/>
                </w:tcPr>
                <w:p w14:paraId="017AE575">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单次持续时间h</w:t>
                  </w:r>
                </w:p>
              </w:tc>
              <w:tc>
                <w:tcPr>
                  <w:tcW w:w="705" w:type="dxa"/>
                  <w:vAlign w:val="center"/>
                </w:tcPr>
                <w:p w14:paraId="754EBB5D">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年发生频次</w:t>
                  </w:r>
                </w:p>
              </w:tc>
              <w:tc>
                <w:tcPr>
                  <w:tcW w:w="900" w:type="dxa"/>
                  <w:vAlign w:val="center"/>
                </w:tcPr>
                <w:p w14:paraId="2EE4F8FF">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措施</w:t>
                  </w:r>
                </w:p>
              </w:tc>
            </w:tr>
            <w:tr w14:paraId="6D60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99" w:type="dxa"/>
                  <w:shd w:val="clear" w:color="auto" w:fill="auto"/>
                  <w:vAlign w:val="center"/>
                </w:tcPr>
                <w:p w14:paraId="6963F53F">
                  <w:pPr>
                    <w:pStyle w:val="19"/>
                    <w:spacing w:before="0" w:beforeAutospacing="0" w:after="0" w:afterAutospacing="0"/>
                    <w:jc w:val="center"/>
                    <w:outlineLvl w:val="0"/>
                    <w:rPr>
                      <w:rFonts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1</w:t>
                  </w:r>
                </w:p>
              </w:tc>
              <w:tc>
                <w:tcPr>
                  <w:tcW w:w="960" w:type="dxa"/>
                  <w:vAlign w:val="center"/>
                </w:tcPr>
                <w:p w14:paraId="76CC4E24">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lang w:val="en-US" w:eastAsia="zh-CN"/>
                    </w:rPr>
                    <w:t>筒仓粉尘</w:t>
                  </w:r>
                  <w:r>
                    <w:rPr>
                      <w:rFonts w:hint="eastAsia" w:ascii="Times New Roman" w:hAnsi="Times New Roman"/>
                      <w:bCs/>
                      <w:color w:val="auto"/>
                      <w:sz w:val="21"/>
                      <w:szCs w:val="21"/>
                    </w:rPr>
                    <w:t>G</w:t>
                  </w:r>
                  <w:r>
                    <w:rPr>
                      <w:rFonts w:hint="eastAsia" w:ascii="Times New Roman" w:hAnsi="Times New Roman"/>
                      <w:bCs/>
                      <w:color w:val="auto"/>
                      <w:sz w:val="21"/>
                      <w:szCs w:val="21"/>
                      <w:lang w:val="en-US" w:eastAsia="zh-CN"/>
                    </w:rPr>
                    <w:t>4</w:t>
                  </w:r>
                </w:p>
              </w:tc>
              <w:tc>
                <w:tcPr>
                  <w:tcW w:w="825" w:type="dxa"/>
                  <w:vMerge w:val="restart"/>
                  <w:vAlign w:val="center"/>
                </w:tcPr>
                <w:p w14:paraId="42F11872">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设备故障，处理设施失效</w:t>
                  </w:r>
                </w:p>
              </w:tc>
              <w:tc>
                <w:tcPr>
                  <w:tcW w:w="675" w:type="dxa"/>
                  <w:vMerge w:val="restart"/>
                  <w:vAlign w:val="center"/>
                </w:tcPr>
                <w:p w14:paraId="0D547995">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颗粒物</w:t>
                  </w:r>
                </w:p>
              </w:tc>
              <w:tc>
                <w:tcPr>
                  <w:tcW w:w="1126" w:type="dxa"/>
                  <w:vMerge w:val="restart"/>
                  <w:vAlign w:val="center"/>
                </w:tcPr>
                <w:p w14:paraId="6DFE04BB">
                  <w:pPr>
                    <w:pStyle w:val="19"/>
                    <w:spacing w:before="0" w:beforeAutospacing="0" w:after="0" w:afterAutospacing="0"/>
                    <w:jc w:val="center"/>
                    <w:outlineLvl w:val="0"/>
                    <w:rPr>
                      <w:rFonts w:hint="default" w:ascii="Times New Roman" w:hAnsi="Times New Roman" w:eastAsia="宋体"/>
                      <w:bCs/>
                      <w:color w:val="auto"/>
                      <w:sz w:val="21"/>
                      <w:szCs w:val="21"/>
                      <w:lang w:val="en-US" w:eastAsia="zh-CN"/>
                    </w:rPr>
                  </w:pPr>
                  <w:r>
                    <w:rPr>
                      <w:rFonts w:hint="eastAsia" w:ascii="Times New Roman" w:hAnsi="Times New Roman"/>
                      <w:bCs/>
                      <w:color w:val="auto"/>
                      <w:sz w:val="21"/>
                      <w:szCs w:val="21"/>
                      <w:lang w:val="en-US" w:eastAsia="zh-CN"/>
                    </w:rPr>
                    <w:t>0%</w:t>
                  </w:r>
                </w:p>
              </w:tc>
              <w:tc>
                <w:tcPr>
                  <w:tcW w:w="869" w:type="dxa"/>
                  <w:vAlign w:val="center"/>
                </w:tcPr>
                <w:p w14:paraId="132D5722">
                  <w:pPr>
                    <w:pStyle w:val="19"/>
                    <w:spacing w:before="0" w:beforeAutospacing="0" w:after="0" w:afterAutospacing="0"/>
                    <w:jc w:val="center"/>
                    <w:outlineLvl w:val="0"/>
                    <w:rPr>
                      <w:rFonts w:hint="eastAsia" w:ascii="Times New Roman" w:hAnsi="Times New Roman"/>
                      <w:bCs/>
                      <w:color w:val="auto"/>
                      <w:sz w:val="21"/>
                      <w:szCs w:val="21"/>
                    </w:rPr>
                  </w:pPr>
                  <w:r>
                    <w:rPr>
                      <w:rFonts w:hint="eastAsia" w:ascii="Times New Roman" w:hAnsi="Times New Roman"/>
                      <w:bCs/>
                      <w:color w:val="auto"/>
                      <w:sz w:val="21"/>
                      <w:szCs w:val="21"/>
                      <w:lang w:val="en-US" w:eastAsia="zh-CN"/>
                    </w:rPr>
                    <w:t>13.896</w:t>
                  </w:r>
                </w:p>
              </w:tc>
              <w:tc>
                <w:tcPr>
                  <w:tcW w:w="855" w:type="dxa"/>
                  <w:vAlign w:val="center"/>
                </w:tcPr>
                <w:p w14:paraId="2BF4CC13">
                  <w:pPr>
                    <w:pStyle w:val="19"/>
                    <w:spacing w:before="0" w:beforeAutospacing="0" w:after="0" w:afterAutospacing="0"/>
                    <w:jc w:val="center"/>
                    <w:outlineLvl w:val="0"/>
                    <w:rPr>
                      <w:rFonts w:hint="eastAsia" w:ascii="Times New Roman" w:hAnsi="Times New Roman"/>
                      <w:bCs/>
                      <w:color w:val="auto"/>
                      <w:sz w:val="21"/>
                      <w:szCs w:val="21"/>
                    </w:rPr>
                  </w:pPr>
                  <w:r>
                    <w:rPr>
                      <w:rFonts w:hint="eastAsia" w:ascii="Times New Roman" w:hAnsi="Times New Roman"/>
                      <w:bCs/>
                      <w:color w:val="auto"/>
                      <w:sz w:val="21"/>
                      <w:szCs w:val="21"/>
                      <w:lang w:val="en-US" w:eastAsia="zh-CN"/>
                    </w:rPr>
                    <w:t>1.74</w:t>
                  </w:r>
                </w:p>
              </w:tc>
              <w:tc>
                <w:tcPr>
                  <w:tcW w:w="780" w:type="dxa"/>
                  <w:vAlign w:val="center"/>
                </w:tcPr>
                <w:p w14:paraId="40C11715">
                  <w:pPr>
                    <w:widowControl/>
                    <w:jc w:val="center"/>
                    <w:rPr>
                      <w:rFonts w:hint="eastAsia"/>
                      <w:bCs/>
                      <w:color w:val="auto"/>
                      <w:kern w:val="0"/>
                      <w:szCs w:val="21"/>
                      <w:lang w:bidi="ar"/>
                    </w:rPr>
                  </w:pPr>
                  <w:r>
                    <w:rPr>
                      <w:rFonts w:hint="eastAsia"/>
                      <w:bCs/>
                      <w:color w:val="auto"/>
                      <w:kern w:val="0"/>
                      <w:szCs w:val="21"/>
                      <w:lang w:bidi="ar"/>
                    </w:rPr>
                    <w:t>0.5~</w:t>
                  </w:r>
                  <w:r>
                    <w:rPr>
                      <w:bCs/>
                      <w:color w:val="auto"/>
                      <w:kern w:val="0"/>
                      <w:szCs w:val="21"/>
                      <w:lang w:bidi="ar"/>
                    </w:rPr>
                    <w:t>1</w:t>
                  </w:r>
                </w:p>
              </w:tc>
              <w:tc>
                <w:tcPr>
                  <w:tcW w:w="705" w:type="dxa"/>
                  <w:vAlign w:val="center"/>
                </w:tcPr>
                <w:p w14:paraId="4BC49D71">
                  <w:pPr>
                    <w:widowControl/>
                    <w:jc w:val="center"/>
                    <w:rPr>
                      <w:bCs/>
                      <w:color w:val="auto"/>
                      <w:kern w:val="0"/>
                      <w:szCs w:val="21"/>
                      <w:lang w:bidi="ar"/>
                    </w:rPr>
                  </w:pPr>
                  <w:r>
                    <w:rPr>
                      <w:bCs/>
                      <w:color w:val="auto"/>
                      <w:kern w:val="0"/>
                      <w:szCs w:val="21"/>
                      <w:lang w:bidi="ar"/>
                    </w:rPr>
                    <w:t>1</w:t>
                  </w:r>
                </w:p>
              </w:tc>
              <w:tc>
                <w:tcPr>
                  <w:tcW w:w="900" w:type="dxa"/>
                  <w:vMerge w:val="restart"/>
                  <w:vAlign w:val="center"/>
                </w:tcPr>
                <w:p w14:paraId="5B262DCA">
                  <w:pPr>
                    <w:widowControl/>
                    <w:jc w:val="center"/>
                    <w:rPr>
                      <w:bCs/>
                      <w:color w:val="auto"/>
                      <w:szCs w:val="21"/>
                    </w:rPr>
                  </w:pPr>
                  <w:r>
                    <w:rPr>
                      <w:bCs/>
                      <w:color w:val="auto"/>
                      <w:kern w:val="0"/>
                      <w:szCs w:val="21"/>
                    </w:rPr>
                    <w:t>主体设备应停止运行，检修员按处理方案进行事故抢修</w:t>
                  </w:r>
                </w:p>
              </w:tc>
            </w:tr>
            <w:tr w14:paraId="761F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399" w:type="dxa"/>
                  <w:shd w:val="clear" w:color="auto" w:fill="auto"/>
                  <w:vAlign w:val="center"/>
                </w:tcPr>
                <w:p w14:paraId="40F99C93">
                  <w:pPr>
                    <w:pStyle w:val="19"/>
                    <w:spacing w:before="0" w:beforeAutospacing="0" w:after="0" w:afterAutospacing="0"/>
                    <w:jc w:val="center"/>
                    <w:outlineLvl w:val="0"/>
                    <w:rPr>
                      <w:rFonts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2</w:t>
                  </w:r>
                </w:p>
              </w:tc>
              <w:tc>
                <w:tcPr>
                  <w:tcW w:w="960" w:type="dxa"/>
                  <w:vAlign w:val="center"/>
                </w:tcPr>
                <w:p w14:paraId="679AAC1D">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上料粉尘</w:t>
                  </w:r>
                  <w:r>
                    <w:rPr>
                      <w:rFonts w:hint="eastAsia" w:ascii="Times New Roman" w:hAnsi="Times New Roman"/>
                      <w:bCs/>
                      <w:color w:val="auto"/>
                      <w:sz w:val="21"/>
                      <w:szCs w:val="21"/>
                    </w:rPr>
                    <w:t>（G</w:t>
                  </w:r>
                  <w:r>
                    <w:rPr>
                      <w:rFonts w:hint="eastAsia" w:ascii="Times New Roman" w:hAnsi="Times New Roman"/>
                      <w:bCs/>
                      <w:color w:val="auto"/>
                      <w:sz w:val="21"/>
                      <w:szCs w:val="21"/>
                      <w:lang w:val="en-US" w:eastAsia="zh-CN"/>
                    </w:rPr>
                    <w:t>5</w:t>
                  </w:r>
                  <w:r>
                    <w:rPr>
                      <w:rFonts w:hint="eastAsia" w:ascii="Times New Roman" w:hAnsi="Times New Roman"/>
                      <w:bCs/>
                      <w:color w:val="auto"/>
                      <w:sz w:val="21"/>
                      <w:szCs w:val="21"/>
                    </w:rPr>
                    <w:t>）</w:t>
                  </w:r>
                  <w:r>
                    <w:rPr>
                      <w:rFonts w:ascii="Times New Roman" w:hAnsi="Times New Roman"/>
                      <w:bCs/>
                      <w:color w:val="auto"/>
                      <w:sz w:val="21"/>
                      <w:szCs w:val="21"/>
                    </w:rPr>
                    <w:t>DA001</w:t>
                  </w:r>
                </w:p>
              </w:tc>
              <w:tc>
                <w:tcPr>
                  <w:tcW w:w="825" w:type="dxa"/>
                  <w:vMerge w:val="continue"/>
                  <w:vAlign w:val="center"/>
                </w:tcPr>
                <w:p w14:paraId="2A9EE870">
                  <w:pPr>
                    <w:pStyle w:val="19"/>
                    <w:spacing w:before="0" w:beforeAutospacing="0" w:after="0" w:afterAutospacing="0"/>
                    <w:jc w:val="center"/>
                    <w:outlineLvl w:val="0"/>
                    <w:rPr>
                      <w:rFonts w:ascii="Times New Roman" w:hAnsi="Times New Roman"/>
                      <w:bCs/>
                      <w:color w:val="auto"/>
                      <w:sz w:val="21"/>
                      <w:szCs w:val="21"/>
                    </w:rPr>
                  </w:pPr>
                </w:p>
              </w:tc>
              <w:tc>
                <w:tcPr>
                  <w:tcW w:w="675" w:type="dxa"/>
                  <w:vMerge w:val="continue"/>
                  <w:vAlign w:val="center"/>
                </w:tcPr>
                <w:p w14:paraId="7902E712">
                  <w:pPr>
                    <w:pStyle w:val="19"/>
                    <w:spacing w:before="0" w:beforeAutospacing="0" w:after="0" w:afterAutospacing="0"/>
                    <w:jc w:val="center"/>
                    <w:outlineLvl w:val="0"/>
                    <w:rPr>
                      <w:rFonts w:ascii="Times New Roman" w:hAnsi="Times New Roman"/>
                      <w:bCs/>
                      <w:color w:val="auto"/>
                      <w:sz w:val="21"/>
                      <w:szCs w:val="21"/>
                    </w:rPr>
                  </w:pPr>
                </w:p>
              </w:tc>
              <w:tc>
                <w:tcPr>
                  <w:tcW w:w="1126" w:type="dxa"/>
                  <w:vMerge w:val="continue"/>
                  <w:vAlign w:val="center"/>
                </w:tcPr>
                <w:p w14:paraId="4B9E3655">
                  <w:pPr>
                    <w:pStyle w:val="19"/>
                    <w:spacing w:before="0" w:beforeAutospacing="0" w:after="0" w:afterAutospacing="0"/>
                    <w:jc w:val="center"/>
                    <w:outlineLvl w:val="0"/>
                    <w:rPr>
                      <w:rFonts w:hint="default" w:ascii="Times New Roman" w:hAnsi="Times New Roman" w:eastAsia="宋体"/>
                      <w:bCs/>
                      <w:color w:val="auto"/>
                      <w:sz w:val="21"/>
                      <w:szCs w:val="21"/>
                      <w:lang w:val="en-US" w:eastAsia="zh-CN"/>
                    </w:rPr>
                  </w:pPr>
                </w:p>
              </w:tc>
              <w:tc>
                <w:tcPr>
                  <w:tcW w:w="869" w:type="dxa"/>
                  <w:vAlign w:val="center"/>
                </w:tcPr>
                <w:p w14:paraId="634BDE4F">
                  <w:pPr>
                    <w:pStyle w:val="19"/>
                    <w:spacing w:before="0" w:beforeAutospacing="0" w:after="0" w:afterAutospacing="0"/>
                    <w:jc w:val="center"/>
                    <w:outlineLvl w:val="0"/>
                    <w:rPr>
                      <w:rFonts w:hint="default" w:ascii="Times New Roman" w:hAnsi="Times New Roman"/>
                      <w:bCs/>
                      <w:color w:val="auto"/>
                      <w:sz w:val="21"/>
                      <w:szCs w:val="21"/>
                      <w:lang w:val="en-US" w:eastAsia="zh-CN"/>
                    </w:rPr>
                  </w:pPr>
                  <w:r>
                    <w:rPr>
                      <w:rFonts w:hint="eastAsia" w:ascii="Times New Roman" w:hAnsi="Times New Roman"/>
                      <w:bCs/>
                      <w:color w:val="auto"/>
                      <w:sz w:val="21"/>
                      <w:szCs w:val="21"/>
                      <w:lang w:val="en-US" w:eastAsia="zh-CN"/>
                    </w:rPr>
                    <w:t>45.636</w:t>
                  </w:r>
                </w:p>
              </w:tc>
              <w:tc>
                <w:tcPr>
                  <w:tcW w:w="855" w:type="dxa"/>
                  <w:vAlign w:val="center"/>
                </w:tcPr>
                <w:p w14:paraId="1FE9FDF7">
                  <w:pPr>
                    <w:pStyle w:val="19"/>
                    <w:spacing w:before="0" w:beforeAutospacing="0" w:after="0" w:afterAutospacing="0"/>
                    <w:jc w:val="center"/>
                    <w:outlineLvl w:val="0"/>
                    <w:rPr>
                      <w:rFonts w:hint="default" w:ascii="Times New Roman" w:hAnsi="Times New Roman"/>
                      <w:bCs/>
                      <w:color w:val="auto"/>
                      <w:sz w:val="21"/>
                      <w:szCs w:val="21"/>
                      <w:lang w:val="en-US" w:eastAsia="zh-CN"/>
                    </w:rPr>
                  </w:pPr>
                  <w:r>
                    <w:rPr>
                      <w:rFonts w:hint="eastAsia" w:ascii="Times New Roman" w:hAnsi="Times New Roman"/>
                      <w:bCs/>
                      <w:color w:val="auto"/>
                      <w:sz w:val="21"/>
                      <w:szCs w:val="21"/>
                      <w:lang w:val="en-US" w:eastAsia="zh-CN"/>
                    </w:rPr>
                    <w:t>5.71</w:t>
                  </w:r>
                </w:p>
              </w:tc>
              <w:tc>
                <w:tcPr>
                  <w:tcW w:w="780" w:type="dxa"/>
                  <w:vAlign w:val="center"/>
                </w:tcPr>
                <w:p w14:paraId="45D04C1E">
                  <w:pPr>
                    <w:widowControl/>
                    <w:jc w:val="center"/>
                    <w:rPr>
                      <w:bCs/>
                      <w:color w:val="auto"/>
                      <w:szCs w:val="21"/>
                    </w:rPr>
                  </w:pPr>
                  <w:r>
                    <w:rPr>
                      <w:rFonts w:hint="eastAsia"/>
                      <w:bCs/>
                      <w:color w:val="auto"/>
                      <w:kern w:val="0"/>
                      <w:szCs w:val="21"/>
                      <w:lang w:bidi="ar"/>
                    </w:rPr>
                    <w:t>0.5~</w:t>
                  </w:r>
                  <w:r>
                    <w:rPr>
                      <w:bCs/>
                      <w:color w:val="auto"/>
                      <w:kern w:val="0"/>
                      <w:szCs w:val="21"/>
                      <w:lang w:bidi="ar"/>
                    </w:rPr>
                    <w:t>1</w:t>
                  </w:r>
                </w:p>
              </w:tc>
              <w:tc>
                <w:tcPr>
                  <w:tcW w:w="705" w:type="dxa"/>
                  <w:vAlign w:val="center"/>
                </w:tcPr>
                <w:p w14:paraId="4F485FF4">
                  <w:pPr>
                    <w:widowControl/>
                    <w:jc w:val="center"/>
                    <w:rPr>
                      <w:bCs/>
                      <w:color w:val="auto"/>
                      <w:szCs w:val="21"/>
                    </w:rPr>
                  </w:pPr>
                  <w:r>
                    <w:rPr>
                      <w:bCs/>
                      <w:color w:val="auto"/>
                      <w:kern w:val="0"/>
                      <w:szCs w:val="21"/>
                      <w:lang w:bidi="ar"/>
                    </w:rPr>
                    <w:t>1</w:t>
                  </w:r>
                </w:p>
              </w:tc>
              <w:tc>
                <w:tcPr>
                  <w:tcW w:w="900" w:type="dxa"/>
                  <w:vMerge w:val="continue"/>
                  <w:vAlign w:val="center"/>
                </w:tcPr>
                <w:p w14:paraId="0E86746C">
                  <w:pPr>
                    <w:widowControl/>
                    <w:jc w:val="center"/>
                    <w:rPr>
                      <w:bCs/>
                      <w:color w:val="auto"/>
                      <w:szCs w:val="21"/>
                    </w:rPr>
                  </w:pPr>
                </w:p>
              </w:tc>
            </w:tr>
            <w:tr w14:paraId="3FDB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99" w:type="dxa"/>
                  <w:shd w:val="clear" w:color="auto" w:fill="auto"/>
                  <w:vAlign w:val="center"/>
                </w:tcPr>
                <w:p w14:paraId="4D5F0A96">
                  <w:pPr>
                    <w:pStyle w:val="19"/>
                    <w:spacing w:before="0" w:beforeAutospacing="0" w:after="0" w:afterAutospacing="0"/>
                    <w:jc w:val="center"/>
                    <w:outlineLvl w:val="0"/>
                    <w:rPr>
                      <w:rFonts w:hint="eastAsia" w:ascii="Times New Roman" w:hAnsi="Times New Roman" w:eastAsia="宋体"/>
                      <w:bCs/>
                      <w:color w:val="auto"/>
                      <w:sz w:val="21"/>
                      <w:szCs w:val="21"/>
                      <w:lang w:val="en-US" w:eastAsia="zh-CN"/>
                    </w:rPr>
                  </w:pPr>
                  <w:r>
                    <w:rPr>
                      <w:rFonts w:hint="eastAsia" w:ascii="Times New Roman" w:hAnsi="Times New Roman"/>
                      <w:bCs/>
                      <w:color w:val="auto"/>
                      <w:sz w:val="21"/>
                      <w:szCs w:val="21"/>
                      <w:lang w:val="en-US" w:eastAsia="zh-CN"/>
                    </w:rPr>
                    <w:t>3</w:t>
                  </w:r>
                </w:p>
              </w:tc>
              <w:tc>
                <w:tcPr>
                  <w:tcW w:w="960" w:type="dxa"/>
                  <w:vAlign w:val="center"/>
                </w:tcPr>
                <w:p w14:paraId="65034A82">
                  <w:pPr>
                    <w:pStyle w:val="19"/>
                    <w:spacing w:before="0" w:beforeAutospacing="0" w:after="0" w:afterAutospacing="0"/>
                    <w:jc w:val="center"/>
                    <w:outlineLvl w:val="0"/>
                    <w:rPr>
                      <w:rFonts w:hint="default" w:ascii="Times New Roman" w:hAnsi="Times New Roman"/>
                      <w:bCs/>
                      <w:color w:val="auto"/>
                      <w:sz w:val="21"/>
                      <w:szCs w:val="21"/>
                      <w:lang w:val="en-US" w:eastAsia="zh-CN"/>
                    </w:rPr>
                  </w:pPr>
                  <w:r>
                    <w:rPr>
                      <w:rFonts w:hint="eastAsia" w:ascii="Times New Roman" w:hAnsi="Times New Roman"/>
                      <w:bCs/>
                      <w:color w:val="auto"/>
                      <w:sz w:val="21"/>
                      <w:szCs w:val="21"/>
                      <w:lang w:val="en-US" w:eastAsia="zh-CN"/>
                    </w:rPr>
                    <w:t>搅拌粉尘</w:t>
                  </w:r>
                  <w:r>
                    <w:rPr>
                      <w:rFonts w:hint="eastAsia" w:ascii="Times New Roman" w:hAnsi="Times New Roman"/>
                      <w:bCs/>
                      <w:color w:val="auto"/>
                      <w:sz w:val="21"/>
                      <w:szCs w:val="21"/>
                    </w:rPr>
                    <w:t>（G</w:t>
                  </w:r>
                  <w:r>
                    <w:rPr>
                      <w:rFonts w:hint="eastAsia" w:ascii="Times New Roman" w:hAnsi="Times New Roman"/>
                      <w:bCs/>
                      <w:color w:val="auto"/>
                      <w:sz w:val="21"/>
                      <w:szCs w:val="21"/>
                      <w:lang w:val="en-US" w:eastAsia="zh-CN"/>
                    </w:rPr>
                    <w:t>6</w:t>
                  </w:r>
                  <w:r>
                    <w:rPr>
                      <w:rFonts w:hint="eastAsia" w:ascii="Times New Roman" w:hAnsi="Times New Roman"/>
                      <w:bCs/>
                      <w:color w:val="auto"/>
                      <w:sz w:val="21"/>
                      <w:szCs w:val="21"/>
                    </w:rPr>
                    <w:t>）</w:t>
                  </w:r>
                  <w:r>
                    <w:rPr>
                      <w:rFonts w:ascii="Times New Roman" w:hAnsi="Times New Roman"/>
                      <w:bCs/>
                      <w:color w:val="auto"/>
                      <w:sz w:val="21"/>
                      <w:szCs w:val="21"/>
                    </w:rPr>
                    <w:t>DA002</w:t>
                  </w:r>
                </w:p>
              </w:tc>
              <w:tc>
                <w:tcPr>
                  <w:tcW w:w="825" w:type="dxa"/>
                  <w:vMerge w:val="continue"/>
                  <w:vAlign w:val="center"/>
                </w:tcPr>
                <w:p w14:paraId="0825D88C">
                  <w:pPr>
                    <w:pStyle w:val="19"/>
                    <w:spacing w:before="0" w:beforeAutospacing="0" w:after="0" w:afterAutospacing="0"/>
                    <w:jc w:val="center"/>
                    <w:outlineLvl w:val="0"/>
                    <w:rPr>
                      <w:rFonts w:ascii="Times New Roman" w:hAnsi="Times New Roman"/>
                      <w:bCs/>
                      <w:color w:val="auto"/>
                      <w:sz w:val="21"/>
                      <w:szCs w:val="21"/>
                    </w:rPr>
                  </w:pPr>
                </w:p>
              </w:tc>
              <w:tc>
                <w:tcPr>
                  <w:tcW w:w="675" w:type="dxa"/>
                  <w:vMerge w:val="continue"/>
                  <w:vAlign w:val="center"/>
                </w:tcPr>
                <w:p w14:paraId="70D7D52B">
                  <w:pPr>
                    <w:pStyle w:val="19"/>
                    <w:spacing w:before="0" w:beforeAutospacing="0" w:after="0" w:afterAutospacing="0"/>
                    <w:jc w:val="center"/>
                    <w:outlineLvl w:val="0"/>
                    <w:rPr>
                      <w:rFonts w:ascii="Times New Roman" w:hAnsi="Times New Roman"/>
                      <w:bCs/>
                      <w:color w:val="auto"/>
                      <w:sz w:val="21"/>
                      <w:szCs w:val="21"/>
                    </w:rPr>
                  </w:pPr>
                </w:p>
              </w:tc>
              <w:tc>
                <w:tcPr>
                  <w:tcW w:w="1126" w:type="dxa"/>
                  <w:vMerge w:val="continue"/>
                  <w:vAlign w:val="center"/>
                </w:tcPr>
                <w:p w14:paraId="6C5B7778">
                  <w:pPr>
                    <w:pStyle w:val="19"/>
                    <w:spacing w:before="0" w:beforeAutospacing="0" w:after="0" w:afterAutospacing="0"/>
                    <w:jc w:val="center"/>
                    <w:outlineLvl w:val="0"/>
                    <w:rPr>
                      <w:rFonts w:ascii="Times New Roman" w:hAnsi="Times New Roman"/>
                      <w:bCs/>
                      <w:color w:val="auto"/>
                      <w:sz w:val="21"/>
                      <w:szCs w:val="21"/>
                    </w:rPr>
                  </w:pPr>
                </w:p>
              </w:tc>
              <w:tc>
                <w:tcPr>
                  <w:tcW w:w="869" w:type="dxa"/>
                  <w:vMerge w:val="restart"/>
                  <w:vAlign w:val="center"/>
                </w:tcPr>
                <w:p w14:paraId="7CD452CF">
                  <w:pPr>
                    <w:widowControl/>
                    <w:jc w:val="center"/>
                    <w:rPr>
                      <w:rFonts w:hint="eastAsia"/>
                      <w:bCs/>
                      <w:color w:val="auto"/>
                      <w:kern w:val="0"/>
                      <w:szCs w:val="21"/>
                      <w:lang w:val="en-US" w:eastAsia="zh-CN" w:bidi="ar"/>
                    </w:rPr>
                  </w:pPr>
                </w:p>
                <w:p w14:paraId="6F080B64">
                  <w:pPr>
                    <w:widowControl/>
                    <w:jc w:val="center"/>
                    <w:rPr>
                      <w:rFonts w:hint="eastAsia"/>
                      <w:bCs/>
                      <w:color w:val="auto"/>
                      <w:kern w:val="0"/>
                      <w:szCs w:val="21"/>
                      <w:lang w:val="en-US" w:eastAsia="zh-CN" w:bidi="ar"/>
                    </w:rPr>
                  </w:pPr>
                </w:p>
                <w:p w14:paraId="7B40D5AB">
                  <w:pPr>
                    <w:widowControl/>
                    <w:jc w:val="center"/>
                    <w:rPr>
                      <w:rFonts w:hint="eastAsia"/>
                      <w:bCs/>
                      <w:color w:val="auto"/>
                      <w:kern w:val="0"/>
                      <w:szCs w:val="21"/>
                      <w:lang w:val="en-US" w:eastAsia="zh-CN" w:bidi="ar"/>
                    </w:rPr>
                  </w:pPr>
                </w:p>
                <w:p w14:paraId="20F73DEE">
                  <w:pPr>
                    <w:widowControl/>
                    <w:jc w:val="center"/>
                    <w:rPr>
                      <w:rFonts w:hint="eastAsia"/>
                      <w:bCs/>
                      <w:color w:val="auto"/>
                      <w:kern w:val="0"/>
                      <w:szCs w:val="21"/>
                      <w:lang w:val="en-US" w:eastAsia="zh-CN" w:bidi="ar"/>
                    </w:rPr>
                  </w:pPr>
                </w:p>
                <w:p w14:paraId="7BCF7855">
                  <w:pPr>
                    <w:widowControl/>
                    <w:jc w:val="center"/>
                    <w:rPr>
                      <w:rFonts w:hint="default" w:eastAsia="宋体"/>
                      <w:bCs/>
                      <w:color w:val="auto"/>
                      <w:kern w:val="0"/>
                      <w:szCs w:val="21"/>
                      <w:lang w:val="en-US" w:eastAsia="zh-CN" w:bidi="ar"/>
                    </w:rPr>
                  </w:pPr>
                  <w:r>
                    <w:rPr>
                      <w:rFonts w:hint="eastAsia"/>
                      <w:bCs/>
                      <w:color w:val="auto"/>
                      <w:kern w:val="0"/>
                      <w:szCs w:val="21"/>
                      <w:lang w:val="en-US" w:eastAsia="zh-CN" w:bidi="ar"/>
                    </w:rPr>
                    <w:t>290.1</w:t>
                  </w:r>
                </w:p>
              </w:tc>
              <w:tc>
                <w:tcPr>
                  <w:tcW w:w="855" w:type="dxa"/>
                  <w:vMerge w:val="restart"/>
                  <w:vAlign w:val="center"/>
                </w:tcPr>
                <w:p w14:paraId="5F729798">
                  <w:pPr>
                    <w:widowControl/>
                    <w:jc w:val="center"/>
                    <w:rPr>
                      <w:rFonts w:hint="eastAsia"/>
                      <w:bCs/>
                      <w:color w:val="auto"/>
                      <w:kern w:val="0"/>
                      <w:szCs w:val="21"/>
                      <w:lang w:val="en-US" w:eastAsia="zh-CN" w:bidi="ar"/>
                    </w:rPr>
                  </w:pPr>
                </w:p>
                <w:p w14:paraId="6C9D8906">
                  <w:pPr>
                    <w:widowControl/>
                    <w:jc w:val="center"/>
                    <w:rPr>
                      <w:rFonts w:hint="eastAsia"/>
                      <w:bCs/>
                      <w:color w:val="auto"/>
                      <w:kern w:val="0"/>
                      <w:szCs w:val="21"/>
                      <w:lang w:val="en-US" w:eastAsia="zh-CN" w:bidi="ar"/>
                    </w:rPr>
                  </w:pPr>
                </w:p>
                <w:p w14:paraId="58D8DCE7">
                  <w:pPr>
                    <w:widowControl/>
                    <w:jc w:val="center"/>
                    <w:rPr>
                      <w:rFonts w:hint="eastAsia"/>
                      <w:bCs/>
                      <w:color w:val="auto"/>
                      <w:kern w:val="0"/>
                      <w:szCs w:val="21"/>
                      <w:lang w:val="en-US" w:eastAsia="zh-CN" w:bidi="ar"/>
                    </w:rPr>
                  </w:pPr>
                </w:p>
                <w:p w14:paraId="63AE0E44">
                  <w:pPr>
                    <w:widowControl/>
                    <w:jc w:val="center"/>
                    <w:rPr>
                      <w:rFonts w:hint="eastAsia"/>
                      <w:bCs/>
                      <w:color w:val="auto"/>
                      <w:kern w:val="0"/>
                      <w:szCs w:val="21"/>
                      <w:lang w:val="en-US" w:eastAsia="zh-CN" w:bidi="ar"/>
                    </w:rPr>
                  </w:pPr>
                </w:p>
                <w:p w14:paraId="4D2C489F">
                  <w:pPr>
                    <w:widowControl/>
                    <w:jc w:val="center"/>
                    <w:rPr>
                      <w:rFonts w:hint="default"/>
                      <w:bCs/>
                      <w:color w:val="auto"/>
                      <w:kern w:val="0"/>
                      <w:szCs w:val="21"/>
                      <w:lang w:val="en-US" w:eastAsia="zh-CN" w:bidi="ar"/>
                    </w:rPr>
                  </w:pPr>
                  <w:r>
                    <w:rPr>
                      <w:rFonts w:hint="eastAsia"/>
                      <w:bCs/>
                      <w:color w:val="auto"/>
                      <w:kern w:val="0"/>
                      <w:szCs w:val="21"/>
                      <w:lang w:val="en-US" w:eastAsia="zh-CN" w:bidi="ar"/>
                    </w:rPr>
                    <w:t>36.3</w:t>
                  </w:r>
                </w:p>
              </w:tc>
              <w:tc>
                <w:tcPr>
                  <w:tcW w:w="780" w:type="dxa"/>
                  <w:shd w:val="clear" w:color="auto" w:fill="auto"/>
                  <w:vAlign w:val="center"/>
                </w:tcPr>
                <w:p w14:paraId="62751876">
                  <w:pPr>
                    <w:widowControl/>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kern w:val="0"/>
                      <w:szCs w:val="21"/>
                      <w:lang w:bidi="ar"/>
                    </w:rPr>
                    <w:t>0.5~</w:t>
                  </w:r>
                  <w:r>
                    <w:rPr>
                      <w:bCs/>
                      <w:color w:val="auto"/>
                      <w:kern w:val="0"/>
                      <w:szCs w:val="21"/>
                      <w:lang w:bidi="ar"/>
                    </w:rPr>
                    <w:t>1</w:t>
                  </w:r>
                </w:p>
              </w:tc>
              <w:tc>
                <w:tcPr>
                  <w:tcW w:w="705" w:type="dxa"/>
                  <w:shd w:val="clear" w:color="auto" w:fill="auto"/>
                  <w:vAlign w:val="center"/>
                </w:tcPr>
                <w:p w14:paraId="18F0CC28">
                  <w:pPr>
                    <w:widowControl/>
                    <w:jc w:val="center"/>
                    <w:rPr>
                      <w:rFonts w:ascii="Times New Roman" w:hAnsi="Times New Roman" w:eastAsia="宋体" w:cs="Times New Roman"/>
                      <w:bCs/>
                      <w:color w:val="auto"/>
                      <w:kern w:val="2"/>
                      <w:sz w:val="21"/>
                      <w:szCs w:val="21"/>
                      <w:lang w:val="en-US" w:eastAsia="zh-CN" w:bidi="ar-SA"/>
                    </w:rPr>
                  </w:pPr>
                  <w:r>
                    <w:rPr>
                      <w:bCs/>
                      <w:color w:val="auto"/>
                      <w:kern w:val="0"/>
                      <w:szCs w:val="21"/>
                      <w:lang w:bidi="ar"/>
                    </w:rPr>
                    <w:t>1</w:t>
                  </w:r>
                </w:p>
              </w:tc>
              <w:tc>
                <w:tcPr>
                  <w:tcW w:w="900" w:type="dxa"/>
                  <w:vMerge w:val="continue"/>
                  <w:vAlign w:val="center"/>
                </w:tcPr>
                <w:p w14:paraId="3E6171D0">
                  <w:pPr>
                    <w:pStyle w:val="19"/>
                    <w:spacing w:before="0" w:beforeAutospacing="0" w:after="0" w:afterAutospacing="0"/>
                    <w:jc w:val="center"/>
                    <w:outlineLvl w:val="0"/>
                    <w:rPr>
                      <w:rFonts w:ascii="Times New Roman" w:hAnsi="Times New Roman"/>
                      <w:bCs/>
                      <w:color w:val="auto"/>
                      <w:sz w:val="21"/>
                      <w:szCs w:val="21"/>
                    </w:rPr>
                  </w:pPr>
                </w:p>
              </w:tc>
            </w:tr>
            <w:tr w14:paraId="59BB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99" w:type="dxa"/>
                  <w:shd w:val="clear" w:color="auto" w:fill="auto"/>
                  <w:vAlign w:val="center"/>
                </w:tcPr>
                <w:p w14:paraId="53677EB1">
                  <w:pPr>
                    <w:pStyle w:val="19"/>
                    <w:spacing w:before="0" w:beforeAutospacing="0" w:after="0" w:afterAutospacing="0"/>
                    <w:jc w:val="center"/>
                    <w:outlineLvl w:val="0"/>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bCs/>
                      <w:color w:val="auto"/>
                      <w:sz w:val="21"/>
                      <w:szCs w:val="21"/>
                      <w:lang w:val="en-US" w:eastAsia="zh-CN"/>
                    </w:rPr>
                    <w:t>4</w:t>
                  </w:r>
                </w:p>
              </w:tc>
              <w:tc>
                <w:tcPr>
                  <w:tcW w:w="960" w:type="dxa"/>
                  <w:vAlign w:val="center"/>
                </w:tcPr>
                <w:p w14:paraId="1A919CB1">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烘干粉尘</w:t>
                  </w:r>
                  <w:r>
                    <w:rPr>
                      <w:rFonts w:hint="eastAsia" w:ascii="Times New Roman" w:hAnsi="Times New Roman"/>
                      <w:bCs/>
                      <w:color w:val="auto"/>
                      <w:sz w:val="21"/>
                      <w:szCs w:val="21"/>
                    </w:rPr>
                    <w:t>（G</w:t>
                  </w:r>
                  <w:r>
                    <w:rPr>
                      <w:rFonts w:hint="eastAsia" w:ascii="Times New Roman" w:hAnsi="Times New Roman"/>
                      <w:bCs/>
                      <w:color w:val="auto"/>
                      <w:sz w:val="21"/>
                      <w:szCs w:val="21"/>
                      <w:lang w:val="en-US" w:eastAsia="zh-CN"/>
                    </w:rPr>
                    <w:t>7</w:t>
                  </w:r>
                  <w:r>
                    <w:rPr>
                      <w:rFonts w:hint="eastAsia" w:ascii="Times New Roman" w:hAnsi="Times New Roman"/>
                      <w:bCs/>
                      <w:color w:val="auto"/>
                      <w:sz w:val="21"/>
                      <w:szCs w:val="21"/>
                    </w:rPr>
                    <w:t>）</w:t>
                  </w:r>
                  <w:r>
                    <w:rPr>
                      <w:rFonts w:ascii="Times New Roman" w:hAnsi="Times New Roman"/>
                      <w:bCs/>
                      <w:color w:val="auto"/>
                      <w:sz w:val="21"/>
                      <w:szCs w:val="21"/>
                    </w:rPr>
                    <w:t>DA002</w:t>
                  </w:r>
                </w:p>
              </w:tc>
              <w:tc>
                <w:tcPr>
                  <w:tcW w:w="825" w:type="dxa"/>
                  <w:vMerge w:val="continue"/>
                  <w:vAlign w:val="center"/>
                </w:tcPr>
                <w:p w14:paraId="4D9A1B21">
                  <w:pPr>
                    <w:pStyle w:val="19"/>
                    <w:spacing w:before="0" w:beforeAutospacing="0" w:after="0" w:afterAutospacing="0"/>
                    <w:jc w:val="center"/>
                    <w:outlineLvl w:val="0"/>
                    <w:rPr>
                      <w:rFonts w:ascii="Times New Roman" w:hAnsi="Times New Roman"/>
                      <w:bCs/>
                      <w:color w:val="auto"/>
                      <w:sz w:val="21"/>
                      <w:szCs w:val="21"/>
                    </w:rPr>
                  </w:pPr>
                </w:p>
              </w:tc>
              <w:tc>
                <w:tcPr>
                  <w:tcW w:w="675" w:type="dxa"/>
                  <w:vMerge w:val="continue"/>
                  <w:vAlign w:val="center"/>
                </w:tcPr>
                <w:p w14:paraId="37B9086D">
                  <w:pPr>
                    <w:pStyle w:val="19"/>
                    <w:spacing w:before="0" w:beforeAutospacing="0" w:after="0" w:afterAutospacing="0"/>
                    <w:jc w:val="center"/>
                    <w:outlineLvl w:val="0"/>
                    <w:rPr>
                      <w:rFonts w:ascii="Times New Roman" w:hAnsi="Times New Roman"/>
                      <w:bCs/>
                      <w:color w:val="auto"/>
                      <w:sz w:val="21"/>
                      <w:szCs w:val="21"/>
                    </w:rPr>
                  </w:pPr>
                </w:p>
              </w:tc>
              <w:tc>
                <w:tcPr>
                  <w:tcW w:w="1126" w:type="dxa"/>
                  <w:vMerge w:val="continue"/>
                  <w:vAlign w:val="center"/>
                </w:tcPr>
                <w:p w14:paraId="583225F9">
                  <w:pPr>
                    <w:pStyle w:val="19"/>
                    <w:spacing w:before="0" w:beforeAutospacing="0" w:after="0" w:afterAutospacing="0"/>
                    <w:jc w:val="center"/>
                    <w:outlineLvl w:val="0"/>
                    <w:rPr>
                      <w:rFonts w:ascii="Times New Roman" w:hAnsi="Times New Roman"/>
                      <w:bCs/>
                      <w:color w:val="auto"/>
                      <w:sz w:val="21"/>
                      <w:szCs w:val="21"/>
                    </w:rPr>
                  </w:pPr>
                </w:p>
              </w:tc>
              <w:tc>
                <w:tcPr>
                  <w:tcW w:w="869" w:type="dxa"/>
                  <w:vMerge w:val="continue"/>
                  <w:vAlign w:val="center"/>
                </w:tcPr>
                <w:p w14:paraId="3F3EF331">
                  <w:pPr>
                    <w:pStyle w:val="19"/>
                    <w:spacing w:before="0" w:beforeAutospacing="0" w:after="0" w:afterAutospacing="0"/>
                    <w:jc w:val="center"/>
                    <w:outlineLvl w:val="0"/>
                    <w:rPr>
                      <w:rFonts w:hint="default" w:ascii="Times New Roman" w:hAnsi="Times New Roman" w:eastAsia="宋体"/>
                      <w:bCs/>
                      <w:color w:val="auto"/>
                      <w:sz w:val="21"/>
                      <w:szCs w:val="21"/>
                      <w:lang w:val="en-US" w:eastAsia="zh-CN"/>
                    </w:rPr>
                  </w:pPr>
                </w:p>
              </w:tc>
              <w:tc>
                <w:tcPr>
                  <w:tcW w:w="855" w:type="dxa"/>
                  <w:vMerge w:val="continue"/>
                  <w:vAlign w:val="center"/>
                </w:tcPr>
                <w:p w14:paraId="48974B23">
                  <w:pPr>
                    <w:pStyle w:val="19"/>
                    <w:spacing w:before="0" w:beforeAutospacing="0" w:after="0" w:afterAutospacing="0"/>
                    <w:jc w:val="center"/>
                    <w:outlineLvl w:val="0"/>
                    <w:rPr>
                      <w:rFonts w:hint="default" w:ascii="Times New Roman" w:hAnsi="Times New Roman" w:eastAsia="宋体"/>
                      <w:bCs/>
                      <w:color w:val="auto"/>
                      <w:sz w:val="21"/>
                      <w:szCs w:val="21"/>
                      <w:lang w:val="en-US" w:eastAsia="zh-CN"/>
                    </w:rPr>
                  </w:pPr>
                </w:p>
              </w:tc>
              <w:tc>
                <w:tcPr>
                  <w:tcW w:w="780" w:type="dxa"/>
                  <w:vAlign w:val="center"/>
                </w:tcPr>
                <w:p w14:paraId="75765528">
                  <w:pPr>
                    <w:widowControl/>
                    <w:jc w:val="center"/>
                    <w:rPr>
                      <w:bCs/>
                      <w:color w:val="auto"/>
                      <w:szCs w:val="21"/>
                    </w:rPr>
                  </w:pPr>
                  <w:r>
                    <w:rPr>
                      <w:rFonts w:hint="eastAsia"/>
                      <w:bCs/>
                      <w:color w:val="auto"/>
                      <w:kern w:val="0"/>
                      <w:szCs w:val="21"/>
                      <w:lang w:bidi="ar"/>
                    </w:rPr>
                    <w:t>0.5~</w:t>
                  </w:r>
                  <w:r>
                    <w:rPr>
                      <w:bCs/>
                      <w:color w:val="auto"/>
                      <w:kern w:val="0"/>
                      <w:szCs w:val="21"/>
                      <w:lang w:bidi="ar"/>
                    </w:rPr>
                    <w:t>1</w:t>
                  </w:r>
                </w:p>
              </w:tc>
              <w:tc>
                <w:tcPr>
                  <w:tcW w:w="705" w:type="dxa"/>
                  <w:vAlign w:val="center"/>
                </w:tcPr>
                <w:p w14:paraId="15E8615C">
                  <w:pPr>
                    <w:widowControl/>
                    <w:jc w:val="center"/>
                    <w:rPr>
                      <w:bCs/>
                      <w:color w:val="auto"/>
                      <w:szCs w:val="21"/>
                    </w:rPr>
                  </w:pPr>
                  <w:r>
                    <w:rPr>
                      <w:bCs/>
                      <w:color w:val="auto"/>
                      <w:kern w:val="0"/>
                      <w:szCs w:val="21"/>
                      <w:lang w:bidi="ar"/>
                    </w:rPr>
                    <w:t>1</w:t>
                  </w:r>
                </w:p>
              </w:tc>
              <w:tc>
                <w:tcPr>
                  <w:tcW w:w="900" w:type="dxa"/>
                  <w:vMerge w:val="continue"/>
                  <w:vAlign w:val="center"/>
                </w:tcPr>
                <w:p w14:paraId="2EF5E63D">
                  <w:pPr>
                    <w:pStyle w:val="19"/>
                    <w:spacing w:before="0" w:beforeAutospacing="0" w:after="0" w:afterAutospacing="0"/>
                    <w:jc w:val="center"/>
                    <w:outlineLvl w:val="0"/>
                    <w:rPr>
                      <w:rFonts w:ascii="Times New Roman" w:hAnsi="Times New Roman"/>
                      <w:bCs/>
                      <w:color w:val="auto"/>
                      <w:sz w:val="21"/>
                      <w:szCs w:val="21"/>
                    </w:rPr>
                  </w:pPr>
                </w:p>
              </w:tc>
            </w:tr>
            <w:tr w14:paraId="093A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399" w:type="dxa"/>
                  <w:vAlign w:val="center"/>
                </w:tcPr>
                <w:p w14:paraId="4C254472">
                  <w:pPr>
                    <w:pStyle w:val="19"/>
                    <w:spacing w:before="0" w:beforeAutospacing="0" w:after="0" w:afterAutospacing="0"/>
                    <w:jc w:val="center"/>
                    <w:outlineLvl w:val="0"/>
                    <w:rPr>
                      <w:rFonts w:hint="eastAsia" w:ascii="Times New Roman" w:hAnsi="Times New Roman" w:eastAsia="宋体"/>
                      <w:bCs/>
                      <w:color w:val="auto"/>
                      <w:sz w:val="21"/>
                      <w:szCs w:val="21"/>
                      <w:lang w:eastAsia="zh-CN"/>
                    </w:rPr>
                  </w:pPr>
                  <w:r>
                    <w:rPr>
                      <w:rFonts w:hint="eastAsia" w:ascii="Times New Roman" w:hAnsi="Times New Roman"/>
                      <w:bCs/>
                      <w:color w:val="auto"/>
                      <w:sz w:val="21"/>
                      <w:szCs w:val="21"/>
                      <w:lang w:val="en-US" w:eastAsia="zh-CN"/>
                    </w:rPr>
                    <w:t>5</w:t>
                  </w:r>
                </w:p>
              </w:tc>
              <w:tc>
                <w:tcPr>
                  <w:tcW w:w="960" w:type="dxa"/>
                  <w:vAlign w:val="center"/>
                </w:tcPr>
                <w:p w14:paraId="1D87E4E7">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筛分粉尘</w:t>
                  </w:r>
                  <w:r>
                    <w:rPr>
                      <w:rFonts w:hint="eastAsia" w:ascii="Times New Roman" w:hAnsi="Times New Roman"/>
                      <w:bCs/>
                      <w:color w:val="auto"/>
                      <w:sz w:val="21"/>
                      <w:szCs w:val="21"/>
                    </w:rPr>
                    <w:t>（</w:t>
                  </w:r>
                  <w:r>
                    <w:rPr>
                      <w:rFonts w:ascii="Times New Roman" w:hAnsi="Times New Roman"/>
                      <w:bCs/>
                      <w:color w:val="auto"/>
                      <w:sz w:val="21"/>
                      <w:szCs w:val="21"/>
                    </w:rPr>
                    <w:t>G</w:t>
                  </w:r>
                  <w:r>
                    <w:rPr>
                      <w:rFonts w:hint="eastAsia" w:ascii="Times New Roman" w:hAnsi="Times New Roman"/>
                      <w:bCs/>
                      <w:color w:val="auto"/>
                      <w:sz w:val="21"/>
                      <w:szCs w:val="21"/>
                      <w:lang w:val="en-US" w:eastAsia="zh-CN"/>
                    </w:rPr>
                    <w:t>8</w:t>
                  </w:r>
                  <w:r>
                    <w:rPr>
                      <w:rFonts w:hint="eastAsia" w:ascii="Times New Roman" w:hAnsi="Times New Roman"/>
                      <w:bCs/>
                      <w:color w:val="auto"/>
                      <w:sz w:val="21"/>
                      <w:szCs w:val="21"/>
                    </w:rPr>
                    <w:t>）</w:t>
                  </w:r>
                  <w:r>
                    <w:rPr>
                      <w:rFonts w:ascii="Times New Roman" w:hAnsi="Times New Roman"/>
                      <w:bCs/>
                      <w:color w:val="auto"/>
                      <w:sz w:val="21"/>
                      <w:szCs w:val="21"/>
                    </w:rPr>
                    <w:t>DA002</w:t>
                  </w:r>
                </w:p>
              </w:tc>
              <w:tc>
                <w:tcPr>
                  <w:tcW w:w="825" w:type="dxa"/>
                  <w:vMerge w:val="continue"/>
                  <w:vAlign w:val="center"/>
                </w:tcPr>
                <w:p w14:paraId="1F1D1AB0">
                  <w:pPr>
                    <w:pStyle w:val="19"/>
                    <w:spacing w:before="0" w:beforeAutospacing="0" w:after="0" w:afterAutospacing="0"/>
                    <w:jc w:val="center"/>
                    <w:outlineLvl w:val="0"/>
                    <w:rPr>
                      <w:rFonts w:ascii="Times New Roman" w:hAnsi="Times New Roman"/>
                      <w:bCs/>
                      <w:color w:val="auto"/>
                      <w:sz w:val="21"/>
                      <w:szCs w:val="21"/>
                    </w:rPr>
                  </w:pPr>
                </w:p>
              </w:tc>
              <w:tc>
                <w:tcPr>
                  <w:tcW w:w="675" w:type="dxa"/>
                  <w:vMerge w:val="continue"/>
                  <w:vAlign w:val="center"/>
                </w:tcPr>
                <w:p w14:paraId="627F27BD">
                  <w:pPr>
                    <w:pStyle w:val="19"/>
                    <w:spacing w:before="0" w:beforeAutospacing="0" w:after="0" w:afterAutospacing="0"/>
                    <w:jc w:val="center"/>
                    <w:outlineLvl w:val="0"/>
                    <w:rPr>
                      <w:rFonts w:ascii="Times New Roman" w:hAnsi="Times New Roman"/>
                      <w:bCs/>
                      <w:color w:val="auto"/>
                      <w:sz w:val="21"/>
                      <w:szCs w:val="21"/>
                    </w:rPr>
                  </w:pPr>
                </w:p>
              </w:tc>
              <w:tc>
                <w:tcPr>
                  <w:tcW w:w="1126" w:type="dxa"/>
                  <w:vMerge w:val="continue"/>
                  <w:vAlign w:val="center"/>
                </w:tcPr>
                <w:p w14:paraId="0BD76816">
                  <w:pPr>
                    <w:pStyle w:val="19"/>
                    <w:spacing w:before="0" w:beforeAutospacing="0" w:after="0" w:afterAutospacing="0"/>
                    <w:jc w:val="center"/>
                    <w:outlineLvl w:val="0"/>
                    <w:rPr>
                      <w:rFonts w:ascii="Times New Roman" w:hAnsi="Times New Roman"/>
                      <w:bCs/>
                      <w:color w:val="auto"/>
                      <w:sz w:val="21"/>
                      <w:szCs w:val="21"/>
                    </w:rPr>
                  </w:pPr>
                </w:p>
              </w:tc>
              <w:tc>
                <w:tcPr>
                  <w:tcW w:w="869" w:type="dxa"/>
                  <w:vMerge w:val="continue"/>
                  <w:vAlign w:val="center"/>
                </w:tcPr>
                <w:p w14:paraId="30CFFF9C">
                  <w:pPr>
                    <w:pStyle w:val="19"/>
                    <w:spacing w:before="0" w:beforeAutospacing="0" w:after="0" w:afterAutospacing="0"/>
                    <w:jc w:val="center"/>
                    <w:outlineLvl w:val="0"/>
                    <w:rPr>
                      <w:rFonts w:ascii="Times New Roman" w:hAnsi="Times New Roman"/>
                      <w:bCs/>
                      <w:color w:val="auto"/>
                      <w:sz w:val="21"/>
                      <w:szCs w:val="21"/>
                    </w:rPr>
                  </w:pPr>
                </w:p>
              </w:tc>
              <w:tc>
                <w:tcPr>
                  <w:tcW w:w="855" w:type="dxa"/>
                  <w:vMerge w:val="continue"/>
                  <w:vAlign w:val="center"/>
                </w:tcPr>
                <w:p w14:paraId="7B228E53">
                  <w:pPr>
                    <w:pStyle w:val="19"/>
                    <w:spacing w:before="0" w:beforeAutospacing="0" w:after="0" w:afterAutospacing="0"/>
                    <w:jc w:val="center"/>
                    <w:outlineLvl w:val="0"/>
                    <w:rPr>
                      <w:rFonts w:ascii="Times New Roman" w:hAnsi="Times New Roman"/>
                      <w:bCs/>
                      <w:color w:val="auto"/>
                      <w:sz w:val="21"/>
                      <w:szCs w:val="21"/>
                    </w:rPr>
                  </w:pPr>
                </w:p>
              </w:tc>
              <w:tc>
                <w:tcPr>
                  <w:tcW w:w="780" w:type="dxa"/>
                  <w:vAlign w:val="center"/>
                </w:tcPr>
                <w:p w14:paraId="5F9FBEEF">
                  <w:pPr>
                    <w:widowControl/>
                    <w:jc w:val="center"/>
                    <w:rPr>
                      <w:bCs/>
                      <w:color w:val="auto"/>
                      <w:szCs w:val="21"/>
                    </w:rPr>
                  </w:pPr>
                  <w:r>
                    <w:rPr>
                      <w:rFonts w:hint="eastAsia"/>
                      <w:bCs/>
                      <w:color w:val="auto"/>
                      <w:kern w:val="0"/>
                      <w:szCs w:val="21"/>
                      <w:lang w:bidi="ar"/>
                    </w:rPr>
                    <w:t>0.5~</w:t>
                  </w:r>
                  <w:r>
                    <w:rPr>
                      <w:bCs/>
                      <w:color w:val="auto"/>
                      <w:kern w:val="0"/>
                      <w:szCs w:val="21"/>
                      <w:lang w:bidi="ar"/>
                    </w:rPr>
                    <w:t>1</w:t>
                  </w:r>
                </w:p>
              </w:tc>
              <w:tc>
                <w:tcPr>
                  <w:tcW w:w="705" w:type="dxa"/>
                  <w:vAlign w:val="center"/>
                </w:tcPr>
                <w:p w14:paraId="3B1E9DD3">
                  <w:pPr>
                    <w:widowControl/>
                    <w:jc w:val="center"/>
                    <w:rPr>
                      <w:bCs/>
                      <w:color w:val="auto"/>
                      <w:szCs w:val="21"/>
                    </w:rPr>
                  </w:pPr>
                  <w:r>
                    <w:rPr>
                      <w:bCs/>
                      <w:color w:val="auto"/>
                      <w:kern w:val="0"/>
                      <w:szCs w:val="21"/>
                      <w:lang w:bidi="ar"/>
                    </w:rPr>
                    <w:t>1</w:t>
                  </w:r>
                </w:p>
              </w:tc>
              <w:tc>
                <w:tcPr>
                  <w:tcW w:w="900" w:type="dxa"/>
                  <w:vMerge w:val="continue"/>
                  <w:vAlign w:val="center"/>
                </w:tcPr>
                <w:p w14:paraId="58AF9F0E">
                  <w:pPr>
                    <w:pStyle w:val="19"/>
                    <w:spacing w:before="0" w:beforeAutospacing="0" w:after="0" w:afterAutospacing="0"/>
                    <w:jc w:val="center"/>
                    <w:outlineLvl w:val="0"/>
                    <w:rPr>
                      <w:rFonts w:ascii="Times New Roman" w:hAnsi="Times New Roman"/>
                      <w:bCs/>
                      <w:color w:val="auto"/>
                      <w:sz w:val="21"/>
                      <w:szCs w:val="21"/>
                    </w:rPr>
                  </w:pPr>
                </w:p>
              </w:tc>
            </w:tr>
            <w:tr w14:paraId="77A6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9" w:type="dxa"/>
                  <w:vAlign w:val="center"/>
                </w:tcPr>
                <w:p w14:paraId="5C8A9DB7">
                  <w:pPr>
                    <w:pStyle w:val="19"/>
                    <w:spacing w:before="0" w:beforeAutospacing="0" w:after="0" w:afterAutospacing="0"/>
                    <w:jc w:val="center"/>
                    <w:outlineLvl w:val="0"/>
                    <w:rPr>
                      <w:rFonts w:hint="default" w:ascii="Times New Roman" w:hAnsi="Times New Roman"/>
                      <w:bCs/>
                      <w:color w:val="auto"/>
                      <w:sz w:val="21"/>
                      <w:szCs w:val="21"/>
                      <w:lang w:val="en-US" w:eastAsia="zh-CN"/>
                    </w:rPr>
                  </w:pPr>
                  <w:r>
                    <w:rPr>
                      <w:rFonts w:hint="eastAsia" w:ascii="Times New Roman" w:hAnsi="Times New Roman"/>
                      <w:bCs/>
                      <w:color w:val="auto"/>
                      <w:sz w:val="21"/>
                      <w:szCs w:val="21"/>
                      <w:lang w:val="en-US" w:eastAsia="zh-CN"/>
                    </w:rPr>
                    <w:t>6</w:t>
                  </w:r>
                </w:p>
              </w:tc>
              <w:tc>
                <w:tcPr>
                  <w:tcW w:w="960" w:type="dxa"/>
                  <w:vAlign w:val="center"/>
                </w:tcPr>
                <w:p w14:paraId="71F3B938">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lang w:val="en-US" w:eastAsia="zh-CN"/>
                    </w:rPr>
                    <w:t>包装</w:t>
                  </w:r>
                  <w:r>
                    <w:rPr>
                      <w:rFonts w:ascii="Times New Roman" w:hAnsi="Times New Roman"/>
                      <w:bCs/>
                      <w:color w:val="auto"/>
                      <w:sz w:val="21"/>
                      <w:szCs w:val="21"/>
                    </w:rPr>
                    <w:t>粉尘</w:t>
                  </w:r>
                  <w:r>
                    <w:rPr>
                      <w:rFonts w:hint="eastAsia" w:ascii="Times New Roman" w:hAnsi="Times New Roman"/>
                      <w:bCs/>
                      <w:color w:val="auto"/>
                      <w:sz w:val="21"/>
                      <w:szCs w:val="21"/>
                    </w:rPr>
                    <w:t>（</w:t>
                  </w:r>
                  <w:r>
                    <w:rPr>
                      <w:rFonts w:ascii="Times New Roman" w:hAnsi="Times New Roman"/>
                      <w:bCs/>
                      <w:color w:val="auto"/>
                      <w:sz w:val="21"/>
                      <w:szCs w:val="21"/>
                    </w:rPr>
                    <w:t>G</w:t>
                  </w:r>
                  <w:r>
                    <w:rPr>
                      <w:rFonts w:hint="eastAsia" w:ascii="Times New Roman" w:hAnsi="Times New Roman"/>
                      <w:bCs/>
                      <w:color w:val="auto"/>
                      <w:sz w:val="21"/>
                      <w:szCs w:val="21"/>
                      <w:lang w:val="en-US" w:eastAsia="zh-CN"/>
                    </w:rPr>
                    <w:t>9</w:t>
                  </w:r>
                  <w:r>
                    <w:rPr>
                      <w:rFonts w:hint="eastAsia" w:ascii="Times New Roman" w:hAnsi="Times New Roman"/>
                      <w:bCs/>
                      <w:color w:val="auto"/>
                      <w:sz w:val="21"/>
                      <w:szCs w:val="21"/>
                    </w:rPr>
                    <w:t>）</w:t>
                  </w:r>
                  <w:r>
                    <w:rPr>
                      <w:rFonts w:ascii="Times New Roman" w:hAnsi="Times New Roman"/>
                      <w:bCs/>
                      <w:color w:val="auto"/>
                      <w:sz w:val="21"/>
                      <w:szCs w:val="21"/>
                    </w:rPr>
                    <w:t>DA002</w:t>
                  </w:r>
                </w:p>
              </w:tc>
              <w:tc>
                <w:tcPr>
                  <w:tcW w:w="825" w:type="dxa"/>
                  <w:vMerge w:val="continue"/>
                  <w:vAlign w:val="center"/>
                </w:tcPr>
                <w:p w14:paraId="22AF7CCF">
                  <w:pPr>
                    <w:pStyle w:val="19"/>
                    <w:spacing w:before="0" w:beforeAutospacing="0" w:after="0" w:afterAutospacing="0"/>
                    <w:jc w:val="center"/>
                    <w:outlineLvl w:val="0"/>
                    <w:rPr>
                      <w:rFonts w:ascii="Times New Roman" w:hAnsi="Times New Roman"/>
                      <w:bCs/>
                      <w:color w:val="auto"/>
                      <w:sz w:val="21"/>
                      <w:szCs w:val="21"/>
                    </w:rPr>
                  </w:pPr>
                </w:p>
              </w:tc>
              <w:tc>
                <w:tcPr>
                  <w:tcW w:w="675" w:type="dxa"/>
                  <w:vMerge w:val="continue"/>
                  <w:vAlign w:val="center"/>
                </w:tcPr>
                <w:p w14:paraId="0A079327">
                  <w:pPr>
                    <w:pStyle w:val="19"/>
                    <w:spacing w:before="0" w:beforeAutospacing="0" w:after="0" w:afterAutospacing="0"/>
                    <w:jc w:val="center"/>
                    <w:outlineLvl w:val="0"/>
                    <w:rPr>
                      <w:rFonts w:ascii="Times New Roman" w:hAnsi="Times New Roman"/>
                      <w:bCs/>
                      <w:color w:val="auto"/>
                      <w:sz w:val="21"/>
                      <w:szCs w:val="21"/>
                    </w:rPr>
                  </w:pPr>
                </w:p>
              </w:tc>
              <w:tc>
                <w:tcPr>
                  <w:tcW w:w="1126" w:type="dxa"/>
                  <w:vMerge w:val="continue"/>
                  <w:vAlign w:val="center"/>
                </w:tcPr>
                <w:p w14:paraId="17137862">
                  <w:pPr>
                    <w:pStyle w:val="19"/>
                    <w:spacing w:before="0" w:beforeAutospacing="0" w:after="0" w:afterAutospacing="0"/>
                    <w:jc w:val="center"/>
                    <w:outlineLvl w:val="0"/>
                    <w:rPr>
                      <w:rFonts w:ascii="Times New Roman" w:hAnsi="Times New Roman"/>
                      <w:bCs/>
                      <w:color w:val="auto"/>
                      <w:sz w:val="21"/>
                      <w:szCs w:val="21"/>
                    </w:rPr>
                  </w:pPr>
                </w:p>
              </w:tc>
              <w:tc>
                <w:tcPr>
                  <w:tcW w:w="869" w:type="dxa"/>
                  <w:vMerge w:val="continue"/>
                  <w:vAlign w:val="center"/>
                </w:tcPr>
                <w:p w14:paraId="0EB19042">
                  <w:pPr>
                    <w:pStyle w:val="19"/>
                    <w:spacing w:before="0" w:beforeAutospacing="0" w:after="0" w:afterAutospacing="0"/>
                    <w:jc w:val="center"/>
                    <w:outlineLvl w:val="0"/>
                    <w:rPr>
                      <w:rFonts w:ascii="Times New Roman" w:hAnsi="Times New Roman"/>
                      <w:bCs/>
                      <w:color w:val="auto"/>
                      <w:sz w:val="21"/>
                      <w:szCs w:val="21"/>
                    </w:rPr>
                  </w:pPr>
                </w:p>
              </w:tc>
              <w:tc>
                <w:tcPr>
                  <w:tcW w:w="855" w:type="dxa"/>
                  <w:vMerge w:val="continue"/>
                  <w:vAlign w:val="center"/>
                </w:tcPr>
                <w:p w14:paraId="282BC502">
                  <w:pPr>
                    <w:pStyle w:val="19"/>
                    <w:spacing w:before="0" w:beforeAutospacing="0" w:after="0" w:afterAutospacing="0"/>
                    <w:jc w:val="center"/>
                    <w:outlineLvl w:val="0"/>
                    <w:rPr>
                      <w:rFonts w:ascii="Times New Roman" w:hAnsi="Times New Roman"/>
                      <w:bCs/>
                      <w:color w:val="auto"/>
                      <w:sz w:val="21"/>
                      <w:szCs w:val="21"/>
                    </w:rPr>
                  </w:pPr>
                </w:p>
              </w:tc>
              <w:tc>
                <w:tcPr>
                  <w:tcW w:w="780" w:type="dxa"/>
                  <w:shd w:val="clear" w:color="auto" w:fill="auto"/>
                  <w:vAlign w:val="center"/>
                </w:tcPr>
                <w:p w14:paraId="6CA5A277">
                  <w:pPr>
                    <w:widowControl/>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kern w:val="0"/>
                      <w:szCs w:val="21"/>
                      <w:lang w:bidi="ar"/>
                    </w:rPr>
                    <w:t>0.5~</w:t>
                  </w:r>
                  <w:r>
                    <w:rPr>
                      <w:bCs/>
                      <w:color w:val="auto"/>
                      <w:kern w:val="0"/>
                      <w:szCs w:val="21"/>
                      <w:lang w:bidi="ar"/>
                    </w:rPr>
                    <w:t>1</w:t>
                  </w:r>
                </w:p>
              </w:tc>
              <w:tc>
                <w:tcPr>
                  <w:tcW w:w="705" w:type="dxa"/>
                  <w:shd w:val="clear" w:color="auto" w:fill="auto"/>
                  <w:vAlign w:val="center"/>
                </w:tcPr>
                <w:p w14:paraId="37D67425">
                  <w:pPr>
                    <w:widowControl/>
                    <w:jc w:val="center"/>
                    <w:rPr>
                      <w:rFonts w:ascii="Times New Roman" w:hAnsi="Times New Roman" w:eastAsia="宋体" w:cs="Times New Roman"/>
                      <w:bCs/>
                      <w:color w:val="auto"/>
                      <w:kern w:val="2"/>
                      <w:sz w:val="21"/>
                      <w:szCs w:val="21"/>
                      <w:lang w:val="en-US" w:eastAsia="zh-CN" w:bidi="ar-SA"/>
                    </w:rPr>
                  </w:pPr>
                  <w:r>
                    <w:rPr>
                      <w:bCs/>
                      <w:color w:val="auto"/>
                      <w:kern w:val="0"/>
                      <w:szCs w:val="21"/>
                      <w:lang w:bidi="ar"/>
                    </w:rPr>
                    <w:t>1</w:t>
                  </w:r>
                </w:p>
              </w:tc>
              <w:tc>
                <w:tcPr>
                  <w:tcW w:w="900" w:type="dxa"/>
                  <w:vMerge w:val="continue"/>
                  <w:vAlign w:val="center"/>
                </w:tcPr>
                <w:p w14:paraId="215241D6">
                  <w:pPr>
                    <w:pStyle w:val="19"/>
                    <w:spacing w:before="0" w:beforeAutospacing="0" w:after="0" w:afterAutospacing="0"/>
                    <w:jc w:val="center"/>
                    <w:outlineLvl w:val="0"/>
                    <w:rPr>
                      <w:rFonts w:ascii="Times New Roman" w:hAnsi="Times New Roman"/>
                      <w:bCs/>
                      <w:color w:val="auto"/>
                      <w:sz w:val="21"/>
                      <w:szCs w:val="21"/>
                    </w:rPr>
                  </w:pPr>
                </w:p>
              </w:tc>
            </w:tr>
          </w:tbl>
          <w:p w14:paraId="10429970">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ascii="Times New Roman" w:hAnsi="Times New Roman" w:cs="Times New Roman"/>
                <w:color w:val="auto"/>
                <w:spacing w:val="5"/>
                <w:sz w:val="24"/>
                <w:szCs w:val="24"/>
                <w:lang w:eastAsia="zh-CN"/>
              </w:rPr>
              <w:t>出现非正常工况排放情况，应立刻查明原因，及时维修废气处理设施。待废气处理设备正常运行后，开始正常作业。</w:t>
            </w:r>
            <w:r>
              <w:rPr>
                <w:rFonts w:hint="eastAsia" w:ascii="Times New Roman" w:hAnsi="Times New Roman" w:cs="Times New Roman"/>
                <w:color w:val="auto"/>
                <w:spacing w:val="5"/>
                <w:sz w:val="24"/>
                <w:szCs w:val="24"/>
                <w:lang w:eastAsia="zh-CN"/>
              </w:rPr>
              <w:t xml:space="preserve">  </w:t>
            </w:r>
          </w:p>
          <w:p w14:paraId="06797059">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1.3 大气环境影响及治理措施</w:t>
            </w:r>
          </w:p>
          <w:p w14:paraId="6F141343">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（1）无组织废气防治措施</w:t>
            </w:r>
          </w:p>
          <w:p w14:paraId="58EB0BE2">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a：运输扬尘控制措施</w:t>
            </w:r>
          </w:p>
          <w:p w14:paraId="1C800C1B">
            <w:pPr>
              <w:pStyle w:val="46"/>
              <w:spacing w:line="360" w:lineRule="auto"/>
              <w:ind w:firstLine="500" w:firstLineChars="200"/>
              <w:jc w:val="left"/>
              <w:rPr>
                <w:rFonts w:hint="default" w:ascii="Times New Roman" w:hAnsi="Times New Roman" w:cs="Times New Roman"/>
                <w:color w:val="auto"/>
                <w:spacing w:val="5"/>
                <w:sz w:val="24"/>
                <w:szCs w:val="24"/>
                <w:lang w:val="en-US" w:eastAsia="zh-CN"/>
              </w:rPr>
            </w:pPr>
            <w:r>
              <w:rPr>
                <w:rFonts w:ascii="Times New Roman" w:hAnsi="Times New Roman" w:cs="Times New Roman"/>
                <w:color w:val="auto"/>
                <w:spacing w:val="5"/>
                <w:sz w:val="24"/>
                <w:szCs w:val="24"/>
                <w:lang w:eastAsia="zh-CN"/>
              </w:rPr>
              <w:t>运输起尘为车辆行驶过程中被车轮带起的少量扬尘，本项目通过降低车辆行驶速度、厂区进出道路进行硬化处理、地面洒水等方式降低无组织粉尘</w:t>
            </w:r>
            <w:r>
              <w:rPr>
                <w:rFonts w:hint="eastAsia" w:ascii="Times New Roman" w:hAnsi="Times New Roman" w:cs="Times New Roman"/>
                <w:color w:val="auto"/>
                <w:spacing w:val="5"/>
                <w:sz w:val="24"/>
                <w:szCs w:val="24"/>
                <w:lang w:eastAsia="zh-CN"/>
              </w:rPr>
              <w:t>，</w:t>
            </w:r>
            <w:r>
              <w:rPr>
                <w:rFonts w:hint="eastAsia" w:ascii="Times New Roman" w:hAnsi="Times New Roman" w:cs="Times New Roman"/>
                <w:color w:val="auto"/>
                <w:spacing w:val="5"/>
                <w:sz w:val="24"/>
                <w:szCs w:val="24"/>
                <w:lang w:val="en-US" w:eastAsia="zh-CN"/>
              </w:rPr>
              <w:t>综合抑尘控制效率可达80%，排放扬尘为0.9065t/a，排放速率0.113kg/h，满足《大气污染物综合排放标准》（GB16297-1996）表2新污染源大气污染物排放限值中无组织排放浓度要求。</w:t>
            </w:r>
          </w:p>
          <w:p w14:paraId="6E5F20C9">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b：卸料粉尘、筒仓粉尘、堆存粉尘控制措施</w:t>
            </w:r>
          </w:p>
          <w:p w14:paraId="609C0756">
            <w:pPr>
              <w:pStyle w:val="19"/>
              <w:spacing w:before="0" w:beforeAutospacing="0" w:after="0" w:afterAutospacing="0" w:line="360" w:lineRule="auto"/>
              <w:ind w:firstLine="500" w:firstLineChars="200"/>
              <w:outlineLvl w:val="0"/>
              <w:rPr>
                <w:rFonts w:hint="eastAsia" w:ascii="Times New Roman" w:hAnsi="Times New Roman" w:eastAsia="宋体"/>
                <w:color w:val="auto"/>
                <w:lang w:eastAsia="zh-CN"/>
              </w:rPr>
            </w:pPr>
            <w:r>
              <w:rPr>
                <w:rFonts w:hint="eastAsia" w:ascii="Times New Roman" w:hAnsi="Times New Roman" w:cs="Times New Roman"/>
                <w:color w:val="auto"/>
                <w:spacing w:val="5"/>
                <w:sz w:val="24"/>
                <w:szCs w:val="24"/>
                <w:lang w:val="en-US" w:eastAsia="zh-CN"/>
              </w:rPr>
              <w:t>①</w:t>
            </w:r>
            <w:r>
              <w:rPr>
                <w:rFonts w:hint="eastAsia" w:ascii="Times New Roman" w:hAnsi="Times New Roman" w:cs="Times New Roman"/>
                <w:color w:val="auto"/>
                <w:spacing w:val="5"/>
                <w:sz w:val="24"/>
                <w:szCs w:val="24"/>
                <w:lang w:eastAsia="zh-CN"/>
              </w:rPr>
              <w:t>卸料粉尘为</w:t>
            </w:r>
            <w:r>
              <w:rPr>
                <w:rFonts w:hint="eastAsia" w:ascii="Times New Roman" w:hAnsi="Times New Roman" w:cs="Times New Roman"/>
                <w:color w:val="auto"/>
                <w:spacing w:val="5"/>
                <w:sz w:val="24"/>
                <w:szCs w:val="24"/>
                <w:lang w:val="en-US" w:eastAsia="zh-CN"/>
              </w:rPr>
              <w:t>原材料</w:t>
            </w:r>
            <w:r>
              <w:rPr>
                <w:rFonts w:hint="eastAsia" w:ascii="Times New Roman" w:hAnsi="Times New Roman" w:cs="Times New Roman"/>
                <w:color w:val="auto"/>
                <w:spacing w:val="5"/>
                <w:sz w:val="24"/>
                <w:szCs w:val="24"/>
                <w:lang w:eastAsia="zh-CN"/>
              </w:rPr>
              <w:t>卸料时的粉尘，通过采取封闭厂房措施、气力输送除灰系统和负压吸排罐车措施</w:t>
            </w:r>
            <w:r>
              <w:rPr>
                <w:rFonts w:ascii="Times New Roman" w:hAnsi="Times New Roman" w:cs="Times New Roman"/>
                <w:color w:val="auto"/>
                <w:spacing w:val="5"/>
                <w:sz w:val="24"/>
                <w:szCs w:val="24"/>
                <w:lang w:eastAsia="zh-CN"/>
              </w:rPr>
              <w:t>降低无组织粉尘</w:t>
            </w:r>
            <w:r>
              <w:rPr>
                <w:rFonts w:hint="eastAsia" w:ascii="Times New Roman" w:hAnsi="Times New Roman" w:cs="Times New Roman"/>
                <w:color w:val="auto"/>
                <w:spacing w:val="5"/>
                <w:sz w:val="24"/>
                <w:szCs w:val="24"/>
                <w:lang w:eastAsia="zh-CN"/>
              </w:rPr>
              <w:t>，</w:t>
            </w:r>
            <w:r>
              <w:rPr>
                <w:rFonts w:hint="eastAsia" w:ascii="Times New Roman" w:hAnsi="Times New Roman"/>
                <w:color w:val="auto"/>
              </w:rPr>
              <w:t>粉尘控制效率可达</w:t>
            </w:r>
            <w:r>
              <w:rPr>
                <w:rFonts w:hint="eastAsia" w:ascii="Times New Roman" w:hAnsi="Times New Roman"/>
                <w:color w:val="auto"/>
                <w:lang w:val="en-US" w:eastAsia="zh-CN"/>
              </w:rPr>
              <w:t>99</w:t>
            </w:r>
            <w:r>
              <w:rPr>
                <w:rFonts w:hint="eastAsia" w:ascii="Times New Roman" w:hAnsi="Times New Roman"/>
                <w:color w:val="auto"/>
              </w:rPr>
              <w:t>%，</w:t>
            </w:r>
            <w:r>
              <w:rPr>
                <w:rFonts w:hint="eastAsia" w:ascii="Times New Roman" w:hAnsi="Times New Roman"/>
                <w:color w:val="auto"/>
                <w:lang w:eastAsia="zh-CN"/>
              </w:rPr>
              <w:t>粉尘排放量为</w:t>
            </w:r>
            <w:r>
              <w:rPr>
                <w:rFonts w:hint="eastAsia" w:ascii="Times New Roman" w:hAnsi="Times New Roman"/>
                <w:color w:val="auto"/>
                <w:lang w:val="en-US" w:eastAsia="zh-CN"/>
              </w:rPr>
              <w:t>0.0456</w:t>
            </w:r>
            <w:r>
              <w:rPr>
                <w:rFonts w:hint="eastAsia" w:ascii="Times New Roman" w:hAnsi="Times New Roman"/>
                <w:color w:val="auto"/>
                <w:lang w:eastAsia="zh-CN"/>
              </w:rPr>
              <w:t>t/a，排放速率为</w:t>
            </w:r>
            <w:r>
              <w:rPr>
                <w:rFonts w:hint="eastAsia" w:ascii="Times New Roman" w:hAnsi="Times New Roman"/>
                <w:color w:val="auto"/>
                <w:lang w:val="en-US" w:eastAsia="zh-CN"/>
              </w:rPr>
              <w:t>0.0057</w:t>
            </w:r>
            <w:r>
              <w:rPr>
                <w:rFonts w:hint="eastAsia" w:ascii="Times New Roman" w:hAnsi="Times New Roman"/>
                <w:color w:val="auto"/>
                <w:lang w:eastAsia="zh-CN"/>
              </w:rPr>
              <w:t>kg/h。</w:t>
            </w:r>
            <w:r>
              <w:rPr>
                <w:rFonts w:hint="eastAsia" w:ascii="Times New Roman" w:hAnsi="Times New Roman" w:cs="Times New Roman"/>
                <w:color w:val="auto"/>
                <w:spacing w:val="5"/>
                <w:sz w:val="24"/>
                <w:szCs w:val="24"/>
                <w:lang w:val="en-US" w:eastAsia="zh-CN"/>
              </w:rPr>
              <w:t>满足《大气污染物综合排放标准》（GB16297-1996）表2新污染源大气污染物排放限值中无组织排放浓度要求。</w:t>
            </w:r>
          </w:p>
          <w:p w14:paraId="082F1C54">
            <w:pPr>
              <w:pStyle w:val="19"/>
              <w:spacing w:before="0" w:beforeAutospacing="0" w:after="0" w:afterAutospacing="0" w:line="360" w:lineRule="auto"/>
              <w:ind w:firstLine="500" w:firstLineChars="200"/>
              <w:outlineLvl w:val="0"/>
              <w:rPr>
                <w:rFonts w:hint="eastAsia" w:ascii="Times New Roman" w:hAnsi="Times New Roman" w:eastAsia="宋体"/>
                <w:color w:val="auto"/>
                <w:lang w:eastAsia="zh-CN"/>
              </w:rPr>
            </w:pPr>
            <w:r>
              <w:rPr>
                <w:rFonts w:hint="eastAsia" w:ascii="Times New Roman" w:hAnsi="Times New Roman" w:cs="Times New Roman"/>
                <w:color w:val="auto"/>
                <w:spacing w:val="5"/>
                <w:sz w:val="24"/>
                <w:szCs w:val="24"/>
                <w:lang w:val="en-US" w:eastAsia="zh-CN"/>
              </w:rPr>
              <w:t>②筒仓粉尘为</w:t>
            </w:r>
            <w:r>
              <w:rPr>
                <w:rFonts w:hint="eastAsia" w:ascii="Times New Roman" w:hAnsi="Times New Roman" w:eastAsia="宋体" w:cs="Times New Roman"/>
                <w:color w:val="auto"/>
                <w:kern w:val="0"/>
                <w:sz w:val="24"/>
                <w:szCs w:val="24"/>
                <w:lang w:val="en-US" w:eastAsia="zh-CN" w:bidi="ar"/>
              </w:rPr>
              <w:t>除尘灰、粘结剂</w:t>
            </w:r>
            <w:r>
              <w:rPr>
                <w:rFonts w:hint="eastAsia" w:ascii="Times New Roman" w:hAnsi="Times New Roman" w:cs="Times New Roman"/>
                <w:color w:val="auto"/>
                <w:kern w:val="0"/>
                <w:sz w:val="24"/>
                <w:szCs w:val="24"/>
                <w:lang w:val="en-US" w:eastAsia="zh-CN" w:bidi="ar"/>
              </w:rPr>
              <w:t>在筒仓储存是产生的粉尘，</w:t>
            </w:r>
            <w:r>
              <w:rPr>
                <w:rFonts w:hint="default" w:ascii="Times New Roman" w:hAnsi="Times New Roman" w:cs="Times New Roman"/>
                <w:color w:val="auto"/>
                <w:lang w:val="en-US" w:eastAsia="zh-CN"/>
              </w:rPr>
              <w:t>筒仓设仓</w:t>
            </w:r>
            <w:r>
              <w:rPr>
                <w:rFonts w:hint="default" w:ascii="Times New Roman" w:hAnsi="Times New Roman" w:eastAsia="宋体" w:cs="Times New Roman"/>
                <w:color w:val="auto"/>
                <w:sz w:val="24"/>
                <w:szCs w:val="24"/>
              </w:rPr>
              <w:t>顶布袋除尘器</w:t>
            </w:r>
            <w:r>
              <w:rPr>
                <w:rFonts w:hint="default" w:ascii="Times New Roman" w:hAnsi="Times New Roman" w:eastAsia="宋体" w:cs="Times New Roman"/>
                <w:color w:val="auto"/>
                <w:sz w:val="24"/>
                <w:szCs w:val="24"/>
                <w:lang w:eastAsia="zh-CN"/>
              </w:rPr>
              <w:t>，布袋除尘器风</w:t>
            </w:r>
            <w:r>
              <w:rPr>
                <w:rFonts w:hint="default" w:ascii="Times New Roman" w:hAnsi="Times New Roman" w:eastAsia="宋体" w:cs="Times New Roman"/>
                <w:color w:val="auto"/>
                <w:kern w:val="0"/>
                <w:sz w:val="24"/>
                <w:szCs w:val="24"/>
                <w:lang w:val="en-US" w:eastAsia="zh-CN" w:bidi="ar"/>
              </w:rPr>
              <w:t>量为</w:t>
            </w:r>
            <w:r>
              <w:rPr>
                <w:rFonts w:hint="default" w:ascii="Times New Roman" w:hAnsi="Times New Roman" w:cs="Times New Roman"/>
                <w:color w:val="auto"/>
                <w:kern w:val="0"/>
                <w:sz w:val="24"/>
                <w:szCs w:val="24"/>
                <w:lang w:val="en-US" w:eastAsia="zh-CN" w:bidi="ar"/>
              </w:rPr>
              <w:t>7000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default" w:ascii="Times New Roman" w:hAnsi="Times New Roman" w:cs="Times New Roman"/>
                <w:color w:val="auto"/>
                <w:kern w:val="0"/>
                <w:sz w:val="24"/>
                <w:lang w:bidi="ar"/>
              </w:rPr>
              <w:t>粉尘排放量为</w:t>
            </w:r>
            <w:r>
              <w:rPr>
                <w:rFonts w:hint="default" w:ascii="Times New Roman" w:hAnsi="Times New Roman" w:cs="Times New Roman"/>
                <w:color w:val="auto"/>
                <w:kern w:val="0"/>
                <w:sz w:val="24"/>
                <w:lang w:val="en-US" w:eastAsia="zh-CN" w:bidi="ar"/>
              </w:rPr>
              <w:t>0.</w:t>
            </w:r>
            <w:r>
              <w:rPr>
                <w:rFonts w:hint="eastAsia" w:ascii="Times New Roman" w:hAnsi="Times New Roman" w:cs="Times New Roman"/>
                <w:color w:val="auto"/>
                <w:kern w:val="0"/>
                <w:sz w:val="24"/>
                <w:lang w:val="en-US" w:eastAsia="zh-CN" w:bidi="ar"/>
              </w:rPr>
              <w:t>139</w:t>
            </w:r>
            <w:r>
              <w:rPr>
                <w:rFonts w:hint="default" w:ascii="Times New Roman" w:hAnsi="Times New Roman" w:cs="Times New Roman"/>
                <w:color w:val="auto"/>
                <w:kern w:val="0"/>
                <w:sz w:val="24"/>
                <w:lang w:bidi="ar"/>
              </w:rPr>
              <w:t>t/a，排放速率为</w:t>
            </w:r>
            <w:r>
              <w:rPr>
                <w:rFonts w:hint="eastAsia" w:ascii="Times New Roman" w:hAnsi="Times New Roman" w:cs="Times New Roman"/>
                <w:color w:val="auto"/>
                <w:kern w:val="0"/>
                <w:sz w:val="24"/>
                <w:lang w:val="en-US" w:eastAsia="zh-CN" w:bidi="ar"/>
              </w:rPr>
              <w:t>0.017</w:t>
            </w:r>
            <w:r>
              <w:rPr>
                <w:rFonts w:hint="default" w:ascii="Times New Roman" w:hAnsi="Times New Roman" w:cs="Times New Roman"/>
                <w:color w:val="auto"/>
                <w:kern w:val="0"/>
                <w:sz w:val="24"/>
                <w:lang w:bidi="ar"/>
              </w:rPr>
              <w:t>kg/h，排放浓度</w:t>
            </w:r>
            <w:r>
              <w:rPr>
                <w:rFonts w:hint="eastAsia" w:ascii="Times New Roman" w:hAnsi="Times New Roman" w:cs="Times New Roman"/>
                <w:color w:val="auto"/>
                <w:kern w:val="0"/>
                <w:sz w:val="24"/>
                <w:lang w:val="en-US" w:eastAsia="zh-CN" w:bidi="ar"/>
              </w:rPr>
              <w:t>2.48</w:t>
            </w:r>
            <w:r>
              <w:rPr>
                <w:rFonts w:hint="default" w:ascii="Times New Roman" w:hAnsi="Times New Roman" w:cs="Times New Roman"/>
                <w:color w:val="auto"/>
                <w:kern w:val="0"/>
                <w:sz w:val="24"/>
                <w:lang w:bidi="ar"/>
              </w:rPr>
              <w:t xml:space="preserve"> </w:t>
            </w:r>
            <w:r>
              <w:rPr>
                <w:rFonts w:hint="default" w:ascii="Times New Roman" w:hAnsi="Times New Roman" w:cs="Times New Roman"/>
                <w:bCs/>
                <w:color w:val="auto"/>
                <w:sz w:val="24"/>
              </w:rPr>
              <w:t>mg/m</w:t>
            </w:r>
            <w:r>
              <w:rPr>
                <w:rFonts w:hint="default" w:ascii="Times New Roman" w:hAnsi="Times New Roman" w:cs="Times New Roman"/>
                <w:bCs/>
                <w:color w:val="auto"/>
                <w:sz w:val="24"/>
                <w:vertAlign w:val="superscript"/>
              </w:rPr>
              <w:t>3</w:t>
            </w:r>
            <w:r>
              <w:rPr>
                <w:rFonts w:hint="eastAsia" w:ascii="Times New Roman" w:hAnsi="Times New Roman" w:cs="Times New Roman"/>
                <w:color w:val="auto"/>
                <w:kern w:val="0"/>
                <w:sz w:val="24"/>
                <w:lang w:eastAsia="zh-CN" w:bidi="ar"/>
              </w:rPr>
              <w:t>，</w:t>
            </w:r>
            <w:r>
              <w:rPr>
                <w:rFonts w:ascii="宋体" w:hAnsi="宋体" w:eastAsia="宋体" w:cs="宋体"/>
                <w:color w:val="auto"/>
                <w:sz w:val="24"/>
                <w:szCs w:val="24"/>
              </w:rPr>
              <w:t>车间内无组织</w:t>
            </w:r>
            <w:r>
              <w:rPr>
                <w:rFonts w:hint="eastAsia" w:ascii="宋体" w:hAnsi="宋体" w:eastAsia="宋体" w:cs="宋体"/>
                <w:color w:val="auto"/>
                <w:sz w:val="24"/>
                <w:szCs w:val="24"/>
                <w:lang w:val="en-US" w:eastAsia="zh-CN"/>
              </w:rPr>
              <w:t>排放</w:t>
            </w:r>
            <w:r>
              <w:rPr>
                <w:rFonts w:hint="eastAsia" w:ascii="Times New Roman" w:hAnsi="Times New Roman" w:cs="Times New Roman"/>
                <w:color w:val="auto"/>
                <w:spacing w:val="5"/>
                <w:sz w:val="24"/>
                <w:szCs w:val="24"/>
                <w:lang w:val="en-US" w:eastAsia="zh-CN"/>
              </w:rPr>
              <w:t>满足《大气污染物综合排放标准》（GB16297-1996）表2新污染源大气污染物排放限值中无组织排放浓度要求。</w:t>
            </w:r>
          </w:p>
          <w:p w14:paraId="40869C81">
            <w:pPr>
              <w:pStyle w:val="19"/>
              <w:spacing w:before="0" w:beforeAutospacing="0" w:after="0" w:afterAutospacing="0" w:line="360" w:lineRule="auto"/>
              <w:ind w:firstLine="480" w:firstLineChars="200"/>
              <w:outlineLvl w:val="0"/>
              <w:rPr>
                <w:rFonts w:hint="default" w:ascii="Times New Roman" w:hAnsi="Times New Roman" w:cs="Times New Roman"/>
                <w:color w:val="auto"/>
                <w:spacing w:val="5"/>
                <w:sz w:val="24"/>
                <w:szCs w:val="24"/>
                <w:lang w:val="en-US" w:eastAsia="zh-CN"/>
              </w:rPr>
            </w:pPr>
            <w:r>
              <w:rPr>
                <w:rFonts w:hint="eastAsia" w:ascii="Times New Roman" w:hAnsi="Times New Roman" w:cs="Times New Roman"/>
                <w:color w:val="auto"/>
                <w:lang w:val="en-US" w:eastAsia="zh-CN"/>
              </w:rPr>
              <w:t>③堆存粉尘为焦炭、</w:t>
            </w:r>
            <w:r>
              <w:rPr>
                <w:rFonts w:hint="eastAsia" w:ascii="Times New Roman" w:hAnsi="Times New Roman" w:eastAsia="宋体" w:cs="Times New Roman"/>
                <w:color w:val="auto"/>
                <w:kern w:val="0"/>
                <w:sz w:val="24"/>
                <w:szCs w:val="20"/>
                <w:lang w:val="en-US" w:eastAsia="zh-CN" w:bidi="ar"/>
              </w:rPr>
              <w:t>兰碳粉</w:t>
            </w:r>
            <w:r>
              <w:rPr>
                <w:rFonts w:hint="eastAsia" w:ascii="Times New Roman" w:hAnsi="Times New Roman" w:cs="Times New Roman"/>
                <w:color w:val="auto"/>
                <w:kern w:val="0"/>
                <w:sz w:val="24"/>
                <w:szCs w:val="20"/>
                <w:lang w:val="en-US" w:eastAsia="zh-CN" w:bidi="ar"/>
              </w:rPr>
              <w:t>在全封闭厂房储存时的产生粉尘，</w:t>
            </w:r>
            <w:r>
              <w:rPr>
                <w:rFonts w:hint="default" w:ascii="Times New Roman" w:hAnsi="Times New Roman" w:eastAsia="宋体" w:cs="Times New Roman"/>
                <w:color w:val="auto"/>
                <w:kern w:val="0"/>
                <w:sz w:val="24"/>
                <w:szCs w:val="20"/>
                <w:lang w:val="en-US" w:eastAsia="zh-CN" w:bidi="ar"/>
              </w:rPr>
              <w:t>抑尘效率</w:t>
            </w:r>
            <w:r>
              <w:rPr>
                <w:rFonts w:hint="eastAsia" w:ascii="Times New Roman" w:hAnsi="Times New Roman" w:eastAsia="宋体" w:cs="Times New Roman"/>
                <w:color w:val="auto"/>
                <w:kern w:val="0"/>
                <w:sz w:val="24"/>
                <w:szCs w:val="20"/>
                <w:lang w:val="en-US" w:eastAsia="zh-CN" w:bidi="ar"/>
              </w:rPr>
              <w:t>为</w:t>
            </w:r>
            <w:r>
              <w:rPr>
                <w:rFonts w:hint="default" w:ascii="Times New Roman" w:hAnsi="Times New Roman" w:eastAsia="宋体" w:cs="Times New Roman"/>
                <w:color w:val="auto"/>
                <w:kern w:val="0"/>
                <w:sz w:val="24"/>
                <w:szCs w:val="20"/>
                <w:lang w:val="en-US" w:eastAsia="zh-CN" w:bidi="ar"/>
              </w:rPr>
              <w:t>90%，</w:t>
            </w:r>
            <w:r>
              <w:rPr>
                <w:rFonts w:hint="eastAsia" w:ascii="Times New Roman" w:hAnsi="Times New Roman" w:cs="Times New Roman"/>
                <w:color w:val="auto"/>
                <w:kern w:val="0"/>
                <w:sz w:val="24"/>
                <w:szCs w:val="20"/>
                <w:lang w:val="en-US" w:eastAsia="zh-CN" w:bidi="ar"/>
              </w:rPr>
              <w:t>定时进行</w:t>
            </w:r>
            <w:r>
              <w:rPr>
                <w:rFonts w:hint="eastAsia" w:ascii="Times New Roman" w:hAnsi="Times New Roman" w:eastAsia="宋体" w:cs="Times New Roman"/>
                <w:color w:val="auto"/>
                <w:kern w:val="0"/>
                <w:sz w:val="24"/>
                <w:szCs w:val="20"/>
                <w:lang w:val="en-US" w:eastAsia="zh-CN" w:bidi="ar"/>
              </w:rPr>
              <w:t>采取干雾抑尘器抑尘，抑尘效率为90%，则粉尘排放量为0.0153t/a，产生速率为0.0019kg/h</w:t>
            </w:r>
            <w:r>
              <w:rPr>
                <w:rFonts w:hint="eastAsia" w:ascii="Times New Roman" w:hAnsi="Times New Roman" w:cs="Times New Roman"/>
                <w:color w:val="auto"/>
                <w:kern w:val="0"/>
                <w:sz w:val="24"/>
                <w:szCs w:val="20"/>
                <w:lang w:val="en-US" w:eastAsia="zh-CN" w:bidi="ar"/>
              </w:rPr>
              <w:t>，</w:t>
            </w:r>
            <w:r>
              <w:rPr>
                <w:rFonts w:hint="eastAsia" w:ascii="Times New Roman" w:hAnsi="Times New Roman" w:cs="Times New Roman"/>
                <w:color w:val="auto"/>
                <w:spacing w:val="5"/>
                <w:sz w:val="24"/>
                <w:szCs w:val="24"/>
                <w:lang w:val="en-US" w:eastAsia="zh-CN"/>
              </w:rPr>
              <w:t>满足《大气污染物综合排放标准》（GB16297-1996）表2新污染源大气污染物排放限值中无组织排放浓度要求。</w:t>
            </w:r>
          </w:p>
          <w:p w14:paraId="68A423D0">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c：未被收集的无组织粉尘控制措施</w:t>
            </w:r>
          </w:p>
          <w:p w14:paraId="76AE724F">
            <w:pPr>
              <w:pStyle w:val="19"/>
              <w:spacing w:before="0" w:beforeAutospacing="0" w:after="0" w:afterAutospacing="0" w:line="360" w:lineRule="auto"/>
              <w:ind w:firstLine="480" w:firstLineChars="200"/>
              <w:outlineLvl w:val="0"/>
              <w:rPr>
                <w:rFonts w:hint="default" w:ascii="Times New Roman" w:hAnsi="Times New Roman" w:eastAsia="宋体"/>
                <w:color w:val="auto"/>
                <w:lang w:val="en-US" w:eastAsia="zh-CN"/>
              </w:rPr>
            </w:pPr>
            <w:r>
              <w:rPr>
                <w:rFonts w:hint="eastAsia" w:ascii="Times New Roman" w:hAnsi="Times New Roman"/>
                <w:color w:val="auto"/>
                <w:lang w:val="en-US" w:eastAsia="zh-CN"/>
              </w:rPr>
              <w:t>本项目采取全封闭厂房，原料仓库采用</w:t>
            </w:r>
            <w:r>
              <w:rPr>
                <w:bCs/>
                <w:color w:val="auto"/>
                <w:szCs w:val="21"/>
              </w:rPr>
              <w:t>干雾抑尘器</w:t>
            </w:r>
            <w:r>
              <w:rPr>
                <w:rFonts w:hint="eastAsia"/>
                <w:bCs/>
                <w:color w:val="auto"/>
                <w:szCs w:val="21"/>
                <w:lang w:eastAsia="zh-CN"/>
              </w:rPr>
              <w:t>，</w:t>
            </w:r>
            <w:r>
              <w:rPr>
                <w:rFonts w:hint="eastAsia"/>
                <w:bCs/>
                <w:color w:val="auto"/>
                <w:szCs w:val="21"/>
                <w:lang w:val="en-US" w:eastAsia="zh-CN"/>
              </w:rPr>
              <w:t>采取</w:t>
            </w:r>
            <w:r>
              <w:rPr>
                <w:rFonts w:hint="eastAsia" w:ascii="Times New Roman" w:hAnsi="Times New Roman"/>
                <w:color w:val="auto"/>
                <w:lang w:val="en-US" w:eastAsia="zh-CN"/>
              </w:rPr>
              <w:t>封闭厂房抑尘效率90%+ 干雾抑尘器抑尘效率90%，综合抑尘控制效率可达 99%；上料粉尘采取措施后</w:t>
            </w:r>
            <w:r>
              <w:rPr>
                <w:rFonts w:hint="eastAsia" w:ascii="Times New Roman" w:hAnsi="Times New Roman"/>
                <w:color w:val="auto"/>
              </w:rPr>
              <w:t>逸散粉尘量为</w:t>
            </w:r>
            <w:r>
              <w:rPr>
                <w:rFonts w:hint="eastAsia" w:ascii="Times New Roman" w:hAnsi="Times New Roman"/>
                <w:color w:val="auto"/>
                <w:lang w:val="en-US" w:eastAsia="zh-CN"/>
              </w:rPr>
              <w:t>0.0046</w:t>
            </w:r>
            <w:r>
              <w:rPr>
                <w:rFonts w:hint="eastAsia" w:ascii="Times New Roman" w:hAnsi="Times New Roman"/>
                <w:color w:val="auto"/>
              </w:rPr>
              <w:t>t/a，排放速率为</w:t>
            </w:r>
            <w:r>
              <w:rPr>
                <w:rFonts w:hint="eastAsia" w:ascii="Times New Roman" w:hAnsi="Times New Roman"/>
                <w:color w:val="auto"/>
                <w:lang w:val="en-US" w:eastAsia="zh-CN"/>
              </w:rPr>
              <w:t>0.57×10</w:t>
            </w:r>
            <w:r>
              <w:rPr>
                <w:rFonts w:hint="eastAsia" w:ascii="Times New Roman" w:hAnsi="Times New Roman"/>
                <w:color w:val="auto"/>
                <w:vertAlign w:val="superscript"/>
                <w:lang w:val="en-US" w:eastAsia="zh-CN"/>
              </w:rPr>
              <w:t>-3</w:t>
            </w:r>
            <w:r>
              <w:rPr>
                <w:rFonts w:hint="eastAsia" w:ascii="Times New Roman" w:hAnsi="Times New Roman"/>
                <w:color w:val="auto"/>
              </w:rPr>
              <w:t>kg/h。满足《大气污染物综合排放标准》（GB16297-1996）表2新污染源大气污染物排放限值中无组织排放浓度要求。</w:t>
            </w:r>
          </w:p>
          <w:p w14:paraId="644F8C81">
            <w:pPr>
              <w:pStyle w:val="19"/>
              <w:spacing w:before="0" w:beforeAutospacing="0" w:after="0" w:afterAutospacing="0" w:line="360" w:lineRule="auto"/>
              <w:ind w:firstLine="480" w:firstLineChars="200"/>
              <w:outlineLvl w:val="0"/>
              <w:rPr>
                <w:rFonts w:hint="eastAsia" w:ascii="Times New Roman" w:hAnsi="Times New Roman" w:eastAsia="宋体"/>
                <w:color w:val="auto"/>
                <w:lang w:eastAsia="zh-CN"/>
              </w:rPr>
            </w:pPr>
            <w:r>
              <w:rPr>
                <w:rFonts w:hint="eastAsia" w:ascii="Times New Roman" w:hAnsi="Times New Roman"/>
                <w:color w:val="auto"/>
                <w:lang w:val="en-US" w:eastAsia="zh-CN"/>
              </w:rPr>
              <w:t>本项目型焦生产车间洒水抑尘，封闭厂房抑尘效率90%+ 洒水抑尘效率74%，综合抑尘控制效率可达 97%，搅拌粉尘采取措施后</w:t>
            </w:r>
            <w:r>
              <w:rPr>
                <w:rFonts w:hint="eastAsia" w:ascii="Times New Roman" w:hAnsi="Times New Roman"/>
                <w:color w:val="auto"/>
              </w:rPr>
              <w:t>逸散粉尘量为</w:t>
            </w:r>
            <w:r>
              <w:rPr>
                <w:rFonts w:hint="eastAsia" w:ascii="Times New Roman" w:hAnsi="Times New Roman"/>
                <w:color w:val="auto"/>
                <w:lang w:val="en-US" w:eastAsia="zh-CN"/>
              </w:rPr>
              <w:t>0.137</w:t>
            </w:r>
            <w:r>
              <w:rPr>
                <w:rFonts w:hint="eastAsia" w:ascii="Times New Roman" w:hAnsi="Times New Roman"/>
                <w:color w:val="auto"/>
              </w:rPr>
              <w:t>t/a，排放速率为</w:t>
            </w:r>
            <w:r>
              <w:rPr>
                <w:rFonts w:hint="eastAsia" w:ascii="Times New Roman" w:hAnsi="Times New Roman"/>
                <w:color w:val="auto"/>
                <w:lang w:val="en-US" w:eastAsia="zh-CN"/>
              </w:rPr>
              <w:t>0.0017</w:t>
            </w:r>
            <w:r>
              <w:rPr>
                <w:rFonts w:hint="eastAsia" w:ascii="Times New Roman" w:hAnsi="Times New Roman"/>
                <w:color w:val="auto"/>
              </w:rPr>
              <w:t>kg/h</w:t>
            </w:r>
            <w:r>
              <w:rPr>
                <w:rFonts w:hint="eastAsia" w:ascii="Times New Roman" w:hAnsi="Times New Roman"/>
                <w:color w:val="auto"/>
                <w:lang w:eastAsia="zh-CN"/>
              </w:rPr>
              <w:t>；</w:t>
            </w:r>
            <w:r>
              <w:rPr>
                <w:rFonts w:hint="eastAsia" w:ascii="Times New Roman" w:hAnsi="Times New Roman"/>
                <w:color w:val="auto"/>
                <w:lang w:val="en-US" w:eastAsia="zh-CN"/>
              </w:rPr>
              <w:t>筛分粉尘采取措施后</w:t>
            </w:r>
            <w:r>
              <w:rPr>
                <w:rFonts w:hint="eastAsia" w:ascii="Times New Roman" w:hAnsi="Times New Roman"/>
                <w:color w:val="auto"/>
              </w:rPr>
              <w:t>逸散粉尘量为</w:t>
            </w:r>
            <w:r>
              <w:rPr>
                <w:rFonts w:hint="eastAsia" w:ascii="Times New Roman" w:hAnsi="Times New Roman"/>
                <w:color w:val="auto"/>
                <w:lang w:val="en-US" w:eastAsia="zh-CN"/>
              </w:rPr>
              <w:t>0.0913</w:t>
            </w:r>
            <w:r>
              <w:rPr>
                <w:rFonts w:hint="eastAsia" w:ascii="Times New Roman" w:hAnsi="Times New Roman"/>
                <w:color w:val="auto"/>
              </w:rPr>
              <w:t>t/a，排放速率为</w:t>
            </w:r>
            <w:r>
              <w:rPr>
                <w:rFonts w:hint="eastAsia" w:ascii="Times New Roman" w:hAnsi="Times New Roman"/>
                <w:color w:val="auto"/>
                <w:lang w:val="en-US" w:eastAsia="zh-CN"/>
              </w:rPr>
              <w:t>0.0114</w:t>
            </w:r>
            <w:r>
              <w:rPr>
                <w:rFonts w:hint="eastAsia" w:ascii="Times New Roman" w:hAnsi="Times New Roman"/>
                <w:color w:val="auto"/>
              </w:rPr>
              <w:t>kg/h</w:t>
            </w:r>
            <w:r>
              <w:rPr>
                <w:rFonts w:hint="eastAsia" w:ascii="Times New Roman" w:hAnsi="Times New Roman"/>
                <w:color w:val="auto"/>
                <w:lang w:eastAsia="zh-CN"/>
              </w:rPr>
              <w:t>，</w:t>
            </w:r>
            <w:r>
              <w:rPr>
                <w:rFonts w:hint="eastAsia" w:ascii="Times New Roman" w:hAnsi="Times New Roman"/>
                <w:color w:val="auto"/>
              </w:rPr>
              <w:t>满足《大气污染物综合排放标准》（GB16297-1996）表2新污染源大气污染物排放限值中无组织排放浓度要求。</w:t>
            </w:r>
          </w:p>
          <w:p w14:paraId="08CC7021">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本项目原料仓库、生产线型焦生产车间均位于全封闭车间内，且在生产过程各产尘点均配置废气收集措施，提高收集效率尽量降低无组织逸散废气。加强除尘系统的保养和维护，使除尘系统运转良好。配料采用自动化控制操作系统，规范操作方式，有效抑制粉尘无组织排放。</w:t>
            </w:r>
          </w:p>
          <w:p w14:paraId="79457DB0">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（2）有组织废气防治措施</w:t>
            </w:r>
          </w:p>
          <w:p w14:paraId="3CC368B6">
            <w:pPr>
              <w:pStyle w:val="19"/>
              <w:numPr>
                <w:ilvl w:val="0"/>
                <w:numId w:val="0"/>
              </w:numPr>
              <w:spacing w:before="0" w:beforeAutospacing="0" w:after="0" w:afterAutospacing="0" w:line="360" w:lineRule="auto"/>
              <w:ind w:firstLine="480" w:firstLineChars="200"/>
              <w:outlineLvl w:val="0"/>
              <w:rPr>
                <w:rFonts w:hint="eastAsia" w:eastAsia="宋体"/>
                <w:color w:val="auto"/>
                <w:kern w:val="0"/>
                <w:sz w:val="24"/>
                <w:lang w:val="en-US" w:eastAsia="zh-CN" w:bidi="ar"/>
              </w:rPr>
            </w:pPr>
            <w:r>
              <w:rPr>
                <w:rFonts w:hint="default" w:ascii="Times New Roman" w:hAnsi="Times New Roman" w:cs="Times New Roman"/>
                <w:color w:val="auto"/>
                <w:kern w:val="0"/>
                <w:sz w:val="24"/>
                <w:lang w:val="en-US" w:eastAsia="zh-CN" w:bidi="ar"/>
              </w:rPr>
              <w:t>本项目有组织废气排放为上料粉尘，排气筒为</w:t>
            </w:r>
            <w:r>
              <w:rPr>
                <w:rFonts w:hint="default" w:ascii="Times New Roman" w:hAnsi="Times New Roman" w:cs="Times New Roman"/>
                <w:color w:val="auto"/>
                <w:kern w:val="0"/>
                <w:sz w:val="24"/>
                <w:lang w:bidi="ar"/>
              </w:rPr>
              <w:t>（DA001）</w:t>
            </w:r>
            <w:r>
              <w:rPr>
                <w:rFonts w:hint="default" w:ascii="Times New Roman" w:hAnsi="Times New Roman" w:cs="Times New Roman"/>
                <w:color w:val="auto"/>
                <w:kern w:val="0"/>
                <w:sz w:val="24"/>
                <w:lang w:eastAsia="zh-CN" w:bidi="ar"/>
              </w:rPr>
              <w:t>；</w:t>
            </w:r>
            <w:r>
              <w:rPr>
                <w:rFonts w:hint="default" w:ascii="Times New Roman" w:hAnsi="Times New Roman" w:cs="Times New Roman"/>
                <w:color w:val="auto"/>
                <w:lang w:val="en-US" w:eastAsia="zh-CN"/>
              </w:rPr>
              <w:t>搅拌</w:t>
            </w:r>
            <w:r>
              <w:rPr>
                <w:rFonts w:hint="default" w:ascii="Times New Roman" w:hAnsi="Times New Roman" w:cs="Times New Roman"/>
                <w:color w:val="auto"/>
                <w:highlight w:val="none"/>
                <w:lang w:val="en-US" w:eastAsia="zh-CN"/>
              </w:rPr>
              <w:t>粉尘、</w:t>
            </w:r>
            <w:r>
              <w:rPr>
                <w:rFonts w:hint="default" w:ascii="Times New Roman" w:hAnsi="Times New Roman" w:cs="Times New Roman"/>
                <w:color w:val="auto"/>
                <w:highlight w:val="none"/>
              </w:rPr>
              <w:t>烘</w:t>
            </w:r>
            <w:r>
              <w:rPr>
                <w:rFonts w:hint="default" w:ascii="Times New Roman" w:hAnsi="Times New Roman" w:cs="Times New Roman"/>
                <w:color w:val="auto"/>
              </w:rPr>
              <w:t>干粉尘</w:t>
            </w:r>
            <w:r>
              <w:rPr>
                <w:rFonts w:hint="default" w:ascii="Times New Roman" w:hAnsi="Times New Roman" w:cs="Times New Roman"/>
                <w:color w:val="auto"/>
                <w:lang w:eastAsia="zh-CN"/>
              </w:rPr>
              <w:t>、</w:t>
            </w:r>
            <w:r>
              <w:rPr>
                <w:rFonts w:hint="default" w:ascii="Times New Roman" w:hAnsi="Times New Roman" w:cs="Times New Roman"/>
                <w:color w:val="auto"/>
              </w:rPr>
              <w:t>筛分粉尘</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包装粉尘</w:t>
            </w:r>
            <w:r>
              <w:rPr>
                <w:rFonts w:hint="default" w:ascii="Times New Roman" w:hAnsi="Times New Roman" w:cs="Times New Roman"/>
                <w:color w:val="auto"/>
                <w:lang w:val="en-US" w:eastAsia="zh-CN"/>
              </w:rPr>
              <w:t>共用排气筒（</w:t>
            </w:r>
            <w:r>
              <w:rPr>
                <w:rFonts w:hint="default" w:ascii="Times New Roman" w:hAnsi="Times New Roman" w:cs="Times New Roman"/>
                <w:color w:val="auto"/>
                <w:kern w:val="0"/>
                <w:sz w:val="24"/>
                <w:lang w:bidi="ar"/>
              </w:rPr>
              <w:t>DA00</w:t>
            </w:r>
            <w:r>
              <w:rPr>
                <w:rFonts w:hint="default" w:ascii="Times New Roman" w:hAnsi="Times New Roman" w:cs="Times New Roman"/>
                <w:color w:val="auto"/>
                <w:kern w:val="0"/>
                <w:sz w:val="24"/>
                <w:lang w:val="en-US" w:eastAsia="zh-CN" w:bidi="ar"/>
              </w:rPr>
              <w:t>2</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w:t>
            </w:r>
          </w:p>
          <w:p w14:paraId="308B02A4">
            <w:pPr>
              <w:widowControl/>
              <w:spacing w:line="360" w:lineRule="auto"/>
              <w:ind w:firstLine="480" w:firstLineChars="200"/>
              <w:jc w:val="left"/>
              <w:rPr>
                <w:rFonts w:hint="eastAsia" w:eastAsia="宋体"/>
                <w:color w:val="auto"/>
                <w:kern w:val="0"/>
                <w:sz w:val="24"/>
                <w:lang w:eastAsia="zh-CN" w:bidi="ar"/>
              </w:rPr>
            </w:pPr>
            <w:r>
              <w:rPr>
                <w:rFonts w:hint="eastAsia"/>
                <w:color w:val="auto"/>
                <w:kern w:val="0"/>
                <w:sz w:val="24"/>
                <w:lang w:val="en-US" w:eastAsia="zh-CN" w:bidi="ar"/>
              </w:rPr>
              <w:t>①</w:t>
            </w:r>
            <w:r>
              <w:rPr>
                <w:color w:val="auto"/>
                <w:kern w:val="0"/>
                <w:sz w:val="24"/>
                <w:lang w:bidi="ar"/>
              </w:rPr>
              <w:t>上料粉尘</w:t>
            </w:r>
            <w:r>
              <w:rPr>
                <w:rFonts w:hint="eastAsia"/>
                <w:color w:val="auto"/>
                <w:kern w:val="0"/>
                <w:sz w:val="24"/>
                <w:lang w:eastAsia="zh-CN" w:bidi="ar"/>
              </w:rPr>
              <w:t>：</w:t>
            </w:r>
            <w:r>
              <w:rPr>
                <w:rFonts w:hint="eastAsia"/>
                <w:color w:val="auto"/>
                <w:kern w:val="0"/>
                <w:sz w:val="24"/>
                <w:lang w:val="en-US" w:eastAsia="zh-CN" w:bidi="ar"/>
              </w:rPr>
              <w:t>全封闭厂房上料，</w:t>
            </w:r>
            <w:r>
              <w:rPr>
                <w:color w:val="auto"/>
                <w:kern w:val="0"/>
                <w:sz w:val="24"/>
                <w:lang w:bidi="ar"/>
              </w:rPr>
              <w:t>采用干雾抑尘器</w:t>
            </w:r>
            <w:r>
              <w:rPr>
                <w:rFonts w:hint="eastAsia"/>
                <w:color w:val="auto"/>
                <w:kern w:val="0"/>
                <w:sz w:val="24"/>
                <w:lang w:eastAsia="zh-CN" w:bidi="ar"/>
              </w:rPr>
              <w:t>（</w:t>
            </w:r>
            <w:r>
              <w:rPr>
                <w:rFonts w:hint="eastAsia"/>
                <w:color w:val="auto"/>
                <w:kern w:val="0"/>
                <w:sz w:val="24"/>
                <w:lang w:val="en-US" w:eastAsia="zh-CN" w:bidi="ar"/>
              </w:rPr>
              <w:t>90%</w:t>
            </w:r>
            <w:r>
              <w:rPr>
                <w:rFonts w:hint="eastAsia"/>
                <w:color w:val="auto"/>
                <w:kern w:val="0"/>
                <w:sz w:val="24"/>
                <w:lang w:eastAsia="zh-CN" w:bidi="ar"/>
              </w:rPr>
              <w:t>）</w:t>
            </w:r>
            <w:r>
              <w:rPr>
                <w:color w:val="auto"/>
                <w:kern w:val="0"/>
                <w:sz w:val="24"/>
                <w:lang w:bidi="ar"/>
              </w:rPr>
              <w:t>后由集气罩（90%）收集后经密闭抽尘管道引至1套布袋除尘器（99%）+</w:t>
            </w:r>
            <w:r>
              <w:rPr>
                <w:rFonts w:hint="eastAsia"/>
                <w:color w:val="auto"/>
                <w:kern w:val="0"/>
                <w:sz w:val="24"/>
                <w:lang w:val="en-US" w:eastAsia="zh-CN" w:bidi="ar"/>
              </w:rPr>
              <w:t>20</w:t>
            </w:r>
            <w:r>
              <w:rPr>
                <w:color w:val="auto"/>
                <w:kern w:val="0"/>
                <w:sz w:val="24"/>
                <w:lang w:bidi="ar"/>
              </w:rPr>
              <w:t>m 高排气筒（DA001）处理排放</w:t>
            </w:r>
            <w:r>
              <w:rPr>
                <w:rFonts w:hint="eastAsia"/>
                <w:color w:val="auto"/>
                <w:kern w:val="0"/>
                <w:sz w:val="24"/>
                <w:lang w:eastAsia="zh-CN" w:bidi="ar"/>
              </w:rPr>
              <w:t>，</w:t>
            </w:r>
            <w:r>
              <w:rPr>
                <w:rFonts w:hint="eastAsia"/>
                <w:color w:val="auto"/>
                <w:kern w:val="0"/>
                <w:sz w:val="24"/>
                <w:lang w:bidi="ar"/>
              </w:rPr>
              <w:t>布袋除尘器风量为10000m</w:t>
            </w:r>
            <w:r>
              <w:rPr>
                <w:rFonts w:hint="eastAsia"/>
                <w:color w:val="auto"/>
                <w:kern w:val="0"/>
                <w:sz w:val="24"/>
                <w:vertAlign w:val="superscript"/>
                <w:lang w:bidi="ar"/>
              </w:rPr>
              <w:t>3</w:t>
            </w:r>
            <w:r>
              <w:rPr>
                <w:rFonts w:hint="eastAsia"/>
                <w:color w:val="auto"/>
                <w:kern w:val="0"/>
                <w:sz w:val="24"/>
                <w:lang w:bidi="ar"/>
              </w:rPr>
              <w:t>/h，粉尘排放量为</w:t>
            </w:r>
            <w:r>
              <w:rPr>
                <w:rFonts w:hint="eastAsia"/>
                <w:color w:val="auto"/>
                <w:kern w:val="0"/>
                <w:sz w:val="24"/>
                <w:lang w:val="en-US" w:eastAsia="zh-CN" w:bidi="ar"/>
              </w:rPr>
              <w:t>0.00456</w:t>
            </w:r>
            <w:r>
              <w:rPr>
                <w:color w:val="auto"/>
                <w:kern w:val="0"/>
                <w:sz w:val="24"/>
                <w:lang w:bidi="ar"/>
              </w:rPr>
              <w:t>t/a</w:t>
            </w:r>
            <w:r>
              <w:rPr>
                <w:rFonts w:hint="eastAsia"/>
                <w:color w:val="auto"/>
                <w:kern w:val="0"/>
                <w:sz w:val="24"/>
                <w:lang w:bidi="ar"/>
              </w:rPr>
              <w:t>，排放速率为</w:t>
            </w:r>
            <w:r>
              <w:rPr>
                <w:rFonts w:hint="eastAsia"/>
                <w:color w:val="auto"/>
                <w:kern w:val="0"/>
                <w:sz w:val="24"/>
                <w:lang w:val="en-US" w:eastAsia="zh-CN" w:bidi="ar"/>
              </w:rPr>
              <w:t>0.571×10</w:t>
            </w:r>
            <w:r>
              <w:rPr>
                <w:rFonts w:hint="eastAsia"/>
                <w:color w:val="auto"/>
                <w:kern w:val="0"/>
                <w:sz w:val="24"/>
                <w:vertAlign w:val="superscript"/>
                <w:lang w:val="en-US" w:eastAsia="zh-CN" w:bidi="ar"/>
              </w:rPr>
              <w:t>-3</w:t>
            </w:r>
            <w:r>
              <w:rPr>
                <w:color w:val="auto"/>
                <w:kern w:val="0"/>
                <w:sz w:val="24"/>
                <w:lang w:bidi="ar"/>
              </w:rPr>
              <w:t>kg/h</w:t>
            </w:r>
            <w:r>
              <w:rPr>
                <w:rFonts w:hint="eastAsia"/>
                <w:color w:val="auto"/>
                <w:kern w:val="0"/>
                <w:sz w:val="24"/>
                <w:lang w:bidi="ar"/>
              </w:rPr>
              <w:t>，排放浓度</w:t>
            </w:r>
            <w:r>
              <w:rPr>
                <w:rFonts w:hint="eastAsia"/>
                <w:color w:val="auto"/>
                <w:kern w:val="0"/>
                <w:sz w:val="24"/>
                <w:lang w:val="en-US" w:eastAsia="zh-CN" w:bidi="ar"/>
              </w:rPr>
              <w:t>0.0571</w:t>
            </w:r>
            <w:r>
              <w:rPr>
                <w:bCs/>
                <w:color w:val="auto"/>
                <w:sz w:val="24"/>
              </w:rPr>
              <w:t>mg/m</w:t>
            </w:r>
            <w:r>
              <w:rPr>
                <w:bCs/>
                <w:color w:val="auto"/>
                <w:sz w:val="24"/>
                <w:vertAlign w:val="superscript"/>
              </w:rPr>
              <w:t>3</w:t>
            </w:r>
            <w:r>
              <w:rPr>
                <w:rFonts w:hint="eastAsia"/>
                <w:color w:val="auto"/>
                <w:kern w:val="0"/>
                <w:sz w:val="24"/>
                <w:lang w:eastAsia="zh-CN" w:bidi="ar"/>
              </w:rPr>
              <w:t>，</w:t>
            </w:r>
            <w:r>
              <w:rPr>
                <w:color w:val="auto"/>
                <w:kern w:val="0"/>
                <w:sz w:val="24"/>
                <w:lang w:bidi="ar"/>
              </w:rPr>
              <w:t>满足</w:t>
            </w:r>
            <w:r>
              <w:rPr>
                <w:rFonts w:hint="eastAsia"/>
                <w:color w:val="auto"/>
                <w:kern w:val="0"/>
                <w:sz w:val="24"/>
                <w:lang w:bidi="ar"/>
              </w:rPr>
              <w:t>执行</w:t>
            </w:r>
            <w:r>
              <w:rPr>
                <w:rFonts w:hint="eastAsia"/>
                <w:color w:val="auto"/>
                <w:kern w:val="0"/>
                <w:sz w:val="24"/>
                <w:lang w:val="en-US" w:eastAsia="zh-CN" w:bidi="ar"/>
              </w:rPr>
              <w:t>《大气污染物综合排放标准》（GB16297-1996）表2新污染源大气污染物排放限值中</w:t>
            </w:r>
            <w:r>
              <w:rPr>
                <w:rFonts w:hint="eastAsia"/>
                <w:color w:val="auto"/>
                <w:kern w:val="0"/>
                <w:sz w:val="24"/>
                <w:lang w:bidi="ar"/>
              </w:rPr>
              <w:t>二级标准要求</w:t>
            </w:r>
            <w:r>
              <w:rPr>
                <w:color w:val="auto"/>
                <w:kern w:val="0"/>
                <w:sz w:val="24"/>
                <w:lang w:bidi="ar"/>
              </w:rPr>
              <w:t>。</w:t>
            </w:r>
          </w:p>
          <w:p w14:paraId="14B04745">
            <w:pPr>
              <w:widowControl/>
              <w:spacing w:line="360" w:lineRule="auto"/>
              <w:ind w:firstLine="480" w:firstLineChars="200"/>
              <w:jc w:val="left"/>
              <w:rPr>
                <w:color w:val="auto"/>
                <w:kern w:val="0"/>
                <w:sz w:val="24"/>
                <w:lang w:bidi="ar"/>
              </w:rPr>
            </w:pPr>
            <w:r>
              <w:rPr>
                <w:rFonts w:hint="eastAsia"/>
                <w:color w:val="auto"/>
                <w:kern w:val="0"/>
                <w:sz w:val="24"/>
                <w:lang w:val="en-US" w:eastAsia="zh-CN" w:bidi="ar"/>
              </w:rPr>
              <w:t>②</w:t>
            </w:r>
            <w:r>
              <w:rPr>
                <w:rFonts w:hint="eastAsia" w:ascii="Times New Roman" w:hAnsi="Times New Roman" w:eastAsia="宋体" w:cs="Times New Roman"/>
                <w:color w:val="auto"/>
                <w:kern w:val="0"/>
                <w:sz w:val="24"/>
                <w:szCs w:val="20"/>
                <w:lang w:val="en-US" w:eastAsia="zh-CN" w:bidi="ar-SA"/>
              </w:rPr>
              <w:t>搅拌粉尘</w:t>
            </w:r>
            <w:r>
              <w:rPr>
                <w:rFonts w:hint="default" w:ascii="Times New Roman" w:hAnsi="Times New Roman" w:cs="Times New Roman"/>
                <w:color w:val="auto"/>
                <w:sz w:val="24"/>
                <w:szCs w:val="24"/>
              </w:rPr>
              <w:t>经集气罩（90%）收集后经密闭抽尘管道引布袋除尘器（与烘干尾气处共用共用，效率99%）处理后通过1根</w:t>
            </w:r>
            <w:r>
              <w:rPr>
                <w:rFonts w:hint="eastAsia"/>
                <w:color w:val="auto"/>
                <w:kern w:val="0"/>
                <w:sz w:val="24"/>
                <w:lang w:val="en-US" w:eastAsia="zh-CN" w:bidi="ar"/>
              </w:rPr>
              <w:t>20</w:t>
            </w:r>
            <w:r>
              <w:rPr>
                <w:color w:val="auto"/>
                <w:kern w:val="0"/>
                <w:sz w:val="24"/>
                <w:lang w:bidi="ar"/>
              </w:rPr>
              <w:t>m</w:t>
            </w:r>
            <w:r>
              <w:rPr>
                <w:rFonts w:hint="default" w:ascii="Times New Roman" w:hAnsi="Times New Roman" w:cs="Times New Roman"/>
                <w:color w:val="auto"/>
                <w:sz w:val="24"/>
                <w:szCs w:val="24"/>
              </w:rPr>
              <w:t>高排气筒（DA002）排放</w:t>
            </w:r>
            <w:r>
              <w:rPr>
                <w:rFonts w:hint="eastAsia" w:cs="Times New Roman"/>
                <w:color w:val="auto"/>
                <w:sz w:val="24"/>
                <w:szCs w:val="24"/>
                <w:lang w:eastAsia="zh-CN"/>
              </w:rPr>
              <w:t>；</w:t>
            </w:r>
            <w:r>
              <w:rPr>
                <w:color w:val="auto"/>
                <w:kern w:val="0"/>
                <w:sz w:val="24"/>
                <w:lang w:bidi="ar"/>
              </w:rPr>
              <w:t>烘干废气干燥热源采用在新航焦化新设上升管余热回收装置产生的饱和蒸汽，采用布袋除尘器（99%）除尘后由引风机送入</w:t>
            </w:r>
            <w:r>
              <w:rPr>
                <w:rFonts w:hint="eastAsia"/>
                <w:color w:val="auto"/>
                <w:kern w:val="0"/>
                <w:sz w:val="24"/>
                <w:lang w:val="en-US" w:eastAsia="zh-CN" w:bidi="ar"/>
              </w:rPr>
              <w:t>20</w:t>
            </w:r>
            <w:r>
              <w:rPr>
                <w:color w:val="auto"/>
                <w:kern w:val="0"/>
                <w:sz w:val="24"/>
                <w:lang w:bidi="ar"/>
              </w:rPr>
              <w:t>m高排气筒（DA002）处理排放；筛分粉尘经集气罩（90%）收集后经密闭抽尘管道引布袋除尘器（与烘干尾气处共用共用，效率99%）处理后通过1根</w:t>
            </w:r>
            <w:r>
              <w:rPr>
                <w:rFonts w:hint="eastAsia"/>
                <w:color w:val="auto"/>
                <w:kern w:val="0"/>
                <w:sz w:val="24"/>
                <w:lang w:val="en-US" w:eastAsia="zh-CN" w:bidi="ar"/>
              </w:rPr>
              <w:t>20</w:t>
            </w:r>
            <w:r>
              <w:rPr>
                <w:color w:val="auto"/>
                <w:kern w:val="0"/>
                <w:sz w:val="24"/>
                <w:lang w:bidi="ar"/>
              </w:rPr>
              <w:t>m高排气筒（DA002）排放</w:t>
            </w:r>
            <w:r>
              <w:rPr>
                <w:rFonts w:hint="eastAsia"/>
                <w:color w:val="auto"/>
                <w:kern w:val="0"/>
                <w:sz w:val="24"/>
                <w:lang w:eastAsia="zh-CN" w:bidi="ar"/>
              </w:rPr>
              <w:t>；</w:t>
            </w:r>
            <w:r>
              <w:rPr>
                <w:rFonts w:hint="eastAsia"/>
                <w:color w:val="auto"/>
                <w:kern w:val="0"/>
                <w:sz w:val="24"/>
                <w:lang w:val="en-US" w:eastAsia="zh-CN" w:bidi="ar"/>
              </w:rPr>
              <w:t>包装粉尘</w:t>
            </w:r>
            <w:r>
              <w:rPr>
                <w:color w:val="auto"/>
                <w:kern w:val="0"/>
                <w:sz w:val="24"/>
                <w:lang w:bidi="ar"/>
              </w:rPr>
              <w:t>经集气罩（90%）收集后经密闭抽尘管道引布袋除尘器（与烘干尾气处共用共用，效率99%）处理后通过1根</w:t>
            </w:r>
            <w:r>
              <w:rPr>
                <w:rFonts w:hint="eastAsia"/>
                <w:color w:val="auto"/>
                <w:kern w:val="0"/>
                <w:sz w:val="24"/>
                <w:lang w:val="en-US" w:eastAsia="zh-CN" w:bidi="ar"/>
              </w:rPr>
              <w:t>20</w:t>
            </w:r>
            <w:r>
              <w:rPr>
                <w:color w:val="auto"/>
                <w:kern w:val="0"/>
                <w:sz w:val="24"/>
                <w:lang w:bidi="ar"/>
              </w:rPr>
              <w:t>m高排气筒（DA002）</w:t>
            </w:r>
            <w:r>
              <w:rPr>
                <w:rFonts w:hint="eastAsia"/>
                <w:color w:val="auto"/>
                <w:kern w:val="0"/>
                <w:sz w:val="24"/>
                <w:lang w:val="en-US" w:eastAsia="zh-CN" w:bidi="ar"/>
              </w:rPr>
              <w:t>排放，</w:t>
            </w:r>
            <w:r>
              <w:rPr>
                <w:rFonts w:hint="default" w:ascii="Times New Roman" w:hAnsi="Times New Roman" w:cs="Times New Roman"/>
                <w:color w:val="auto"/>
                <w:sz w:val="24"/>
                <w:szCs w:val="24"/>
                <w:lang w:bidi="ar"/>
              </w:rPr>
              <w:t>除尘器风量为100000m</w:t>
            </w:r>
            <w:r>
              <w:rPr>
                <w:rFonts w:hint="default" w:ascii="Times New Roman" w:hAnsi="Times New Roman" w:cs="Times New Roman"/>
                <w:color w:val="auto"/>
                <w:sz w:val="24"/>
                <w:szCs w:val="24"/>
                <w:vertAlign w:val="superscript"/>
                <w:lang w:bidi="ar"/>
              </w:rPr>
              <w:t>3</w:t>
            </w:r>
            <w:r>
              <w:rPr>
                <w:rFonts w:hint="default" w:ascii="Times New Roman" w:hAnsi="Times New Roman" w:cs="Times New Roman"/>
                <w:color w:val="auto"/>
                <w:sz w:val="24"/>
                <w:szCs w:val="24"/>
                <w:lang w:bidi="ar"/>
              </w:rPr>
              <w:t>/h</w:t>
            </w:r>
            <w:r>
              <w:rPr>
                <w:rFonts w:hint="eastAsia" w:cs="Times New Roman"/>
                <w:color w:val="auto"/>
                <w:sz w:val="24"/>
                <w:szCs w:val="24"/>
                <w:lang w:eastAsia="zh-CN" w:bidi="ar"/>
              </w:rPr>
              <w:t>；</w:t>
            </w:r>
            <w:r>
              <w:rPr>
                <w:color w:val="auto"/>
                <w:kern w:val="0"/>
                <w:sz w:val="24"/>
                <w:lang w:bidi="ar"/>
              </w:rPr>
              <w:t>粉尘排放量为</w:t>
            </w:r>
            <w:r>
              <w:rPr>
                <w:rFonts w:hint="eastAsia"/>
                <w:color w:val="auto"/>
                <w:kern w:val="0"/>
                <w:sz w:val="24"/>
                <w:lang w:val="en-US" w:eastAsia="zh-CN" w:bidi="ar"/>
              </w:rPr>
              <w:t>2.5632</w:t>
            </w:r>
            <w:r>
              <w:rPr>
                <w:color w:val="auto"/>
                <w:kern w:val="0"/>
                <w:sz w:val="24"/>
                <w:lang w:bidi="ar"/>
              </w:rPr>
              <w:t>t/a，排放速率为</w:t>
            </w:r>
            <w:r>
              <w:rPr>
                <w:rFonts w:hint="eastAsia"/>
                <w:color w:val="auto"/>
                <w:kern w:val="0"/>
                <w:sz w:val="24"/>
                <w:lang w:val="en-US" w:eastAsia="zh-CN" w:bidi="ar"/>
              </w:rPr>
              <w:t>0.321</w:t>
            </w:r>
            <w:r>
              <w:rPr>
                <w:color w:val="auto"/>
                <w:kern w:val="0"/>
                <w:sz w:val="24"/>
                <w:lang w:bidi="ar"/>
              </w:rPr>
              <w:t>kg/h，</w:t>
            </w:r>
            <w:r>
              <w:rPr>
                <w:color w:val="auto"/>
                <w:sz w:val="24"/>
              </w:rPr>
              <w:t>排放浓度为</w:t>
            </w:r>
            <w:r>
              <w:rPr>
                <w:rFonts w:hint="eastAsia"/>
                <w:color w:val="auto"/>
                <w:sz w:val="24"/>
                <w:lang w:val="en-US" w:eastAsia="zh-CN"/>
              </w:rPr>
              <w:t>3.21</w:t>
            </w:r>
            <w:r>
              <w:rPr>
                <w:bCs/>
                <w:color w:val="auto"/>
                <w:sz w:val="24"/>
              </w:rPr>
              <w:t>mg/m</w:t>
            </w:r>
            <w:r>
              <w:rPr>
                <w:bCs/>
                <w:color w:val="auto"/>
                <w:sz w:val="24"/>
                <w:vertAlign w:val="superscript"/>
              </w:rPr>
              <w:t>3</w:t>
            </w:r>
            <w:r>
              <w:rPr>
                <w:color w:val="auto"/>
                <w:kern w:val="0"/>
                <w:sz w:val="24"/>
                <w:lang w:bidi="ar"/>
              </w:rPr>
              <w:t>；</w:t>
            </w:r>
            <w:r>
              <w:rPr>
                <w:rFonts w:hint="eastAsia"/>
                <w:color w:val="auto"/>
                <w:kern w:val="0"/>
                <w:sz w:val="24"/>
                <w:lang w:val="en-US" w:eastAsia="zh-CN" w:bidi="ar"/>
              </w:rPr>
              <w:t>均</w:t>
            </w:r>
            <w:r>
              <w:rPr>
                <w:color w:val="auto"/>
                <w:kern w:val="0"/>
                <w:sz w:val="24"/>
                <w:lang w:bidi="ar"/>
              </w:rPr>
              <w:t>满足</w:t>
            </w:r>
            <w:r>
              <w:rPr>
                <w:rFonts w:hint="eastAsia"/>
                <w:color w:val="auto"/>
                <w:kern w:val="0"/>
                <w:sz w:val="24"/>
                <w:lang w:val="en-US" w:eastAsia="zh-CN" w:bidi="ar"/>
              </w:rPr>
              <w:t>《大气污染物综合排放标准》（GB16297-1996）表2新污染源大气污染物排放限值中</w:t>
            </w:r>
            <w:r>
              <w:rPr>
                <w:rFonts w:hint="eastAsia"/>
                <w:color w:val="auto"/>
                <w:kern w:val="0"/>
                <w:sz w:val="24"/>
                <w:lang w:bidi="ar"/>
              </w:rPr>
              <w:t>二级标准要求</w:t>
            </w:r>
            <w:r>
              <w:rPr>
                <w:color w:val="auto"/>
                <w:kern w:val="0"/>
                <w:sz w:val="24"/>
                <w:lang w:bidi="ar"/>
              </w:rPr>
              <w:t>。</w:t>
            </w:r>
          </w:p>
          <w:p w14:paraId="0E4A6D93">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a：袋式除尘器</w:t>
            </w:r>
          </w:p>
          <w:p w14:paraId="7F43C57D">
            <w:pPr>
              <w:widowControl/>
              <w:spacing w:line="360" w:lineRule="auto"/>
              <w:ind w:firstLine="480" w:firstLineChars="200"/>
              <w:jc w:val="left"/>
              <w:rPr>
                <w:color w:val="auto"/>
              </w:rPr>
            </w:pPr>
            <w:r>
              <w:rPr>
                <w:rFonts w:hint="eastAsia" w:ascii="宋体" w:hAnsi="宋体" w:cs="宋体"/>
                <w:color w:val="auto"/>
                <w:kern w:val="0"/>
                <w:sz w:val="24"/>
                <w:lang w:bidi="ar"/>
              </w:rPr>
              <w:t>袋式除尘器主要由底部钢结构、灰斗、上箱体、进出风口、滤袋、清灰装置、电气控制等几部分组成。含尘气体由进风口进入，经过灰斗时部分大颗粒粉尘被分离出来，直接落入灰斗底部。含尘气体通过灰斗后进入滤袋，粉尘被阻隔在滤袋外面，净化后的气体进入箱体，由出风口排出。当滤袋上的粉尘不断积厚达到设定值时，清灰装置开始清灰，清灰完毕后又恢复过滤状态。经过过滤和清灰工作被截留下来的粉尘落入灰斗，在由灰斗口的卸灰装置集中排出。袋式除尘器对于工业中的所有粉尘其除尘效率均可达到</w:t>
            </w:r>
            <w:r>
              <w:rPr>
                <w:color w:val="auto"/>
                <w:kern w:val="0"/>
                <w:sz w:val="24"/>
                <w:lang w:bidi="ar"/>
              </w:rPr>
              <w:t>99%</w:t>
            </w:r>
            <w:r>
              <w:rPr>
                <w:rFonts w:hint="eastAsia" w:ascii="宋体" w:hAnsi="宋体" w:cs="宋体"/>
                <w:color w:val="auto"/>
                <w:kern w:val="0"/>
                <w:sz w:val="24"/>
                <w:lang w:bidi="ar"/>
              </w:rPr>
              <w:t xml:space="preserve">以上。 </w:t>
            </w:r>
          </w:p>
          <w:p w14:paraId="23C4BCD2">
            <w:pPr>
              <w:widowControl/>
              <w:spacing w:line="360" w:lineRule="auto"/>
              <w:ind w:firstLine="480" w:firstLineChars="200"/>
              <w:jc w:val="left"/>
              <w:rPr>
                <w:color w:val="auto"/>
              </w:rPr>
            </w:pPr>
            <w:r>
              <w:rPr>
                <w:rFonts w:hint="eastAsia" w:ascii="宋体" w:hAnsi="宋体" w:cs="宋体"/>
                <w:color w:val="auto"/>
                <w:kern w:val="0"/>
                <w:sz w:val="24"/>
                <w:lang w:bidi="ar"/>
              </w:rPr>
              <w:t>袋式除尘可以根据颗粒度性质、浓度的不同，采用不同的滤料。本项目袋式除尘器除尘效率在</w:t>
            </w:r>
            <w:r>
              <w:rPr>
                <w:color w:val="auto"/>
                <w:kern w:val="0"/>
                <w:sz w:val="24"/>
                <w:lang w:bidi="ar"/>
              </w:rPr>
              <w:t>99%</w:t>
            </w:r>
            <w:r>
              <w:rPr>
                <w:rFonts w:hint="eastAsia" w:ascii="宋体" w:hAnsi="宋体" w:cs="宋体"/>
                <w:color w:val="auto"/>
                <w:kern w:val="0"/>
                <w:sz w:val="24"/>
                <w:lang w:bidi="ar"/>
              </w:rPr>
              <w:t>以上是可行的，选用袋式除尘器则适应项目的粉尘污染特点。为了更好的控制粉尘的排放情况，建议建设单位在除尘器上安装自动控制监测系统，以便及时观察到除尘器的工作状况，防止破袋、停电等非正常工况粉尘超标排放，措施可行。</w:t>
            </w:r>
          </w:p>
          <w:p w14:paraId="7458FA59">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b：</w:t>
            </w:r>
            <w:r>
              <w:rPr>
                <w:rFonts w:ascii="Times New Roman" w:hAnsi="Times New Roman" w:cs="Times New Roman"/>
                <w:color w:val="auto"/>
                <w:spacing w:val="5"/>
                <w:sz w:val="24"/>
                <w:szCs w:val="24"/>
                <w:lang w:eastAsia="zh-CN"/>
              </w:rPr>
              <w:t>干雾抑尘器</w:t>
            </w:r>
          </w:p>
          <w:p w14:paraId="3F5B0E27">
            <w:pPr>
              <w:pStyle w:val="46"/>
              <w:spacing w:line="360" w:lineRule="auto"/>
              <w:ind w:firstLine="480" w:firstLineChars="200"/>
              <w:jc w:val="left"/>
              <w:rPr>
                <w:rFonts w:hint="eastAsia"/>
                <w:color w:val="auto"/>
                <w:sz w:val="24"/>
                <w:szCs w:val="24"/>
                <w:lang w:eastAsia="zh-CN"/>
              </w:rPr>
            </w:pPr>
            <w:r>
              <w:rPr>
                <w:color w:val="auto"/>
                <w:sz w:val="24"/>
                <w:szCs w:val="24"/>
                <w:lang w:eastAsia="zh-CN"/>
              </w:rPr>
              <w:t>干雾抑尘器采用</w:t>
            </w:r>
            <w:r>
              <w:rPr>
                <w:rStyle w:val="25"/>
                <w:b w:val="0"/>
                <w:color w:val="auto"/>
                <w:sz w:val="24"/>
                <w:szCs w:val="24"/>
                <w:lang w:eastAsia="zh-CN"/>
              </w:rPr>
              <w:t>双流体雾化技术</w:t>
            </w:r>
            <w:r>
              <w:rPr>
                <w:color w:val="auto"/>
                <w:sz w:val="24"/>
                <w:szCs w:val="24"/>
                <w:lang w:eastAsia="zh-CN"/>
              </w:rPr>
              <w:t xml:space="preserve">，由压缩空气系统、供水系统、雾化喷嘴、管路及控制单元等部分组成，通过压缩空气与水在喷嘴内部高速混合、剪切破碎，将水雾化成 </w:t>
            </w:r>
            <w:r>
              <w:rPr>
                <w:rFonts w:ascii="Times New Roman" w:hAnsi="Times New Roman" w:cs="Times New Roman"/>
                <w:color w:val="auto"/>
                <w:sz w:val="24"/>
                <w:szCs w:val="24"/>
                <w:lang w:eastAsia="zh-CN"/>
              </w:rPr>
              <w:t>1～10</w:t>
            </w:r>
            <w:r>
              <w:rPr>
                <w:rFonts w:ascii="Times New Roman" w:hAnsi="Times New Roman" w:cs="Times New Roman"/>
                <w:color w:val="auto"/>
                <w:sz w:val="24"/>
                <w:szCs w:val="24"/>
              </w:rPr>
              <w:t>μ</w:t>
            </w:r>
            <w:r>
              <w:rPr>
                <w:rFonts w:ascii="Times New Roman" w:hAnsi="Times New Roman" w:cs="Times New Roman"/>
                <w:color w:val="auto"/>
                <w:sz w:val="24"/>
                <w:szCs w:val="24"/>
                <w:lang w:eastAsia="zh-CN"/>
              </w:rPr>
              <w:t xml:space="preserve">m </w:t>
            </w:r>
            <w:r>
              <w:rPr>
                <w:color w:val="auto"/>
                <w:sz w:val="24"/>
                <w:szCs w:val="24"/>
                <w:lang w:eastAsia="zh-CN"/>
              </w:rPr>
              <w:t>的超细干雾；超细雾滴与无组织排放粉尘颗粒发生惯性碰撞、吸附凝聚，使粉尘颗粒团聚增重并在重力作用下沉降，从源头抑制粉尘扩散，具有抑尘效率高、耗水量低、物料增湿量小、无明显积水等特点，可有效控制颗粒物无组织排放。</w:t>
            </w:r>
          </w:p>
          <w:p w14:paraId="7AE8DD24">
            <w:pPr>
              <w:widowControl/>
              <w:spacing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lang w:bidi="ar"/>
              </w:rPr>
              <w:t>本项目</w:t>
            </w:r>
            <w:r>
              <w:rPr>
                <w:rFonts w:ascii="宋体" w:hAnsi="宋体" w:cs="宋体"/>
                <w:color w:val="auto"/>
                <w:sz w:val="24"/>
              </w:rPr>
              <w:t>干雾抑尘器</w:t>
            </w:r>
            <w:r>
              <w:rPr>
                <w:rFonts w:hint="eastAsia" w:ascii="宋体" w:hAnsi="宋体" w:cs="宋体"/>
                <w:color w:val="auto"/>
                <w:kern w:val="0"/>
                <w:sz w:val="24"/>
                <w:lang w:bidi="ar"/>
              </w:rPr>
              <w:t>除尘效率在</w:t>
            </w:r>
            <w:r>
              <w:rPr>
                <w:rFonts w:hint="eastAsia"/>
                <w:color w:val="auto"/>
                <w:kern w:val="0"/>
                <w:sz w:val="24"/>
                <w:lang w:bidi="ar"/>
              </w:rPr>
              <w:t>50</w:t>
            </w:r>
            <w:r>
              <w:rPr>
                <w:color w:val="auto"/>
                <w:kern w:val="0"/>
                <w:sz w:val="24"/>
                <w:lang w:bidi="ar"/>
              </w:rPr>
              <w:t>%</w:t>
            </w:r>
            <w:r>
              <w:rPr>
                <w:rFonts w:hint="eastAsia" w:ascii="宋体" w:hAnsi="宋体" w:cs="宋体"/>
                <w:color w:val="auto"/>
                <w:kern w:val="0"/>
                <w:sz w:val="24"/>
                <w:lang w:bidi="ar"/>
              </w:rPr>
              <w:t>以上是可行的，选用</w:t>
            </w:r>
            <w:r>
              <w:rPr>
                <w:rFonts w:ascii="宋体" w:hAnsi="宋体" w:cs="宋体"/>
                <w:color w:val="auto"/>
                <w:sz w:val="24"/>
              </w:rPr>
              <w:t>干雾抑尘器</w:t>
            </w:r>
            <w:r>
              <w:rPr>
                <w:rFonts w:hint="eastAsia" w:ascii="宋体" w:hAnsi="宋体" w:cs="宋体"/>
                <w:color w:val="auto"/>
                <w:kern w:val="0"/>
                <w:sz w:val="24"/>
                <w:lang w:bidi="ar"/>
              </w:rPr>
              <w:t>则适应项目的粉尘污染特点，措施可行。</w:t>
            </w:r>
          </w:p>
          <w:p w14:paraId="409DEC8F">
            <w:pPr>
              <w:pStyle w:val="46"/>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c：排气筒</w:t>
            </w:r>
          </w:p>
          <w:p w14:paraId="506E5A4D">
            <w:pPr>
              <w:widowControl/>
              <w:spacing w:line="360" w:lineRule="auto"/>
              <w:ind w:firstLine="480" w:firstLineChars="200"/>
              <w:jc w:val="left"/>
              <w:rPr>
                <w:color w:val="auto"/>
              </w:rPr>
            </w:pPr>
            <w:r>
              <w:rPr>
                <w:rFonts w:hint="eastAsia" w:ascii="宋体" w:hAnsi="宋体" w:cs="宋体"/>
                <w:color w:val="auto"/>
                <w:kern w:val="0"/>
                <w:sz w:val="24"/>
                <w:lang w:bidi="ar"/>
              </w:rPr>
              <w:t>本项目上料粉尘</w:t>
            </w:r>
            <w:r>
              <w:rPr>
                <w:color w:val="auto"/>
                <w:kern w:val="0"/>
                <w:sz w:val="24"/>
                <w:lang w:bidi="ar"/>
              </w:rPr>
              <w:t>G</w:t>
            </w:r>
            <w:r>
              <w:rPr>
                <w:rFonts w:hint="eastAsia"/>
                <w:color w:val="auto"/>
                <w:kern w:val="0"/>
                <w:sz w:val="24"/>
                <w:lang w:val="en-US" w:eastAsia="zh-CN" w:bidi="ar"/>
              </w:rPr>
              <w:t>5</w:t>
            </w:r>
            <w:r>
              <w:rPr>
                <w:rFonts w:hint="eastAsia" w:ascii="宋体" w:hAnsi="宋体" w:cs="宋体"/>
                <w:color w:val="auto"/>
                <w:kern w:val="0"/>
                <w:sz w:val="24"/>
                <w:lang w:bidi="ar"/>
              </w:rPr>
              <w:t>经袋式除尘器处理后由一根</w:t>
            </w:r>
            <w:r>
              <w:rPr>
                <w:rFonts w:hint="eastAsia"/>
                <w:color w:val="auto"/>
                <w:kern w:val="0"/>
                <w:sz w:val="24"/>
                <w:lang w:val="en-US" w:eastAsia="zh-CN" w:bidi="ar"/>
              </w:rPr>
              <w:t>20</w:t>
            </w:r>
            <w:r>
              <w:rPr>
                <w:color w:val="auto"/>
                <w:kern w:val="0"/>
                <w:sz w:val="24"/>
                <w:lang w:bidi="ar"/>
              </w:rPr>
              <w:t>m</w:t>
            </w:r>
            <w:r>
              <w:rPr>
                <w:rFonts w:hint="eastAsia" w:ascii="宋体" w:hAnsi="宋体" w:cs="宋体"/>
                <w:color w:val="auto"/>
                <w:kern w:val="0"/>
                <w:sz w:val="24"/>
                <w:lang w:bidi="ar"/>
              </w:rPr>
              <w:t>高的排气筒（</w:t>
            </w:r>
            <w:r>
              <w:rPr>
                <w:color w:val="auto"/>
                <w:kern w:val="0"/>
                <w:sz w:val="24"/>
                <w:lang w:bidi="ar"/>
              </w:rPr>
              <w:t>DA0</w:t>
            </w:r>
            <w:r>
              <w:rPr>
                <w:rFonts w:hint="eastAsia"/>
                <w:color w:val="auto"/>
                <w:kern w:val="0"/>
                <w:sz w:val="24"/>
                <w:lang w:bidi="ar"/>
              </w:rPr>
              <w:t>01</w:t>
            </w:r>
            <w:r>
              <w:rPr>
                <w:rFonts w:hint="eastAsia" w:ascii="宋体" w:hAnsi="宋体" w:cs="宋体"/>
                <w:color w:val="auto"/>
                <w:kern w:val="0"/>
                <w:sz w:val="24"/>
                <w:lang w:bidi="ar"/>
              </w:rPr>
              <w:t>）排放；</w:t>
            </w:r>
            <w:r>
              <w:rPr>
                <w:rFonts w:hint="eastAsia" w:ascii="宋体" w:hAnsi="宋体" w:cs="宋体"/>
                <w:color w:val="auto"/>
                <w:kern w:val="0"/>
                <w:sz w:val="24"/>
                <w:lang w:val="en-US" w:eastAsia="zh-CN" w:bidi="ar"/>
              </w:rPr>
              <w:t>搅拌粉</w:t>
            </w:r>
            <w:r>
              <w:rPr>
                <w:rFonts w:hint="eastAsia" w:ascii="Times New Roman" w:hAnsi="Times New Roman" w:eastAsia="宋体" w:cs="Times New Roman"/>
                <w:color w:val="auto"/>
                <w:kern w:val="0"/>
                <w:sz w:val="24"/>
                <w:lang w:val="en-US" w:eastAsia="zh-CN" w:bidi="ar"/>
              </w:rPr>
              <w:t>尘G6、</w:t>
            </w:r>
            <w:r>
              <w:rPr>
                <w:rFonts w:hint="eastAsia" w:ascii="宋体" w:hAnsi="宋体" w:cs="宋体"/>
                <w:color w:val="auto"/>
                <w:kern w:val="0"/>
                <w:sz w:val="24"/>
                <w:lang w:bidi="ar"/>
              </w:rPr>
              <w:t>烘干废</w:t>
            </w:r>
            <w:r>
              <w:rPr>
                <w:rFonts w:hint="eastAsia"/>
                <w:color w:val="auto"/>
                <w:kern w:val="0"/>
                <w:sz w:val="24"/>
                <w:lang w:bidi="ar"/>
              </w:rPr>
              <w:t>气G</w:t>
            </w:r>
            <w:r>
              <w:rPr>
                <w:rFonts w:hint="eastAsia"/>
                <w:color w:val="auto"/>
                <w:kern w:val="0"/>
                <w:sz w:val="24"/>
                <w:lang w:val="en-US" w:eastAsia="zh-CN" w:bidi="ar"/>
              </w:rPr>
              <w:t>7</w:t>
            </w:r>
            <w:r>
              <w:rPr>
                <w:rFonts w:hint="eastAsia"/>
                <w:color w:val="auto"/>
                <w:kern w:val="0"/>
                <w:sz w:val="24"/>
                <w:lang w:bidi="ar"/>
              </w:rPr>
              <w:t>、筛分粉尘</w:t>
            </w:r>
            <w:r>
              <w:rPr>
                <w:color w:val="auto"/>
                <w:kern w:val="0"/>
                <w:sz w:val="24"/>
                <w:lang w:bidi="ar"/>
              </w:rPr>
              <w:t>G</w:t>
            </w:r>
            <w:r>
              <w:rPr>
                <w:rFonts w:hint="eastAsia"/>
                <w:color w:val="auto"/>
                <w:kern w:val="0"/>
                <w:sz w:val="24"/>
                <w:lang w:val="en-US" w:eastAsia="zh-CN" w:bidi="ar"/>
              </w:rPr>
              <w:t>8、包装粉尘G9</w:t>
            </w:r>
            <w:r>
              <w:rPr>
                <w:rFonts w:hint="eastAsia" w:ascii="宋体" w:hAnsi="宋体" w:cs="宋体"/>
                <w:color w:val="auto"/>
                <w:kern w:val="0"/>
                <w:sz w:val="24"/>
                <w:lang w:bidi="ar"/>
              </w:rPr>
              <w:t>经袋式除尘器处理后由一根</w:t>
            </w:r>
            <w:r>
              <w:rPr>
                <w:rFonts w:hint="eastAsia"/>
                <w:color w:val="auto"/>
                <w:kern w:val="0"/>
                <w:sz w:val="24"/>
                <w:lang w:val="en-US" w:eastAsia="zh-CN" w:bidi="ar"/>
              </w:rPr>
              <w:t>20</w:t>
            </w:r>
            <w:r>
              <w:rPr>
                <w:color w:val="auto"/>
                <w:kern w:val="0"/>
                <w:sz w:val="24"/>
                <w:lang w:bidi="ar"/>
              </w:rPr>
              <w:t>m</w:t>
            </w:r>
            <w:r>
              <w:rPr>
                <w:rFonts w:hint="eastAsia" w:ascii="宋体" w:hAnsi="宋体" w:cs="宋体"/>
                <w:color w:val="auto"/>
                <w:kern w:val="0"/>
                <w:sz w:val="24"/>
                <w:lang w:bidi="ar"/>
              </w:rPr>
              <w:t>高的排气筒（</w:t>
            </w:r>
            <w:r>
              <w:rPr>
                <w:color w:val="auto"/>
                <w:kern w:val="0"/>
                <w:sz w:val="24"/>
                <w:lang w:bidi="ar"/>
              </w:rPr>
              <w:t>DA0</w:t>
            </w:r>
            <w:r>
              <w:rPr>
                <w:rFonts w:hint="eastAsia"/>
                <w:color w:val="auto"/>
                <w:kern w:val="0"/>
                <w:sz w:val="24"/>
                <w:lang w:bidi="ar"/>
              </w:rPr>
              <w:t>02</w:t>
            </w:r>
            <w:r>
              <w:rPr>
                <w:rFonts w:hint="eastAsia" w:ascii="宋体" w:hAnsi="宋体" w:cs="宋体"/>
                <w:color w:val="auto"/>
                <w:kern w:val="0"/>
                <w:sz w:val="24"/>
                <w:lang w:bidi="ar"/>
              </w:rPr>
              <w:t>）排</w:t>
            </w:r>
            <w:r>
              <w:rPr>
                <w:rFonts w:hint="eastAsia" w:ascii="宋体" w:hAnsi="宋体" w:eastAsia="宋体" w:cs="宋体"/>
                <w:color w:val="auto"/>
                <w:kern w:val="0"/>
                <w:sz w:val="24"/>
                <w:lang w:bidi="ar"/>
              </w:rPr>
              <w:t>放，按照</w:t>
            </w:r>
            <w:r>
              <w:rPr>
                <w:rFonts w:hint="eastAsia"/>
                <w:color w:val="auto"/>
                <w:kern w:val="0"/>
                <w:sz w:val="24"/>
                <w:lang w:val="en-US" w:eastAsia="zh-CN" w:bidi="ar"/>
              </w:rPr>
              <w:t>《大气污染物综合排放标准》（GB16297-1996）表2新污染源大气污染物排放限值中</w:t>
            </w:r>
            <w:r>
              <w:rPr>
                <w:rFonts w:hint="eastAsia"/>
                <w:color w:val="auto"/>
                <w:kern w:val="0"/>
                <w:sz w:val="24"/>
                <w:lang w:bidi="ar"/>
              </w:rPr>
              <w:t>二级标准要求</w:t>
            </w:r>
            <w:r>
              <w:rPr>
                <w:rFonts w:hint="eastAsia" w:ascii="宋体" w:hAnsi="宋体" w:eastAsia="宋体" w:cs="宋体"/>
                <w:color w:val="auto"/>
                <w:kern w:val="0"/>
                <w:sz w:val="24"/>
                <w:lang w:val="en-US" w:eastAsia="zh-CN" w:bidi="ar"/>
              </w:rPr>
              <w:t>规定</w:t>
            </w:r>
            <w:r>
              <w:rPr>
                <w:rFonts w:hint="eastAsia" w:ascii="宋体" w:hAnsi="宋体" w:eastAsia="宋体" w:cs="宋体"/>
                <w:color w:val="auto"/>
                <w:kern w:val="0"/>
                <w:sz w:val="24"/>
                <w:lang w:bidi="ar"/>
              </w:rPr>
              <w:t>，排气筒高度应</w:t>
            </w:r>
            <w:r>
              <w:rPr>
                <w:rFonts w:hint="eastAsia" w:ascii="宋体" w:hAnsi="宋体" w:cs="宋体"/>
                <w:color w:val="auto"/>
                <w:kern w:val="0"/>
                <w:sz w:val="24"/>
                <w:lang w:bidi="ar"/>
              </w:rPr>
              <w:t>不低于</w:t>
            </w:r>
            <w:r>
              <w:rPr>
                <w:color w:val="auto"/>
                <w:kern w:val="0"/>
                <w:sz w:val="24"/>
                <w:lang w:bidi="ar"/>
              </w:rPr>
              <w:t>15m</w:t>
            </w:r>
            <w:r>
              <w:rPr>
                <w:rFonts w:hint="eastAsia" w:ascii="宋体" w:hAnsi="宋体" w:cs="宋体"/>
                <w:color w:val="auto"/>
                <w:kern w:val="0"/>
                <w:sz w:val="24"/>
                <w:lang w:bidi="ar"/>
              </w:rPr>
              <w:t>，排气筒周围</w:t>
            </w:r>
            <w:r>
              <w:rPr>
                <w:color w:val="auto"/>
                <w:kern w:val="0"/>
                <w:sz w:val="24"/>
                <w:lang w:bidi="ar"/>
              </w:rPr>
              <w:t>200m</w:t>
            </w:r>
            <w:r>
              <w:rPr>
                <w:rFonts w:hint="eastAsia" w:ascii="宋体" w:hAnsi="宋体" w:cs="宋体"/>
                <w:color w:val="auto"/>
                <w:kern w:val="0"/>
                <w:sz w:val="24"/>
                <w:lang w:bidi="ar"/>
              </w:rPr>
              <w:t>半径范围有建筑物时，排气筒高度还应高出最高建筑物</w:t>
            </w:r>
            <w:r>
              <w:rPr>
                <w:rFonts w:hint="eastAsia"/>
                <w:color w:val="auto"/>
                <w:kern w:val="0"/>
                <w:sz w:val="24"/>
                <w:lang w:val="en-US" w:eastAsia="zh-CN" w:bidi="ar"/>
              </w:rPr>
              <w:t>5</w:t>
            </w:r>
            <w:r>
              <w:rPr>
                <w:color w:val="auto"/>
                <w:kern w:val="0"/>
                <w:sz w:val="24"/>
                <w:lang w:bidi="ar"/>
              </w:rPr>
              <w:t>m</w:t>
            </w:r>
            <w:r>
              <w:rPr>
                <w:rFonts w:hint="eastAsia" w:ascii="宋体" w:hAnsi="宋体" w:cs="宋体"/>
                <w:color w:val="auto"/>
                <w:kern w:val="0"/>
                <w:sz w:val="24"/>
                <w:lang w:bidi="ar"/>
              </w:rPr>
              <w:t>以上，本项目周围半径</w:t>
            </w:r>
            <w:r>
              <w:rPr>
                <w:color w:val="auto"/>
                <w:kern w:val="0"/>
                <w:sz w:val="24"/>
                <w:lang w:bidi="ar"/>
              </w:rPr>
              <w:t>200m</w:t>
            </w:r>
            <w:r>
              <w:rPr>
                <w:rFonts w:hint="eastAsia" w:ascii="宋体" w:hAnsi="宋体" w:cs="宋体"/>
                <w:color w:val="auto"/>
                <w:kern w:val="0"/>
                <w:sz w:val="24"/>
                <w:lang w:bidi="ar"/>
              </w:rPr>
              <w:t>范围内最高建筑高度约为</w:t>
            </w:r>
            <w:r>
              <w:rPr>
                <w:rFonts w:hint="eastAsia"/>
                <w:color w:val="auto"/>
                <w:kern w:val="0"/>
                <w:sz w:val="24"/>
                <w:lang w:val="en-US" w:eastAsia="zh-CN" w:bidi="ar"/>
              </w:rPr>
              <w:t>15</w:t>
            </w:r>
            <w:r>
              <w:rPr>
                <w:color w:val="auto"/>
                <w:kern w:val="0"/>
                <w:sz w:val="24"/>
                <w:lang w:bidi="ar"/>
              </w:rPr>
              <w:t>m</w:t>
            </w:r>
            <w:r>
              <w:rPr>
                <w:rFonts w:hint="eastAsia" w:ascii="宋体" w:hAnsi="宋体" w:cs="宋体"/>
                <w:color w:val="auto"/>
                <w:kern w:val="0"/>
                <w:sz w:val="24"/>
                <w:lang w:bidi="ar"/>
              </w:rPr>
              <w:t>，因此本项目布袋除尘器排气筒高于最高建筑</w:t>
            </w:r>
            <w:r>
              <w:rPr>
                <w:color w:val="auto"/>
                <w:kern w:val="0"/>
                <w:sz w:val="24"/>
                <w:lang w:bidi="ar"/>
              </w:rPr>
              <w:t>5m</w:t>
            </w:r>
            <w:r>
              <w:rPr>
                <w:rFonts w:hint="eastAsia" w:ascii="宋体" w:hAnsi="宋体" w:cs="宋体"/>
                <w:color w:val="auto"/>
                <w:kern w:val="0"/>
                <w:sz w:val="24"/>
                <w:lang w:bidi="ar"/>
              </w:rPr>
              <w:t>以上，符合该规定要求。</w:t>
            </w:r>
          </w:p>
          <w:p w14:paraId="794031B4">
            <w:pPr>
              <w:widowControl/>
              <w:spacing w:line="360" w:lineRule="auto"/>
              <w:ind w:firstLine="500" w:firstLineChars="200"/>
              <w:jc w:val="left"/>
              <w:rPr>
                <w:color w:val="auto"/>
                <w:spacing w:val="5"/>
                <w:sz w:val="24"/>
              </w:rPr>
            </w:pPr>
            <w:r>
              <w:rPr>
                <w:rFonts w:hint="eastAsia"/>
                <w:color w:val="auto"/>
                <w:spacing w:val="5"/>
                <w:sz w:val="24"/>
              </w:rPr>
              <w:t>综上，本项目各污染源均采取了有效的处理措施，颗粒物排放符合</w:t>
            </w:r>
            <w:r>
              <w:rPr>
                <w:rFonts w:hint="eastAsia"/>
                <w:color w:val="auto"/>
                <w:kern w:val="0"/>
                <w:sz w:val="24"/>
                <w:lang w:val="en-US" w:eastAsia="zh-CN" w:bidi="ar"/>
              </w:rPr>
              <w:t>《大气污染物综合排放标准》（GB16297-1996）表2新污染源大气污染物排放限值中</w:t>
            </w:r>
            <w:r>
              <w:rPr>
                <w:rFonts w:hint="eastAsia"/>
                <w:color w:val="auto"/>
                <w:kern w:val="0"/>
                <w:sz w:val="24"/>
                <w:lang w:bidi="ar"/>
              </w:rPr>
              <w:t>二级标准要求</w:t>
            </w:r>
            <w:r>
              <w:rPr>
                <w:rFonts w:hint="eastAsia"/>
                <w:color w:val="auto"/>
                <w:spacing w:val="5"/>
                <w:sz w:val="24"/>
              </w:rPr>
              <w:t>，对周边环境影响较小。</w:t>
            </w:r>
          </w:p>
          <w:p w14:paraId="7F855D90">
            <w:pPr>
              <w:widowControl/>
              <w:spacing w:line="360" w:lineRule="auto"/>
              <w:ind w:firstLine="500" w:firstLineChars="200"/>
              <w:jc w:val="left"/>
              <w:rPr>
                <w:rFonts w:ascii="Times New Roman" w:hAnsi="Times New Roman" w:cs="Times New Roman"/>
                <w:color w:val="auto"/>
                <w:spacing w:val="5"/>
                <w:sz w:val="24"/>
                <w:szCs w:val="24"/>
                <w:lang w:eastAsia="zh-CN"/>
              </w:rPr>
            </w:pPr>
            <w:r>
              <w:rPr>
                <w:rFonts w:hint="eastAsia" w:ascii="Times New Roman" w:hAnsi="Times New Roman" w:cs="Times New Roman"/>
                <w:color w:val="auto"/>
                <w:spacing w:val="5"/>
                <w:sz w:val="24"/>
                <w:szCs w:val="24"/>
                <w:lang w:eastAsia="zh-CN"/>
              </w:rPr>
              <w:t>1.4 大气监测计划</w:t>
            </w:r>
          </w:p>
          <w:p w14:paraId="35837058">
            <w:pPr>
              <w:pStyle w:val="46"/>
              <w:spacing w:line="360" w:lineRule="auto"/>
              <w:ind w:firstLine="480" w:firstLineChars="200"/>
              <w:jc w:val="left"/>
              <w:rPr>
                <w:rFonts w:ascii="Times New Roman" w:hAnsi="Times New Roman" w:cs="Times New Roman"/>
                <w:color w:val="auto"/>
                <w:sz w:val="24"/>
                <w:szCs w:val="24"/>
                <w:lang w:eastAsia="zh-CN"/>
              </w:rPr>
            </w:pPr>
            <w:r>
              <w:rPr>
                <w:rFonts w:ascii="Times New Roman" w:hAnsi="Times New Roman" w:cs="Times New Roman"/>
                <w:color w:val="auto"/>
                <w:sz w:val="24"/>
                <w:szCs w:val="24"/>
                <w:lang w:eastAsia="zh-CN"/>
              </w:rPr>
              <w:t>根据《排污许可证申请与核发技术规范 总则》（HJ942-2018）、《排污单位自行监测技术指南 总则》（HJ819-2017）相关要求，本项目大气环境监测方案如下。</w:t>
            </w:r>
          </w:p>
          <w:p w14:paraId="70167608">
            <w:pPr>
              <w:pStyle w:val="46"/>
              <w:ind w:firstLine="482" w:firstLineChars="200"/>
              <w:jc w:val="center"/>
              <w:rPr>
                <w:rFonts w:ascii="Times New Roman" w:hAnsi="Times New Roman" w:cs="Times New Roman"/>
                <w:b/>
                <w:color w:val="auto"/>
                <w:kern w:val="0"/>
                <w:sz w:val="24"/>
                <w:lang w:eastAsia="zh-CN"/>
              </w:rPr>
            </w:pPr>
            <w:r>
              <w:rPr>
                <w:rFonts w:hint="eastAsia" w:ascii="Times New Roman" w:hAnsi="Times New Roman" w:cs="Times New Roman"/>
                <w:b/>
                <w:color w:val="auto"/>
                <w:kern w:val="0"/>
                <w:sz w:val="24"/>
                <w:lang w:eastAsia="zh-CN"/>
              </w:rPr>
              <w:t>表4-</w:t>
            </w:r>
            <w:r>
              <w:rPr>
                <w:rFonts w:hint="eastAsia" w:ascii="Times New Roman" w:hAnsi="Times New Roman" w:cs="Times New Roman"/>
                <w:b/>
                <w:color w:val="auto"/>
                <w:kern w:val="0"/>
                <w:sz w:val="24"/>
                <w:lang w:val="en-US" w:eastAsia="zh-CN"/>
              </w:rPr>
              <w:t>7</w:t>
            </w:r>
            <w:r>
              <w:rPr>
                <w:rFonts w:hint="eastAsia" w:ascii="Times New Roman" w:hAnsi="Times New Roman" w:cs="Times New Roman"/>
                <w:b/>
                <w:color w:val="auto"/>
                <w:kern w:val="0"/>
                <w:sz w:val="24"/>
                <w:lang w:eastAsia="zh-CN"/>
              </w:rPr>
              <w:t xml:space="preserve">    环境监测工作内容一览表</w:t>
            </w:r>
          </w:p>
          <w:tbl>
            <w:tblPr>
              <w:tblStyle w:val="23"/>
              <w:tblW w:w="8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245"/>
              <w:gridCol w:w="1440"/>
              <w:gridCol w:w="1215"/>
              <w:gridCol w:w="930"/>
              <w:gridCol w:w="2474"/>
            </w:tblGrid>
            <w:tr w14:paraId="6F08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774" w:type="dxa"/>
                  <w:vAlign w:val="center"/>
                </w:tcPr>
                <w:p w14:paraId="37F16EA1">
                  <w:pPr>
                    <w:pStyle w:val="46"/>
                    <w:jc w:val="center"/>
                    <w:rPr>
                      <w:rFonts w:hint="eastAsia"/>
                      <w:bCs/>
                      <w:color w:val="auto"/>
                      <w:kern w:val="0"/>
                      <w:sz w:val="21"/>
                      <w:szCs w:val="21"/>
                      <w:lang w:eastAsia="zh-CN"/>
                    </w:rPr>
                  </w:pPr>
                  <w:r>
                    <w:rPr>
                      <w:rFonts w:hint="eastAsia"/>
                      <w:bCs/>
                      <w:color w:val="auto"/>
                      <w:kern w:val="0"/>
                      <w:sz w:val="21"/>
                      <w:szCs w:val="21"/>
                      <w:lang w:eastAsia="zh-CN"/>
                    </w:rPr>
                    <w:t>名称</w:t>
                  </w:r>
                </w:p>
              </w:tc>
              <w:tc>
                <w:tcPr>
                  <w:tcW w:w="1245" w:type="dxa"/>
                  <w:vAlign w:val="center"/>
                </w:tcPr>
                <w:p w14:paraId="6AEB6D79">
                  <w:pPr>
                    <w:pStyle w:val="46"/>
                    <w:jc w:val="center"/>
                    <w:rPr>
                      <w:rFonts w:hint="eastAsia"/>
                      <w:bCs/>
                      <w:color w:val="auto"/>
                      <w:kern w:val="0"/>
                      <w:sz w:val="21"/>
                      <w:szCs w:val="21"/>
                      <w:lang w:eastAsia="zh-CN"/>
                    </w:rPr>
                  </w:pPr>
                  <w:r>
                    <w:rPr>
                      <w:rFonts w:hint="eastAsia"/>
                      <w:bCs/>
                      <w:color w:val="auto"/>
                      <w:kern w:val="0"/>
                      <w:sz w:val="21"/>
                      <w:szCs w:val="21"/>
                      <w:lang w:eastAsia="zh-CN"/>
                    </w:rPr>
                    <w:t>监测项目</w:t>
                  </w:r>
                </w:p>
              </w:tc>
              <w:tc>
                <w:tcPr>
                  <w:tcW w:w="1440" w:type="dxa"/>
                  <w:vAlign w:val="center"/>
                </w:tcPr>
                <w:p w14:paraId="586B646B">
                  <w:pPr>
                    <w:pStyle w:val="46"/>
                    <w:jc w:val="center"/>
                    <w:rPr>
                      <w:rFonts w:hint="eastAsia"/>
                      <w:bCs/>
                      <w:color w:val="auto"/>
                      <w:kern w:val="0"/>
                      <w:sz w:val="21"/>
                      <w:szCs w:val="21"/>
                      <w:lang w:eastAsia="zh-CN"/>
                    </w:rPr>
                  </w:pPr>
                  <w:r>
                    <w:rPr>
                      <w:rFonts w:hint="eastAsia"/>
                      <w:bCs/>
                      <w:color w:val="auto"/>
                      <w:kern w:val="0"/>
                      <w:sz w:val="21"/>
                      <w:szCs w:val="21"/>
                      <w:lang w:eastAsia="zh-CN"/>
                    </w:rPr>
                    <w:t>监测点位</w:t>
                  </w:r>
                </w:p>
              </w:tc>
              <w:tc>
                <w:tcPr>
                  <w:tcW w:w="1215" w:type="dxa"/>
                  <w:vAlign w:val="center"/>
                </w:tcPr>
                <w:p w14:paraId="33B238E0">
                  <w:pPr>
                    <w:pStyle w:val="46"/>
                    <w:jc w:val="center"/>
                    <w:rPr>
                      <w:rFonts w:hint="eastAsia"/>
                      <w:bCs/>
                      <w:color w:val="auto"/>
                      <w:kern w:val="0"/>
                      <w:sz w:val="21"/>
                      <w:szCs w:val="21"/>
                      <w:lang w:eastAsia="zh-CN"/>
                    </w:rPr>
                  </w:pPr>
                  <w:r>
                    <w:rPr>
                      <w:rFonts w:hint="eastAsia"/>
                      <w:bCs/>
                      <w:color w:val="auto"/>
                      <w:kern w:val="0"/>
                      <w:sz w:val="21"/>
                      <w:szCs w:val="21"/>
                      <w:lang w:eastAsia="zh-CN"/>
                    </w:rPr>
                    <w:t>监测因子</w:t>
                  </w:r>
                </w:p>
              </w:tc>
              <w:tc>
                <w:tcPr>
                  <w:tcW w:w="930" w:type="dxa"/>
                  <w:vAlign w:val="center"/>
                </w:tcPr>
                <w:p w14:paraId="65E54B03">
                  <w:pPr>
                    <w:pStyle w:val="46"/>
                    <w:jc w:val="center"/>
                    <w:rPr>
                      <w:rFonts w:hint="eastAsia"/>
                      <w:bCs/>
                      <w:color w:val="auto"/>
                      <w:kern w:val="0"/>
                      <w:sz w:val="21"/>
                      <w:szCs w:val="21"/>
                      <w:lang w:eastAsia="zh-CN"/>
                    </w:rPr>
                  </w:pPr>
                  <w:r>
                    <w:rPr>
                      <w:rFonts w:hint="eastAsia"/>
                      <w:bCs/>
                      <w:color w:val="auto"/>
                      <w:kern w:val="0"/>
                      <w:sz w:val="21"/>
                      <w:szCs w:val="21"/>
                      <w:lang w:eastAsia="zh-CN"/>
                    </w:rPr>
                    <w:t>监测</w:t>
                  </w:r>
                </w:p>
                <w:p w14:paraId="68EBC0D7">
                  <w:pPr>
                    <w:pStyle w:val="46"/>
                    <w:jc w:val="center"/>
                    <w:rPr>
                      <w:rFonts w:hint="eastAsia"/>
                      <w:bCs/>
                      <w:color w:val="auto"/>
                      <w:kern w:val="0"/>
                      <w:sz w:val="21"/>
                      <w:szCs w:val="21"/>
                      <w:lang w:eastAsia="zh-CN"/>
                    </w:rPr>
                  </w:pPr>
                  <w:r>
                    <w:rPr>
                      <w:rFonts w:hint="eastAsia"/>
                      <w:bCs/>
                      <w:color w:val="auto"/>
                      <w:kern w:val="0"/>
                      <w:sz w:val="21"/>
                      <w:szCs w:val="21"/>
                      <w:lang w:eastAsia="zh-CN"/>
                    </w:rPr>
                    <w:t>频次</w:t>
                  </w:r>
                </w:p>
              </w:tc>
              <w:tc>
                <w:tcPr>
                  <w:tcW w:w="2474" w:type="dxa"/>
                  <w:vAlign w:val="center"/>
                </w:tcPr>
                <w:p w14:paraId="2D4CFC81">
                  <w:pPr>
                    <w:pStyle w:val="46"/>
                    <w:jc w:val="center"/>
                    <w:rPr>
                      <w:rFonts w:hint="eastAsia"/>
                      <w:bCs/>
                      <w:color w:val="auto"/>
                      <w:kern w:val="0"/>
                      <w:sz w:val="21"/>
                      <w:szCs w:val="21"/>
                      <w:lang w:eastAsia="zh-CN"/>
                    </w:rPr>
                  </w:pPr>
                  <w:r>
                    <w:rPr>
                      <w:rFonts w:hint="eastAsia"/>
                      <w:bCs/>
                      <w:color w:val="auto"/>
                      <w:kern w:val="0"/>
                      <w:sz w:val="21"/>
                      <w:szCs w:val="21"/>
                      <w:lang w:eastAsia="zh-CN"/>
                    </w:rPr>
                    <w:t>执行标准</w:t>
                  </w:r>
                </w:p>
              </w:tc>
            </w:tr>
            <w:tr w14:paraId="4ACB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774" w:type="dxa"/>
                  <w:vMerge w:val="restart"/>
                  <w:vAlign w:val="center"/>
                </w:tcPr>
                <w:p w14:paraId="7BFED2BA">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有组织废气</w:t>
                  </w:r>
                </w:p>
              </w:tc>
              <w:tc>
                <w:tcPr>
                  <w:tcW w:w="1245" w:type="dxa"/>
                  <w:vAlign w:val="center"/>
                </w:tcPr>
                <w:p w14:paraId="0CCA8F3E">
                  <w:pPr>
                    <w:pStyle w:val="46"/>
                    <w:jc w:val="center"/>
                    <w:rPr>
                      <w:rFonts w:ascii="Times New Roman" w:hAnsi="Times New Roman" w:cs="Times New Roman"/>
                      <w:bCs/>
                      <w:color w:val="auto"/>
                      <w:kern w:val="0"/>
                      <w:sz w:val="21"/>
                      <w:szCs w:val="21"/>
                      <w:lang w:eastAsia="zh-CN"/>
                    </w:rPr>
                  </w:pPr>
                  <w:r>
                    <w:rPr>
                      <w:rFonts w:hint="eastAsia" w:ascii="Times New Roman" w:hAnsi="Times New Roman" w:cs="Times New Roman"/>
                      <w:bCs/>
                      <w:color w:val="auto"/>
                      <w:kern w:val="0"/>
                      <w:sz w:val="21"/>
                      <w:szCs w:val="21"/>
                      <w:lang w:eastAsia="zh-CN"/>
                    </w:rPr>
                    <w:t>上料粉尘</w:t>
                  </w:r>
                </w:p>
              </w:tc>
              <w:tc>
                <w:tcPr>
                  <w:tcW w:w="1440" w:type="dxa"/>
                  <w:vAlign w:val="center"/>
                </w:tcPr>
                <w:p w14:paraId="73AC331C">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DA001</w:t>
                  </w:r>
                </w:p>
              </w:tc>
              <w:tc>
                <w:tcPr>
                  <w:tcW w:w="1215" w:type="dxa"/>
                  <w:vMerge w:val="restart"/>
                  <w:vAlign w:val="center"/>
                </w:tcPr>
                <w:p w14:paraId="783A14CA">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颗粒物</w:t>
                  </w:r>
                </w:p>
              </w:tc>
              <w:tc>
                <w:tcPr>
                  <w:tcW w:w="930" w:type="dxa"/>
                  <w:vMerge w:val="restart"/>
                  <w:vAlign w:val="center"/>
                </w:tcPr>
                <w:p w14:paraId="1451FD77">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1次/</w:t>
                  </w:r>
                  <w:r>
                    <w:rPr>
                      <w:rFonts w:hint="eastAsia" w:ascii="Times New Roman" w:hAnsi="Times New Roman" w:cs="Times New Roman"/>
                      <w:bCs/>
                      <w:color w:val="auto"/>
                      <w:kern w:val="0"/>
                      <w:sz w:val="21"/>
                      <w:szCs w:val="21"/>
                      <w:lang w:val="en-US" w:eastAsia="zh-CN"/>
                    </w:rPr>
                    <w:t>半年</w:t>
                  </w:r>
                </w:p>
              </w:tc>
              <w:tc>
                <w:tcPr>
                  <w:tcW w:w="2474" w:type="dxa"/>
                  <w:vMerge w:val="restart"/>
                  <w:vAlign w:val="center"/>
                </w:tcPr>
                <w:p w14:paraId="4AD930CD">
                  <w:pPr>
                    <w:pStyle w:val="46"/>
                    <w:jc w:val="center"/>
                    <w:rPr>
                      <w:rFonts w:ascii="Times New Roman" w:hAnsi="Times New Roman" w:cs="Times New Roman"/>
                      <w:bCs/>
                      <w:color w:val="auto"/>
                      <w:kern w:val="0"/>
                      <w:sz w:val="21"/>
                      <w:szCs w:val="21"/>
                      <w:lang w:eastAsia="zh-CN"/>
                    </w:rPr>
                  </w:pPr>
                  <w:r>
                    <w:rPr>
                      <w:rFonts w:hint="eastAsia" w:ascii="Times New Roman" w:hAnsi="Times New Roman" w:cs="Times New Roman"/>
                      <w:bCs/>
                      <w:color w:val="auto"/>
                      <w:kern w:val="0"/>
                      <w:sz w:val="21"/>
                      <w:szCs w:val="21"/>
                      <w:lang w:val="en-US" w:eastAsia="zh-CN"/>
                    </w:rPr>
                    <w:t>执行《大气污染物综合排放标准》（GB16297-1996）表2新污染源大气污染物排放限值中</w:t>
                  </w:r>
                  <w:r>
                    <w:rPr>
                      <w:rFonts w:hint="eastAsia" w:ascii="Times New Roman" w:hAnsi="Times New Roman" w:cs="Times New Roman"/>
                      <w:bCs/>
                      <w:color w:val="auto"/>
                      <w:kern w:val="0"/>
                      <w:sz w:val="21"/>
                      <w:szCs w:val="21"/>
                      <w:lang w:eastAsia="zh-CN"/>
                    </w:rPr>
                    <w:t>二级标准要求</w:t>
                  </w:r>
                </w:p>
              </w:tc>
            </w:tr>
            <w:tr w14:paraId="043D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74" w:type="dxa"/>
                  <w:vMerge w:val="continue"/>
                  <w:vAlign w:val="center"/>
                </w:tcPr>
                <w:p w14:paraId="12B34B83">
                  <w:pPr>
                    <w:pStyle w:val="46"/>
                    <w:jc w:val="center"/>
                    <w:rPr>
                      <w:rFonts w:ascii="Times New Roman" w:hAnsi="Times New Roman" w:cs="Times New Roman"/>
                      <w:bCs/>
                      <w:color w:val="auto"/>
                      <w:kern w:val="0"/>
                      <w:sz w:val="21"/>
                      <w:szCs w:val="21"/>
                      <w:lang w:eastAsia="zh-CN"/>
                    </w:rPr>
                  </w:pPr>
                </w:p>
              </w:tc>
              <w:tc>
                <w:tcPr>
                  <w:tcW w:w="1245" w:type="dxa"/>
                  <w:vAlign w:val="center"/>
                </w:tcPr>
                <w:p w14:paraId="737CB9F2">
                  <w:pPr>
                    <w:pStyle w:val="46"/>
                    <w:jc w:val="center"/>
                    <w:rPr>
                      <w:rFonts w:ascii="Times New Roman" w:hAnsi="Times New Roman" w:cs="Times New Roman"/>
                      <w:bCs/>
                      <w:color w:val="auto"/>
                      <w:kern w:val="0"/>
                      <w:sz w:val="21"/>
                      <w:szCs w:val="21"/>
                      <w:lang w:eastAsia="zh-CN"/>
                    </w:rPr>
                  </w:pPr>
                  <w:r>
                    <w:rPr>
                      <w:rFonts w:hint="eastAsia" w:ascii="Times New Roman" w:hAnsi="Times New Roman" w:cs="Times New Roman"/>
                      <w:bCs/>
                      <w:color w:val="auto"/>
                      <w:kern w:val="0"/>
                      <w:sz w:val="21"/>
                      <w:szCs w:val="21"/>
                      <w:lang w:val="en-US" w:eastAsia="zh-CN"/>
                    </w:rPr>
                    <w:t>搅拌粉尘、</w:t>
                  </w:r>
                  <w:r>
                    <w:rPr>
                      <w:rFonts w:hint="eastAsia" w:ascii="Times New Roman" w:hAnsi="Times New Roman" w:cs="Times New Roman"/>
                      <w:bCs/>
                      <w:color w:val="auto"/>
                      <w:kern w:val="0"/>
                      <w:sz w:val="21"/>
                      <w:szCs w:val="21"/>
                      <w:lang w:eastAsia="zh-CN"/>
                    </w:rPr>
                    <w:t>烘干粉尘、筛分粉尘</w:t>
                  </w:r>
                </w:p>
              </w:tc>
              <w:tc>
                <w:tcPr>
                  <w:tcW w:w="1440" w:type="dxa"/>
                  <w:vAlign w:val="center"/>
                </w:tcPr>
                <w:p w14:paraId="52FA3EA9">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DA002</w:t>
                  </w:r>
                </w:p>
              </w:tc>
              <w:tc>
                <w:tcPr>
                  <w:tcW w:w="1215" w:type="dxa"/>
                  <w:vMerge w:val="continue"/>
                  <w:vAlign w:val="center"/>
                </w:tcPr>
                <w:p w14:paraId="4772E7AE">
                  <w:pPr>
                    <w:pStyle w:val="46"/>
                    <w:jc w:val="center"/>
                    <w:rPr>
                      <w:rFonts w:ascii="Times New Roman" w:hAnsi="Times New Roman" w:cs="Times New Roman"/>
                      <w:bCs/>
                      <w:color w:val="auto"/>
                      <w:kern w:val="0"/>
                      <w:sz w:val="21"/>
                      <w:szCs w:val="21"/>
                      <w:lang w:eastAsia="zh-CN"/>
                    </w:rPr>
                  </w:pPr>
                </w:p>
              </w:tc>
              <w:tc>
                <w:tcPr>
                  <w:tcW w:w="930" w:type="dxa"/>
                  <w:vMerge w:val="continue"/>
                  <w:vAlign w:val="center"/>
                </w:tcPr>
                <w:p w14:paraId="619CEAB3">
                  <w:pPr>
                    <w:pStyle w:val="46"/>
                    <w:jc w:val="center"/>
                    <w:rPr>
                      <w:rFonts w:ascii="Times New Roman" w:hAnsi="Times New Roman" w:cs="Times New Roman"/>
                      <w:bCs/>
                      <w:color w:val="auto"/>
                      <w:kern w:val="0"/>
                      <w:sz w:val="21"/>
                      <w:szCs w:val="21"/>
                      <w:lang w:eastAsia="zh-CN"/>
                    </w:rPr>
                  </w:pPr>
                </w:p>
              </w:tc>
              <w:tc>
                <w:tcPr>
                  <w:tcW w:w="2474" w:type="dxa"/>
                  <w:vMerge w:val="continue"/>
                  <w:vAlign w:val="center"/>
                </w:tcPr>
                <w:p w14:paraId="73228C1A">
                  <w:pPr>
                    <w:pStyle w:val="46"/>
                    <w:jc w:val="center"/>
                    <w:rPr>
                      <w:rFonts w:ascii="Times New Roman" w:hAnsi="Times New Roman" w:cs="Times New Roman"/>
                      <w:bCs/>
                      <w:color w:val="auto"/>
                      <w:kern w:val="0"/>
                      <w:sz w:val="21"/>
                      <w:szCs w:val="21"/>
                      <w:lang w:eastAsia="zh-CN"/>
                    </w:rPr>
                  </w:pPr>
                </w:p>
              </w:tc>
            </w:tr>
            <w:tr w14:paraId="67B4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74" w:type="dxa"/>
                  <w:vAlign w:val="center"/>
                </w:tcPr>
                <w:p w14:paraId="5AFBC943">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无组织废气</w:t>
                  </w:r>
                </w:p>
              </w:tc>
              <w:tc>
                <w:tcPr>
                  <w:tcW w:w="1245" w:type="dxa"/>
                  <w:vAlign w:val="center"/>
                </w:tcPr>
                <w:p w14:paraId="61DB5D46">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运输扬尘、</w:t>
                  </w:r>
                </w:p>
                <w:p w14:paraId="3198DAD2">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卸料粉尘、</w:t>
                  </w:r>
                  <w:r>
                    <w:rPr>
                      <w:rFonts w:hint="eastAsia" w:ascii="Times New Roman" w:hAnsi="Times New Roman" w:cs="Times New Roman"/>
                      <w:bCs/>
                      <w:color w:val="auto"/>
                      <w:kern w:val="0"/>
                      <w:sz w:val="21"/>
                      <w:szCs w:val="21"/>
                      <w:lang w:val="en-US" w:eastAsia="zh-CN"/>
                    </w:rPr>
                    <w:t>筒仓粉尘、储存粉尘、</w:t>
                  </w:r>
                  <w:r>
                    <w:rPr>
                      <w:rFonts w:ascii="Times New Roman" w:hAnsi="Times New Roman" w:cs="Times New Roman"/>
                      <w:bCs/>
                      <w:color w:val="auto"/>
                      <w:kern w:val="0"/>
                      <w:sz w:val="21"/>
                      <w:szCs w:val="21"/>
                      <w:lang w:eastAsia="zh-CN"/>
                    </w:rPr>
                    <w:t>未被收集的粉尘</w:t>
                  </w:r>
                </w:p>
              </w:tc>
              <w:tc>
                <w:tcPr>
                  <w:tcW w:w="1440" w:type="dxa"/>
                  <w:vAlign w:val="center"/>
                </w:tcPr>
                <w:p w14:paraId="2FD86332">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厂界上风向</w:t>
                  </w:r>
                </w:p>
                <w:p w14:paraId="1AD7B793">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1 个点，下风向3 个点</w:t>
                  </w:r>
                </w:p>
              </w:tc>
              <w:tc>
                <w:tcPr>
                  <w:tcW w:w="1215" w:type="dxa"/>
                  <w:vAlign w:val="center"/>
                </w:tcPr>
                <w:p w14:paraId="232AA25F">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颗粒物</w:t>
                  </w:r>
                </w:p>
              </w:tc>
              <w:tc>
                <w:tcPr>
                  <w:tcW w:w="930" w:type="dxa"/>
                  <w:vAlign w:val="center"/>
                </w:tcPr>
                <w:p w14:paraId="7A7C7538">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1次/年</w:t>
                  </w:r>
                </w:p>
              </w:tc>
              <w:tc>
                <w:tcPr>
                  <w:tcW w:w="2474" w:type="dxa"/>
                  <w:vAlign w:val="center"/>
                </w:tcPr>
                <w:p w14:paraId="1C6D46C6">
                  <w:pPr>
                    <w:pStyle w:val="46"/>
                    <w:jc w:val="center"/>
                    <w:rPr>
                      <w:rFonts w:ascii="Times New Roman" w:hAnsi="Times New Roman" w:cs="Times New Roman"/>
                      <w:bCs/>
                      <w:color w:val="auto"/>
                      <w:kern w:val="0"/>
                      <w:sz w:val="21"/>
                      <w:szCs w:val="21"/>
                      <w:lang w:eastAsia="zh-CN"/>
                    </w:rPr>
                  </w:pPr>
                  <w:r>
                    <w:rPr>
                      <w:rFonts w:ascii="Times New Roman" w:hAnsi="Times New Roman" w:cs="Times New Roman"/>
                      <w:bCs/>
                      <w:color w:val="auto"/>
                      <w:kern w:val="0"/>
                      <w:sz w:val="21"/>
                      <w:szCs w:val="21"/>
                      <w:lang w:eastAsia="zh-CN"/>
                    </w:rPr>
                    <w:t>无组织颗粒物执行《大气污染物综合排放标准》(GB16297-1996)表2新污染源大气污染物排放限值中无组织排放监控浓度要求</w:t>
                  </w:r>
                </w:p>
              </w:tc>
            </w:tr>
          </w:tbl>
          <w:p w14:paraId="30ABD9F5">
            <w:pPr>
              <w:pStyle w:val="46"/>
              <w:ind w:firstLine="482" w:firstLineChars="200"/>
              <w:jc w:val="left"/>
              <w:rPr>
                <w:rFonts w:ascii="Times New Roman" w:hAnsi="Times New Roman" w:cs="Times New Roman"/>
                <w:b/>
                <w:color w:val="auto"/>
                <w:kern w:val="0"/>
                <w:sz w:val="24"/>
                <w:lang w:eastAsia="zh-CN"/>
              </w:rPr>
            </w:pPr>
          </w:p>
          <w:p w14:paraId="12B741FD">
            <w:pPr>
              <w:pStyle w:val="19"/>
              <w:spacing w:before="0" w:beforeAutospacing="0" w:after="0" w:afterAutospacing="0" w:line="360" w:lineRule="auto"/>
              <w:ind w:firstLine="480" w:firstLineChars="200"/>
              <w:outlineLvl w:val="0"/>
              <w:rPr>
                <w:rFonts w:ascii="Times New Roman" w:hAnsi="Times New Roman"/>
                <w:snapToGrid w:val="0"/>
                <w:color w:val="auto"/>
                <w:szCs w:val="24"/>
              </w:rPr>
            </w:pPr>
            <w:r>
              <w:rPr>
                <w:rFonts w:ascii="Times New Roman" w:hAnsi="Times New Roman"/>
                <w:snapToGrid w:val="0"/>
                <w:color w:val="auto"/>
                <w:szCs w:val="24"/>
              </w:rPr>
              <w:t>2、</w:t>
            </w:r>
            <w:r>
              <w:rPr>
                <w:rFonts w:hint="eastAsia" w:ascii="Times New Roman" w:hAnsi="Times New Roman"/>
                <w:snapToGrid w:val="0"/>
                <w:color w:val="auto"/>
                <w:szCs w:val="24"/>
              </w:rPr>
              <w:t>废水影响分析</w:t>
            </w:r>
          </w:p>
          <w:p w14:paraId="29D314D2">
            <w:pPr>
              <w:widowControl/>
              <w:spacing w:line="360" w:lineRule="auto"/>
              <w:ind w:firstLine="480" w:firstLineChars="200"/>
              <w:jc w:val="left"/>
              <w:rPr>
                <w:rFonts w:hint="default" w:eastAsia="宋体"/>
                <w:snapToGrid w:val="0"/>
                <w:color w:val="auto"/>
                <w:sz w:val="24"/>
                <w:lang w:val="en-US" w:eastAsia="zh-CN"/>
              </w:rPr>
            </w:pPr>
            <w:r>
              <w:rPr>
                <w:rFonts w:hint="eastAsia"/>
                <w:snapToGrid w:val="0"/>
                <w:color w:val="auto"/>
                <w:sz w:val="24"/>
                <w:lang w:eastAsia="zh-CN"/>
              </w:rPr>
              <w:t>（</w:t>
            </w:r>
            <w:r>
              <w:rPr>
                <w:rFonts w:hint="eastAsia"/>
                <w:snapToGrid w:val="0"/>
                <w:color w:val="auto"/>
                <w:sz w:val="24"/>
                <w:lang w:val="en-US" w:eastAsia="zh-CN"/>
              </w:rPr>
              <w:t>1</w:t>
            </w:r>
            <w:r>
              <w:rPr>
                <w:rFonts w:hint="eastAsia"/>
                <w:snapToGrid w:val="0"/>
                <w:color w:val="auto"/>
                <w:sz w:val="24"/>
                <w:lang w:eastAsia="zh-CN"/>
              </w:rPr>
              <w:t>）</w:t>
            </w:r>
            <w:r>
              <w:rPr>
                <w:rFonts w:hint="eastAsia"/>
                <w:snapToGrid w:val="0"/>
                <w:color w:val="auto"/>
                <w:sz w:val="24"/>
                <w:lang w:val="en-US" w:eastAsia="zh-CN"/>
              </w:rPr>
              <w:t>产排污情况分析</w:t>
            </w:r>
          </w:p>
          <w:p w14:paraId="5C3E9F1B">
            <w:pPr>
              <w:widowControl/>
              <w:spacing w:line="360" w:lineRule="auto"/>
              <w:ind w:firstLine="480" w:firstLineChars="200"/>
              <w:jc w:val="left"/>
              <w:rPr>
                <w:rFonts w:hint="default"/>
                <w:snapToGrid w:val="0"/>
                <w:color w:val="auto"/>
                <w:sz w:val="24"/>
                <w:lang w:val="en-US" w:eastAsia="zh-CN"/>
              </w:rPr>
            </w:pPr>
            <w:r>
              <w:rPr>
                <w:rFonts w:hint="eastAsia"/>
                <w:snapToGrid w:val="0"/>
                <w:color w:val="auto"/>
                <w:sz w:val="24"/>
                <w:lang w:val="en-US" w:eastAsia="zh-CN"/>
              </w:rPr>
              <w:t>1）生活污水</w:t>
            </w:r>
          </w:p>
          <w:p w14:paraId="6813EDBE">
            <w:pPr>
              <w:widowControl/>
              <w:spacing w:line="360" w:lineRule="auto"/>
              <w:ind w:firstLine="480" w:firstLineChars="200"/>
              <w:jc w:val="left"/>
              <w:rPr>
                <w:ins w:id="0" w:author="柏岳" w:date="2025-09-17T09:40:00Z"/>
                <w:color w:val="auto"/>
                <w:sz w:val="24"/>
              </w:rPr>
            </w:pPr>
            <w:r>
              <w:rPr>
                <w:snapToGrid w:val="0"/>
                <w:color w:val="auto"/>
                <w:sz w:val="24"/>
              </w:rPr>
              <w:t>本项目</w:t>
            </w:r>
            <w:r>
              <w:rPr>
                <w:rFonts w:hint="eastAsia"/>
                <w:snapToGrid w:val="0"/>
                <w:color w:val="auto"/>
                <w:sz w:val="24"/>
                <w:lang w:val="en-US" w:eastAsia="zh-CN"/>
              </w:rPr>
              <w:t>劳动定员</w:t>
            </w:r>
            <w:r>
              <w:rPr>
                <w:snapToGrid w:val="0"/>
                <w:color w:val="auto"/>
                <w:sz w:val="24"/>
              </w:rPr>
              <w:t>为</w:t>
            </w:r>
            <w:r>
              <w:rPr>
                <w:rFonts w:hint="eastAsia"/>
                <w:snapToGrid w:val="0"/>
                <w:color w:val="auto"/>
                <w:sz w:val="24"/>
              </w:rPr>
              <w:t>20</w:t>
            </w:r>
            <w:r>
              <w:rPr>
                <w:snapToGrid w:val="0"/>
                <w:color w:val="auto"/>
                <w:sz w:val="24"/>
              </w:rPr>
              <w:t>人</w:t>
            </w:r>
            <w:r>
              <w:rPr>
                <w:rFonts w:hint="eastAsia"/>
                <w:snapToGrid w:val="0"/>
                <w:color w:val="auto"/>
                <w:sz w:val="24"/>
              </w:rPr>
              <w:t>，</w:t>
            </w:r>
            <w:r>
              <w:rPr>
                <w:color w:val="auto"/>
                <w:sz w:val="24"/>
              </w:rPr>
              <w:t>生活污水的产生量为</w:t>
            </w:r>
            <w:r>
              <w:rPr>
                <w:rFonts w:hint="eastAsia"/>
                <w:color w:val="auto"/>
                <w:sz w:val="24"/>
              </w:rPr>
              <w:t>0.96</w:t>
            </w:r>
            <w:r>
              <w:rPr>
                <w:color w:val="auto"/>
                <w:sz w:val="24"/>
              </w:rPr>
              <w:t>m</w:t>
            </w:r>
            <w:r>
              <w:rPr>
                <w:color w:val="auto"/>
                <w:sz w:val="24"/>
                <w:vertAlign w:val="superscript"/>
              </w:rPr>
              <w:t>3</w:t>
            </w:r>
            <w:r>
              <w:rPr>
                <w:color w:val="auto"/>
                <w:sz w:val="24"/>
              </w:rPr>
              <w:t>/d</w:t>
            </w:r>
            <w:r>
              <w:rPr>
                <w:rFonts w:hint="eastAsia"/>
                <w:color w:val="auto"/>
                <w:sz w:val="24"/>
              </w:rPr>
              <w:t>（319.68t</w:t>
            </w:r>
            <w:r>
              <w:rPr>
                <w:color w:val="auto"/>
                <w:sz w:val="24"/>
              </w:rPr>
              <w:t>/a</w:t>
            </w:r>
            <w:r>
              <w:rPr>
                <w:rFonts w:hint="eastAsia"/>
                <w:color w:val="auto"/>
                <w:sz w:val="24"/>
              </w:rPr>
              <w:t>）</w:t>
            </w:r>
            <w:r>
              <w:rPr>
                <w:bCs/>
                <w:color w:val="auto"/>
                <w:sz w:val="24"/>
              </w:rPr>
              <w:t>，</w:t>
            </w:r>
            <w:r>
              <w:rPr>
                <w:rFonts w:hint="eastAsia"/>
                <w:color w:val="auto"/>
                <w:kern w:val="0"/>
                <w:sz w:val="24"/>
                <w:lang w:bidi="ar"/>
              </w:rPr>
              <w:t>现有生化污水处理站，出水送至污水深度处理系统进行深度处理后回用厂区，不外排</w:t>
            </w:r>
            <w:r>
              <w:rPr>
                <w:color w:val="auto"/>
                <w:kern w:val="0"/>
                <w:sz w:val="24"/>
                <w:lang w:bidi="ar"/>
              </w:rPr>
              <w:t>。</w:t>
            </w:r>
          </w:p>
          <w:p w14:paraId="096F284C">
            <w:pPr>
              <w:pStyle w:val="19"/>
              <w:spacing w:before="0" w:beforeAutospacing="0" w:after="0" w:afterAutospacing="0"/>
              <w:ind w:firstLine="482" w:firstLineChars="200"/>
              <w:jc w:val="center"/>
              <w:outlineLvl w:val="0"/>
              <w:rPr>
                <w:rFonts w:hint="eastAsia" w:ascii="Times New Roman" w:hAnsi="Times New Roman"/>
                <w:b/>
                <w:color w:val="auto"/>
              </w:rPr>
            </w:pPr>
            <w:r>
              <w:rPr>
                <w:rFonts w:hint="eastAsia" w:ascii="Times New Roman" w:hAnsi="Times New Roman"/>
                <w:b/>
                <w:color w:val="auto"/>
              </w:rPr>
              <w:t>表4-</w:t>
            </w:r>
            <w:r>
              <w:rPr>
                <w:rFonts w:hint="eastAsia" w:ascii="Times New Roman" w:hAnsi="Times New Roman"/>
                <w:b/>
                <w:color w:val="auto"/>
                <w:lang w:val="en-US" w:eastAsia="zh-CN"/>
              </w:rPr>
              <w:t>8</w:t>
            </w:r>
            <w:r>
              <w:rPr>
                <w:rFonts w:hint="eastAsia" w:ascii="Times New Roman" w:hAnsi="Times New Roman"/>
                <w:b/>
                <w:color w:val="auto"/>
              </w:rPr>
              <w:t xml:space="preserve">    生活污水污染物产排</w:t>
            </w:r>
            <w:r>
              <w:rPr>
                <w:rFonts w:hint="eastAsia" w:ascii="Times New Roman" w:hAnsi="Times New Roman"/>
                <w:b/>
                <w:color w:val="auto"/>
                <w:lang w:val="en-US" w:eastAsia="zh-CN"/>
              </w:rPr>
              <w:t>情况</w:t>
            </w:r>
            <w:r>
              <w:rPr>
                <w:rFonts w:hint="eastAsia" w:ascii="Times New Roman" w:hAnsi="Times New Roman"/>
                <w:b/>
                <w:color w:val="auto"/>
              </w:rPr>
              <w:t>一览表</w:t>
            </w:r>
          </w:p>
          <w:tbl>
            <w:tblPr>
              <w:tblStyle w:val="23"/>
              <w:tblW w:w="8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1575"/>
              <w:gridCol w:w="1635"/>
              <w:gridCol w:w="1425"/>
              <w:gridCol w:w="2017"/>
            </w:tblGrid>
            <w:tr w14:paraId="0AE1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405" w:type="dxa"/>
                  <w:vAlign w:val="center"/>
                </w:tcPr>
                <w:p w14:paraId="749C28CE">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类别</w:t>
                  </w:r>
                </w:p>
              </w:tc>
              <w:tc>
                <w:tcPr>
                  <w:tcW w:w="1575" w:type="dxa"/>
                  <w:vAlign w:val="center"/>
                </w:tcPr>
                <w:p w14:paraId="4E87A1A5">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污染物</w:t>
                  </w:r>
                </w:p>
              </w:tc>
              <w:tc>
                <w:tcPr>
                  <w:tcW w:w="1635" w:type="dxa"/>
                  <w:vAlign w:val="center"/>
                </w:tcPr>
                <w:p w14:paraId="0FBED213">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产生浓度mg/L</w:t>
                  </w:r>
                </w:p>
              </w:tc>
              <w:tc>
                <w:tcPr>
                  <w:tcW w:w="1425" w:type="dxa"/>
                  <w:vAlign w:val="center"/>
                </w:tcPr>
                <w:p w14:paraId="748C0C8C">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产生量t/a</w:t>
                  </w:r>
                </w:p>
              </w:tc>
              <w:tc>
                <w:tcPr>
                  <w:tcW w:w="2017" w:type="dxa"/>
                  <w:vAlign w:val="center"/>
                </w:tcPr>
                <w:p w14:paraId="7E8A70DD">
                  <w:pPr>
                    <w:pStyle w:val="19"/>
                    <w:spacing w:before="0" w:beforeAutospacing="0" w:after="0" w:afterAutospacing="0"/>
                    <w:jc w:val="center"/>
                    <w:outlineLvl w:val="0"/>
                    <w:rPr>
                      <w:rFonts w:hint="default" w:ascii="Times New Roman" w:hAnsi="Times New Roman" w:eastAsia="宋体"/>
                      <w:bCs/>
                      <w:color w:val="auto"/>
                      <w:sz w:val="21"/>
                      <w:szCs w:val="21"/>
                      <w:lang w:val="en-US" w:eastAsia="zh-CN"/>
                    </w:rPr>
                  </w:pPr>
                  <w:r>
                    <w:rPr>
                      <w:rFonts w:hint="eastAsia" w:ascii="Times New Roman" w:hAnsi="Times New Roman"/>
                      <w:bCs/>
                      <w:color w:val="auto"/>
                      <w:sz w:val="21"/>
                      <w:szCs w:val="21"/>
                      <w:lang w:val="en-US" w:eastAsia="zh-CN"/>
                    </w:rPr>
                    <w:t>排放</w:t>
                  </w:r>
                </w:p>
              </w:tc>
            </w:tr>
            <w:tr w14:paraId="6062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405" w:type="dxa"/>
                  <w:vMerge w:val="restart"/>
                  <w:vAlign w:val="center"/>
                </w:tcPr>
                <w:p w14:paraId="33BAB459">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319.68</w:t>
                  </w:r>
                  <w:r>
                    <w:rPr>
                      <w:rFonts w:ascii="Times New Roman" w:hAnsi="Times New Roman"/>
                      <w:bCs/>
                      <w:color w:val="auto"/>
                      <w:sz w:val="21"/>
                      <w:szCs w:val="21"/>
                    </w:rPr>
                    <w:t>m</w:t>
                  </w:r>
                  <w:r>
                    <w:rPr>
                      <w:rFonts w:ascii="Times New Roman" w:hAnsi="Times New Roman"/>
                      <w:bCs/>
                      <w:color w:val="auto"/>
                      <w:sz w:val="21"/>
                      <w:szCs w:val="21"/>
                      <w:vertAlign w:val="superscript"/>
                    </w:rPr>
                    <w:t>3</w:t>
                  </w:r>
                  <w:r>
                    <w:rPr>
                      <w:rFonts w:ascii="Times New Roman" w:hAnsi="Times New Roman"/>
                      <w:bCs/>
                      <w:color w:val="auto"/>
                      <w:sz w:val="21"/>
                      <w:szCs w:val="21"/>
                    </w:rPr>
                    <w:t xml:space="preserve"> /a</w:t>
                  </w:r>
                </w:p>
              </w:tc>
              <w:tc>
                <w:tcPr>
                  <w:tcW w:w="1575" w:type="dxa"/>
                  <w:vAlign w:val="center"/>
                </w:tcPr>
                <w:p w14:paraId="5069E7B4">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COD</w:t>
                  </w:r>
                  <w:r>
                    <w:rPr>
                      <w:rFonts w:ascii="Times New Roman" w:hAnsi="Times New Roman"/>
                      <w:bCs/>
                      <w:color w:val="auto"/>
                      <w:sz w:val="21"/>
                      <w:szCs w:val="21"/>
                      <w:vertAlign w:val="subscript"/>
                    </w:rPr>
                    <w:t>cr</w:t>
                  </w:r>
                </w:p>
              </w:tc>
              <w:tc>
                <w:tcPr>
                  <w:tcW w:w="1635" w:type="dxa"/>
                  <w:vAlign w:val="center"/>
                </w:tcPr>
                <w:p w14:paraId="3C327090">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350</w:t>
                  </w:r>
                </w:p>
              </w:tc>
              <w:tc>
                <w:tcPr>
                  <w:tcW w:w="1425" w:type="dxa"/>
                  <w:vAlign w:val="center"/>
                </w:tcPr>
                <w:p w14:paraId="6DA1BD96">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0.011</w:t>
                  </w:r>
                </w:p>
              </w:tc>
              <w:tc>
                <w:tcPr>
                  <w:tcW w:w="2017" w:type="dxa"/>
                  <w:vMerge w:val="restart"/>
                  <w:vAlign w:val="center"/>
                </w:tcPr>
                <w:p w14:paraId="3FDCAE6D">
                  <w:pPr>
                    <w:pStyle w:val="19"/>
                    <w:spacing w:before="0" w:beforeAutospacing="0" w:after="0" w:afterAutospacing="0"/>
                    <w:jc w:val="center"/>
                    <w:outlineLvl w:val="0"/>
                    <w:rPr>
                      <w:rFonts w:hint="eastAsia" w:ascii="Times New Roman" w:hAnsi="Times New Roman"/>
                      <w:bCs/>
                      <w:color w:val="auto"/>
                      <w:sz w:val="21"/>
                      <w:szCs w:val="21"/>
                    </w:rPr>
                  </w:pPr>
                  <w:r>
                    <w:rPr>
                      <w:rFonts w:hint="eastAsia" w:ascii="Times New Roman" w:hAnsi="Times New Roman" w:eastAsia="宋体" w:cs="Times New Roman"/>
                      <w:bCs/>
                      <w:color w:val="auto"/>
                      <w:sz w:val="21"/>
                      <w:szCs w:val="21"/>
                      <w:lang w:val="en-US" w:eastAsia="zh-CN"/>
                    </w:rPr>
                    <w:t>现有生化污水处理站，出水送至污水深度处理系统进行深度处理后回用厂区，不外排。</w:t>
                  </w:r>
                </w:p>
              </w:tc>
            </w:tr>
            <w:tr w14:paraId="5201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405" w:type="dxa"/>
                  <w:vMerge w:val="continue"/>
                  <w:vAlign w:val="center"/>
                </w:tcPr>
                <w:p w14:paraId="39FCE790">
                  <w:pPr>
                    <w:pStyle w:val="19"/>
                    <w:spacing w:before="0" w:beforeAutospacing="0" w:after="0" w:afterAutospacing="0"/>
                    <w:jc w:val="center"/>
                    <w:outlineLvl w:val="0"/>
                    <w:rPr>
                      <w:rFonts w:ascii="Times New Roman" w:hAnsi="Times New Roman"/>
                      <w:bCs/>
                      <w:color w:val="auto"/>
                      <w:sz w:val="21"/>
                      <w:szCs w:val="21"/>
                    </w:rPr>
                  </w:pPr>
                </w:p>
              </w:tc>
              <w:tc>
                <w:tcPr>
                  <w:tcW w:w="1575" w:type="dxa"/>
                  <w:vAlign w:val="center"/>
                </w:tcPr>
                <w:p w14:paraId="2774BB61">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BOD</w:t>
                  </w:r>
                  <w:r>
                    <w:rPr>
                      <w:rFonts w:ascii="Times New Roman" w:hAnsi="Times New Roman"/>
                      <w:bCs/>
                      <w:color w:val="auto"/>
                      <w:sz w:val="21"/>
                      <w:szCs w:val="21"/>
                      <w:vertAlign w:val="subscript"/>
                    </w:rPr>
                    <w:t>5</w:t>
                  </w:r>
                </w:p>
              </w:tc>
              <w:tc>
                <w:tcPr>
                  <w:tcW w:w="1635" w:type="dxa"/>
                  <w:vAlign w:val="center"/>
                </w:tcPr>
                <w:p w14:paraId="4624AB5C">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200</w:t>
                  </w:r>
                </w:p>
              </w:tc>
              <w:tc>
                <w:tcPr>
                  <w:tcW w:w="1425" w:type="dxa"/>
                  <w:vAlign w:val="center"/>
                </w:tcPr>
                <w:p w14:paraId="175CF31B">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0.064</w:t>
                  </w:r>
                </w:p>
              </w:tc>
              <w:tc>
                <w:tcPr>
                  <w:tcW w:w="2017" w:type="dxa"/>
                  <w:vMerge w:val="continue"/>
                  <w:vAlign w:val="center"/>
                </w:tcPr>
                <w:p w14:paraId="0AC094ED">
                  <w:pPr>
                    <w:pStyle w:val="19"/>
                    <w:spacing w:before="0" w:beforeAutospacing="0" w:after="0" w:afterAutospacing="0"/>
                    <w:jc w:val="center"/>
                    <w:outlineLvl w:val="0"/>
                    <w:rPr>
                      <w:rFonts w:hint="eastAsia" w:ascii="Times New Roman" w:hAnsi="Times New Roman"/>
                      <w:bCs/>
                      <w:color w:val="auto"/>
                      <w:sz w:val="21"/>
                      <w:szCs w:val="21"/>
                    </w:rPr>
                  </w:pPr>
                </w:p>
              </w:tc>
            </w:tr>
            <w:tr w14:paraId="19AC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405" w:type="dxa"/>
                  <w:vMerge w:val="continue"/>
                  <w:vAlign w:val="center"/>
                </w:tcPr>
                <w:p w14:paraId="579D9D9D">
                  <w:pPr>
                    <w:pStyle w:val="19"/>
                    <w:spacing w:before="0" w:beforeAutospacing="0" w:after="0" w:afterAutospacing="0"/>
                    <w:jc w:val="center"/>
                    <w:outlineLvl w:val="0"/>
                    <w:rPr>
                      <w:rFonts w:ascii="Times New Roman" w:hAnsi="Times New Roman"/>
                      <w:bCs/>
                      <w:color w:val="auto"/>
                      <w:sz w:val="21"/>
                      <w:szCs w:val="21"/>
                    </w:rPr>
                  </w:pPr>
                </w:p>
              </w:tc>
              <w:tc>
                <w:tcPr>
                  <w:tcW w:w="1575" w:type="dxa"/>
                  <w:vAlign w:val="center"/>
                </w:tcPr>
                <w:p w14:paraId="0165B414">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SS</w:t>
                  </w:r>
                </w:p>
              </w:tc>
              <w:tc>
                <w:tcPr>
                  <w:tcW w:w="1635" w:type="dxa"/>
                  <w:vAlign w:val="center"/>
                </w:tcPr>
                <w:p w14:paraId="0504B7BC">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300</w:t>
                  </w:r>
                </w:p>
              </w:tc>
              <w:tc>
                <w:tcPr>
                  <w:tcW w:w="1425" w:type="dxa"/>
                  <w:vAlign w:val="center"/>
                </w:tcPr>
                <w:p w14:paraId="15BA3265">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0.096</w:t>
                  </w:r>
                </w:p>
              </w:tc>
              <w:tc>
                <w:tcPr>
                  <w:tcW w:w="2017" w:type="dxa"/>
                  <w:vMerge w:val="continue"/>
                  <w:vAlign w:val="center"/>
                </w:tcPr>
                <w:p w14:paraId="271EFF40">
                  <w:pPr>
                    <w:pStyle w:val="19"/>
                    <w:spacing w:before="0" w:beforeAutospacing="0" w:after="0" w:afterAutospacing="0"/>
                    <w:jc w:val="center"/>
                    <w:outlineLvl w:val="0"/>
                    <w:rPr>
                      <w:rFonts w:hint="eastAsia" w:ascii="Times New Roman" w:hAnsi="Times New Roman"/>
                      <w:bCs/>
                      <w:color w:val="auto"/>
                      <w:sz w:val="21"/>
                      <w:szCs w:val="21"/>
                    </w:rPr>
                  </w:pPr>
                </w:p>
              </w:tc>
            </w:tr>
            <w:tr w14:paraId="4520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405" w:type="dxa"/>
                  <w:vMerge w:val="continue"/>
                  <w:vAlign w:val="center"/>
                </w:tcPr>
                <w:p w14:paraId="0915066D">
                  <w:pPr>
                    <w:pStyle w:val="19"/>
                    <w:spacing w:before="0" w:beforeAutospacing="0" w:after="0" w:afterAutospacing="0"/>
                    <w:jc w:val="center"/>
                    <w:outlineLvl w:val="0"/>
                    <w:rPr>
                      <w:rFonts w:ascii="Times New Roman" w:hAnsi="Times New Roman"/>
                      <w:bCs/>
                      <w:color w:val="auto"/>
                      <w:sz w:val="21"/>
                      <w:szCs w:val="21"/>
                    </w:rPr>
                  </w:pPr>
                </w:p>
              </w:tc>
              <w:tc>
                <w:tcPr>
                  <w:tcW w:w="1575" w:type="dxa"/>
                  <w:vAlign w:val="center"/>
                </w:tcPr>
                <w:p w14:paraId="566A311F">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氨氮</w:t>
                  </w:r>
                </w:p>
              </w:tc>
              <w:tc>
                <w:tcPr>
                  <w:tcW w:w="1635" w:type="dxa"/>
                  <w:vAlign w:val="center"/>
                </w:tcPr>
                <w:p w14:paraId="6B66902D">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35</w:t>
                  </w:r>
                </w:p>
              </w:tc>
              <w:tc>
                <w:tcPr>
                  <w:tcW w:w="1425" w:type="dxa"/>
                  <w:vAlign w:val="center"/>
                </w:tcPr>
                <w:p w14:paraId="20837837">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0.011</w:t>
                  </w:r>
                </w:p>
              </w:tc>
              <w:tc>
                <w:tcPr>
                  <w:tcW w:w="2017" w:type="dxa"/>
                  <w:vMerge w:val="continue"/>
                  <w:vAlign w:val="center"/>
                </w:tcPr>
                <w:p w14:paraId="5B18667E">
                  <w:pPr>
                    <w:pStyle w:val="19"/>
                    <w:spacing w:before="0" w:beforeAutospacing="0" w:after="0" w:afterAutospacing="0"/>
                    <w:jc w:val="center"/>
                    <w:outlineLvl w:val="0"/>
                    <w:rPr>
                      <w:rFonts w:hint="eastAsia" w:ascii="Times New Roman" w:hAnsi="Times New Roman"/>
                      <w:bCs/>
                      <w:color w:val="auto"/>
                      <w:sz w:val="21"/>
                      <w:szCs w:val="21"/>
                    </w:rPr>
                  </w:pPr>
                </w:p>
              </w:tc>
            </w:tr>
            <w:tr w14:paraId="42FB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405" w:type="dxa"/>
                  <w:vMerge w:val="continue"/>
                  <w:vAlign w:val="center"/>
                </w:tcPr>
                <w:p w14:paraId="63BF8988">
                  <w:pPr>
                    <w:pStyle w:val="19"/>
                    <w:spacing w:before="0" w:beforeAutospacing="0" w:after="0" w:afterAutospacing="0"/>
                    <w:jc w:val="center"/>
                    <w:outlineLvl w:val="0"/>
                    <w:rPr>
                      <w:rFonts w:ascii="Times New Roman" w:hAnsi="Times New Roman"/>
                      <w:bCs/>
                      <w:color w:val="auto"/>
                      <w:sz w:val="21"/>
                      <w:szCs w:val="21"/>
                    </w:rPr>
                  </w:pPr>
                </w:p>
              </w:tc>
              <w:tc>
                <w:tcPr>
                  <w:tcW w:w="1575" w:type="dxa"/>
                  <w:vAlign w:val="center"/>
                </w:tcPr>
                <w:p w14:paraId="08556BBE">
                  <w:pPr>
                    <w:pStyle w:val="19"/>
                    <w:spacing w:before="0" w:beforeAutospacing="0" w:after="0" w:afterAutospacing="0"/>
                    <w:jc w:val="center"/>
                    <w:outlineLvl w:val="0"/>
                    <w:rPr>
                      <w:rFonts w:ascii="Times New Roman" w:hAnsi="Times New Roman"/>
                      <w:bCs/>
                      <w:color w:val="auto"/>
                      <w:sz w:val="21"/>
                      <w:szCs w:val="21"/>
                    </w:rPr>
                  </w:pPr>
                  <w:r>
                    <w:rPr>
                      <w:rFonts w:ascii="Times New Roman" w:hAnsi="Times New Roman"/>
                      <w:bCs/>
                      <w:color w:val="auto"/>
                      <w:sz w:val="21"/>
                      <w:szCs w:val="21"/>
                    </w:rPr>
                    <w:t>动植物油</w:t>
                  </w:r>
                </w:p>
              </w:tc>
              <w:tc>
                <w:tcPr>
                  <w:tcW w:w="1635" w:type="dxa"/>
                  <w:vAlign w:val="center"/>
                </w:tcPr>
                <w:p w14:paraId="201A2571">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50</w:t>
                  </w:r>
                </w:p>
              </w:tc>
              <w:tc>
                <w:tcPr>
                  <w:tcW w:w="1425" w:type="dxa"/>
                  <w:vAlign w:val="center"/>
                </w:tcPr>
                <w:p w14:paraId="1D3C1C02">
                  <w:pPr>
                    <w:pStyle w:val="19"/>
                    <w:spacing w:before="0" w:beforeAutospacing="0" w:after="0" w:afterAutospacing="0"/>
                    <w:jc w:val="center"/>
                    <w:outlineLvl w:val="0"/>
                    <w:rPr>
                      <w:rFonts w:ascii="Times New Roman" w:hAnsi="Times New Roman"/>
                      <w:bCs/>
                      <w:color w:val="auto"/>
                      <w:sz w:val="21"/>
                      <w:szCs w:val="21"/>
                    </w:rPr>
                  </w:pPr>
                  <w:r>
                    <w:rPr>
                      <w:rFonts w:hint="eastAsia" w:ascii="Times New Roman" w:hAnsi="Times New Roman"/>
                      <w:bCs/>
                      <w:color w:val="auto"/>
                      <w:sz w:val="21"/>
                      <w:szCs w:val="21"/>
                    </w:rPr>
                    <w:t>0.015</w:t>
                  </w:r>
                </w:p>
              </w:tc>
              <w:tc>
                <w:tcPr>
                  <w:tcW w:w="2017" w:type="dxa"/>
                  <w:vMerge w:val="continue"/>
                  <w:vAlign w:val="center"/>
                </w:tcPr>
                <w:p w14:paraId="0F7FDB1A">
                  <w:pPr>
                    <w:pStyle w:val="19"/>
                    <w:spacing w:before="0" w:beforeAutospacing="0" w:after="0" w:afterAutospacing="0"/>
                    <w:jc w:val="center"/>
                    <w:outlineLvl w:val="0"/>
                    <w:rPr>
                      <w:rFonts w:hint="eastAsia" w:ascii="Times New Roman" w:hAnsi="Times New Roman"/>
                      <w:bCs/>
                      <w:color w:val="auto"/>
                      <w:sz w:val="21"/>
                      <w:szCs w:val="21"/>
                    </w:rPr>
                  </w:pPr>
                </w:p>
              </w:tc>
            </w:tr>
          </w:tbl>
          <w:p w14:paraId="39191DEE">
            <w:pPr>
              <w:pStyle w:val="1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outlineLvl w:val="0"/>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排入污水处理站依托可行性分析：</w:t>
            </w:r>
          </w:p>
          <w:p w14:paraId="44A62A4C">
            <w:pPr>
              <w:pStyle w:val="1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outlineLvl w:val="0"/>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生活污水经厂内120m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Times New Roman"/>
                <w:color w:val="auto"/>
                <w:kern w:val="0"/>
                <w:sz w:val="24"/>
                <w:szCs w:val="24"/>
                <w:lang w:val="en-US" w:eastAsia="zh-CN" w:bidi="ar"/>
              </w:rPr>
              <w:t>/h污水处理站处理，处理工艺采用“预处理+厌氧-缺氧-好氧(A-A-O)+混凝沉淀”，现富余能力为65.53m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Times New Roman"/>
                <w:color w:val="auto"/>
                <w:kern w:val="0"/>
                <w:sz w:val="24"/>
                <w:szCs w:val="24"/>
                <w:lang w:val="en-US" w:eastAsia="zh-CN" w:bidi="ar"/>
              </w:rPr>
              <w:t>/h，拟建鄂托克旗新航焦化有限公司45万吨/年含碳固废综合利用项目全部投产后所需要处理的水量为0.96m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Times New Roman"/>
                <w:color w:val="auto"/>
                <w:kern w:val="0"/>
                <w:sz w:val="24"/>
                <w:szCs w:val="24"/>
                <w:lang w:val="en-US" w:eastAsia="zh-CN" w:bidi="ar"/>
              </w:rPr>
              <w:t>/d，污水处理站富余能力充足；出水送至污水深度处理系统进行深度处理，规模为120m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Times New Roman"/>
                <w:color w:val="auto"/>
                <w:kern w:val="0"/>
                <w:sz w:val="24"/>
                <w:szCs w:val="24"/>
                <w:lang w:val="en-US" w:eastAsia="zh-CN" w:bidi="ar"/>
              </w:rPr>
              <w:t>/h，处理工艺采用“超滤+纳滤+反渗透”，现富余能力为27.54m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Times New Roman"/>
                <w:color w:val="auto"/>
                <w:kern w:val="0"/>
                <w:sz w:val="24"/>
                <w:szCs w:val="24"/>
                <w:lang w:val="en-US" w:eastAsia="zh-CN" w:bidi="ar"/>
              </w:rPr>
              <w:t>/h，所需要处理的水量为0.96m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Times New Roman"/>
                <w:color w:val="auto"/>
                <w:kern w:val="0"/>
                <w:sz w:val="24"/>
                <w:szCs w:val="24"/>
                <w:lang w:val="en-US" w:eastAsia="zh-CN" w:bidi="ar"/>
              </w:rPr>
              <w:t>/d，污水处理站富余能力充足，可以接纳本项目污水。因此，项目废水依托企业内部污水处理站处理可行。</w:t>
            </w:r>
          </w:p>
          <w:p w14:paraId="2B2B8211">
            <w:pPr>
              <w:pStyle w:val="19"/>
              <w:keepNext w:val="0"/>
              <w:keepLines w:val="0"/>
              <w:pageBreakBefore w:val="0"/>
              <w:widowControl/>
              <w:numPr>
                <w:ilvl w:val="0"/>
                <w:numId w:val="15"/>
              </w:numPr>
              <w:kinsoku/>
              <w:wordWrap/>
              <w:overflowPunct/>
              <w:topLinePunct w:val="0"/>
              <w:autoSpaceDE/>
              <w:autoSpaceDN/>
              <w:bidi w:val="0"/>
              <w:adjustRightInd/>
              <w:snapToGrid/>
              <w:spacing w:before="0" w:beforeAutospacing="0" w:after="0" w:afterAutospacing="0" w:line="360" w:lineRule="auto"/>
              <w:ind w:firstLine="480" w:firstLineChars="200"/>
              <w:textAlignment w:val="auto"/>
              <w:outlineLvl w:val="0"/>
              <w:rPr>
                <w:rFonts w:hint="eastAsia" w:ascii="Times New Roman" w:hAnsi="Times New Roman" w:cs="Times New Roman"/>
                <w:color w:val="auto"/>
                <w:kern w:val="0"/>
                <w:sz w:val="24"/>
                <w:szCs w:val="24"/>
                <w:highlight w:val="none"/>
                <w:lang w:val="en-US" w:eastAsia="zh-CN" w:bidi="ar"/>
              </w:rPr>
            </w:pPr>
            <w:r>
              <w:rPr>
                <w:rFonts w:hint="eastAsia" w:ascii="Times New Roman" w:hAnsi="Times New Roman" w:cs="Times New Roman"/>
                <w:color w:val="auto"/>
                <w:kern w:val="0"/>
                <w:sz w:val="24"/>
                <w:szCs w:val="24"/>
                <w:highlight w:val="none"/>
                <w:lang w:val="en-US" w:eastAsia="zh-CN" w:bidi="ar"/>
              </w:rPr>
              <w:t>洗车废水</w:t>
            </w:r>
          </w:p>
          <w:p w14:paraId="068254F1">
            <w:pPr>
              <w:pStyle w:val="1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为有效控制进出厂区车辆携带的扬尘对周边环境的影响，本项目在进厂大门处设置车辆冲洗平台1处，冲洗平台下方配套建设容积为12m</w:t>
            </w:r>
            <w:r>
              <w:rPr>
                <w:rFonts w:hint="eastAsia"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rPr>
              <w:t>的沉淀池，专门用于收集车辆冲洗废水。车辆冲洗废水经沉淀池沉淀处理后，去除水中携带的泥沙、悬浮物等杂质，处理后的废水全部循环用于车辆冲洗，实现废水资源化利用，不外排至外环境。</w:t>
            </w:r>
          </w:p>
          <w:p w14:paraId="793D3256">
            <w:pPr>
              <w:pStyle w:val="1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outlineLvl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综上，本项目车辆冲洗废水通过“收集-沉淀-循环回用”的处理方式，可有效避免废水外排对周边水环境造成影响，不会对环境产生不利影响。</w:t>
            </w:r>
          </w:p>
          <w:p w14:paraId="3664C92C">
            <w:pPr>
              <w:pStyle w:val="1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outlineLvl w:val="0"/>
              <w:rPr>
                <w:rFonts w:hint="eastAsia" w:ascii="Times New Roman" w:hAnsi="Times New Roman"/>
                <w:snapToGrid w:val="0"/>
                <w:color w:val="auto"/>
                <w:szCs w:val="24"/>
                <w:lang w:val="en-US" w:eastAsia="zh-CN"/>
              </w:rPr>
            </w:pPr>
            <w:r>
              <w:rPr>
                <w:rFonts w:hint="eastAsia" w:ascii="Times New Roman" w:hAnsi="Times New Roman"/>
                <w:snapToGrid w:val="0"/>
                <w:color w:val="auto"/>
                <w:szCs w:val="24"/>
                <w:lang w:eastAsia="zh-CN"/>
              </w:rPr>
              <w:t>（</w:t>
            </w:r>
            <w:r>
              <w:rPr>
                <w:rFonts w:hint="eastAsia" w:ascii="Times New Roman" w:hAnsi="Times New Roman"/>
                <w:snapToGrid w:val="0"/>
                <w:color w:val="auto"/>
                <w:szCs w:val="24"/>
                <w:lang w:val="en-US" w:eastAsia="zh-CN"/>
              </w:rPr>
              <w:t>2</w:t>
            </w:r>
            <w:r>
              <w:rPr>
                <w:rFonts w:hint="eastAsia" w:ascii="Times New Roman" w:hAnsi="Times New Roman"/>
                <w:snapToGrid w:val="0"/>
                <w:color w:val="auto"/>
                <w:szCs w:val="24"/>
                <w:lang w:eastAsia="zh-CN"/>
              </w:rPr>
              <w:t>）</w:t>
            </w:r>
            <w:r>
              <w:rPr>
                <w:rFonts w:hint="eastAsia" w:ascii="Times New Roman" w:hAnsi="Times New Roman"/>
                <w:snapToGrid w:val="0"/>
                <w:color w:val="auto"/>
                <w:szCs w:val="24"/>
                <w:lang w:val="en-US" w:eastAsia="zh-CN"/>
              </w:rPr>
              <w:t>建设项目废水污染物排放信息表</w:t>
            </w:r>
          </w:p>
          <w:p w14:paraId="28D8CDAE">
            <w:pPr>
              <w:pStyle w:val="19"/>
              <w:spacing w:before="0" w:beforeAutospacing="0" w:after="0" w:afterAutospacing="0"/>
              <w:ind w:firstLine="482" w:firstLineChars="200"/>
              <w:jc w:val="center"/>
              <w:outlineLvl w:val="0"/>
              <w:rPr>
                <w:rFonts w:hint="eastAsia" w:ascii="Times New Roman" w:hAnsi="Times New Roman"/>
                <w:b/>
                <w:color w:val="auto"/>
              </w:rPr>
            </w:pPr>
            <w:r>
              <w:rPr>
                <w:rFonts w:hint="eastAsia" w:ascii="Times New Roman" w:hAnsi="Times New Roman" w:eastAsia="宋体" w:cs="Times New Roman"/>
                <w:b/>
                <w:color w:val="auto"/>
                <w:lang w:val="en-US" w:eastAsia="zh-CN"/>
              </w:rPr>
              <w:t>表</w:t>
            </w:r>
            <w:r>
              <w:rPr>
                <w:rFonts w:hint="eastAsia" w:ascii="Times New Roman" w:hAnsi="Times New Roman" w:eastAsia="宋体" w:cs="Times New Roman"/>
                <w:b/>
                <w:color w:val="auto"/>
              </w:rPr>
              <w:t>4</w:t>
            </w:r>
            <w:r>
              <w:rPr>
                <w:rFonts w:hint="eastAsia" w:ascii="Times New Roman" w:hAnsi="Times New Roman"/>
                <w:b/>
                <w:color w:val="auto"/>
              </w:rPr>
              <w:t>-</w:t>
            </w:r>
            <w:r>
              <w:rPr>
                <w:rFonts w:hint="eastAsia" w:ascii="Times New Roman" w:hAnsi="Times New Roman"/>
                <w:b/>
                <w:color w:val="auto"/>
                <w:lang w:val="en-US" w:eastAsia="zh-CN"/>
              </w:rPr>
              <w:t>9</w:t>
            </w:r>
            <w:r>
              <w:rPr>
                <w:rFonts w:hint="eastAsia" w:ascii="Times New Roman" w:hAnsi="Times New Roman"/>
                <w:b/>
                <w:color w:val="auto"/>
              </w:rPr>
              <w:t xml:space="preserve">  </w:t>
            </w:r>
            <w:r>
              <w:rPr>
                <w:rFonts w:hint="eastAsia" w:ascii="Times New Roman" w:hAnsi="Times New Roman"/>
                <w:b/>
                <w:color w:val="auto"/>
                <w:lang w:val="en-US" w:eastAsia="zh-CN"/>
              </w:rPr>
              <w:t>废水</w:t>
            </w:r>
            <w:r>
              <w:rPr>
                <w:rFonts w:hint="eastAsia" w:ascii="Times New Roman" w:hAnsi="Times New Roman"/>
                <w:b/>
                <w:color w:val="auto"/>
              </w:rPr>
              <w:t>污染物产排</w:t>
            </w:r>
            <w:r>
              <w:rPr>
                <w:rFonts w:hint="eastAsia" w:ascii="Times New Roman" w:hAnsi="Times New Roman"/>
                <w:b/>
                <w:color w:val="auto"/>
                <w:lang w:val="en-US" w:eastAsia="zh-CN"/>
              </w:rPr>
              <w:t>情况</w:t>
            </w:r>
            <w:r>
              <w:rPr>
                <w:rFonts w:hint="eastAsia" w:ascii="Times New Roman" w:hAnsi="Times New Roman"/>
                <w:b/>
                <w:color w:val="auto"/>
              </w:rPr>
              <w:t>一览表</w:t>
            </w:r>
          </w:p>
          <w:tbl>
            <w:tblPr>
              <w:tblStyle w:val="23"/>
              <w:tblW w:w="8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931"/>
              <w:gridCol w:w="689"/>
              <w:gridCol w:w="675"/>
              <w:gridCol w:w="720"/>
              <w:gridCol w:w="656"/>
              <w:gridCol w:w="874"/>
              <w:gridCol w:w="720"/>
              <w:gridCol w:w="735"/>
              <w:gridCol w:w="1442"/>
            </w:tblGrid>
            <w:tr w14:paraId="4D2A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95" w:type="dxa"/>
                  <w:vMerge w:val="restart"/>
                  <w:vAlign w:val="center"/>
                </w:tcPr>
                <w:p w14:paraId="7989E9C4">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废水类别</w:t>
                  </w:r>
                </w:p>
              </w:tc>
              <w:tc>
                <w:tcPr>
                  <w:tcW w:w="931" w:type="dxa"/>
                  <w:vMerge w:val="restart"/>
                  <w:vAlign w:val="center"/>
                </w:tcPr>
                <w:p w14:paraId="7C84A629">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污染物种类</w:t>
                  </w:r>
                </w:p>
              </w:tc>
              <w:tc>
                <w:tcPr>
                  <w:tcW w:w="689" w:type="dxa"/>
                  <w:vMerge w:val="restart"/>
                  <w:vAlign w:val="center"/>
                </w:tcPr>
                <w:p w14:paraId="3F7D6293">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排放去向</w:t>
                  </w:r>
                </w:p>
              </w:tc>
              <w:tc>
                <w:tcPr>
                  <w:tcW w:w="675" w:type="dxa"/>
                  <w:vMerge w:val="restart"/>
                  <w:vAlign w:val="center"/>
                </w:tcPr>
                <w:p w14:paraId="7E5B1834">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排放规律</w:t>
                  </w:r>
                </w:p>
              </w:tc>
              <w:tc>
                <w:tcPr>
                  <w:tcW w:w="2250" w:type="dxa"/>
                  <w:gridSpan w:val="3"/>
                  <w:vAlign w:val="center"/>
                </w:tcPr>
                <w:p w14:paraId="1E219C23">
                  <w:pPr>
                    <w:pStyle w:val="19"/>
                    <w:spacing w:before="0" w:beforeAutospacing="0" w:after="0" w:afterAutospacing="0"/>
                    <w:jc w:val="center"/>
                    <w:outlineLvl w:val="0"/>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污染治理设施</w:t>
                  </w:r>
                </w:p>
              </w:tc>
              <w:tc>
                <w:tcPr>
                  <w:tcW w:w="720" w:type="dxa"/>
                  <w:vMerge w:val="restart"/>
                  <w:vAlign w:val="center"/>
                </w:tcPr>
                <w:p w14:paraId="4A795AC6">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排放口编号</w:t>
                  </w:r>
                </w:p>
              </w:tc>
              <w:tc>
                <w:tcPr>
                  <w:tcW w:w="735" w:type="dxa"/>
                  <w:vMerge w:val="restart"/>
                  <w:vAlign w:val="center"/>
                </w:tcPr>
                <w:p w14:paraId="0DDB6273">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排放口是否符合要求</w:t>
                  </w:r>
                </w:p>
              </w:tc>
              <w:tc>
                <w:tcPr>
                  <w:tcW w:w="1442" w:type="dxa"/>
                  <w:vMerge w:val="restart"/>
                  <w:vAlign w:val="center"/>
                </w:tcPr>
                <w:p w14:paraId="4C8AD6B2">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排放口类型</w:t>
                  </w:r>
                </w:p>
              </w:tc>
            </w:tr>
            <w:tr w14:paraId="0DCE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95" w:type="dxa"/>
                  <w:vMerge w:val="continue"/>
                  <w:vAlign w:val="center"/>
                </w:tcPr>
                <w:p w14:paraId="7D8CDD89">
                  <w:pPr>
                    <w:pStyle w:val="19"/>
                    <w:spacing w:before="0" w:beforeAutospacing="0" w:after="0" w:afterAutospacing="0"/>
                    <w:jc w:val="center"/>
                    <w:outlineLvl w:val="0"/>
                    <w:rPr>
                      <w:color w:val="auto"/>
                    </w:rPr>
                  </w:pPr>
                </w:p>
              </w:tc>
              <w:tc>
                <w:tcPr>
                  <w:tcW w:w="931" w:type="dxa"/>
                  <w:vMerge w:val="continue"/>
                  <w:vAlign w:val="center"/>
                </w:tcPr>
                <w:p w14:paraId="625A3894">
                  <w:pPr>
                    <w:pStyle w:val="19"/>
                    <w:spacing w:before="0" w:beforeAutospacing="0" w:after="0" w:afterAutospacing="0"/>
                    <w:jc w:val="center"/>
                    <w:outlineLvl w:val="0"/>
                    <w:rPr>
                      <w:color w:val="auto"/>
                    </w:rPr>
                  </w:pPr>
                </w:p>
              </w:tc>
              <w:tc>
                <w:tcPr>
                  <w:tcW w:w="689" w:type="dxa"/>
                  <w:vMerge w:val="continue"/>
                  <w:vAlign w:val="center"/>
                </w:tcPr>
                <w:p w14:paraId="3AFF46CB">
                  <w:pPr>
                    <w:pStyle w:val="19"/>
                    <w:spacing w:before="0" w:beforeAutospacing="0" w:after="0" w:afterAutospacing="0"/>
                    <w:jc w:val="center"/>
                    <w:outlineLvl w:val="0"/>
                    <w:rPr>
                      <w:color w:val="auto"/>
                    </w:rPr>
                  </w:pPr>
                </w:p>
              </w:tc>
              <w:tc>
                <w:tcPr>
                  <w:tcW w:w="675" w:type="dxa"/>
                  <w:vMerge w:val="continue"/>
                  <w:vAlign w:val="center"/>
                </w:tcPr>
                <w:p w14:paraId="77B427A6">
                  <w:pPr>
                    <w:pStyle w:val="19"/>
                    <w:spacing w:before="0" w:beforeAutospacing="0" w:after="0" w:afterAutospacing="0"/>
                    <w:jc w:val="center"/>
                    <w:outlineLvl w:val="0"/>
                    <w:rPr>
                      <w:color w:val="auto"/>
                    </w:rPr>
                  </w:pPr>
                </w:p>
              </w:tc>
              <w:tc>
                <w:tcPr>
                  <w:tcW w:w="720" w:type="dxa"/>
                  <w:vAlign w:val="center"/>
                </w:tcPr>
                <w:p w14:paraId="2FEBBC6F">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污染治理设施编号</w:t>
                  </w:r>
                </w:p>
              </w:tc>
              <w:tc>
                <w:tcPr>
                  <w:tcW w:w="656" w:type="dxa"/>
                  <w:vAlign w:val="center"/>
                </w:tcPr>
                <w:p w14:paraId="6EE863FF">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污染治理设施名称</w:t>
                  </w:r>
                </w:p>
              </w:tc>
              <w:tc>
                <w:tcPr>
                  <w:tcW w:w="874" w:type="dxa"/>
                  <w:vAlign w:val="center"/>
                </w:tcPr>
                <w:p w14:paraId="71800828">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污染治理设施工艺</w:t>
                  </w:r>
                </w:p>
              </w:tc>
              <w:tc>
                <w:tcPr>
                  <w:tcW w:w="720" w:type="dxa"/>
                  <w:vMerge w:val="continue"/>
                  <w:vAlign w:val="center"/>
                </w:tcPr>
                <w:p w14:paraId="5E4B08C7">
                  <w:pPr>
                    <w:pStyle w:val="19"/>
                    <w:spacing w:before="0" w:beforeAutospacing="0" w:after="0" w:afterAutospacing="0"/>
                    <w:jc w:val="center"/>
                    <w:outlineLvl w:val="0"/>
                    <w:rPr>
                      <w:rFonts w:hint="eastAsia" w:ascii="Times New Roman" w:hAnsi="Times New Roman" w:eastAsia="宋体" w:cs="Times New Roman"/>
                      <w:bCs/>
                      <w:color w:val="auto"/>
                      <w:sz w:val="21"/>
                      <w:szCs w:val="21"/>
                      <w:lang w:val="en-US" w:eastAsia="zh-CN"/>
                    </w:rPr>
                  </w:pPr>
                </w:p>
              </w:tc>
              <w:tc>
                <w:tcPr>
                  <w:tcW w:w="735" w:type="dxa"/>
                  <w:vMerge w:val="continue"/>
                  <w:vAlign w:val="center"/>
                </w:tcPr>
                <w:p w14:paraId="22A34D27">
                  <w:pPr>
                    <w:pStyle w:val="19"/>
                    <w:spacing w:before="0" w:beforeAutospacing="0" w:after="0" w:afterAutospacing="0"/>
                    <w:jc w:val="center"/>
                    <w:outlineLvl w:val="0"/>
                    <w:rPr>
                      <w:rFonts w:hint="eastAsia" w:ascii="Times New Roman" w:hAnsi="Times New Roman" w:eastAsia="宋体" w:cs="Times New Roman"/>
                      <w:bCs/>
                      <w:color w:val="auto"/>
                      <w:sz w:val="21"/>
                      <w:szCs w:val="21"/>
                      <w:lang w:val="en-US" w:eastAsia="zh-CN"/>
                    </w:rPr>
                  </w:pPr>
                </w:p>
              </w:tc>
              <w:tc>
                <w:tcPr>
                  <w:tcW w:w="1442" w:type="dxa"/>
                  <w:vMerge w:val="continue"/>
                  <w:vAlign w:val="center"/>
                </w:tcPr>
                <w:p w14:paraId="7DA8B4DA">
                  <w:pPr>
                    <w:pStyle w:val="19"/>
                    <w:spacing w:before="0" w:beforeAutospacing="0" w:after="0" w:afterAutospacing="0"/>
                    <w:jc w:val="center"/>
                    <w:outlineLvl w:val="0"/>
                    <w:rPr>
                      <w:rFonts w:hint="eastAsia" w:ascii="Times New Roman" w:hAnsi="Times New Roman" w:eastAsia="宋体" w:cs="Times New Roman"/>
                      <w:bCs/>
                      <w:color w:val="auto"/>
                      <w:sz w:val="21"/>
                      <w:szCs w:val="21"/>
                      <w:lang w:val="en-US" w:eastAsia="zh-CN"/>
                    </w:rPr>
                  </w:pPr>
                </w:p>
              </w:tc>
            </w:tr>
            <w:tr w14:paraId="1B22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695" w:type="dxa"/>
                  <w:vAlign w:val="center"/>
                </w:tcPr>
                <w:p w14:paraId="1E13441C">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生活污水</w:t>
                  </w:r>
                </w:p>
              </w:tc>
              <w:tc>
                <w:tcPr>
                  <w:tcW w:w="931" w:type="dxa"/>
                  <w:shd w:val="clear" w:color="auto" w:fill="auto"/>
                  <w:vAlign w:val="center"/>
                </w:tcPr>
                <w:p w14:paraId="0F16380A">
                  <w:pPr>
                    <w:pStyle w:val="19"/>
                    <w:spacing w:before="0" w:beforeAutospacing="0" w:after="0" w:afterAutospacing="0"/>
                    <w:jc w:val="center"/>
                    <w:outlineLvl w:val="0"/>
                    <w:rPr>
                      <w:rFonts w:hint="eastAsia" w:ascii="Times New Roman" w:hAnsi="Times New Roman" w:eastAsia="宋体" w:cs="Times New Roman"/>
                      <w:bCs/>
                      <w:color w:val="auto"/>
                      <w:kern w:val="0"/>
                      <w:sz w:val="21"/>
                      <w:szCs w:val="21"/>
                      <w:lang w:val="en-US" w:eastAsia="zh-CN" w:bidi="ar-SA"/>
                    </w:rPr>
                  </w:pPr>
                  <w:r>
                    <w:rPr>
                      <w:rFonts w:ascii="Times New Roman" w:hAnsi="Times New Roman"/>
                      <w:bCs/>
                      <w:color w:val="auto"/>
                      <w:sz w:val="21"/>
                      <w:szCs w:val="21"/>
                    </w:rPr>
                    <w:t>COD</w:t>
                  </w:r>
                  <w:r>
                    <w:rPr>
                      <w:rFonts w:ascii="Times New Roman" w:hAnsi="Times New Roman"/>
                      <w:bCs/>
                      <w:color w:val="auto"/>
                      <w:sz w:val="21"/>
                      <w:szCs w:val="21"/>
                      <w:vertAlign w:val="subscript"/>
                    </w:rPr>
                    <w:t>cr</w:t>
                  </w:r>
                  <w:r>
                    <w:rPr>
                      <w:rFonts w:hint="eastAsia" w:ascii="Times New Roman" w:hAnsi="Times New Roman"/>
                      <w:bCs/>
                      <w:color w:val="auto"/>
                      <w:sz w:val="21"/>
                      <w:szCs w:val="21"/>
                      <w:vertAlign w:val="baseline"/>
                      <w:lang w:eastAsia="zh-CN"/>
                    </w:rPr>
                    <w:t>、</w:t>
                  </w:r>
                  <w:r>
                    <w:rPr>
                      <w:rFonts w:ascii="Times New Roman" w:hAnsi="Times New Roman"/>
                      <w:bCs/>
                      <w:color w:val="auto"/>
                      <w:sz w:val="21"/>
                      <w:szCs w:val="21"/>
                    </w:rPr>
                    <w:t>BOD</w:t>
                  </w:r>
                  <w:r>
                    <w:rPr>
                      <w:rFonts w:ascii="Times New Roman" w:hAnsi="Times New Roman"/>
                      <w:bCs/>
                      <w:color w:val="auto"/>
                      <w:sz w:val="21"/>
                      <w:szCs w:val="21"/>
                      <w:vertAlign w:val="subscript"/>
                    </w:rPr>
                    <w:t>5</w:t>
                  </w:r>
                  <w:r>
                    <w:rPr>
                      <w:rFonts w:hint="eastAsia" w:ascii="Times New Roman" w:hAnsi="Times New Roman"/>
                      <w:bCs/>
                      <w:color w:val="auto"/>
                      <w:sz w:val="21"/>
                      <w:szCs w:val="21"/>
                      <w:vertAlign w:val="baseline"/>
                      <w:lang w:eastAsia="zh-CN"/>
                    </w:rPr>
                    <w:t>、</w:t>
                  </w:r>
                  <w:r>
                    <w:rPr>
                      <w:rFonts w:ascii="Times New Roman" w:hAnsi="Times New Roman"/>
                      <w:bCs/>
                      <w:color w:val="auto"/>
                      <w:sz w:val="21"/>
                      <w:szCs w:val="21"/>
                    </w:rPr>
                    <w:t>SS</w:t>
                  </w:r>
                  <w:r>
                    <w:rPr>
                      <w:rFonts w:hint="eastAsia" w:ascii="Times New Roman" w:hAnsi="Times New Roman"/>
                      <w:bCs/>
                      <w:color w:val="auto"/>
                      <w:sz w:val="21"/>
                      <w:szCs w:val="21"/>
                      <w:lang w:eastAsia="zh-CN"/>
                    </w:rPr>
                    <w:t>、</w:t>
                  </w:r>
                  <w:r>
                    <w:rPr>
                      <w:rFonts w:ascii="Times New Roman" w:hAnsi="Times New Roman"/>
                      <w:bCs/>
                      <w:color w:val="auto"/>
                      <w:sz w:val="21"/>
                      <w:szCs w:val="21"/>
                    </w:rPr>
                    <w:t>氨氮</w:t>
                  </w:r>
                  <w:r>
                    <w:rPr>
                      <w:rFonts w:hint="eastAsia" w:ascii="Times New Roman" w:hAnsi="Times New Roman"/>
                      <w:bCs/>
                      <w:color w:val="auto"/>
                      <w:sz w:val="21"/>
                      <w:szCs w:val="21"/>
                      <w:lang w:eastAsia="zh-CN"/>
                    </w:rPr>
                    <w:t>、</w:t>
                  </w:r>
                  <w:r>
                    <w:rPr>
                      <w:rFonts w:ascii="Times New Roman" w:hAnsi="Times New Roman"/>
                      <w:bCs/>
                      <w:color w:val="auto"/>
                      <w:sz w:val="21"/>
                      <w:szCs w:val="21"/>
                    </w:rPr>
                    <w:t>动植物油</w:t>
                  </w:r>
                </w:p>
              </w:tc>
              <w:tc>
                <w:tcPr>
                  <w:tcW w:w="689" w:type="dxa"/>
                  <w:vAlign w:val="center"/>
                </w:tcPr>
                <w:p w14:paraId="35A7F234">
                  <w:pPr>
                    <w:pStyle w:val="19"/>
                    <w:spacing w:before="0" w:beforeAutospacing="0" w:after="0" w:afterAutospacing="0"/>
                    <w:jc w:val="center"/>
                    <w:outlineLvl w:val="0"/>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不外排</w:t>
                  </w:r>
                </w:p>
              </w:tc>
              <w:tc>
                <w:tcPr>
                  <w:tcW w:w="675" w:type="dxa"/>
                  <w:vAlign w:val="center"/>
                </w:tcPr>
                <w:p w14:paraId="331F79F2">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间歇式排放</w:t>
                  </w:r>
                </w:p>
              </w:tc>
              <w:tc>
                <w:tcPr>
                  <w:tcW w:w="720" w:type="dxa"/>
                  <w:vAlign w:val="center"/>
                </w:tcPr>
                <w:p w14:paraId="4F172574">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DW001</w:t>
                  </w:r>
                </w:p>
              </w:tc>
              <w:tc>
                <w:tcPr>
                  <w:tcW w:w="656" w:type="dxa"/>
                  <w:vAlign w:val="center"/>
                </w:tcPr>
                <w:p w14:paraId="0552D61D">
                  <w:pPr>
                    <w:pStyle w:val="19"/>
                    <w:spacing w:before="0" w:beforeAutospacing="0" w:after="0" w:afterAutospacing="0"/>
                    <w:jc w:val="center"/>
                    <w:outlineLvl w:val="0"/>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污水处理站</w:t>
                  </w:r>
                </w:p>
              </w:tc>
              <w:tc>
                <w:tcPr>
                  <w:tcW w:w="874" w:type="dxa"/>
                  <w:vAlign w:val="center"/>
                </w:tcPr>
                <w:p w14:paraId="7FF30BAE">
                  <w:pPr>
                    <w:pStyle w:val="19"/>
                    <w:spacing w:before="0" w:beforeAutospacing="0" w:after="0" w:afterAutospacing="0"/>
                    <w:jc w:val="center"/>
                    <w:outlineLvl w:val="0"/>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生化 + 深度处理组合工艺</w:t>
                  </w:r>
                </w:p>
              </w:tc>
              <w:tc>
                <w:tcPr>
                  <w:tcW w:w="720" w:type="dxa"/>
                  <w:vAlign w:val="center"/>
                </w:tcPr>
                <w:p w14:paraId="536C324A">
                  <w:pPr>
                    <w:pStyle w:val="19"/>
                    <w:spacing w:before="0" w:beforeAutospacing="0" w:after="0" w:afterAutospacing="0"/>
                    <w:jc w:val="center"/>
                    <w:outlineLvl w:val="0"/>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无</w:t>
                  </w:r>
                </w:p>
              </w:tc>
              <w:tc>
                <w:tcPr>
                  <w:tcW w:w="735" w:type="dxa"/>
                  <w:vMerge w:val="restart"/>
                  <w:vAlign w:val="center"/>
                </w:tcPr>
                <w:p w14:paraId="7AABEC64">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☑是</w:t>
                  </w:r>
                </w:p>
                <w:p w14:paraId="49EF0CA1">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□否</w:t>
                  </w:r>
                </w:p>
              </w:tc>
              <w:tc>
                <w:tcPr>
                  <w:tcW w:w="1442" w:type="dxa"/>
                  <w:vMerge w:val="restart"/>
                  <w:vAlign w:val="center"/>
                </w:tcPr>
                <w:p w14:paraId="432CDA83">
                  <w:pPr>
                    <w:pStyle w:val="19"/>
                    <w:spacing w:before="0" w:beforeAutospacing="0" w:after="0" w:afterAutospacing="0"/>
                    <w:jc w:val="left"/>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□企业总排</w:t>
                  </w:r>
                </w:p>
                <w:p w14:paraId="4451F54D">
                  <w:pPr>
                    <w:pStyle w:val="19"/>
                    <w:spacing w:before="0" w:beforeAutospacing="0" w:after="0" w:afterAutospacing="0"/>
                    <w:jc w:val="left"/>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□雨水排放</w:t>
                  </w:r>
                </w:p>
                <w:p w14:paraId="021C394F">
                  <w:pPr>
                    <w:pStyle w:val="19"/>
                    <w:spacing w:before="0" w:beforeAutospacing="0" w:after="0" w:afterAutospacing="0"/>
                    <w:jc w:val="left"/>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□清净下水排放</w:t>
                  </w:r>
                </w:p>
                <w:p w14:paraId="5EDDBBC4">
                  <w:pPr>
                    <w:pStyle w:val="19"/>
                    <w:spacing w:before="0" w:beforeAutospacing="0" w:after="0" w:afterAutospacing="0"/>
                    <w:jc w:val="left"/>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□温排水排放</w:t>
                  </w:r>
                </w:p>
                <w:p w14:paraId="56B2F904">
                  <w:pPr>
                    <w:pStyle w:val="19"/>
                    <w:spacing w:before="0" w:beforeAutospacing="0" w:after="0" w:afterAutospacing="0"/>
                    <w:jc w:val="left"/>
                    <w:outlineLvl w:val="0"/>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□车间或车间处理设施排放开</w:t>
                  </w:r>
                </w:p>
                <w:p w14:paraId="3E71B8CF">
                  <w:pPr>
                    <w:pStyle w:val="19"/>
                    <w:spacing w:before="0" w:beforeAutospacing="0" w:after="0" w:afterAutospacing="0"/>
                    <w:jc w:val="left"/>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☑不外排</w:t>
                  </w:r>
                </w:p>
              </w:tc>
            </w:tr>
            <w:tr w14:paraId="0BBF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95" w:type="dxa"/>
                  <w:vAlign w:val="center"/>
                </w:tcPr>
                <w:p w14:paraId="772BAF83">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洗车废水</w:t>
                  </w:r>
                </w:p>
              </w:tc>
              <w:tc>
                <w:tcPr>
                  <w:tcW w:w="931" w:type="dxa"/>
                  <w:shd w:val="clear" w:color="auto" w:fill="auto"/>
                  <w:vAlign w:val="center"/>
                </w:tcPr>
                <w:p w14:paraId="09032CF4">
                  <w:pPr>
                    <w:pStyle w:val="19"/>
                    <w:spacing w:before="0" w:beforeAutospacing="0" w:after="0" w:afterAutospacing="0"/>
                    <w:jc w:val="center"/>
                    <w:outlineLvl w:val="0"/>
                    <w:rPr>
                      <w:rFonts w:hint="eastAsia" w:ascii="Times New Roman" w:hAnsi="Times New Roman" w:eastAsia="宋体"/>
                      <w:bCs/>
                      <w:color w:val="auto"/>
                      <w:sz w:val="21"/>
                      <w:szCs w:val="21"/>
                      <w:lang w:val="en-US" w:eastAsia="zh-CN"/>
                    </w:rPr>
                  </w:pPr>
                  <w:r>
                    <w:rPr>
                      <w:rFonts w:hint="eastAsia" w:ascii="Times New Roman" w:hAnsi="Times New Roman"/>
                      <w:bCs/>
                      <w:color w:val="auto"/>
                      <w:sz w:val="21"/>
                      <w:szCs w:val="21"/>
                      <w:lang w:val="en-US" w:eastAsia="zh-CN"/>
                    </w:rPr>
                    <w:t>/</w:t>
                  </w:r>
                </w:p>
              </w:tc>
              <w:tc>
                <w:tcPr>
                  <w:tcW w:w="689" w:type="dxa"/>
                  <w:shd w:val="clear" w:color="auto" w:fill="auto"/>
                  <w:vAlign w:val="center"/>
                </w:tcPr>
                <w:p w14:paraId="79180731">
                  <w:pPr>
                    <w:pStyle w:val="19"/>
                    <w:spacing w:before="0" w:beforeAutospacing="0" w:after="0" w:afterAutospacing="0"/>
                    <w:jc w:val="center"/>
                    <w:outlineLvl w:val="0"/>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sz w:val="21"/>
                      <w:szCs w:val="21"/>
                      <w:lang w:val="en-US" w:eastAsia="zh-CN"/>
                    </w:rPr>
                    <w:t>不外排</w:t>
                  </w:r>
                </w:p>
              </w:tc>
              <w:tc>
                <w:tcPr>
                  <w:tcW w:w="675" w:type="dxa"/>
                  <w:shd w:val="clear" w:color="auto" w:fill="auto"/>
                  <w:vAlign w:val="center"/>
                </w:tcPr>
                <w:p w14:paraId="0D206F86">
                  <w:pPr>
                    <w:pStyle w:val="19"/>
                    <w:spacing w:before="0" w:beforeAutospacing="0" w:after="0" w:afterAutospacing="0"/>
                    <w:jc w:val="center"/>
                    <w:outlineLvl w:val="0"/>
                    <w:rPr>
                      <w:rFonts w:hint="eastAsia" w:ascii="Times New Roman" w:hAnsi="Times New Roman" w:eastAsia="宋体" w:cs="Times New Roman"/>
                      <w:bCs/>
                      <w:color w:val="auto"/>
                      <w:kern w:val="0"/>
                      <w:sz w:val="21"/>
                      <w:szCs w:val="21"/>
                      <w:lang w:val="en-US" w:eastAsia="zh-CN" w:bidi="ar-SA"/>
                    </w:rPr>
                  </w:pPr>
                  <w:r>
                    <w:rPr>
                      <w:rFonts w:hint="eastAsia" w:ascii="Times New Roman" w:hAnsi="Times New Roman" w:eastAsia="宋体" w:cs="Times New Roman"/>
                      <w:bCs/>
                      <w:color w:val="auto"/>
                      <w:sz w:val="21"/>
                      <w:szCs w:val="21"/>
                      <w:lang w:val="en-US" w:eastAsia="zh-CN"/>
                    </w:rPr>
                    <w:t>间歇式排放</w:t>
                  </w:r>
                </w:p>
              </w:tc>
              <w:tc>
                <w:tcPr>
                  <w:tcW w:w="720" w:type="dxa"/>
                  <w:vAlign w:val="center"/>
                </w:tcPr>
                <w:p w14:paraId="77EB78B7">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w:t>
                  </w:r>
                </w:p>
              </w:tc>
              <w:tc>
                <w:tcPr>
                  <w:tcW w:w="656" w:type="dxa"/>
                  <w:vAlign w:val="center"/>
                </w:tcPr>
                <w:p w14:paraId="15E7AE56">
                  <w:pPr>
                    <w:pStyle w:val="19"/>
                    <w:spacing w:before="0" w:beforeAutospacing="0" w:after="0" w:afterAutospacing="0"/>
                    <w:jc w:val="center"/>
                    <w:outlineLvl w:val="0"/>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沉淀池沉淀</w:t>
                  </w:r>
                </w:p>
              </w:tc>
              <w:tc>
                <w:tcPr>
                  <w:tcW w:w="874" w:type="dxa"/>
                  <w:vAlign w:val="center"/>
                </w:tcPr>
                <w:p w14:paraId="4EDA7A1C">
                  <w:pPr>
                    <w:pStyle w:val="19"/>
                    <w:spacing w:before="0" w:beforeAutospacing="0" w:after="0" w:afterAutospacing="0"/>
                    <w:jc w:val="center"/>
                    <w:outlineLvl w:val="0"/>
                    <w:rPr>
                      <w:rFonts w:hint="eastAsia"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收集-沉淀-循环回用</w:t>
                  </w:r>
                </w:p>
              </w:tc>
              <w:tc>
                <w:tcPr>
                  <w:tcW w:w="720" w:type="dxa"/>
                  <w:vAlign w:val="center"/>
                </w:tcPr>
                <w:p w14:paraId="7E831853">
                  <w:pPr>
                    <w:pStyle w:val="19"/>
                    <w:spacing w:before="0" w:beforeAutospacing="0" w:after="0" w:afterAutospacing="0"/>
                    <w:jc w:val="center"/>
                    <w:outlineLvl w:val="0"/>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无</w:t>
                  </w:r>
                </w:p>
              </w:tc>
              <w:tc>
                <w:tcPr>
                  <w:tcW w:w="735" w:type="dxa"/>
                  <w:vMerge w:val="continue"/>
                  <w:vAlign w:val="center"/>
                </w:tcPr>
                <w:p w14:paraId="744B7AF2">
                  <w:pPr>
                    <w:pStyle w:val="19"/>
                    <w:spacing w:before="0" w:beforeAutospacing="0" w:after="0" w:afterAutospacing="0"/>
                    <w:jc w:val="center"/>
                    <w:outlineLvl w:val="0"/>
                    <w:rPr>
                      <w:rFonts w:hint="eastAsia" w:ascii="Times New Roman" w:hAnsi="Times New Roman" w:eastAsia="宋体" w:cs="Times New Roman"/>
                      <w:bCs/>
                      <w:color w:val="auto"/>
                      <w:sz w:val="21"/>
                      <w:szCs w:val="21"/>
                      <w:lang w:val="en-US" w:eastAsia="zh-CN"/>
                    </w:rPr>
                  </w:pPr>
                </w:p>
              </w:tc>
              <w:tc>
                <w:tcPr>
                  <w:tcW w:w="1442" w:type="dxa"/>
                  <w:vMerge w:val="continue"/>
                  <w:vAlign w:val="center"/>
                </w:tcPr>
                <w:p w14:paraId="75959D05">
                  <w:pPr>
                    <w:pStyle w:val="19"/>
                    <w:spacing w:before="0" w:beforeAutospacing="0" w:after="0" w:afterAutospacing="0"/>
                    <w:jc w:val="left"/>
                    <w:outlineLvl w:val="0"/>
                    <w:rPr>
                      <w:rFonts w:hint="eastAsia" w:ascii="Times New Roman" w:hAnsi="Times New Roman" w:eastAsia="宋体" w:cs="Times New Roman"/>
                      <w:bCs/>
                      <w:color w:val="auto"/>
                      <w:sz w:val="21"/>
                      <w:szCs w:val="21"/>
                      <w:lang w:val="en-US" w:eastAsia="zh-CN"/>
                    </w:rPr>
                  </w:pPr>
                </w:p>
              </w:tc>
            </w:tr>
          </w:tbl>
          <w:p w14:paraId="2C67A0D1">
            <w:pPr>
              <w:pStyle w:val="19"/>
              <w:numPr>
                <w:ilvl w:val="0"/>
                <w:numId w:val="9"/>
              </w:numPr>
              <w:spacing w:before="0" w:beforeAutospacing="0" w:after="0" w:afterAutospacing="0" w:line="360" w:lineRule="auto"/>
              <w:ind w:firstLine="480" w:firstLineChars="200"/>
              <w:outlineLvl w:val="0"/>
              <w:rPr>
                <w:rFonts w:ascii="Times New Roman" w:hAnsi="Times New Roman"/>
                <w:snapToGrid w:val="0"/>
                <w:color w:val="auto"/>
                <w:szCs w:val="24"/>
              </w:rPr>
            </w:pPr>
            <w:r>
              <w:rPr>
                <w:rFonts w:hint="eastAsia" w:ascii="Times New Roman" w:hAnsi="Times New Roman"/>
                <w:snapToGrid w:val="0"/>
                <w:color w:val="auto"/>
                <w:szCs w:val="24"/>
              </w:rPr>
              <w:t>噪声影响分析</w:t>
            </w:r>
          </w:p>
          <w:p w14:paraId="231E4ACC">
            <w:pPr>
              <w:pStyle w:val="19"/>
              <w:spacing w:before="0" w:beforeAutospacing="0" w:after="0" w:afterAutospacing="0" w:line="360" w:lineRule="auto"/>
              <w:ind w:left="420" w:leftChars="200"/>
              <w:outlineLvl w:val="0"/>
              <w:rPr>
                <w:rFonts w:ascii="Times New Roman" w:hAnsi="Times New Roman"/>
                <w:snapToGrid w:val="0"/>
                <w:color w:val="auto"/>
                <w:szCs w:val="24"/>
              </w:rPr>
            </w:pPr>
            <w:r>
              <w:rPr>
                <w:rFonts w:hint="eastAsia" w:ascii="Times New Roman" w:hAnsi="Times New Roman"/>
                <w:snapToGrid w:val="0"/>
                <w:color w:val="auto"/>
                <w:szCs w:val="24"/>
              </w:rPr>
              <w:t>（1）噪声源分析</w:t>
            </w:r>
          </w:p>
          <w:p w14:paraId="095F73D2">
            <w:pPr>
              <w:pStyle w:val="19"/>
              <w:spacing w:before="0" w:beforeAutospacing="0" w:after="0" w:afterAutospacing="0" w:line="360" w:lineRule="auto"/>
              <w:ind w:firstLine="480" w:firstLineChars="200"/>
              <w:outlineLvl w:val="0"/>
              <w:rPr>
                <w:rFonts w:ascii="Times New Roman" w:hAnsi="Times New Roman"/>
                <w:snapToGrid w:val="0"/>
                <w:color w:val="auto"/>
                <w:szCs w:val="24"/>
              </w:rPr>
            </w:pPr>
            <w:r>
              <w:rPr>
                <w:rFonts w:hint="eastAsia" w:ascii="Times New Roman" w:hAnsi="Times New Roman"/>
                <w:snapToGrid w:val="0"/>
                <w:color w:val="auto"/>
                <w:szCs w:val="24"/>
              </w:rPr>
              <w:t>本项目产生的噪声来源于搅拌机、烘干机等设备，其噪声最大值为95dB（A）。设备首先选用低噪声设备，应采用加大减振基础，安装减振装置，在设备安装及设备连接处可采用减振垫或柔性接头，风机安装消声器、建筑设置隔声墙等措施后，噪声级降低至 55~70dB(A)左右；对于运输车辆噪声通过加强车辆进出管理，减少鸣笛次数，限值车速等措施后项目车辆运输噪声对周围环境影响不大。各声源源强等相关情况详见下表。</w:t>
            </w:r>
          </w:p>
          <w:p w14:paraId="4621E268">
            <w:pPr>
              <w:pStyle w:val="19"/>
              <w:spacing w:before="0" w:beforeAutospacing="0" w:after="0" w:afterAutospacing="0"/>
              <w:ind w:firstLine="482" w:firstLineChars="200"/>
              <w:jc w:val="center"/>
              <w:outlineLvl w:val="0"/>
              <w:rPr>
                <w:rFonts w:ascii="Times New Roman" w:hAnsi="Times New Roman"/>
                <w:b/>
                <w:color w:val="auto"/>
              </w:rPr>
            </w:pPr>
            <w:r>
              <w:rPr>
                <w:rFonts w:hint="eastAsia" w:ascii="Times New Roman" w:hAnsi="Times New Roman"/>
                <w:b/>
                <w:color w:val="auto"/>
              </w:rPr>
              <w:t>表4-10    工程主要噪声源及噪声治理情况</w:t>
            </w:r>
          </w:p>
          <w:tbl>
            <w:tblPr>
              <w:tblStyle w:val="23"/>
              <w:tblW w:w="8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00"/>
              <w:gridCol w:w="1541"/>
              <w:gridCol w:w="904"/>
              <w:gridCol w:w="1050"/>
              <w:gridCol w:w="1185"/>
              <w:gridCol w:w="1449"/>
            </w:tblGrid>
            <w:tr w14:paraId="5858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6970198F">
                  <w:pPr>
                    <w:snapToGrid w:val="0"/>
                    <w:jc w:val="center"/>
                    <w:rPr>
                      <w:bCs/>
                      <w:color w:val="auto"/>
                      <w:szCs w:val="21"/>
                    </w:rPr>
                  </w:pPr>
                  <w:r>
                    <w:rPr>
                      <w:rFonts w:hint="eastAsia"/>
                      <w:bCs/>
                      <w:color w:val="auto"/>
                      <w:szCs w:val="21"/>
                    </w:rPr>
                    <w:t>序号</w:t>
                  </w:r>
                </w:p>
              </w:tc>
              <w:tc>
                <w:tcPr>
                  <w:tcW w:w="1200" w:type="dxa"/>
                  <w:vAlign w:val="center"/>
                </w:tcPr>
                <w:p w14:paraId="742BFF3F">
                  <w:pPr>
                    <w:snapToGrid w:val="0"/>
                    <w:jc w:val="center"/>
                    <w:rPr>
                      <w:bCs/>
                      <w:color w:val="auto"/>
                      <w:szCs w:val="21"/>
                    </w:rPr>
                  </w:pPr>
                  <w:r>
                    <w:rPr>
                      <w:rFonts w:hint="eastAsia"/>
                      <w:bCs/>
                      <w:color w:val="auto"/>
                      <w:szCs w:val="21"/>
                    </w:rPr>
                    <w:t>噪声源</w:t>
                  </w:r>
                </w:p>
              </w:tc>
              <w:tc>
                <w:tcPr>
                  <w:tcW w:w="1541" w:type="dxa"/>
                  <w:vAlign w:val="center"/>
                </w:tcPr>
                <w:p w14:paraId="49D0E39A">
                  <w:pPr>
                    <w:snapToGrid w:val="0"/>
                    <w:jc w:val="center"/>
                    <w:rPr>
                      <w:bCs/>
                      <w:color w:val="auto"/>
                      <w:szCs w:val="21"/>
                    </w:rPr>
                  </w:pPr>
                  <w:r>
                    <w:rPr>
                      <w:rFonts w:hint="eastAsia"/>
                      <w:bCs/>
                      <w:color w:val="auto"/>
                      <w:szCs w:val="21"/>
                    </w:rPr>
                    <w:t>声压级</w:t>
                  </w:r>
                  <w:r>
                    <w:rPr>
                      <w:bCs/>
                      <w:color w:val="auto"/>
                      <w:szCs w:val="21"/>
                    </w:rPr>
                    <w:t>dB(A)</w:t>
                  </w:r>
                </w:p>
              </w:tc>
              <w:tc>
                <w:tcPr>
                  <w:tcW w:w="904" w:type="dxa"/>
                  <w:vAlign w:val="center"/>
                </w:tcPr>
                <w:p w14:paraId="592AACFA">
                  <w:pPr>
                    <w:snapToGrid w:val="0"/>
                    <w:jc w:val="center"/>
                    <w:rPr>
                      <w:bCs/>
                      <w:color w:val="auto"/>
                      <w:szCs w:val="21"/>
                    </w:rPr>
                  </w:pPr>
                  <w:r>
                    <w:rPr>
                      <w:rFonts w:hint="eastAsia"/>
                      <w:bCs/>
                      <w:color w:val="auto"/>
                      <w:szCs w:val="21"/>
                    </w:rPr>
                    <w:t>特点</w:t>
                  </w:r>
                </w:p>
              </w:tc>
              <w:tc>
                <w:tcPr>
                  <w:tcW w:w="1050" w:type="dxa"/>
                  <w:vAlign w:val="center"/>
                </w:tcPr>
                <w:p w14:paraId="76E3786A">
                  <w:pPr>
                    <w:snapToGrid w:val="0"/>
                    <w:jc w:val="center"/>
                    <w:rPr>
                      <w:bCs/>
                      <w:color w:val="auto"/>
                      <w:szCs w:val="21"/>
                    </w:rPr>
                  </w:pPr>
                  <w:r>
                    <w:rPr>
                      <w:rFonts w:hint="eastAsia"/>
                      <w:bCs/>
                      <w:color w:val="auto"/>
                      <w:szCs w:val="21"/>
                    </w:rPr>
                    <w:t>位置</w:t>
                  </w:r>
                </w:p>
              </w:tc>
              <w:tc>
                <w:tcPr>
                  <w:tcW w:w="1185" w:type="dxa"/>
                  <w:vAlign w:val="center"/>
                </w:tcPr>
                <w:p w14:paraId="7A9E486E">
                  <w:pPr>
                    <w:snapToGrid w:val="0"/>
                    <w:jc w:val="center"/>
                    <w:rPr>
                      <w:bCs/>
                      <w:color w:val="auto"/>
                      <w:szCs w:val="21"/>
                    </w:rPr>
                  </w:pPr>
                  <w:r>
                    <w:rPr>
                      <w:rFonts w:hint="eastAsia"/>
                      <w:bCs/>
                      <w:color w:val="auto"/>
                      <w:szCs w:val="21"/>
                    </w:rPr>
                    <w:t>控制措施</w:t>
                  </w:r>
                </w:p>
              </w:tc>
              <w:tc>
                <w:tcPr>
                  <w:tcW w:w="1449" w:type="dxa"/>
                  <w:vAlign w:val="center"/>
                </w:tcPr>
                <w:p w14:paraId="4B85FBF4">
                  <w:pPr>
                    <w:snapToGrid w:val="0"/>
                    <w:jc w:val="center"/>
                    <w:rPr>
                      <w:bCs/>
                      <w:color w:val="auto"/>
                      <w:szCs w:val="21"/>
                    </w:rPr>
                  </w:pPr>
                  <w:r>
                    <w:rPr>
                      <w:rFonts w:hint="eastAsia"/>
                      <w:bCs/>
                      <w:color w:val="auto"/>
                      <w:szCs w:val="21"/>
                    </w:rPr>
                    <w:t>降噪后</w:t>
                  </w:r>
                  <w:r>
                    <w:rPr>
                      <w:bCs/>
                      <w:color w:val="auto"/>
                      <w:szCs w:val="21"/>
                    </w:rPr>
                    <w:t>dB(A)</w:t>
                  </w:r>
                </w:p>
              </w:tc>
            </w:tr>
            <w:tr w14:paraId="277D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0C9F7FC8">
                  <w:pPr>
                    <w:snapToGrid w:val="0"/>
                    <w:jc w:val="center"/>
                    <w:rPr>
                      <w:bCs/>
                      <w:color w:val="auto"/>
                      <w:szCs w:val="21"/>
                    </w:rPr>
                  </w:pPr>
                  <w:r>
                    <w:rPr>
                      <w:rFonts w:hint="eastAsia"/>
                      <w:bCs/>
                      <w:color w:val="auto"/>
                      <w:szCs w:val="21"/>
                    </w:rPr>
                    <w:t>1</w:t>
                  </w:r>
                </w:p>
              </w:tc>
              <w:tc>
                <w:tcPr>
                  <w:tcW w:w="1200" w:type="dxa"/>
                  <w:vAlign w:val="center"/>
                </w:tcPr>
                <w:p w14:paraId="4603DD24">
                  <w:pPr>
                    <w:snapToGrid w:val="0"/>
                    <w:jc w:val="center"/>
                    <w:rPr>
                      <w:bCs/>
                      <w:color w:val="auto"/>
                      <w:szCs w:val="21"/>
                    </w:rPr>
                  </w:pPr>
                  <w:r>
                    <w:rPr>
                      <w:rFonts w:hint="eastAsia"/>
                      <w:bCs/>
                      <w:color w:val="auto"/>
                      <w:szCs w:val="21"/>
                    </w:rPr>
                    <w:t>各类风机</w:t>
                  </w:r>
                </w:p>
              </w:tc>
              <w:tc>
                <w:tcPr>
                  <w:tcW w:w="1541" w:type="dxa"/>
                  <w:vAlign w:val="center"/>
                </w:tcPr>
                <w:p w14:paraId="5B00854A">
                  <w:pPr>
                    <w:snapToGrid w:val="0"/>
                    <w:jc w:val="center"/>
                    <w:rPr>
                      <w:bCs/>
                      <w:color w:val="auto"/>
                      <w:szCs w:val="21"/>
                    </w:rPr>
                  </w:pPr>
                  <w:r>
                    <w:rPr>
                      <w:rFonts w:hint="eastAsia"/>
                      <w:bCs/>
                      <w:color w:val="auto"/>
                      <w:szCs w:val="21"/>
                    </w:rPr>
                    <w:t>90-95</w:t>
                  </w:r>
                </w:p>
              </w:tc>
              <w:tc>
                <w:tcPr>
                  <w:tcW w:w="904" w:type="dxa"/>
                  <w:vAlign w:val="center"/>
                </w:tcPr>
                <w:p w14:paraId="42343F24">
                  <w:pPr>
                    <w:snapToGrid w:val="0"/>
                    <w:jc w:val="center"/>
                    <w:rPr>
                      <w:bCs/>
                      <w:color w:val="auto"/>
                      <w:szCs w:val="21"/>
                    </w:rPr>
                  </w:pPr>
                  <w:r>
                    <w:rPr>
                      <w:rFonts w:hint="eastAsia"/>
                      <w:bCs/>
                      <w:color w:val="auto"/>
                      <w:szCs w:val="21"/>
                    </w:rPr>
                    <w:t>连续</w:t>
                  </w:r>
                </w:p>
              </w:tc>
              <w:tc>
                <w:tcPr>
                  <w:tcW w:w="1050" w:type="dxa"/>
                  <w:vAlign w:val="center"/>
                </w:tcPr>
                <w:p w14:paraId="1425CE12">
                  <w:pPr>
                    <w:snapToGrid w:val="0"/>
                    <w:jc w:val="center"/>
                    <w:rPr>
                      <w:bCs/>
                      <w:color w:val="auto"/>
                      <w:szCs w:val="21"/>
                    </w:rPr>
                  </w:pPr>
                  <w:r>
                    <w:rPr>
                      <w:rFonts w:hint="eastAsia"/>
                      <w:bCs/>
                      <w:color w:val="auto"/>
                      <w:szCs w:val="21"/>
                    </w:rPr>
                    <w:t>室内</w:t>
                  </w:r>
                </w:p>
              </w:tc>
              <w:tc>
                <w:tcPr>
                  <w:tcW w:w="1185" w:type="dxa"/>
                  <w:vMerge w:val="restart"/>
                  <w:vAlign w:val="center"/>
                </w:tcPr>
                <w:p w14:paraId="32BFC11C">
                  <w:pPr>
                    <w:snapToGrid w:val="0"/>
                    <w:jc w:val="center"/>
                    <w:rPr>
                      <w:bCs/>
                      <w:color w:val="auto"/>
                      <w:szCs w:val="21"/>
                    </w:rPr>
                  </w:pPr>
                  <w:r>
                    <w:rPr>
                      <w:rFonts w:hint="eastAsia"/>
                      <w:bCs/>
                      <w:color w:val="auto"/>
                      <w:szCs w:val="21"/>
                    </w:rPr>
                    <w:t>消声器、基础减振、厂房隔声</w:t>
                  </w:r>
                </w:p>
              </w:tc>
              <w:tc>
                <w:tcPr>
                  <w:tcW w:w="1449" w:type="dxa"/>
                  <w:vAlign w:val="center"/>
                </w:tcPr>
                <w:p w14:paraId="60EA28D6">
                  <w:pPr>
                    <w:snapToGrid w:val="0"/>
                    <w:jc w:val="center"/>
                    <w:rPr>
                      <w:bCs/>
                      <w:color w:val="auto"/>
                      <w:szCs w:val="21"/>
                    </w:rPr>
                  </w:pPr>
                  <w:r>
                    <w:rPr>
                      <w:bCs/>
                      <w:color w:val="auto"/>
                      <w:szCs w:val="21"/>
                    </w:rPr>
                    <w:t>≤75</w:t>
                  </w:r>
                </w:p>
              </w:tc>
            </w:tr>
            <w:tr w14:paraId="7E4A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054A495A">
                  <w:pPr>
                    <w:snapToGrid w:val="0"/>
                    <w:jc w:val="center"/>
                    <w:rPr>
                      <w:bCs/>
                      <w:color w:val="auto"/>
                      <w:szCs w:val="21"/>
                    </w:rPr>
                  </w:pPr>
                  <w:r>
                    <w:rPr>
                      <w:rFonts w:hint="eastAsia"/>
                      <w:bCs/>
                      <w:color w:val="auto"/>
                      <w:szCs w:val="21"/>
                    </w:rPr>
                    <w:t>2</w:t>
                  </w:r>
                </w:p>
              </w:tc>
              <w:tc>
                <w:tcPr>
                  <w:tcW w:w="1200" w:type="dxa"/>
                  <w:vAlign w:val="center"/>
                </w:tcPr>
                <w:p w14:paraId="036BC640">
                  <w:pPr>
                    <w:snapToGrid w:val="0"/>
                    <w:jc w:val="center"/>
                    <w:rPr>
                      <w:bCs/>
                      <w:color w:val="auto"/>
                      <w:szCs w:val="21"/>
                    </w:rPr>
                  </w:pPr>
                  <w:r>
                    <w:rPr>
                      <w:rFonts w:hint="eastAsia"/>
                      <w:bCs/>
                      <w:color w:val="auto"/>
                      <w:szCs w:val="21"/>
                    </w:rPr>
                    <w:t>水泵</w:t>
                  </w:r>
                </w:p>
              </w:tc>
              <w:tc>
                <w:tcPr>
                  <w:tcW w:w="1541" w:type="dxa"/>
                  <w:vAlign w:val="center"/>
                </w:tcPr>
                <w:p w14:paraId="1E469572">
                  <w:pPr>
                    <w:snapToGrid w:val="0"/>
                    <w:jc w:val="center"/>
                    <w:rPr>
                      <w:bCs/>
                      <w:color w:val="auto"/>
                      <w:szCs w:val="21"/>
                    </w:rPr>
                  </w:pPr>
                  <w:r>
                    <w:rPr>
                      <w:rFonts w:hint="eastAsia"/>
                      <w:bCs/>
                      <w:color w:val="auto"/>
                      <w:szCs w:val="21"/>
                    </w:rPr>
                    <w:t>90-95</w:t>
                  </w:r>
                </w:p>
              </w:tc>
              <w:tc>
                <w:tcPr>
                  <w:tcW w:w="904" w:type="dxa"/>
                  <w:vAlign w:val="center"/>
                </w:tcPr>
                <w:p w14:paraId="6AFE8CB0">
                  <w:pPr>
                    <w:snapToGrid w:val="0"/>
                    <w:jc w:val="center"/>
                    <w:rPr>
                      <w:bCs/>
                      <w:color w:val="auto"/>
                      <w:szCs w:val="21"/>
                    </w:rPr>
                  </w:pPr>
                  <w:r>
                    <w:rPr>
                      <w:rFonts w:hint="eastAsia"/>
                      <w:bCs/>
                      <w:color w:val="auto"/>
                      <w:szCs w:val="21"/>
                    </w:rPr>
                    <w:t>连续</w:t>
                  </w:r>
                </w:p>
              </w:tc>
              <w:tc>
                <w:tcPr>
                  <w:tcW w:w="1050" w:type="dxa"/>
                  <w:vAlign w:val="center"/>
                </w:tcPr>
                <w:p w14:paraId="3D8DFF5F">
                  <w:pPr>
                    <w:snapToGrid w:val="0"/>
                    <w:jc w:val="center"/>
                    <w:rPr>
                      <w:bCs/>
                      <w:color w:val="auto"/>
                      <w:szCs w:val="21"/>
                    </w:rPr>
                  </w:pPr>
                  <w:r>
                    <w:rPr>
                      <w:rFonts w:hint="eastAsia"/>
                      <w:bCs/>
                      <w:color w:val="auto"/>
                      <w:szCs w:val="21"/>
                    </w:rPr>
                    <w:t>室内</w:t>
                  </w:r>
                </w:p>
              </w:tc>
              <w:tc>
                <w:tcPr>
                  <w:tcW w:w="1185" w:type="dxa"/>
                  <w:vMerge w:val="continue"/>
                  <w:vAlign w:val="center"/>
                </w:tcPr>
                <w:p w14:paraId="68E84A95">
                  <w:pPr>
                    <w:snapToGrid w:val="0"/>
                    <w:jc w:val="center"/>
                    <w:rPr>
                      <w:bCs/>
                      <w:color w:val="auto"/>
                      <w:szCs w:val="21"/>
                    </w:rPr>
                  </w:pPr>
                </w:p>
              </w:tc>
              <w:tc>
                <w:tcPr>
                  <w:tcW w:w="1449" w:type="dxa"/>
                  <w:vAlign w:val="center"/>
                </w:tcPr>
                <w:p w14:paraId="2C48BCC3">
                  <w:pPr>
                    <w:snapToGrid w:val="0"/>
                    <w:jc w:val="center"/>
                    <w:rPr>
                      <w:bCs/>
                      <w:color w:val="auto"/>
                      <w:szCs w:val="21"/>
                    </w:rPr>
                  </w:pPr>
                  <w:r>
                    <w:rPr>
                      <w:bCs/>
                      <w:color w:val="auto"/>
                      <w:szCs w:val="21"/>
                    </w:rPr>
                    <w:t>≤</w:t>
                  </w:r>
                  <w:r>
                    <w:rPr>
                      <w:rFonts w:hint="eastAsia"/>
                      <w:bCs/>
                      <w:color w:val="auto"/>
                      <w:szCs w:val="21"/>
                    </w:rPr>
                    <w:t>72</w:t>
                  </w:r>
                </w:p>
              </w:tc>
            </w:tr>
            <w:tr w14:paraId="0F8D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1F498597">
                  <w:pPr>
                    <w:snapToGrid w:val="0"/>
                    <w:jc w:val="center"/>
                    <w:rPr>
                      <w:bCs/>
                      <w:color w:val="auto"/>
                      <w:szCs w:val="21"/>
                    </w:rPr>
                  </w:pPr>
                  <w:r>
                    <w:rPr>
                      <w:rFonts w:hint="eastAsia"/>
                      <w:bCs/>
                      <w:color w:val="auto"/>
                      <w:szCs w:val="21"/>
                    </w:rPr>
                    <w:t>3</w:t>
                  </w:r>
                </w:p>
              </w:tc>
              <w:tc>
                <w:tcPr>
                  <w:tcW w:w="1200" w:type="dxa"/>
                  <w:vAlign w:val="center"/>
                </w:tcPr>
                <w:p w14:paraId="70ACB29C">
                  <w:pPr>
                    <w:snapToGrid w:val="0"/>
                    <w:jc w:val="center"/>
                    <w:rPr>
                      <w:bCs/>
                      <w:color w:val="auto"/>
                      <w:szCs w:val="21"/>
                    </w:rPr>
                  </w:pPr>
                  <w:r>
                    <w:rPr>
                      <w:rFonts w:hint="eastAsia"/>
                      <w:bCs/>
                      <w:color w:val="auto"/>
                      <w:szCs w:val="21"/>
                    </w:rPr>
                    <w:t>装载机</w:t>
                  </w:r>
                </w:p>
              </w:tc>
              <w:tc>
                <w:tcPr>
                  <w:tcW w:w="1541" w:type="dxa"/>
                  <w:vAlign w:val="center"/>
                </w:tcPr>
                <w:p w14:paraId="43B7CE8F">
                  <w:pPr>
                    <w:snapToGrid w:val="0"/>
                    <w:jc w:val="center"/>
                    <w:rPr>
                      <w:bCs/>
                      <w:color w:val="auto"/>
                      <w:szCs w:val="21"/>
                    </w:rPr>
                  </w:pPr>
                  <w:r>
                    <w:rPr>
                      <w:rFonts w:hint="eastAsia"/>
                      <w:bCs/>
                      <w:color w:val="auto"/>
                      <w:szCs w:val="21"/>
                    </w:rPr>
                    <w:t>90-95</w:t>
                  </w:r>
                </w:p>
              </w:tc>
              <w:tc>
                <w:tcPr>
                  <w:tcW w:w="904" w:type="dxa"/>
                  <w:vAlign w:val="center"/>
                </w:tcPr>
                <w:p w14:paraId="0EA84B30">
                  <w:pPr>
                    <w:snapToGrid w:val="0"/>
                    <w:jc w:val="center"/>
                    <w:rPr>
                      <w:bCs/>
                      <w:color w:val="auto"/>
                      <w:szCs w:val="21"/>
                    </w:rPr>
                  </w:pPr>
                  <w:r>
                    <w:rPr>
                      <w:rFonts w:hint="eastAsia"/>
                      <w:bCs/>
                      <w:color w:val="auto"/>
                      <w:szCs w:val="21"/>
                    </w:rPr>
                    <w:t>连续</w:t>
                  </w:r>
                </w:p>
              </w:tc>
              <w:tc>
                <w:tcPr>
                  <w:tcW w:w="1050" w:type="dxa"/>
                  <w:vAlign w:val="center"/>
                </w:tcPr>
                <w:p w14:paraId="1962470C">
                  <w:pPr>
                    <w:snapToGrid w:val="0"/>
                    <w:jc w:val="center"/>
                    <w:rPr>
                      <w:bCs/>
                      <w:color w:val="auto"/>
                      <w:szCs w:val="21"/>
                    </w:rPr>
                  </w:pPr>
                  <w:r>
                    <w:rPr>
                      <w:rFonts w:hint="eastAsia"/>
                      <w:bCs/>
                      <w:color w:val="auto"/>
                      <w:szCs w:val="21"/>
                    </w:rPr>
                    <w:t>室内</w:t>
                  </w:r>
                </w:p>
              </w:tc>
              <w:tc>
                <w:tcPr>
                  <w:tcW w:w="1185" w:type="dxa"/>
                  <w:vMerge w:val="continue"/>
                  <w:vAlign w:val="center"/>
                </w:tcPr>
                <w:p w14:paraId="3A2C51A1">
                  <w:pPr>
                    <w:snapToGrid w:val="0"/>
                    <w:jc w:val="center"/>
                    <w:rPr>
                      <w:bCs/>
                      <w:color w:val="auto"/>
                      <w:szCs w:val="21"/>
                    </w:rPr>
                  </w:pPr>
                </w:p>
              </w:tc>
              <w:tc>
                <w:tcPr>
                  <w:tcW w:w="1449" w:type="dxa"/>
                  <w:vAlign w:val="center"/>
                </w:tcPr>
                <w:p w14:paraId="4C01B48B">
                  <w:pPr>
                    <w:snapToGrid w:val="0"/>
                    <w:jc w:val="center"/>
                    <w:rPr>
                      <w:bCs/>
                      <w:color w:val="auto"/>
                      <w:szCs w:val="21"/>
                    </w:rPr>
                  </w:pPr>
                  <w:r>
                    <w:rPr>
                      <w:bCs/>
                      <w:color w:val="auto"/>
                      <w:szCs w:val="21"/>
                    </w:rPr>
                    <w:t>≤</w:t>
                  </w:r>
                  <w:r>
                    <w:rPr>
                      <w:rFonts w:hint="eastAsia"/>
                      <w:bCs/>
                      <w:color w:val="auto"/>
                      <w:szCs w:val="21"/>
                    </w:rPr>
                    <w:t>80</w:t>
                  </w:r>
                </w:p>
              </w:tc>
            </w:tr>
            <w:tr w14:paraId="7776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207DF021">
                  <w:pPr>
                    <w:snapToGrid w:val="0"/>
                    <w:jc w:val="center"/>
                    <w:rPr>
                      <w:bCs/>
                      <w:color w:val="auto"/>
                      <w:szCs w:val="21"/>
                    </w:rPr>
                  </w:pPr>
                  <w:r>
                    <w:rPr>
                      <w:rFonts w:hint="eastAsia"/>
                      <w:bCs/>
                      <w:color w:val="auto"/>
                      <w:szCs w:val="21"/>
                    </w:rPr>
                    <w:t>4</w:t>
                  </w:r>
                </w:p>
              </w:tc>
              <w:tc>
                <w:tcPr>
                  <w:tcW w:w="1200" w:type="dxa"/>
                  <w:vAlign w:val="center"/>
                </w:tcPr>
                <w:p w14:paraId="4249C849">
                  <w:pPr>
                    <w:snapToGrid w:val="0"/>
                    <w:jc w:val="center"/>
                    <w:rPr>
                      <w:bCs/>
                      <w:color w:val="auto"/>
                      <w:szCs w:val="21"/>
                    </w:rPr>
                  </w:pPr>
                  <w:r>
                    <w:rPr>
                      <w:rFonts w:hint="eastAsia"/>
                      <w:bCs/>
                      <w:color w:val="auto"/>
                      <w:szCs w:val="21"/>
                    </w:rPr>
                    <w:t>皮带机</w:t>
                  </w:r>
                </w:p>
              </w:tc>
              <w:tc>
                <w:tcPr>
                  <w:tcW w:w="1541" w:type="dxa"/>
                  <w:vAlign w:val="center"/>
                </w:tcPr>
                <w:p w14:paraId="3C7BC7C7">
                  <w:pPr>
                    <w:snapToGrid w:val="0"/>
                    <w:jc w:val="center"/>
                    <w:rPr>
                      <w:bCs/>
                      <w:color w:val="auto"/>
                      <w:szCs w:val="21"/>
                    </w:rPr>
                  </w:pPr>
                  <w:r>
                    <w:rPr>
                      <w:rFonts w:hint="eastAsia"/>
                      <w:bCs/>
                      <w:color w:val="auto"/>
                      <w:szCs w:val="21"/>
                    </w:rPr>
                    <w:t>90-95</w:t>
                  </w:r>
                </w:p>
              </w:tc>
              <w:tc>
                <w:tcPr>
                  <w:tcW w:w="904" w:type="dxa"/>
                  <w:vAlign w:val="center"/>
                </w:tcPr>
                <w:p w14:paraId="59EBB373">
                  <w:pPr>
                    <w:snapToGrid w:val="0"/>
                    <w:jc w:val="center"/>
                    <w:rPr>
                      <w:bCs/>
                      <w:color w:val="auto"/>
                      <w:szCs w:val="21"/>
                    </w:rPr>
                  </w:pPr>
                  <w:r>
                    <w:rPr>
                      <w:rFonts w:hint="eastAsia"/>
                      <w:bCs/>
                      <w:color w:val="auto"/>
                      <w:szCs w:val="21"/>
                    </w:rPr>
                    <w:t>连续</w:t>
                  </w:r>
                </w:p>
              </w:tc>
              <w:tc>
                <w:tcPr>
                  <w:tcW w:w="1050" w:type="dxa"/>
                  <w:vAlign w:val="center"/>
                </w:tcPr>
                <w:p w14:paraId="4F8C79AC">
                  <w:pPr>
                    <w:snapToGrid w:val="0"/>
                    <w:jc w:val="center"/>
                    <w:rPr>
                      <w:bCs/>
                      <w:color w:val="auto"/>
                      <w:szCs w:val="21"/>
                    </w:rPr>
                  </w:pPr>
                  <w:r>
                    <w:rPr>
                      <w:rFonts w:hint="eastAsia"/>
                      <w:bCs/>
                      <w:color w:val="auto"/>
                      <w:szCs w:val="21"/>
                    </w:rPr>
                    <w:t>室内</w:t>
                  </w:r>
                </w:p>
              </w:tc>
              <w:tc>
                <w:tcPr>
                  <w:tcW w:w="1185" w:type="dxa"/>
                  <w:vMerge w:val="continue"/>
                  <w:vAlign w:val="center"/>
                </w:tcPr>
                <w:p w14:paraId="70851CC2">
                  <w:pPr>
                    <w:snapToGrid w:val="0"/>
                    <w:jc w:val="center"/>
                    <w:rPr>
                      <w:bCs/>
                      <w:color w:val="auto"/>
                      <w:szCs w:val="21"/>
                    </w:rPr>
                  </w:pPr>
                </w:p>
              </w:tc>
              <w:tc>
                <w:tcPr>
                  <w:tcW w:w="1449" w:type="dxa"/>
                  <w:vAlign w:val="center"/>
                </w:tcPr>
                <w:p w14:paraId="2FE358F7">
                  <w:pPr>
                    <w:snapToGrid w:val="0"/>
                    <w:jc w:val="center"/>
                    <w:rPr>
                      <w:bCs/>
                      <w:color w:val="auto"/>
                      <w:szCs w:val="21"/>
                    </w:rPr>
                  </w:pPr>
                  <w:r>
                    <w:rPr>
                      <w:bCs/>
                      <w:color w:val="auto"/>
                      <w:szCs w:val="21"/>
                    </w:rPr>
                    <w:t>≤</w:t>
                  </w:r>
                  <w:r>
                    <w:rPr>
                      <w:rFonts w:hint="eastAsia"/>
                      <w:bCs/>
                      <w:color w:val="auto"/>
                      <w:szCs w:val="21"/>
                    </w:rPr>
                    <w:t>80</w:t>
                  </w:r>
                </w:p>
              </w:tc>
            </w:tr>
            <w:tr w14:paraId="3019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38400878">
                  <w:pPr>
                    <w:snapToGrid w:val="0"/>
                    <w:jc w:val="center"/>
                    <w:rPr>
                      <w:bCs/>
                      <w:color w:val="auto"/>
                      <w:szCs w:val="21"/>
                    </w:rPr>
                  </w:pPr>
                  <w:r>
                    <w:rPr>
                      <w:rFonts w:hint="eastAsia"/>
                      <w:bCs/>
                      <w:color w:val="auto"/>
                      <w:szCs w:val="21"/>
                    </w:rPr>
                    <w:t>5</w:t>
                  </w:r>
                </w:p>
              </w:tc>
              <w:tc>
                <w:tcPr>
                  <w:tcW w:w="1200" w:type="dxa"/>
                  <w:vAlign w:val="center"/>
                </w:tcPr>
                <w:p w14:paraId="25118936">
                  <w:pPr>
                    <w:snapToGrid w:val="0"/>
                    <w:jc w:val="center"/>
                    <w:rPr>
                      <w:bCs/>
                      <w:color w:val="auto"/>
                      <w:szCs w:val="21"/>
                    </w:rPr>
                  </w:pPr>
                  <w:r>
                    <w:rPr>
                      <w:rFonts w:hint="eastAsia"/>
                      <w:bCs/>
                      <w:color w:val="auto"/>
                      <w:szCs w:val="21"/>
                    </w:rPr>
                    <w:t>搅拌机</w:t>
                  </w:r>
                </w:p>
              </w:tc>
              <w:tc>
                <w:tcPr>
                  <w:tcW w:w="1541" w:type="dxa"/>
                  <w:vAlign w:val="center"/>
                </w:tcPr>
                <w:p w14:paraId="79B7F636">
                  <w:pPr>
                    <w:snapToGrid w:val="0"/>
                    <w:jc w:val="center"/>
                    <w:rPr>
                      <w:bCs/>
                      <w:color w:val="auto"/>
                      <w:szCs w:val="21"/>
                    </w:rPr>
                  </w:pPr>
                  <w:r>
                    <w:rPr>
                      <w:rFonts w:hint="eastAsia"/>
                      <w:bCs/>
                      <w:color w:val="auto"/>
                      <w:szCs w:val="21"/>
                    </w:rPr>
                    <w:t>70-80</w:t>
                  </w:r>
                </w:p>
              </w:tc>
              <w:tc>
                <w:tcPr>
                  <w:tcW w:w="904" w:type="dxa"/>
                  <w:vAlign w:val="center"/>
                </w:tcPr>
                <w:p w14:paraId="1C3D64D2">
                  <w:pPr>
                    <w:snapToGrid w:val="0"/>
                    <w:jc w:val="center"/>
                    <w:rPr>
                      <w:bCs/>
                      <w:color w:val="auto"/>
                      <w:szCs w:val="21"/>
                    </w:rPr>
                  </w:pPr>
                  <w:r>
                    <w:rPr>
                      <w:rFonts w:hint="eastAsia"/>
                      <w:bCs/>
                      <w:color w:val="auto"/>
                      <w:szCs w:val="21"/>
                    </w:rPr>
                    <w:t>连续</w:t>
                  </w:r>
                </w:p>
              </w:tc>
              <w:tc>
                <w:tcPr>
                  <w:tcW w:w="1050" w:type="dxa"/>
                  <w:vAlign w:val="center"/>
                </w:tcPr>
                <w:p w14:paraId="0A8AC92B">
                  <w:pPr>
                    <w:snapToGrid w:val="0"/>
                    <w:jc w:val="center"/>
                    <w:rPr>
                      <w:bCs/>
                      <w:color w:val="auto"/>
                      <w:szCs w:val="21"/>
                    </w:rPr>
                  </w:pPr>
                  <w:r>
                    <w:rPr>
                      <w:rFonts w:hint="eastAsia"/>
                      <w:bCs/>
                      <w:color w:val="auto"/>
                      <w:szCs w:val="21"/>
                    </w:rPr>
                    <w:t>室内</w:t>
                  </w:r>
                </w:p>
              </w:tc>
              <w:tc>
                <w:tcPr>
                  <w:tcW w:w="1185" w:type="dxa"/>
                  <w:vMerge w:val="continue"/>
                  <w:vAlign w:val="center"/>
                </w:tcPr>
                <w:p w14:paraId="128563A3">
                  <w:pPr>
                    <w:snapToGrid w:val="0"/>
                    <w:jc w:val="center"/>
                    <w:rPr>
                      <w:bCs/>
                      <w:color w:val="auto"/>
                      <w:szCs w:val="21"/>
                    </w:rPr>
                  </w:pPr>
                </w:p>
              </w:tc>
              <w:tc>
                <w:tcPr>
                  <w:tcW w:w="1449" w:type="dxa"/>
                  <w:vAlign w:val="center"/>
                </w:tcPr>
                <w:p w14:paraId="0026D018">
                  <w:pPr>
                    <w:snapToGrid w:val="0"/>
                    <w:jc w:val="center"/>
                    <w:rPr>
                      <w:bCs/>
                      <w:color w:val="auto"/>
                      <w:szCs w:val="21"/>
                    </w:rPr>
                  </w:pPr>
                  <w:r>
                    <w:rPr>
                      <w:bCs/>
                      <w:color w:val="auto"/>
                      <w:szCs w:val="21"/>
                    </w:rPr>
                    <w:t>≤</w:t>
                  </w:r>
                  <w:r>
                    <w:rPr>
                      <w:rFonts w:hint="eastAsia"/>
                      <w:bCs/>
                      <w:color w:val="auto"/>
                      <w:szCs w:val="21"/>
                    </w:rPr>
                    <w:t>55</w:t>
                  </w:r>
                </w:p>
              </w:tc>
            </w:tr>
            <w:tr w14:paraId="0B1A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27F939D9">
                  <w:pPr>
                    <w:snapToGrid w:val="0"/>
                    <w:jc w:val="center"/>
                    <w:rPr>
                      <w:bCs/>
                      <w:color w:val="auto"/>
                      <w:szCs w:val="21"/>
                    </w:rPr>
                  </w:pPr>
                  <w:r>
                    <w:rPr>
                      <w:rFonts w:hint="eastAsia"/>
                      <w:bCs/>
                      <w:color w:val="auto"/>
                      <w:szCs w:val="21"/>
                    </w:rPr>
                    <w:t>6</w:t>
                  </w:r>
                </w:p>
              </w:tc>
              <w:tc>
                <w:tcPr>
                  <w:tcW w:w="1200" w:type="dxa"/>
                  <w:vAlign w:val="center"/>
                </w:tcPr>
                <w:p w14:paraId="2E2BE3EF">
                  <w:pPr>
                    <w:snapToGrid w:val="0"/>
                    <w:jc w:val="center"/>
                    <w:rPr>
                      <w:bCs/>
                      <w:color w:val="auto"/>
                      <w:szCs w:val="21"/>
                    </w:rPr>
                  </w:pPr>
                  <w:r>
                    <w:rPr>
                      <w:rFonts w:hint="eastAsia"/>
                      <w:bCs/>
                      <w:color w:val="auto"/>
                      <w:szCs w:val="21"/>
                    </w:rPr>
                    <w:t>压球机</w:t>
                  </w:r>
                </w:p>
              </w:tc>
              <w:tc>
                <w:tcPr>
                  <w:tcW w:w="1541" w:type="dxa"/>
                  <w:vAlign w:val="center"/>
                </w:tcPr>
                <w:p w14:paraId="4EE2756D">
                  <w:pPr>
                    <w:snapToGrid w:val="0"/>
                    <w:jc w:val="center"/>
                    <w:rPr>
                      <w:bCs/>
                      <w:color w:val="auto"/>
                      <w:szCs w:val="21"/>
                    </w:rPr>
                  </w:pPr>
                  <w:r>
                    <w:rPr>
                      <w:rFonts w:hint="eastAsia"/>
                      <w:bCs/>
                      <w:color w:val="auto"/>
                      <w:szCs w:val="21"/>
                    </w:rPr>
                    <w:t>65-70</w:t>
                  </w:r>
                </w:p>
              </w:tc>
              <w:tc>
                <w:tcPr>
                  <w:tcW w:w="904" w:type="dxa"/>
                  <w:vAlign w:val="center"/>
                </w:tcPr>
                <w:p w14:paraId="70A045E5">
                  <w:pPr>
                    <w:snapToGrid w:val="0"/>
                    <w:jc w:val="center"/>
                    <w:rPr>
                      <w:bCs/>
                      <w:color w:val="auto"/>
                      <w:szCs w:val="21"/>
                    </w:rPr>
                  </w:pPr>
                  <w:r>
                    <w:rPr>
                      <w:rFonts w:hint="eastAsia"/>
                      <w:bCs/>
                      <w:color w:val="auto"/>
                      <w:szCs w:val="21"/>
                    </w:rPr>
                    <w:t>连续</w:t>
                  </w:r>
                </w:p>
              </w:tc>
              <w:tc>
                <w:tcPr>
                  <w:tcW w:w="1050" w:type="dxa"/>
                  <w:vAlign w:val="center"/>
                </w:tcPr>
                <w:p w14:paraId="422EF10A">
                  <w:pPr>
                    <w:snapToGrid w:val="0"/>
                    <w:jc w:val="center"/>
                    <w:rPr>
                      <w:bCs/>
                      <w:color w:val="auto"/>
                      <w:szCs w:val="21"/>
                    </w:rPr>
                  </w:pPr>
                  <w:r>
                    <w:rPr>
                      <w:rFonts w:hint="eastAsia"/>
                      <w:bCs/>
                      <w:color w:val="auto"/>
                      <w:szCs w:val="21"/>
                    </w:rPr>
                    <w:t>室内</w:t>
                  </w:r>
                </w:p>
              </w:tc>
              <w:tc>
                <w:tcPr>
                  <w:tcW w:w="1185" w:type="dxa"/>
                  <w:vMerge w:val="continue"/>
                  <w:vAlign w:val="center"/>
                </w:tcPr>
                <w:p w14:paraId="026237B0">
                  <w:pPr>
                    <w:snapToGrid w:val="0"/>
                    <w:jc w:val="center"/>
                    <w:rPr>
                      <w:bCs/>
                      <w:color w:val="auto"/>
                      <w:szCs w:val="21"/>
                    </w:rPr>
                  </w:pPr>
                </w:p>
              </w:tc>
              <w:tc>
                <w:tcPr>
                  <w:tcW w:w="1449" w:type="dxa"/>
                  <w:vAlign w:val="center"/>
                </w:tcPr>
                <w:p w14:paraId="030B4AFE">
                  <w:pPr>
                    <w:snapToGrid w:val="0"/>
                    <w:jc w:val="center"/>
                    <w:rPr>
                      <w:bCs/>
                      <w:color w:val="auto"/>
                      <w:szCs w:val="21"/>
                    </w:rPr>
                  </w:pPr>
                  <w:r>
                    <w:rPr>
                      <w:bCs/>
                      <w:color w:val="auto"/>
                      <w:szCs w:val="21"/>
                    </w:rPr>
                    <w:t>≤</w:t>
                  </w:r>
                  <w:r>
                    <w:rPr>
                      <w:rFonts w:hint="eastAsia"/>
                      <w:bCs/>
                      <w:color w:val="auto"/>
                      <w:szCs w:val="21"/>
                    </w:rPr>
                    <w:t>55</w:t>
                  </w:r>
                </w:p>
              </w:tc>
            </w:tr>
            <w:tr w14:paraId="0FCD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3C750F1D">
                  <w:pPr>
                    <w:snapToGrid w:val="0"/>
                    <w:jc w:val="center"/>
                    <w:rPr>
                      <w:bCs/>
                      <w:color w:val="auto"/>
                      <w:szCs w:val="21"/>
                    </w:rPr>
                  </w:pPr>
                  <w:r>
                    <w:rPr>
                      <w:rFonts w:hint="eastAsia"/>
                      <w:bCs/>
                      <w:color w:val="auto"/>
                      <w:szCs w:val="21"/>
                    </w:rPr>
                    <w:t>7</w:t>
                  </w:r>
                </w:p>
              </w:tc>
              <w:tc>
                <w:tcPr>
                  <w:tcW w:w="1200" w:type="dxa"/>
                  <w:vAlign w:val="center"/>
                </w:tcPr>
                <w:p w14:paraId="52781361">
                  <w:pPr>
                    <w:snapToGrid w:val="0"/>
                    <w:jc w:val="center"/>
                    <w:rPr>
                      <w:bCs/>
                      <w:color w:val="auto"/>
                      <w:szCs w:val="21"/>
                    </w:rPr>
                  </w:pPr>
                  <w:r>
                    <w:rPr>
                      <w:rFonts w:hint="eastAsia"/>
                      <w:bCs/>
                      <w:color w:val="auto"/>
                      <w:szCs w:val="21"/>
                    </w:rPr>
                    <w:t>烘干机</w:t>
                  </w:r>
                </w:p>
              </w:tc>
              <w:tc>
                <w:tcPr>
                  <w:tcW w:w="1541" w:type="dxa"/>
                  <w:vAlign w:val="center"/>
                </w:tcPr>
                <w:p w14:paraId="42A28CB5">
                  <w:pPr>
                    <w:snapToGrid w:val="0"/>
                    <w:jc w:val="center"/>
                    <w:rPr>
                      <w:bCs/>
                      <w:color w:val="auto"/>
                      <w:szCs w:val="21"/>
                    </w:rPr>
                  </w:pPr>
                  <w:r>
                    <w:rPr>
                      <w:rFonts w:hint="eastAsia"/>
                      <w:bCs/>
                      <w:color w:val="auto"/>
                      <w:szCs w:val="21"/>
                    </w:rPr>
                    <w:t>80-95</w:t>
                  </w:r>
                </w:p>
              </w:tc>
              <w:tc>
                <w:tcPr>
                  <w:tcW w:w="904" w:type="dxa"/>
                  <w:vAlign w:val="center"/>
                </w:tcPr>
                <w:p w14:paraId="12AC430A">
                  <w:pPr>
                    <w:snapToGrid w:val="0"/>
                    <w:jc w:val="center"/>
                    <w:rPr>
                      <w:bCs/>
                      <w:color w:val="auto"/>
                      <w:szCs w:val="21"/>
                    </w:rPr>
                  </w:pPr>
                  <w:r>
                    <w:rPr>
                      <w:rFonts w:hint="eastAsia"/>
                      <w:bCs/>
                      <w:color w:val="auto"/>
                      <w:szCs w:val="21"/>
                    </w:rPr>
                    <w:t>连续</w:t>
                  </w:r>
                </w:p>
              </w:tc>
              <w:tc>
                <w:tcPr>
                  <w:tcW w:w="1050" w:type="dxa"/>
                  <w:vAlign w:val="center"/>
                </w:tcPr>
                <w:p w14:paraId="14954411">
                  <w:pPr>
                    <w:snapToGrid w:val="0"/>
                    <w:jc w:val="center"/>
                    <w:rPr>
                      <w:bCs/>
                      <w:color w:val="auto"/>
                      <w:szCs w:val="21"/>
                    </w:rPr>
                  </w:pPr>
                  <w:r>
                    <w:rPr>
                      <w:rFonts w:hint="eastAsia"/>
                      <w:bCs/>
                      <w:color w:val="auto"/>
                      <w:szCs w:val="21"/>
                    </w:rPr>
                    <w:t>室内</w:t>
                  </w:r>
                </w:p>
              </w:tc>
              <w:tc>
                <w:tcPr>
                  <w:tcW w:w="1185" w:type="dxa"/>
                  <w:vMerge w:val="continue"/>
                  <w:vAlign w:val="center"/>
                </w:tcPr>
                <w:p w14:paraId="20B0FD8C">
                  <w:pPr>
                    <w:snapToGrid w:val="0"/>
                    <w:jc w:val="center"/>
                    <w:rPr>
                      <w:bCs/>
                      <w:color w:val="auto"/>
                      <w:szCs w:val="21"/>
                    </w:rPr>
                  </w:pPr>
                </w:p>
              </w:tc>
              <w:tc>
                <w:tcPr>
                  <w:tcW w:w="1449" w:type="dxa"/>
                  <w:vAlign w:val="center"/>
                </w:tcPr>
                <w:p w14:paraId="2E1862FD">
                  <w:pPr>
                    <w:snapToGrid w:val="0"/>
                    <w:jc w:val="center"/>
                    <w:rPr>
                      <w:bCs/>
                      <w:color w:val="auto"/>
                      <w:szCs w:val="21"/>
                    </w:rPr>
                  </w:pPr>
                  <w:r>
                    <w:rPr>
                      <w:bCs/>
                      <w:color w:val="auto"/>
                      <w:szCs w:val="21"/>
                    </w:rPr>
                    <w:t>≤</w:t>
                  </w:r>
                  <w:r>
                    <w:rPr>
                      <w:rFonts w:hint="eastAsia"/>
                      <w:bCs/>
                      <w:color w:val="auto"/>
                      <w:szCs w:val="21"/>
                    </w:rPr>
                    <w:t>70</w:t>
                  </w:r>
                </w:p>
              </w:tc>
            </w:tr>
          </w:tbl>
          <w:p w14:paraId="09E82C12">
            <w:pPr>
              <w:pStyle w:val="19"/>
              <w:spacing w:before="0" w:beforeAutospacing="0" w:after="0" w:afterAutospacing="0" w:line="360" w:lineRule="auto"/>
              <w:ind w:firstLine="480" w:firstLineChars="200"/>
              <w:outlineLvl w:val="0"/>
              <w:rPr>
                <w:rFonts w:ascii="Times New Roman" w:hAnsi="Times New Roman"/>
                <w:snapToGrid w:val="0"/>
                <w:color w:val="auto"/>
                <w:szCs w:val="24"/>
              </w:rPr>
            </w:pPr>
            <w:r>
              <w:rPr>
                <w:rFonts w:hint="eastAsia" w:ascii="Times New Roman" w:hAnsi="Times New Roman"/>
                <w:snapToGrid w:val="0"/>
                <w:color w:val="auto"/>
                <w:szCs w:val="24"/>
              </w:rPr>
              <w:t>（2）预测分析</w:t>
            </w:r>
          </w:p>
          <w:p w14:paraId="3A69BF6C">
            <w:pPr>
              <w:widowControl/>
              <w:spacing w:line="360" w:lineRule="auto"/>
              <w:ind w:firstLine="480" w:firstLineChars="200"/>
              <w:jc w:val="left"/>
              <w:rPr>
                <w:snapToGrid w:val="0"/>
                <w:color w:val="auto"/>
                <w:kern w:val="0"/>
                <w:sz w:val="24"/>
              </w:rPr>
            </w:pPr>
            <w:r>
              <w:rPr>
                <w:snapToGrid w:val="0"/>
                <w:color w:val="auto"/>
                <w:kern w:val="0"/>
                <w:sz w:val="24"/>
              </w:rPr>
              <w:t>①预测模式</w:t>
            </w:r>
          </w:p>
          <w:p w14:paraId="6A4AFAC7">
            <w:pPr>
              <w:pStyle w:val="19"/>
              <w:spacing w:before="0" w:beforeAutospacing="0" w:after="0" w:afterAutospacing="0" w:line="360" w:lineRule="auto"/>
              <w:ind w:firstLine="480" w:firstLineChars="200"/>
              <w:outlineLvl w:val="0"/>
              <w:rPr>
                <w:rFonts w:ascii="Times New Roman" w:hAnsi="Times New Roman"/>
                <w:snapToGrid w:val="0"/>
                <w:color w:val="auto"/>
                <w:szCs w:val="24"/>
              </w:rPr>
            </w:pPr>
            <w:r>
              <w:rPr>
                <w:rFonts w:ascii="Times New Roman" w:hAnsi="Times New Roman"/>
                <w:snapToGrid w:val="0"/>
                <w:color w:val="auto"/>
                <w:szCs w:val="24"/>
              </w:rPr>
              <w:t>预测模式采用《环境影响评价技术导则 声环境》（HJ2.4-2021）中工业噪声预测模型。</w:t>
            </w:r>
          </w:p>
          <w:p w14:paraId="7FBC62B9">
            <w:pPr>
              <w:widowControl/>
              <w:spacing w:line="360" w:lineRule="auto"/>
              <w:ind w:firstLine="480" w:firstLineChars="200"/>
              <w:jc w:val="left"/>
              <w:rPr>
                <w:color w:val="auto"/>
                <w:sz w:val="24"/>
              </w:rPr>
            </w:pPr>
            <w:r>
              <w:rPr>
                <w:color w:val="auto"/>
                <w:kern w:val="0"/>
                <w:sz w:val="24"/>
                <w:lang w:bidi="ar"/>
              </w:rPr>
              <w:t>A. Lp（r）=Lp（r0）-（A</w:t>
            </w:r>
            <w:r>
              <w:rPr>
                <w:color w:val="auto"/>
                <w:kern w:val="0"/>
                <w:sz w:val="24"/>
                <w:vertAlign w:val="subscript"/>
                <w:lang w:bidi="ar"/>
              </w:rPr>
              <w:t>dⅣ</w:t>
            </w:r>
            <w:r>
              <w:rPr>
                <w:color w:val="auto"/>
                <w:kern w:val="0"/>
                <w:sz w:val="24"/>
                <w:lang w:bidi="ar"/>
              </w:rPr>
              <w:t>+Aatm+Abar+Agr+Amisc）</w:t>
            </w:r>
          </w:p>
          <w:p w14:paraId="73AE8896">
            <w:pPr>
              <w:widowControl/>
              <w:spacing w:line="360" w:lineRule="auto"/>
              <w:ind w:firstLine="480" w:firstLineChars="200"/>
              <w:jc w:val="left"/>
              <w:rPr>
                <w:color w:val="auto"/>
              </w:rPr>
            </w:pPr>
            <w:r>
              <w:rPr>
                <w:rFonts w:hint="eastAsia" w:ascii="宋体" w:hAnsi="宋体" w:cs="宋体"/>
                <w:color w:val="auto"/>
                <w:kern w:val="0"/>
                <w:sz w:val="24"/>
                <w:lang w:bidi="ar"/>
              </w:rPr>
              <w:t>式中：</w:t>
            </w:r>
            <w:r>
              <w:rPr>
                <w:color w:val="auto"/>
                <w:kern w:val="0"/>
                <w:sz w:val="24"/>
                <w:lang w:bidi="ar"/>
              </w:rPr>
              <w:t>L</w:t>
            </w:r>
            <w:r>
              <w:rPr>
                <w:color w:val="auto"/>
                <w:kern w:val="0"/>
                <w:sz w:val="15"/>
                <w:szCs w:val="15"/>
                <w:lang w:bidi="ar"/>
              </w:rPr>
              <w:t>p</w:t>
            </w:r>
            <w:r>
              <w:rPr>
                <w:rFonts w:hint="eastAsia" w:ascii="宋体" w:hAnsi="宋体" w:cs="宋体"/>
                <w:color w:val="auto"/>
                <w:kern w:val="0"/>
                <w:sz w:val="24"/>
                <w:lang w:bidi="ar"/>
              </w:rPr>
              <w:t>（</w:t>
            </w:r>
            <w:r>
              <w:rPr>
                <w:color w:val="auto"/>
                <w:kern w:val="0"/>
                <w:sz w:val="24"/>
                <w:lang w:bidi="ar"/>
              </w:rPr>
              <w:t>r</w:t>
            </w:r>
            <w:r>
              <w:rPr>
                <w:rFonts w:hint="eastAsia" w:ascii="宋体" w:hAnsi="宋体" w:cs="宋体"/>
                <w:color w:val="auto"/>
                <w:kern w:val="0"/>
                <w:sz w:val="24"/>
                <w:lang w:bidi="ar"/>
              </w:rPr>
              <w:t>）</w:t>
            </w:r>
            <w:r>
              <w:rPr>
                <w:color w:val="auto"/>
                <w:kern w:val="0"/>
                <w:sz w:val="24"/>
                <w:lang w:bidi="ar"/>
              </w:rPr>
              <w:t>—</w:t>
            </w:r>
            <w:r>
              <w:rPr>
                <w:rFonts w:hint="eastAsia" w:ascii="宋体" w:hAnsi="宋体" w:cs="宋体"/>
                <w:color w:val="auto"/>
                <w:kern w:val="0"/>
                <w:sz w:val="24"/>
                <w:lang w:bidi="ar"/>
              </w:rPr>
              <w:t xml:space="preserve">距声源 </w:t>
            </w:r>
            <w:r>
              <w:rPr>
                <w:color w:val="auto"/>
                <w:kern w:val="0"/>
                <w:sz w:val="24"/>
                <w:lang w:bidi="ar"/>
              </w:rPr>
              <w:t xml:space="preserve">rm </w:t>
            </w:r>
            <w:r>
              <w:rPr>
                <w:rFonts w:hint="eastAsia" w:ascii="宋体" w:hAnsi="宋体" w:cs="宋体"/>
                <w:color w:val="auto"/>
                <w:kern w:val="0"/>
                <w:sz w:val="24"/>
                <w:lang w:bidi="ar"/>
              </w:rPr>
              <w:t xml:space="preserve">处的声压级； </w:t>
            </w:r>
          </w:p>
          <w:p w14:paraId="48F5B3C7">
            <w:pPr>
              <w:widowControl/>
              <w:spacing w:line="360" w:lineRule="auto"/>
              <w:ind w:firstLine="1200" w:firstLineChars="500"/>
              <w:jc w:val="left"/>
              <w:rPr>
                <w:color w:val="auto"/>
              </w:rPr>
            </w:pPr>
            <w:r>
              <w:rPr>
                <w:color w:val="auto"/>
                <w:kern w:val="0"/>
                <w:sz w:val="24"/>
                <w:lang w:bidi="ar"/>
              </w:rPr>
              <w:t>L</w:t>
            </w:r>
            <w:r>
              <w:rPr>
                <w:color w:val="auto"/>
                <w:kern w:val="0"/>
                <w:sz w:val="15"/>
                <w:szCs w:val="15"/>
                <w:lang w:bidi="ar"/>
              </w:rPr>
              <w:t>p</w:t>
            </w:r>
            <w:r>
              <w:rPr>
                <w:rFonts w:hint="eastAsia" w:ascii="宋体" w:hAnsi="宋体" w:cs="宋体"/>
                <w:color w:val="auto"/>
                <w:kern w:val="0"/>
                <w:sz w:val="24"/>
                <w:lang w:bidi="ar"/>
              </w:rPr>
              <w:t>（</w:t>
            </w:r>
            <w:r>
              <w:rPr>
                <w:color w:val="auto"/>
                <w:kern w:val="0"/>
                <w:sz w:val="24"/>
                <w:lang w:bidi="ar"/>
              </w:rPr>
              <w:t>r</w:t>
            </w:r>
            <w:r>
              <w:rPr>
                <w:color w:val="auto"/>
                <w:kern w:val="0"/>
                <w:sz w:val="15"/>
                <w:szCs w:val="15"/>
                <w:lang w:bidi="ar"/>
              </w:rPr>
              <w:t>0</w:t>
            </w:r>
            <w:r>
              <w:rPr>
                <w:rFonts w:hint="eastAsia" w:ascii="宋体" w:hAnsi="宋体" w:cs="宋体"/>
                <w:color w:val="auto"/>
                <w:kern w:val="0"/>
                <w:sz w:val="24"/>
                <w:lang w:bidi="ar"/>
              </w:rPr>
              <w:t>）</w:t>
            </w:r>
            <w:r>
              <w:rPr>
                <w:color w:val="auto"/>
                <w:kern w:val="0"/>
                <w:sz w:val="24"/>
                <w:lang w:bidi="ar"/>
              </w:rPr>
              <w:t>—</w:t>
            </w:r>
            <w:r>
              <w:rPr>
                <w:rFonts w:hint="eastAsia" w:ascii="宋体" w:hAnsi="宋体" w:cs="宋体"/>
                <w:color w:val="auto"/>
                <w:kern w:val="0"/>
                <w:sz w:val="24"/>
                <w:lang w:bidi="ar"/>
              </w:rPr>
              <w:t xml:space="preserve">参考位置 </w:t>
            </w:r>
            <w:r>
              <w:rPr>
                <w:color w:val="auto"/>
                <w:kern w:val="0"/>
                <w:sz w:val="24"/>
                <w:lang w:bidi="ar"/>
              </w:rPr>
              <w:t>r</w:t>
            </w:r>
            <w:r>
              <w:rPr>
                <w:color w:val="auto"/>
                <w:kern w:val="0"/>
                <w:sz w:val="15"/>
                <w:szCs w:val="15"/>
                <w:lang w:bidi="ar"/>
              </w:rPr>
              <w:t>0</w:t>
            </w:r>
            <w:r>
              <w:rPr>
                <w:color w:val="auto"/>
                <w:kern w:val="0"/>
                <w:sz w:val="24"/>
                <w:lang w:bidi="ar"/>
              </w:rPr>
              <w:t xml:space="preserve">m </w:t>
            </w:r>
            <w:r>
              <w:rPr>
                <w:rFonts w:hint="eastAsia" w:ascii="宋体" w:hAnsi="宋体" w:cs="宋体"/>
                <w:color w:val="auto"/>
                <w:kern w:val="0"/>
                <w:sz w:val="24"/>
                <w:lang w:bidi="ar"/>
              </w:rPr>
              <w:t xml:space="preserve">处的声压级； </w:t>
            </w:r>
          </w:p>
          <w:p w14:paraId="30DD8B6B">
            <w:pPr>
              <w:widowControl/>
              <w:spacing w:line="360" w:lineRule="auto"/>
              <w:ind w:firstLine="1200" w:firstLineChars="500"/>
              <w:jc w:val="left"/>
              <w:rPr>
                <w:color w:val="auto"/>
              </w:rPr>
            </w:pPr>
            <w:r>
              <w:rPr>
                <w:color w:val="auto"/>
                <w:kern w:val="0"/>
                <w:sz w:val="24"/>
                <w:lang w:bidi="ar"/>
              </w:rPr>
              <w:t>A</w:t>
            </w:r>
            <w:r>
              <w:rPr>
                <w:color w:val="auto"/>
                <w:kern w:val="0"/>
                <w:sz w:val="15"/>
                <w:szCs w:val="15"/>
                <w:lang w:bidi="ar"/>
              </w:rPr>
              <w:t>dⅣ</w:t>
            </w:r>
            <w:r>
              <w:rPr>
                <w:color w:val="auto"/>
                <w:kern w:val="0"/>
                <w:sz w:val="24"/>
                <w:lang w:bidi="ar"/>
              </w:rPr>
              <w:t>—</w:t>
            </w:r>
            <w:r>
              <w:rPr>
                <w:rFonts w:hint="eastAsia" w:ascii="宋体" w:hAnsi="宋体" w:cs="宋体"/>
                <w:color w:val="auto"/>
                <w:kern w:val="0"/>
                <w:sz w:val="24"/>
                <w:lang w:bidi="ar"/>
              </w:rPr>
              <w:t xml:space="preserve">声波几何发散引起的衰减； </w:t>
            </w:r>
          </w:p>
          <w:p w14:paraId="66752529">
            <w:pPr>
              <w:widowControl/>
              <w:spacing w:line="360" w:lineRule="auto"/>
              <w:ind w:firstLine="1200" w:firstLineChars="500"/>
              <w:jc w:val="left"/>
              <w:rPr>
                <w:color w:val="auto"/>
              </w:rPr>
            </w:pPr>
            <w:r>
              <w:rPr>
                <w:color w:val="auto"/>
                <w:kern w:val="0"/>
                <w:sz w:val="24"/>
                <w:lang w:bidi="ar"/>
              </w:rPr>
              <w:t>A</w:t>
            </w:r>
            <w:r>
              <w:rPr>
                <w:color w:val="auto"/>
                <w:kern w:val="0"/>
                <w:sz w:val="15"/>
                <w:szCs w:val="15"/>
                <w:lang w:bidi="ar"/>
              </w:rPr>
              <w:t>atm</w:t>
            </w:r>
            <w:r>
              <w:rPr>
                <w:color w:val="auto"/>
                <w:kern w:val="0"/>
                <w:sz w:val="24"/>
                <w:lang w:bidi="ar"/>
              </w:rPr>
              <w:t>—</w:t>
            </w:r>
            <w:r>
              <w:rPr>
                <w:rFonts w:hint="eastAsia" w:ascii="宋体" w:hAnsi="宋体" w:cs="宋体"/>
                <w:color w:val="auto"/>
                <w:kern w:val="0"/>
                <w:sz w:val="24"/>
                <w:lang w:bidi="ar"/>
              </w:rPr>
              <w:t xml:space="preserve">空气吸收引起的衰减； </w:t>
            </w:r>
          </w:p>
          <w:p w14:paraId="0B85DE32">
            <w:pPr>
              <w:widowControl/>
              <w:spacing w:line="360" w:lineRule="auto"/>
              <w:ind w:firstLine="1200" w:firstLineChars="500"/>
              <w:jc w:val="left"/>
              <w:rPr>
                <w:color w:val="auto"/>
              </w:rPr>
            </w:pPr>
            <w:r>
              <w:rPr>
                <w:color w:val="auto"/>
                <w:kern w:val="0"/>
                <w:sz w:val="24"/>
                <w:lang w:bidi="ar"/>
              </w:rPr>
              <w:t>A</w:t>
            </w:r>
            <w:r>
              <w:rPr>
                <w:color w:val="auto"/>
                <w:kern w:val="0"/>
                <w:sz w:val="15"/>
                <w:szCs w:val="15"/>
                <w:lang w:bidi="ar"/>
              </w:rPr>
              <w:t>bar</w:t>
            </w:r>
            <w:r>
              <w:rPr>
                <w:color w:val="auto"/>
                <w:kern w:val="0"/>
                <w:sz w:val="24"/>
                <w:lang w:bidi="ar"/>
              </w:rPr>
              <w:t>—</w:t>
            </w:r>
            <w:r>
              <w:rPr>
                <w:rFonts w:hint="eastAsia" w:ascii="宋体" w:hAnsi="宋体" w:cs="宋体"/>
                <w:color w:val="auto"/>
                <w:kern w:val="0"/>
                <w:sz w:val="24"/>
                <w:lang w:bidi="ar"/>
              </w:rPr>
              <w:t xml:space="preserve">声屏障屏蔽引起的衰减； </w:t>
            </w:r>
          </w:p>
          <w:p w14:paraId="21C919F0">
            <w:pPr>
              <w:widowControl/>
              <w:spacing w:line="360" w:lineRule="auto"/>
              <w:ind w:firstLine="1200" w:firstLineChars="500"/>
              <w:jc w:val="left"/>
              <w:rPr>
                <w:color w:val="auto"/>
              </w:rPr>
            </w:pPr>
            <w:r>
              <w:rPr>
                <w:color w:val="auto"/>
                <w:kern w:val="0"/>
                <w:sz w:val="24"/>
                <w:lang w:bidi="ar"/>
              </w:rPr>
              <w:t>A</w:t>
            </w:r>
            <w:r>
              <w:rPr>
                <w:color w:val="auto"/>
                <w:kern w:val="0"/>
                <w:sz w:val="15"/>
                <w:szCs w:val="15"/>
                <w:lang w:bidi="ar"/>
              </w:rPr>
              <w:t>gr</w:t>
            </w:r>
            <w:r>
              <w:rPr>
                <w:color w:val="auto"/>
                <w:kern w:val="0"/>
                <w:sz w:val="24"/>
                <w:lang w:bidi="ar"/>
              </w:rPr>
              <w:t>—</w:t>
            </w:r>
            <w:r>
              <w:rPr>
                <w:rFonts w:hint="eastAsia" w:ascii="宋体" w:hAnsi="宋体" w:cs="宋体"/>
                <w:color w:val="auto"/>
                <w:kern w:val="0"/>
                <w:sz w:val="24"/>
                <w:lang w:bidi="ar"/>
              </w:rPr>
              <w:t xml:space="preserve">地面效应引起的衰减； </w:t>
            </w:r>
          </w:p>
          <w:p w14:paraId="2F89D18F">
            <w:pPr>
              <w:widowControl/>
              <w:spacing w:line="360" w:lineRule="auto"/>
              <w:ind w:firstLine="1200" w:firstLineChars="500"/>
              <w:jc w:val="left"/>
              <w:rPr>
                <w:color w:val="auto"/>
              </w:rPr>
            </w:pPr>
            <w:r>
              <w:rPr>
                <w:color w:val="auto"/>
                <w:kern w:val="0"/>
                <w:sz w:val="24"/>
                <w:lang w:bidi="ar"/>
              </w:rPr>
              <w:t>A</w:t>
            </w:r>
            <w:r>
              <w:rPr>
                <w:color w:val="auto"/>
                <w:kern w:val="0"/>
                <w:sz w:val="15"/>
                <w:szCs w:val="15"/>
                <w:lang w:bidi="ar"/>
              </w:rPr>
              <w:t>misc</w:t>
            </w:r>
            <w:r>
              <w:rPr>
                <w:color w:val="auto"/>
                <w:kern w:val="0"/>
                <w:sz w:val="24"/>
                <w:lang w:bidi="ar"/>
              </w:rPr>
              <w:t>—</w:t>
            </w:r>
            <w:r>
              <w:rPr>
                <w:rFonts w:hint="eastAsia" w:ascii="宋体" w:hAnsi="宋体" w:cs="宋体"/>
                <w:color w:val="auto"/>
                <w:kern w:val="0"/>
                <w:sz w:val="24"/>
                <w:lang w:bidi="ar"/>
              </w:rPr>
              <w:t xml:space="preserve">其它多方面效应引起的衰减。 </w:t>
            </w:r>
          </w:p>
          <w:p w14:paraId="01D79B12">
            <w:pPr>
              <w:widowControl/>
              <w:spacing w:line="360" w:lineRule="auto"/>
              <w:ind w:firstLine="480" w:firstLineChars="200"/>
              <w:jc w:val="left"/>
              <w:rPr>
                <w:color w:val="auto"/>
              </w:rPr>
            </w:pPr>
            <w:r>
              <w:rPr>
                <w:color w:val="auto"/>
                <w:kern w:val="0"/>
                <w:sz w:val="24"/>
                <w:lang w:bidi="ar"/>
              </w:rPr>
              <w:t>B</w:t>
            </w:r>
            <w:r>
              <w:rPr>
                <w:rFonts w:hint="eastAsia" w:ascii="宋体" w:hAnsi="宋体" w:cs="宋体"/>
                <w:color w:val="auto"/>
                <w:kern w:val="0"/>
                <w:sz w:val="24"/>
                <w:lang w:bidi="ar"/>
              </w:rPr>
              <w:t xml:space="preserve">．几何发散 </w:t>
            </w:r>
          </w:p>
          <w:p w14:paraId="4C649C7D">
            <w:pPr>
              <w:widowControl/>
              <w:spacing w:line="360" w:lineRule="auto"/>
              <w:ind w:firstLine="480" w:firstLineChars="200"/>
              <w:jc w:val="left"/>
              <w:rPr>
                <w:rFonts w:hint="eastAsia" w:ascii="宋体" w:hAnsi="宋体" w:cs="宋体"/>
                <w:color w:val="auto"/>
                <w:kern w:val="0"/>
                <w:sz w:val="24"/>
                <w:lang w:bidi="ar"/>
              </w:rPr>
            </w:pPr>
            <w:r>
              <w:rPr>
                <w:rFonts w:hint="eastAsia" w:ascii="宋体" w:hAnsi="宋体" w:cs="宋体"/>
                <w:color w:val="auto"/>
                <w:kern w:val="0"/>
                <w:sz w:val="24"/>
                <w:lang w:bidi="ar"/>
              </w:rPr>
              <w:t xml:space="preserve">对于室内声源，计算 </w:t>
            </w:r>
            <w:r>
              <w:rPr>
                <w:color w:val="auto"/>
                <w:kern w:val="0"/>
                <w:sz w:val="24"/>
                <w:lang w:bidi="ar"/>
              </w:rPr>
              <w:t xml:space="preserve">k </w:t>
            </w:r>
            <w:r>
              <w:rPr>
                <w:rFonts w:hint="eastAsia" w:ascii="宋体" w:hAnsi="宋体" w:cs="宋体"/>
                <w:color w:val="auto"/>
                <w:kern w:val="0"/>
                <w:sz w:val="24"/>
                <w:lang w:bidi="ar"/>
              </w:rPr>
              <w:t>个声源在室内靠近围护结构处的声压级：</w:t>
            </w:r>
          </w:p>
          <w:p w14:paraId="3D3A6335">
            <w:pPr>
              <w:widowControl/>
              <w:jc w:val="center"/>
              <w:rPr>
                <w:color w:val="auto"/>
              </w:rPr>
            </w:pPr>
            <w:r>
              <w:rPr>
                <w:color w:val="auto"/>
              </w:rPr>
              <w:drawing>
                <wp:inline distT="0" distB="0" distL="114300" distR="114300">
                  <wp:extent cx="1838325" cy="695325"/>
                  <wp:effectExtent l="0" t="0" r="9525" b="9525"/>
                  <wp:docPr id="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
                          <pic:cNvPicPr>
                            <a:picLocks noChangeAspect="1"/>
                          </pic:cNvPicPr>
                        </pic:nvPicPr>
                        <pic:blipFill>
                          <a:blip r:embed="rId19"/>
                          <a:stretch>
                            <a:fillRect/>
                          </a:stretch>
                        </pic:blipFill>
                        <pic:spPr>
                          <a:xfrm>
                            <a:off x="0" y="0"/>
                            <a:ext cx="1838325" cy="695325"/>
                          </a:xfrm>
                          <a:prstGeom prst="rect">
                            <a:avLst/>
                          </a:prstGeom>
                          <a:noFill/>
                          <a:ln>
                            <a:noFill/>
                          </a:ln>
                        </pic:spPr>
                      </pic:pic>
                    </a:graphicData>
                  </a:graphic>
                </wp:inline>
              </w:drawing>
            </w:r>
          </w:p>
          <w:p w14:paraId="561DABD1">
            <w:pPr>
              <w:widowControl/>
              <w:spacing w:line="360" w:lineRule="auto"/>
              <w:ind w:firstLine="480" w:firstLineChars="200"/>
              <w:rPr>
                <w:rFonts w:hint="eastAsia" w:ascii="宋体" w:hAnsi="宋体" w:cs="宋体"/>
                <w:color w:val="auto"/>
                <w:kern w:val="0"/>
                <w:sz w:val="24"/>
                <w:lang w:bidi="ar"/>
              </w:rPr>
            </w:pPr>
            <w:r>
              <w:rPr>
                <w:rFonts w:hint="eastAsia" w:ascii="宋体" w:hAnsi="宋体" w:cs="宋体"/>
                <w:color w:val="auto"/>
                <w:kern w:val="0"/>
                <w:sz w:val="24"/>
                <w:lang w:bidi="ar"/>
              </w:rPr>
              <w:t xml:space="preserve">然后，计算室外靠近围护结构处的声压级 </w:t>
            </w:r>
            <w:r>
              <w:rPr>
                <w:color w:val="auto"/>
                <w:kern w:val="0"/>
                <w:sz w:val="24"/>
                <w:lang w:bidi="ar"/>
              </w:rPr>
              <w:t>L</w:t>
            </w:r>
            <w:r>
              <w:rPr>
                <w:color w:val="auto"/>
                <w:kern w:val="0"/>
                <w:sz w:val="15"/>
                <w:szCs w:val="15"/>
                <w:lang w:bidi="ar"/>
              </w:rPr>
              <w:t>2</w:t>
            </w:r>
            <w:r>
              <w:rPr>
                <w:rFonts w:hint="eastAsia" w:ascii="宋体" w:hAnsi="宋体" w:cs="宋体"/>
                <w:color w:val="auto"/>
                <w:kern w:val="0"/>
                <w:sz w:val="24"/>
                <w:lang w:bidi="ar"/>
              </w:rPr>
              <w:t>：</w:t>
            </w:r>
          </w:p>
          <w:p w14:paraId="16970AE3">
            <w:pPr>
              <w:widowControl/>
              <w:jc w:val="center"/>
              <w:rPr>
                <w:rFonts w:hint="eastAsia" w:ascii="宋体" w:hAnsi="宋体" w:cs="宋体"/>
                <w:color w:val="auto"/>
                <w:kern w:val="0"/>
                <w:sz w:val="24"/>
                <w:lang w:bidi="ar"/>
              </w:rPr>
            </w:pPr>
            <w:r>
              <w:rPr>
                <w:color w:val="auto"/>
              </w:rPr>
              <w:drawing>
                <wp:inline distT="0" distB="0" distL="114300" distR="114300">
                  <wp:extent cx="1704975" cy="342900"/>
                  <wp:effectExtent l="0" t="0" r="9525" b="0"/>
                  <wp:docPr id="9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
                          <pic:cNvPicPr>
                            <a:picLocks noChangeAspect="1"/>
                          </pic:cNvPicPr>
                        </pic:nvPicPr>
                        <pic:blipFill>
                          <a:blip r:embed="rId20"/>
                          <a:stretch>
                            <a:fillRect/>
                          </a:stretch>
                        </pic:blipFill>
                        <pic:spPr>
                          <a:xfrm>
                            <a:off x="0" y="0"/>
                            <a:ext cx="1704975" cy="342900"/>
                          </a:xfrm>
                          <a:prstGeom prst="rect">
                            <a:avLst/>
                          </a:prstGeom>
                          <a:noFill/>
                          <a:ln>
                            <a:noFill/>
                          </a:ln>
                        </pic:spPr>
                      </pic:pic>
                    </a:graphicData>
                  </a:graphic>
                </wp:inline>
              </w:drawing>
            </w:r>
          </w:p>
          <w:p w14:paraId="6ED1DACE">
            <w:pPr>
              <w:widowControl/>
              <w:spacing w:line="360" w:lineRule="auto"/>
              <w:ind w:firstLine="480" w:firstLineChars="200"/>
              <w:jc w:val="left"/>
              <w:rPr>
                <w:snapToGrid w:val="0"/>
                <w:color w:val="auto"/>
                <w:kern w:val="0"/>
                <w:sz w:val="24"/>
              </w:rPr>
            </w:pPr>
            <w:r>
              <w:rPr>
                <w:rFonts w:hint="eastAsia"/>
                <w:snapToGrid w:val="0"/>
                <w:color w:val="auto"/>
                <w:kern w:val="0"/>
                <w:sz w:val="24"/>
              </w:rPr>
              <w:t>式中：</w:t>
            </w:r>
            <w:r>
              <w:rPr>
                <w:snapToGrid w:val="0"/>
                <w:color w:val="auto"/>
                <w:kern w:val="0"/>
                <w:sz w:val="24"/>
              </w:rPr>
              <w:t>TL——</w:t>
            </w:r>
            <w:r>
              <w:rPr>
                <w:rFonts w:hint="eastAsia"/>
                <w:snapToGrid w:val="0"/>
                <w:color w:val="auto"/>
                <w:kern w:val="0"/>
                <w:sz w:val="24"/>
              </w:rPr>
              <w:t xml:space="preserve">围护结构的传声损失，把围护结构当作等效室外声源处理。 </w:t>
            </w:r>
          </w:p>
          <w:p w14:paraId="3EA62EA4">
            <w:pPr>
              <w:widowControl/>
              <w:spacing w:line="360" w:lineRule="auto"/>
              <w:ind w:firstLine="480" w:firstLineChars="200"/>
              <w:jc w:val="left"/>
              <w:rPr>
                <w:snapToGrid w:val="0"/>
                <w:color w:val="auto"/>
                <w:kern w:val="0"/>
                <w:sz w:val="24"/>
              </w:rPr>
            </w:pPr>
            <w:r>
              <w:rPr>
                <w:snapToGrid w:val="0"/>
                <w:color w:val="auto"/>
                <w:kern w:val="0"/>
                <w:sz w:val="24"/>
              </w:rPr>
              <w:t>C</w:t>
            </w:r>
            <w:r>
              <w:rPr>
                <w:rFonts w:hint="eastAsia"/>
                <w:snapToGrid w:val="0"/>
                <w:color w:val="auto"/>
                <w:kern w:val="0"/>
                <w:sz w:val="24"/>
              </w:rPr>
              <w:t xml:space="preserve">．遮挡物和降噪措施引起的衰减 </w:t>
            </w:r>
          </w:p>
          <w:p w14:paraId="5CD34BC4">
            <w:pPr>
              <w:widowControl/>
              <w:spacing w:line="360" w:lineRule="auto"/>
              <w:ind w:firstLine="480" w:firstLineChars="200"/>
              <w:jc w:val="left"/>
              <w:rPr>
                <w:snapToGrid w:val="0"/>
                <w:color w:val="auto"/>
                <w:kern w:val="0"/>
                <w:sz w:val="24"/>
              </w:rPr>
            </w:pPr>
            <w:r>
              <w:rPr>
                <w:rFonts w:hint="eastAsia"/>
                <w:snapToGrid w:val="0"/>
                <w:color w:val="auto"/>
                <w:kern w:val="0"/>
                <w:sz w:val="24"/>
              </w:rPr>
              <w:t xml:space="preserve">考虑房屋围护结构和围墙屏蔽效应和消声器的降噪作用。 </w:t>
            </w:r>
          </w:p>
          <w:p w14:paraId="7CA17D83">
            <w:pPr>
              <w:widowControl/>
              <w:spacing w:line="360" w:lineRule="auto"/>
              <w:ind w:firstLine="480" w:firstLineChars="200"/>
              <w:jc w:val="left"/>
              <w:rPr>
                <w:snapToGrid w:val="0"/>
                <w:color w:val="auto"/>
                <w:kern w:val="0"/>
                <w:sz w:val="24"/>
              </w:rPr>
            </w:pPr>
            <w:r>
              <w:rPr>
                <w:snapToGrid w:val="0"/>
                <w:color w:val="auto"/>
                <w:kern w:val="0"/>
                <w:sz w:val="24"/>
              </w:rPr>
              <w:t>D</w:t>
            </w:r>
            <w:r>
              <w:rPr>
                <w:rFonts w:hint="eastAsia"/>
                <w:snapToGrid w:val="0"/>
                <w:color w:val="auto"/>
                <w:kern w:val="0"/>
                <w:sz w:val="24"/>
              </w:rPr>
              <w:t xml:space="preserve">．空气吸收引起的衰减 </w:t>
            </w:r>
          </w:p>
          <w:p w14:paraId="27F8E867">
            <w:pPr>
              <w:widowControl/>
              <w:spacing w:line="360" w:lineRule="auto"/>
              <w:ind w:firstLine="480" w:firstLineChars="200"/>
              <w:jc w:val="left"/>
              <w:rPr>
                <w:snapToGrid w:val="0"/>
                <w:color w:val="auto"/>
                <w:kern w:val="0"/>
                <w:sz w:val="24"/>
              </w:rPr>
            </w:pPr>
            <w:r>
              <w:rPr>
                <w:rFonts w:hint="eastAsia"/>
                <w:snapToGrid w:val="0"/>
                <w:color w:val="auto"/>
                <w:kern w:val="0"/>
                <w:sz w:val="24"/>
              </w:rPr>
              <w:t>空气吸收引起的衰减按下式计算：</w:t>
            </w:r>
          </w:p>
          <w:p w14:paraId="3649244C">
            <w:pPr>
              <w:pStyle w:val="19"/>
              <w:spacing w:before="0" w:beforeAutospacing="0" w:after="0" w:afterAutospacing="0" w:line="360" w:lineRule="auto"/>
              <w:ind w:firstLine="480" w:firstLineChars="200"/>
              <w:jc w:val="center"/>
              <w:outlineLvl w:val="0"/>
              <w:rPr>
                <w:rFonts w:ascii="Times New Roman" w:hAnsi="Times New Roman"/>
                <w:snapToGrid w:val="0"/>
                <w:color w:val="auto"/>
                <w:szCs w:val="24"/>
              </w:rPr>
            </w:pPr>
            <w:r>
              <w:rPr>
                <w:rFonts w:hint="eastAsia" w:ascii="Times New Roman" w:hAnsi="Times New Roman"/>
                <w:snapToGrid w:val="0"/>
                <w:color w:val="auto"/>
                <w:szCs w:val="24"/>
              </w:rPr>
              <w:drawing>
                <wp:inline distT="0" distB="0" distL="114300" distR="114300">
                  <wp:extent cx="2819400" cy="676275"/>
                  <wp:effectExtent l="0" t="0" r="0" b="9525"/>
                  <wp:docPr id="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
                          <pic:cNvPicPr>
                            <a:picLocks noChangeAspect="1"/>
                          </pic:cNvPicPr>
                        </pic:nvPicPr>
                        <pic:blipFill>
                          <a:blip r:embed="rId21"/>
                          <a:stretch>
                            <a:fillRect/>
                          </a:stretch>
                        </pic:blipFill>
                        <pic:spPr>
                          <a:xfrm>
                            <a:off x="0" y="0"/>
                            <a:ext cx="2819400" cy="676275"/>
                          </a:xfrm>
                          <a:prstGeom prst="rect">
                            <a:avLst/>
                          </a:prstGeom>
                          <a:noFill/>
                          <a:ln>
                            <a:noFill/>
                          </a:ln>
                        </pic:spPr>
                      </pic:pic>
                    </a:graphicData>
                  </a:graphic>
                </wp:inline>
              </w:drawing>
            </w:r>
          </w:p>
          <w:p w14:paraId="6505AAE4">
            <w:pPr>
              <w:widowControl/>
              <w:spacing w:line="360" w:lineRule="auto"/>
              <w:ind w:firstLine="480" w:firstLineChars="200"/>
              <w:jc w:val="left"/>
              <w:rPr>
                <w:snapToGrid w:val="0"/>
                <w:color w:val="auto"/>
                <w:kern w:val="0"/>
                <w:sz w:val="24"/>
              </w:rPr>
            </w:pPr>
            <w:r>
              <w:rPr>
                <w:rFonts w:hint="eastAsia"/>
                <w:snapToGrid w:val="0"/>
                <w:color w:val="auto"/>
                <w:kern w:val="0"/>
                <w:sz w:val="24"/>
              </w:rPr>
              <w:t>式中：</w:t>
            </w:r>
            <w:r>
              <w:rPr>
                <w:snapToGrid w:val="0"/>
                <w:color w:val="auto"/>
                <w:kern w:val="0"/>
                <w:sz w:val="24"/>
              </w:rPr>
              <w:t>r——</w:t>
            </w:r>
            <w:r>
              <w:rPr>
                <w:rFonts w:hint="eastAsia"/>
                <w:snapToGrid w:val="0"/>
                <w:color w:val="auto"/>
                <w:kern w:val="0"/>
                <w:sz w:val="24"/>
              </w:rPr>
              <w:t>预测点距声源的距离（</w:t>
            </w:r>
            <w:r>
              <w:rPr>
                <w:snapToGrid w:val="0"/>
                <w:color w:val="auto"/>
                <w:kern w:val="0"/>
                <w:sz w:val="24"/>
              </w:rPr>
              <w:t>m</w:t>
            </w:r>
            <w:r>
              <w:rPr>
                <w:rFonts w:hint="eastAsia"/>
                <w:snapToGrid w:val="0"/>
                <w:color w:val="auto"/>
                <w:kern w:val="0"/>
                <w:sz w:val="24"/>
              </w:rPr>
              <w:t>）</w:t>
            </w:r>
          </w:p>
          <w:p w14:paraId="13C38867">
            <w:pPr>
              <w:widowControl/>
              <w:spacing w:line="360" w:lineRule="auto"/>
              <w:ind w:firstLine="1200" w:firstLineChars="500"/>
              <w:jc w:val="left"/>
              <w:rPr>
                <w:snapToGrid w:val="0"/>
                <w:color w:val="auto"/>
                <w:kern w:val="0"/>
                <w:sz w:val="24"/>
              </w:rPr>
            </w:pPr>
            <w:r>
              <w:rPr>
                <w:snapToGrid w:val="0"/>
                <w:color w:val="auto"/>
                <w:kern w:val="0"/>
                <w:sz w:val="24"/>
              </w:rPr>
              <w:t>r0——</w:t>
            </w:r>
            <w:r>
              <w:rPr>
                <w:rFonts w:hint="eastAsia"/>
                <w:snapToGrid w:val="0"/>
                <w:color w:val="auto"/>
                <w:kern w:val="0"/>
                <w:sz w:val="24"/>
              </w:rPr>
              <w:t>参考点距声源的距离（</w:t>
            </w:r>
            <w:r>
              <w:rPr>
                <w:snapToGrid w:val="0"/>
                <w:color w:val="auto"/>
                <w:kern w:val="0"/>
                <w:sz w:val="24"/>
              </w:rPr>
              <w:t>m</w:t>
            </w:r>
            <w:r>
              <w:rPr>
                <w:rFonts w:hint="eastAsia"/>
                <w:snapToGrid w:val="0"/>
                <w:color w:val="auto"/>
                <w:kern w:val="0"/>
                <w:sz w:val="24"/>
              </w:rPr>
              <w:t xml:space="preserve">） </w:t>
            </w:r>
          </w:p>
          <w:p w14:paraId="5DE20AF1">
            <w:pPr>
              <w:widowControl/>
              <w:spacing w:line="360" w:lineRule="auto"/>
              <w:ind w:firstLine="1200" w:firstLineChars="500"/>
              <w:jc w:val="left"/>
              <w:rPr>
                <w:snapToGrid w:val="0"/>
                <w:color w:val="auto"/>
                <w:kern w:val="0"/>
                <w:sz w:val="24"/>
              </w:rPr>
            </w:pPr>
            <w:r>
              <w:rPr>
                <w:snapToGrid w:val="0"/>
                <w:color w:val="auto"/>
                <w:kern w:val="0"/>
                <w:sz w:val="24"/>
              </w:rPr>
              <w:t>a——</w:t>
            </w:r>
            <w:r>
              <w:rPr>
                <w:rFonts w:hint="eastAsia"/>
                <w:snapToGrid w:val="0"/>
                <w:color w:val="auto"/>
                <w:kern w:val="0"/>
                <w:sz w:val="24"/>
              </w:rPr>
              <w:t>每</w:t>
            </w:r>
            <w:r>
              <w:rPr>
                <w:snapToGrid w:val="0"/>
                <w:color w:val="auto"/>
                <w:kern w:val="0"/>
                <w:sz w:val="24"/>
              </w:rPr>
              <w:t>100m</w:t>
            </w:r>
            <w:r>
              <w:rPr>
                <w:rFonts w:hint="eastAsia"/>
                <w:snapToGrid w:val="0"/>
                <w:color w:val="auto"/>
                <w:kern w:val="0"/>
                <w:sz w:val="24"/>
              </w:rPr>
              <w:t xml:space="preserve">空气吸收系数 </w:t>
            </w:r>
          </w:p>
          <w:p w14:paraId="0E619156">
            <w:pPr>
              <w:widowControl/>
              <w:spacing w:line="360" w:lineRule="auto"/>
              <w:ind w:firstLine="480" w:firstLineChars="200"/>
              <w:jc w:val="left"/>
              <w:rPr>
                <w:snapToGrid w:val="0"/>
                <w:color w:val="auto"/>
                <w:kern w:val="0"/>
                <w:sz w:val="24"/>
              </w:rPr>
            </w:pPr>
            <w:r>
              <w:rPr>
                <w:rFonts w:hint="eastAsia"/>
                <w:snapToGrid w:val="0"/>
                <w:color w:val="auto"/>
                <w:kern w:val="0"/>
                <w:sz w:val="24"/>
              </w:rPr>
              <w:t>当（</w:t>
            </w:r>
            <w:r>
              <w:rPr>
                <w:snapToGrid w:val="0"/>
                <w:color w:val="auto"/>
                <w:kern w:val="0"/>
                <w:sz w:val="24"/>
              </w:rPr>
              <w:t>r</w:t>
            </w:r>
            <w:r>
              <w:rPr>
                <w:rFonts w:hint="eastAsia"/>
                <w:snapToGrid w:val="0"/>
                <w:color w:val="auto"/>
                <w:kern w:val="0"/>
                <w:sz w:val="24"/>
              </w:rPr>
              <w:t>－</w:t>
            </w:r>
            <w:r>
              <w:rPr>
                <w:snapToGrid w:val="0"/>
                <w:color w:val="auto"/>
                <w:kern w:val="0"/>
                <w:sz w:val="24"/>
              </w:rPr>
              <w:t>r0</w:t>
            </w:r>
            <w:r>
              <w:rPr>
                <w:rFonts w:hint="eastAsia"/>
                <w:snapToGrid w:val="0"/>
                <w:color w:val="auto"/>
                <w:kern w:val="0"/>
                <w:sz w:val="24"/>
              </w:rPr>
              <w:t>）﹤</w:t>
            </w:r>
            <w:r>
              <w:rPr>
                <w:snapToGrid w:val="0"/>
                <w:color w:val="auto"/>
                <w:kern w:val="0"/>
                <w:sz w:val="24"/>
              </w:rPr>
              <w:t xml:space="preserve">200m </w:t>
            </w:r>
            <w:r>
              <w:rPr>
                <w:rFonts w:hint="eastAsia"/>
                <w:snapToGrid w:val="0"/>
                <w:color w:val="auto"/>
                <w:kern w:val="0"/>
                <w:sz w:val="24"/>
              </w:rPr>
              <w:t xml:space="preserve">时，近似为零，所以在预测时可忽略不计。 </w:t>
            </w:r>
          </w:p>
          <w:p w14:paraId="267B6351">
            <w:pPr>
              <w:widowControl/>
              <w:spacing w:line="360" w:lineRule="auto"/>
              <w:ind w:firstLine="480" w:firstLineChars="200"/>
              <w:jc w:val="left"/>
              <w:rPr>
                <w:snapToGrid w:val="0"/>
                <w:color w:val="auto"/>
                <w:kern w:val="0"/>
                <w:sz w:val="24"/>
              </w:rPr>
            </w:pPr>
            <w:r>
              <w:rPr>
                <w:snapToGrid w:val="0"/>
                <w:color w:val="auto"/>
                <w:kern w:val="0"/>
                <w:sz w:val="24"/>
              </w:rPr>
              <w:t>E</w:t>
            </w:r>
            <w:r>
              <w:rPr>
                <w:rFonts w:hint="eastAsia"/>
                <w:snapToGrid w:val="0"/>
                <w:color w:val="auto"/>
                <w:kern w:val="0"/>
                <w:sz w:val="24"/>
              </w:rPr>
              <w:t>．附加衰减</w:t>
            </w:r>
          </w:p>
          <w:p w14:paraId="6E2DB357">
            <w:pPr>
              <w:widowControl/>
              <w:spacing w:line="360" w:lineRule="auto"/>
              <w:ind w:firstLine="480" w:firstLineChars="200"/>
              <w:jc w:val="left"/>
              <w:rPr>
                <w:snapToGrid w:val="0"/>
                <w:color w:val="auto"/>
                <w:kern w:val="0"/>
                <w:sz w:val="24"/>
              </w:rPr>
            </w:pPr>
            <w:r>
              <w:rPr>
                <w:rFonts w:hint="eastAsia"/>
                <w:snapToGrid w:val="0"/>
                <w:color w:val="auto"/>
                <w:kern w:val="0"/>
                <w:sz w:val="24"/>
              </w:rPr>
              <w:t xml:space="preserve">附加衰减包括声波传播过程中由于云雾、湿度梯度、风及地面效应引起的声能量衰减，本次评价中忽略不计。 </w:t>
            </w:r>
          </w:p>
          <w:p w14:paraId="2B261E0B">
            <w:pPr>
              <w:widowControl/>
              <w:spacing w:line="360" w:lineRule="auto"/>
              <w:ind w:firstLine="480" w:firstLineChars="200"/>
              <w:jc w:val="left"/>
              <w:rPr>
                <w:snapToGrid w:val="0"/>
                <w:color w:val="auto"/>
                <w:kern w:val="0"/>
                <w:sz w:val="24"/>
              </w:rPr>
            </w:pPr>
            <w:r>
              <w:rPr>
                <w:rFonts w:hint="eastAsia"/>
                <w:snapToGrid w:val="0"/>
                <w:color w:val="auto"/>
                <w:kern w:val="0"/>
                <w:sz w:val="24"/>
              </w:rPr>
              <w:t xml:space="preserve">②预测程序 </w:t>
            </w:r>
          </w:p>
          <w:p w14:paraId="4818BC63">
            <w:pPr>
              <w:widowControl/>
              <w:spacing w:line="360" w:lineRule="auto"/>
              <w:ind w:firstLine="480" w:firstLineChars="200"/>
              <w:jc w:val="left"/>
              <w:rPr>
                <w:snapToGrid w:val="0"/>
                <w:kern w:val="0"/>
                <w:sz w:val="24"/>
              </w:rPr>
            </w:pPr>
            <w:r>
              <w:rPr>
                <w:snapToGrid w:val="0"/>
                <w:kern w:val="0"/>
                <w:sz w:val="24"/>
              </w:rPr>
              <w:t>A</w:t>
            </w:r>
            <w:r>
              <w:rPr>
                <w:rFonts w:hint="eastAsia"/>
                <w:snapToGrid w:val="0"/>
                <w:kern w:val="0"/>
                <w:sz w:val="24"/>
              </w:rPr>
              <w:t xml:space="preserve">．选择一个坐标系，确定各噪声源位置和预测点位置； </w:t>
            </w:r>
          </w:p>
          <w:p w14:paraId="73A245C8">
            <w:pPr>
              <w:widowControl/>
              <w:spacing w:line="360" w:lineRule="auto"/>
              <w:ind w:firstLine="480" w:firstLineChars="200"/>
              <w:jc w:val="left"/>
              <w:rPr>
                <w:snapToGrid w:val="0"/>
                <w:kern w:val="0"/>
                <w:sz w:val="24"/>
              </w:rPr>
            </w:pPr>
            <w:r>
              <w:rPr>
                <w:snapToGrid w:val="0"/>
                <w:kern w:val="0"/>
                <w:sz w:val="24"/>
              </w:rPr>
              <w:t>B</w:t>
            </w:r>
            <w:r>
              <w:rPr>
                <w:rFonts w:hint="eastAsia"/>
                <w:snapToGrid w:val="0"/>
                <w:kern w:val="0"/>
                <w:sz w:val="24"/>
              </w:rPr>
              <w:t xml:space="preserve">．根据已获得的声源参数和声波到预测点的传播条件，计算出各声源单 </w:t>
            </w:r>
          </w:p>
          <w:p w14:paraId="4559EA40">
            <w:pPr>
              <w:widowControl/>
              <w:spacing w:line="360" w:lineRule="auto"/>
              <w:jc w:val="left"/>
              <w:rPr>
                <w:snapToGrid w:val="0"/>
                <w:kern w:val="0"/>
                <w:sz w:val="24"/>
              </w:rPr>
            </w:pPr>
            <w:r>
              <w:rPr>
                <w:rFonts w:hint="eastAsia"/>
                <w:snapToGrid w:val="0"/>
                <w:kern w:val="0"/>
                <w:sz w:val="24"/>
              </w:rPr>
              <w:t>独作用在预测点时产生的</w:t>
            </w:r>
            <w:r>
              <w:rPr>
                <w:snapToGrid w:val="0"/>
                <w:kern w:val="0"/>
                <w:sz w:val="24"/>
              </w:rPr>
              <w:t>A</w:t>
            </w:r>
            <w:r>
              <w:rPr>
                <w:rFonts w:hint="eastAsia"/>
                <w:snapToGrid w:val="0"/>
                <w:kern w:val="0"/>
                <w:sz w:val="24"/>
              </w:rPr>
              <w:t xml:space="preserve">声压级 </w:t>
            </w:r>
            <w:r>
              <w:rPr>
                <w:snapToGrid w:val="0"/>
                <w:kern w:val="0"/>
                <w:sz w:val="24"/>
              </w:rPr>
              <w:t>Li</w:t>
            </w:r>
            <w:r>
              <w:rPr>
                <w:rFonts w:hint="eastAsia"/>
                <w:snapToGrid w:val="0"/>
                <w:kern w:val="0"/>
                <w:sz w:val="24"/>
              </w:rPr>
              <w:t xml:space="preserve">； </w:t>
            </w:r>
          </w:p>
          <w:p w14:paraId="1508AEB8">
            <w:pPr>
              <w:widowControl/>
              <w:spacing w:line="360" w:lineRule="auto"/>
              <w:ind w:firstLine="480" w:firstLineChars="200"/>
              <w:jc w:val="left"/>
              <w:rPr>
                <w:snapToGrid w:val="0"/>
                <w:kern w:val="0"/>
                <w:sz w:val="24"/>
              </w:rPr>
            </w:pPr>
            <w:r>
              <w:rPr>
                <w:snapToGrid w:val="0"/>
                <w:kern w:val="0"/>
                <w:sz w:val="24"/>
              </w:rPr>
              <w:t>C</w:t>
            </w:r>
            <w:r>
              <w:rPr>
                <w:rFonts w:hint="eastAsia"/>
                <w:snapToGrid w:val="0"/>
                <w:kern w:val="0"/>
                <w:sz w:val="24"/>
              </w:rPr>
              <w:t>．把</w:t>
            </w:r>
            <w:r>
              <w:rPr>
                <w:snapToGrid w:val="0"/>
                <w:kern w:val="0"/>
                <w:sz w:val="24"/>
              </w:rPr>
              <w:t>N</w:t>
            </w:r>
            <w:r>
              <w:rPr>
                <w:rFonts w:hint="eastAsia"/>
                <w:snapToGrid w:val="0"/>
                <w:kern w:val="0"/>
                <w:sz w:val="24"/>
              </w:rPr>
              <w:t xml:space="preserve">个声源单独对某预测点产生的声压级值按下式叠加，得该预测点的声压级值 </w:t>
            </w:r>
            <w:r>
              <w:rPr>
                <w:snapToGrid w:val="0"/>
                <w:kern w:val="0"/>
                <w:sz w:val="24"/>
              </w:rPr>
              <w:t>LA</w:t>
            </w:r>
            <w:r>
              <w:rPr>
                <w:rFonts w:hint="eastAsia"/>
                <w:snapToGrid w:val="0"/>
                <w:kern w:val="0"/>
                <w:sz w:val="24"/>
              </w:rPr>
              <w:t>：</w:t>
            </w:r>
          </w:p>
          <w:p w14:paraId="11B4AF60">
            <w:pPr>
              <w:pStyle w:val="19"/>
              <w:spacing w:before="0" w:beforeAutospacing="0" w:after="0" w:afterAutospacing="0" w:line="360" w:lineRule="auto"/>
              <w:ind w:firstLine="480" w:firstLineChars="200"/>
              <w:jc w:val="center"/>
              <w:outlineLvl w:val="0"/>
              <w:rPr>
                <w:rFonts w:ascii="Times New Roman" w:hAnsi="Times New Roman"/>
                <w:snapToGrid w:val="0"/>
                <w:szCs w:val="24"/>
              </w:rPr>
            </w:pPr>
            <w:r>
              <w:drawing>
                <wp:inline distT="0" distB="0" distL="114300" distR="114300">
                  <wp:extent cx="2590800" cy="852805"/>
                  <wp:effectExtent l="0" t="0" r="0" b="4445"/>
                  <wp:docPr id="9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
                          <pic:cNvPicPr>
                            <a:picLocks noChangeAspect="1"/>
                          </pic:cNvPicPr>
                        </pic:nvPicPr>
                        <pic:blipFill>
                          <a:blip r:embed="rId22"/>
                          <a:stretch>
                            <a:fillRect/>
                          </a:stretch>
                        </pic:blipFill>
                        <pic:spPr>
                          <a:xfrm>
                            <a:off x="0" y="0"/>
                            <a:ext cx="2590800" cy="852805"/>
                          </a:xfrm>
                          <a:prstGeom prst="rect">
                            <a:avLst/>
                          </a:prstGeom>
                          <a:noFill/>
                          <a:ln>
                            <a:noFill/>
                          </a:ln>
                        </pic:spPr>
                      </pic:pic>
                    </a:graphicData>
                  </a:graphic>
                </wp:inline>
              </w:drawing>
            </w:r>
          </w:p>
          <w:p w14:paraId="1A601506">
            <w:pPr>
              <w:widowControl/>
              <w:spacing w:line="360" w:lineRule="auto"/>
              <w:ind w:firstLine="480" w:firstLineChars="200"/>
              <w:jc w:val="left"/>
              <w:rPr>
                <w:snapToGrid w:val="0"/>
                <w:kern w:val="0"/>
                <w:sz w:val="24"/>
              </w:rPr>
            </w:pPr>
            <w:r>
              <w:rPr>
                <w:snapToGrid w:val="0"/>
                <w:kern w:val="0"/>
                <w:sz w:val="24"/>
              </w:rPr>
              <w:t>③预测结果</w:t>
            </w:r>
          </w:p>
          <w:p w14:paraId="30D3714C">
            <w:pPr>
              <w:widowControl/>
              <w:spacing w:line="360" w:lineRule="auto"/>
              <w:ind w:firstLine="480" w:firstLineChars="200"/>
              <w:jc w:val="left"/>
              <w:rPr>
                <w:b/>
              </w:rPr>
            </w:pPr>
            <w:r>
              <w:rPr>
                <w:rFonts w:hint="eastAsia"/>
                <w:snapToGrid w:val="0"/>
                <w:kern w:val="0"/>
                <w:sz w:val="24"/>
              </w:rPr>
              <w:t>厂界四周边界的噪声预测结果见下表。</w:t>
            </w:r>
          </w:p>
          <w:p w14:paraId="5FDA5B1A">
            <w:pPr>
              <w:pStyle w:val="19"/>
              <w:spacing w:before="0" w:beforeAutospacing="0" w:after="0" w:afterAutospacing="0"/>
              <w:ind w:firstLine="482" w:firstLineChars="200"/>
              <w:jc w:val="center"/>
              <w:outlineLvl w:val="0"/>
              <w:rPr>
                <w:rFonts w:hint="eastAsia" w:ascii="Times New Roman" w:hAnsi="Times New Roman"/>
                <w:b/>
                <w:lang w:val="en-US" w:eastAsia="zh-CN"/>
              </w:rPr>
            </w:pPr>
            <w:r>
              <w:rPr>
                <w:rFonts w:hint="eastAsia" w:ascii="Times New Roman" w:hAnsi="Times New Roman"/>
                <w:b/>
              </w:rPr>
              <w:t>表4-11    主要噪声源及相应噪声排放情况</w:t>
            </w:r>
            <w:r>
              <w:rPr>
                <w:rFonts w:hint="eastAsia" w:ascii="Times New Roman" w:hAnsi="Times New Roman"/>
                <w:b/>
                <w:lang w:val="en-US" w:eastAsia="zh-CN"/>
              </w:rPr>
              <w:t xml:space="preserve">   单位：dB(A)</w:t>
            </w:r>
          </w:p>
          <w:tbl>
            <w:tblPr>
              <w:tblStyle w:val="23"/>
              <w:tblW w:w="7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8"/>
              <w:gridCol w:w="2125"/>
              <w:gridCol w:w="1497"/>
              <w:gridCol w:w="1385"/>
              <w:gridCol w:w="1103"/>
            </w:tblGrid>
            <w:tr w14:paraId="06B3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68" w:type="dxa"/>
                  <w:vMerge w:val="restart"/>
                  <w:shd w:val="clear" w:color="auto" w:fill="auto"/>
                  <w:vAlign w:val="center"/>
                </w:tcPr>
                <w:p w14:paraId="5FFD3472">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预测点</w:t>
                  </w:r>
                </w:p>
              </w:tc>
              <w:tc>
                <w:tcPr>
                  <w:tcW w:w="2125" w:type="dxa"/>
                  <w:vMerge w:val="restart"/>
                  <w:vAlign w:val="center"/>
                </w:tcPr>
                <w:p w14:paraId="703F7AED">
                  <w:pPr>
                    <w:pStyle w:val="19"/>
                    <w:spacing w:before="0" w:beforeAutospacing="0" w:after="0" w:afterAutospacing="0"/>
                    <w:jc w:val="center"/>
                    <w:outlineLvl w:val="0"/>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贡献值</w:t>
                  </w:r>
                </w:p>
              </w:tc>
              <w:tc>
                <w:tcPr>
                  <w:tcW w:w="2882" w:type="dxa"/>
                  <w:gridSpan w:val="2"/>
                  <w:vAlign w:val="center"/>
                </w:tcPr>
                <w:p w14:paraId="705A1D95">
                  <w:pPr>
                    <w:pStyle w:val="19"/>
                    <w:spacing w:before="0" w:beforeAutospacing="0" w:after="0" w:afterAutospacing="0"/>
                    <w:jc w:val="center"/>
                    <w:outlineLvl w:val="0"/>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标准值</w:t>
                  </w:r>
                </w:p>
              </w:tc>
              <w:tc>
                <w:tcPr>
                  <w:tcW w:w="1103" w:type="dxa"/>
                  <w:vMerge w:val="restart"/>
                  <w:vAlign w:val="center"/>
                </w:tcPr>
                <w:p w14:paraId="3D88EDB5">
                  <w:pPr>
                    <w:pStyle w:val="19"/>
                    <w:spacing w:before="0" w:beforeAutospacing="0" w:after="0" w:afterAutospacing="0"/>
                    <w:jc w:val="center"/>
                    <w:outlineLvl w:val="0"/>
                    <w:rPr>
                      <w:rFonts w:hint="eastAsia" w:ascii="Times New Roman" w:hAnsi="Times New Roman"/>
                      <w:bCs/>
                      <w:sz w:val="21"/>
                      <w:szCs w:val="21"/>
                    </w:rPr>
                  </w:pPr>
                  <w:r>
                    <w:rPr>
                      <w:rFonts w:hint="eastAsia" w:ascii="Times New Roman" w:hAnsi="Times New Roman"/>
                      <w:bCs/>
                      <w:sz w:val="21"/>
                      <w:szCs w:val="21"/>
                    </w:rPr>
                    <w:t>达标</w:t>
                  </w:r>
                </w:p>
                <w:p w14:paraId="73EEA760">
                  <w:pPr>
                    <w:pStyle w:val="19"/>
                    <w:spacing w:before="0" w:beforeAutospacing="0" w:after="0" w:afterAutospacing="0"/>
                    <w:jc w:val="center"/>
                    <w:outlineLvl w:val="0"/>
                    <w:rPr>
                      <w:rFonts w:hint="default" w:ascii="Times New Roman" w:hAnsi="Times New Roman"/>
                      <w:b/>
                      <w:vertAlign w:val="baseline"/>
                      <w:lang w:val="en-US" w:eastAsia="zh-CN"/>
                    </w:rPr>
                  </w:pPr>
                  <w:r>
                    <w:rPr>
                      <w:rFonts w:hint="eastAsia" w:ascii="Times New Roman" w:hAnsi="Times New Roman"/>
                      <w:bCs/>
                      <w:sz w:val="21"/>
                      <w:szCs w:val="21"/>
                    </w:rPr>
                    <w:t>情况</w:t>
                  </w:r>
                </w:p>
              </w:tc>
            </w:tr>
            <w:tr w14:paraId="4CBC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68" w:type="dxa"/>
                  <w:vMerge w:val="continue"/>
                  <w:shd w:val="clear" w:color="auto" w:fill="auto"/>
                  <w:vAlign w:val="center"/>
                </w:tcPr>
                <w:p w14:paraId="72E61279">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p>
              </w:tc>
              <w:tc>
                <w:tcPr>
                  <w:tcW w:w="2125" w:type="dxa"/>
                  <w:vMerge w:val="continue"/>
                  <w:vAlign w:val="center"/>
                </w:tcPr>
                <w:p w14:paraId="6AF44961">
                  <w:pPr>
                    <w:pStyle w:val="19"/>
                    <w:spacing w:before="0" w:beforeAutospacing="0" w:after="0" w:afterAutospacing="0"/>
                    <w:jc w:val="center"/>
                    <w:outlineLvl w:val="0"/>
                    <w:rPr>
                      <w:rFonts w:hint="default" w:ascii="Times New Roman" w:hAnsi="Times New Roman"/>
                      <w:b/>
                      <w:vertAlign w:val="baseline"/>
                      <w:lang w:val="en-US" w:eastAsia="zh-CN"/>
                    </w:rPr>
                  </w:pPr>
                </w:p>
              </w:tc>
              <w:tc>
                <w:tcPr>
                  <w:tcW w:w="1497" w:type="dxa"/>
                  <w:shd w:val="clear" w:color="auto" w:fill="auto"/>
                  <w:vAlign w:val="center"/>
                </w:tcPr>
                <w:p w14:paraId="7BEBD0E2">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昼间</w:t>
                  </w:r>
                </w:p>
              </w:tc>
              <w:tc>
                <w:tcPr>
                  <w:tcW w:w="1385" w:type="dxa"/>
                  <w:shd w:val="clear" w:color="auto" w:fill="auto"/>
                  <w:vAlign w:val="center"/>
                </w:tcPr>
                <w:p w14:paraId="7AD0EDE8">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夜间</w:t>
                  </w:r>
                </w:p>
              </w:tc>
              <w:tc>
                <w:tcPr>
                  <w:tcW w:w="1103" w:type="dxa"/>
                  <w:vMerge w:val="continue"/>
                  <w:vAlign w:val="center"/>
                </w:tcPr>
                <w:p w14:paraId="7EFF1E33">
                  <w:pPr>
                    <w:pStyle w:val="19"/>
                    <w:spacing w:before="0" w:beforeAutospacing="0" w:after="0" w:afterAutospacing="0"/>
                    <w:jc w:val="center"/>
                    <w:outlineLvl w:val="0"/>
                    <w:rPr>
                      <w:rFonts w:hint="default" w:ascii="Times New Roman" w:hAnsi="Times New Roman"/>
                      <w:b/>
                      <w:vertAlign w:val="baseline"/>
                      <w:lang w:val="en-US" w:eastAsia="zh-CN"/>
                    </w:rPr>
                  </w:pPr>
                </w:p>
              </w:tc>
            </w:tr>
            <w:tr w14:paraId="1C65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68" w:type="dxa"/>
                  <w:shd w:val="clear" w:color="auto" w:fill="auto"/>
                  <w:vAlign w:val="center"/>
                </w:tcPr>
                <w:p w14:paraId="016F291E">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厂界东侧</w:t>
                  </w:r>
                </w:p>
              </w:tc>
              <w:tc>
                <w:tcPr>
                  <w:tcW w:w="2125" w:type="dxa"/>
                  <w:shd w:val="clear" w:color="auto" w:fill="auto"/>
                  <w:vAlign w:val="center"/>
                </w:tcPr>
                <w:p w14:paraId="7C593C9F">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24.22</w:t>
                  </w:r>
                </w:p>
              </w:tc>
              <w:tc>
                <w:tcPr>
                  <w:tcW w:w="1497" w:type="dxa"/>
                  <w:vMerge w:val="restart"/>
                  <w:shd w:val="clear" w:color="auto" w:fill="auto"/>
                  <w:vAlign w:val="center"/>
                </w:tcPr>
                <w:p w14:paraId="650A61F9">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65</w:t>
                  </w:r>
                </w:p>
              </w:tc>
              <w:tc>
                <w:tcPr>
                  <w:tcW w:w="1385" w:type="dxa"/>
                  <w:vMerge w:val="restart"/>
                  <w:shd w:val="clear" w:color="auto" w:fill="auto"/>
                  <w:vAlign w:val="center"/>
                </w:tcPr>
                <w:p w14:paraId="089C90F1">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55</w:t>
                  </w:r>
                </w:p>
              </w:tc>
              <w:tc>
                <w:tcPr>
                  <w:tcW w:w="1103" w:type="dxa"/>
                  <w:shd w:val="clear" w:color="auto" w:fill="auto"/>
                  <w:vAlign w:val="center"/>
                </w:tcPr>
                <w:p w14:paraId="48666665">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达标</w:t>
                  </w:r>
                </w:p>
              </w:tc>
            </w:tr>
            <w:tr w14:paraId="5130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68" w:type="dxa"/>
                  <w:shd w:val="clear" w:color="auto" w:fill="auto"/>
                  <w:vAlign w:val="center"/>
                </w:tcPr>
                <w:p w14:paraId="726E34A1">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厂界南侧</w:t>
                  </w:r>
                </w:p>
              </w:tc>
              <w:tc>
                <w:tcPr>
                  <w:tcW w:w="2125" w:type="dxa"/>
                  <w:shd w:val="clear" w:color="auto" w:fill="auto"/>
                  <w:vAlign w:val="center"/>
                </w:tcPr>
                <w:p w14:paraId="3858AA60">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33.63</w:t>
                  </w:r>
                </w:p>
              </w:tc>
              <w:tc>
                <w:tcPr>
                  <w:tcW w:w="1497" w:type="dxa"/>
                  <w:vMerge w:val="continue"/>
                  <w:vAlign w:val="center"/>
                </w:tcPr>
                <w:p w14:paraId="4D5A33BD">
                  <w:pPr>
                    <w:pStyle w:val="19"/>
                    <w:spacing w:before="0" w:beforeAutospacing="0" w:after="0" w:afterAutospacing="0"/>
                    <w:jc w:val="center"/>
                    <w:outlineLvl w:val="0"/>
                    <w:rPr>
                      <w:rFonts w:hint="default" w:ascii="Times New Roman" w:hAnsi="Times New Roman"/>
                      <w:b/>
                      <w:vertAlign w:val="baseline"/>
                      <w:lang w:val="en-US" w:eastAsia="zh-CN"/>
                    </w:rPr>
                  </w:pPr>
                </w:p>
              </w:tc>
              <w:tc>
                <w:tcPr>
                  <w:tcW w:w="1385" w:type="dxa"/>
                  <w:vMerge w:val="continue"/>
                  <w:vAlign w:val="center"/>
                </w:tcPr>
                <w:p w14:paraId="7CF1C56A">
                  <w:pPr>
                    <w:pStyle w:val="19"/>
                    <w:spacing w:before="0" w:beforeAutospacing="0" w:after="0" w:afterAutospacing="0"/>
                    <w:jc w:val="center"/>
                    <w:outlineLvl w:val="0"/>
                    <w:rPr>
                      <w:rFonts w:hint="default" w:ascii="Times New Roman" w:hAnsi="Times New Roman"/>
                      <w:b/>
                      <w:vertAlign w:val="baseline"/>
                      <w:lang w:val="en-US" w:eastAsia="zh-CN"/>
                    </w:rPr>
                  </w:pPr>
                </w:p>
              </w:tc>
              <w:tc>
                <w:tcPr>
                  <w:tcW w:w="1103" w:type="dxa"/>
                  <w:shd w:val="clear" w:color="auto" w:fill="auto"/>
                  <w:vAlign w:val="center"/>
                </w:tcPr>
                <w:p w14:paraId="5FBFFA12">
                  <w:pPr>
                    <w:jc w:val="center"/>
                    <w:outlineLvl w:val="0"/>
                    <w:rPr>
                      <w:rFonts w:hint="default" w:ascii="Times New Roman" w:hAnsi="Times New Roman" w:eastAsia="宋体" w:cs="Times New Roman"/>
                      <w:bCs/>
                      <w:kern w:val="2"/>
                      <w:sz w:val="21"/>
                      <w:szCs w:val="21"/>
                      <w:lang w:val="en-US" w:eastAsia="zh-CN" w:bidi="ar-SA"/>
                    </w:rPr>
                  </w:pPr>
                  <w:r>
                    <w:rPr>
                      <w:rFonts w:hint="eastAsia"/>
                      <w:bCs/>
                      <w:szCs w:val="21"/>
                    </w:rPr>
                    <w:t>达标</w:t>
                  </w:r>
                </w:p>
              </w:tc>
            </w:tr>
            <w:tr w14:paraId="6A22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68" w:type="dxa"/>
                  <w:shd w:val="clear" w:color="auto" w:fill="auto"/>
                  <w:vAlign w:val="center"/>
                </w:tcPr>
                <w:p w14:paraId="0CB6A854">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厂界西侧</w:t>
                  </w:r>
                </w:p>
              </w:tc>
              <w:tc>
                <w:tcPr>
                  <w:tcW w:w="2125" w:type="dxa"/>
                  <w:shd w:val="clear" w:color="auto" w:fill="auto"/>
                  <w:vAlign w:val="center"/>
                </w:tcPr>
                <w:p w14:paraId="3181A22B">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31.17</w:t>
                  </w:r>
                </w:p>
              </w:tc>
              <w:tc>
                <w:tcPr>
                  <w:tcW w:w="1497" w:type="dxa"/>
                  <w:vMerge w:val="continue"/>
                  <w:vAlign w:val="center"/>
                </w:tcPr>
                <w:p w14:paraId="3EC57CBB">
                  <w:pPr>
                    <w:pStyle w:val="19"/>
                    <w:spacing w:before="0" w:beforeAutospacing="0" w:after="0" w:afterAutospacing="0"/>
                    <w:jc w:val="center"/>
                    <w:outlineLvl w:val="0"/>
                    <w:rPr>
                      <w:rFonts w:hint="default" w:ascii="Times New Roman" w:hAnsi="Times New Roman"/>
                      <w:b/>
                      <w:vertAlign w:val="baseline"/>
                      <w:lang w:val="en-US" w:eastAsia="zh-CN"/>
                    </w:rPr>
                  </w:pPr>
                </w:p>
              </w:tc>
              <w:tc>
                <w:tcPr>
                  <w:tcW w:w="1385" w:type="dxa"/>
                  <w:vMerge w:val="continue"/>
                  <w:vAlign w:val="center"/>
                </w:tcPr>
                <w:p w14:paraId="35730098">
                  <w:pPr>
                    <w:pStyle w:val="19"/>
                    <w:spacing w:before="0" w:beforeAutospacing="0" w:after="0" w:afterAutospacing="0"/>
                    <w:jc w:val="center"/>
                    <w:outlineLvl w:val="0"/>
                    <w:rPr>
                      <w:rFonts w:hint="default" w:ascii="Times New Roman" w:hAnsi="Times New Roman"/>
                      <w:b/>
                      <w:vertAlign w:val="baseline"/>
                      <w:lang w:val="en-US" w:eastAsia="zh-CN"/>
                    </w:rPr>
                  </w:pPr>
                </w:p>
              </w:tc>
              <w:tc>
                <w:tcPr>
                  <w:tcW w:w="1103" w:type="dxa"/>
                  <w:shd w:val="clear" w:color="auto" w:fill="auto"/>
                  <w:vAlign w:val="center"/>
                </w:tcPr>
                <w:p w14:paraId="06F5B79F">
                  <w:pPr>
                    <w:jc w:val="center"/>
                    <w:outlineLvl w:val="0"/>
                    <w:rPr>
                      <w:rFonts w:hint="default" w:ascii="Times New Roman" w:hAnsi="Times New Roman" w:eastAsia="宋体" w:cs="Times New Roman"/>
                      <w:bCs/>
                      <w:kern w:val="2"/>
                      <w:sz w:val="21"/>
                      <w:szCs w:val="21"/>
                      <w:lang w:val="en-US" w:eastAsia="zh-CN" w:bidi="ar-SA"/>
                    </w:rPr>
                  </w:pPr>
                  <w:r>
                    <w:rPr>
                      <w:rFonts w:hint="eastAsia"/>
                      <w:bCs/>
                      <w:szCs w:val="21"/>
                    </w:rPr>
                    <w:t>达标</w:t>
                  </w:r>
                </w:p>
              </w:tc>
            </w:tr>
            <w:tr w14:paraId="7F35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68" w:type="dxa"/>
                  <w:shd w:val="clear" w:color="auto" w:fill="auto"/>
                  <w:vAlign w:val="center"/>
                </w:tcPr>
                <w:p w14:paraId="761805E1">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厂界北侧</w:t>
                  </w:r>
                </w:p>
              </w:tc>
              <w:tc>
                <w:tcPr>
                  <w:tcW w:w="2125" w:type="dxa"/>
                  <w:shd w:val="clear" w:color="auto" w:fill="auto"/>
                  <w:vAlign w:val="center"/>
                </w:tcPr>
                <w:p w14:paraId="3BEE6B77">
                  <w:pPr>
                    <w:pStyle w:val="19"/>
                    <w:spacing w:before="0" w:beforeAutospacing="0" w:after="0" w:afterAutospacing="0"/>
                    <w:jc w:val="center"/>
                    <w:outlineLvl w:val="0"/>
                    <w:rPr>
                      <w:rFonts w:hint="default" w:ascii="Times New Roman" w:hAnsi="Times New Roman" w:eastAsia="宋体" w:cs="Times New Roman"/>
                      <w:bCs/>
                      <w:kern w:val="0"/>
                      <w:sz w:val="21"/>
                      <w:szCs w:val="21"/>
                      <w:lang w:val="en-US" w:eastAsia="zh-CN" w:bidi="ar-SA"/>
                    </w:rPr>
                  </w:pPr>
                  <w:r>
                    <w:rPr>
                      <w:rFonts w:hint="eastAsia" w:ascii="Times New Roman" w:hAnsi="Times New Roman"/>
                      <w:bCs/>
                      <w:sz w:val="21"/>
                      <w:szCs w:val="21"/>
                    </w:rPr>
                    <w:t>36.22</w:t>
                  </w:r>
                </w:p>
              </w:tc>
              <w:tc>
                <w:tcPr>
                  <w:tcW w:w="1497" w:type="dxa"/>
                  <w:vMerge w:val="continue"/>
                  <w:vAlign w:val="center"/>
                </w:tcPr>
                <w:p w14:paraId="73148157">
                  <w:pPr>
                    <w:pStyle w:val="19"/>
                    <w:spacing w:before="0" w:beforeAutospacing="0" w:after="0" w:afterAutospacing="0"/>
                    <w:jc w:val="center"/>
                    <w:outlineLvl w:val="0"/>
                    <w:rPr>
                      <w:rFonts w:hint="default" w:ascii="Times New Roman" w:hAnsi="Times New Roman"/>
                      <w:b/>
                      <w:vertAlign w:val="baseline"/>
                      <w:lang w:val="en-US" w:eastAsia="zh-CN"/>
                    </w:rPr>
                  </w:pPr>
                </w:p>
              </w:tc>
              <w:tc>
                <w:tcPr>
                  <w:tcW w:w="1385" w:type="dxa"/>
                  <w:vMerge w:val="continue"/>
                  <w:vAlign w:val="center"/>
                </w:tcPr>
                <w:p w14:paraId="68F88C47">
                  <w:pPr>
                    <w:pStyle w:val="19"/>
                    <w:spacing w:before="0" w:beforeAutospacing="0" w:after="0" w:afterAutospacing="0"/>
                    <w:jc w:val="center"/>
                    <w:outlineLvl w:val="0"/>
                    <w:rPr>
                      <w:rFonts w:hint="default" w:ascii="Times New Roman" w:hAnsi="Times New Roman"/>
                      <w:b/>
                      <w:vertAlign w:val="baseline"/>
                      <w:lang w:val="en-US" w:eastAsia="zh-CN"/>
                    </w:rPr>
                  </w:pPr>
                </w:p>
              </w:tc>
              <w:tc>
                <w:tcPr>
                  <w:tcW w:w="1103" w:type="dxa"/>
                  <w:shd w:val="clear" w:color="auto" w:fill="auto"/>
                  <w:vAlign w:val="center"/>
                </w:tcPr>
                <w:p w14:paraId="1FA49766">
                  <w:pPr>
                    <w:jc w:val="center"/>
                    <w:outlineLvl w:val="0"/>
                    <w:rPr>
                      <w:rFonts w:hint="default" w:ascii="Times New Roman" w:hAnsi="Times New Roman" w:eastAsia="宋体" w:cs="Times New Roman"/>
                      <w:bCs/>
                      <w:kern w:val="2"/>
                      <w:sz w:val="21"/>
                      <w:szCs w:val="21"/>
                      <w:lang w:val="en-US" w:eastAsia="zh-CN" w:bidi="ar-SA"/>
                    </w:rPr>
                  </w:pPr>
                  <w:r>
                    <w:rPr>
                      <w:rFonts w:hint="eastAsia"/>
                      <w:bCs/>
                      <w:szCs w:val="21"/>
                    </w:rPr>
                    <w:t>达标</w:t>
                  </w:r>
                </w:p>
              </w:tc>
            </w:tr>
          </w:tbl>
          <w:p w14:paraId="450A25FE">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ascii="Times New Roman" w:hAnsi="Times New Roman"/>
                <w:snapToGrid w:val="0"/>
                <w:szCs w:val="24"/>
              </w:rPr>
              <w:t>通过上表可知，本项目噪声经过</w:t>
            </w:r>
            <w:r>
              <w:rPr>
                <w:rFonts w:hint="eastAsia" w:ascii="Times New Roman" w:hAnsi="Times New Roman"/>
                <w:snapToGrid w:val="0"/>
                <w:szCs w:val="24"/>
              </w:rPr>
              <w:t>减振</w:t>
            </w:r>
            <w:r>
              <w:rPr>
                <w:rFonts w:ascii="Times New Roman" w:hAnsi="Times New Roman"/>
                <w:snapToGrid w:val="0"/>
                <w:szCs w:val="24"/>
              </w:rPr>
              <w:t>、隔声后，</w:t>
            </w:r>
            <w:r>
              <w:rPr>
                <w:rFonts w:hint="eastAsia" w:ascii="Times New Roman" w:hAnsi="Times New Roman"/>
                <w:snapToGrid w:val="0"/>
                <w:szCs w:val="24"/>
                <w:lang w:val="en-US" w:eastAsia="zh-CN"/>
              </w:rPr>
              <w:t>厂界值为24.22~36.22dB(A)，</w:t>
            </w:r>
            <w:r>
              <w:rPr>
                <w:rFonts w:ascii="Times New Roman" w:hAnsi="Times New Roman"/>
                <w:snapToGrid w:val="0"/>
                <w:szCs w:val="24"/>
              </w:rPr>
              <w:t>可满足《工业企业厂界环境噪声排放标准》（GB12348-2008）中3类区标准的要求。因此，本项目产生的噪声对周围声环境影响较小。</w:t>
            </w:r>
          </w:p>
          <w:p w14:paraId="1926A8F3">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（3）防治措施</w:t>
            </w:r>
          </w:p>
          <w:p w14:paraId="129CA114">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为确保机厂界噪声的排放符合国家和地方有关标准，建议建设单位做好噪声防治措施，具体措施如下：</w:t>
            </w:r>
          </w:p>
          <w:p w14:paraId="2FC12C61">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① 选择低噪声设备，并使其处于良好的运行状态。</w:t>
            </w:r>
          </w:p>
          <w:p w14:paraId="57F1337F">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② 在设备基座安装防震措施，对高噪声设备安装减振、隔音设施。</w:t>
            </w:r>
          </w:p>
          <w:p w14:paraId="52468004">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③ 定期维护保养设备及采取降噪设施，维持设备处于良好的运转状态。</w:t>
            </w:r>
          </w:p>
          <w:p w14:paraId="529E661A">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④ 生产工人佩戴耳塞，以减轻噪声对工人的影响。</w:t>
            </w:r>
          </w:p>
          <w:p w14:paraId="32ACF01F">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⑤</w:t>
            </w:r>
            <w:r>
              <w:rPr>
                <w:rFonts w:hint="eastAsia" w:ascii="Times New Roman" w:hAnsi="Times New Roman"/>
                <w:snapToGrid w:val="0"/>
                <w:szCs w:val="24"/>
                <w:lang w:val="en-US" w:eastAsia="zh-CN"/>
              </w:rPr>
              <w:t xml:space="preserve"> </w:t>
            </w:r>
            <w:r>
              <w:rPr>
                <w:rFonts w:hint="eastAsia" w:ascii="Times New Roman" w:hAnsi="Times New Roman"/>
                <w:snapToGrid w:val="0"/>
                <w:szCs w:val="24"/>
              </w:rPr>
              <w:t>合理布局产生设备在车间内的位置。</w:t>
            </w:r>
          </w:p>
          <w:p w14:paraId="3BA4F0FE">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（4）噪声监测计划</w:t>
            </w:r>
          </w:p>
          <w:p w14:paraId="78D380F3">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ascii="Times New Roman" w:hAnsi="Times New Roman"/>
                <w:snapToGrid w:val="0"/>
                <w:szCs w:val="24"/>
              </w:rPr>
              <w:t>本项目监测频次按照《排污单位自行监测技术指南 总则》（HJ819-2017）进行监测。</w:t>
            </w:r>
          </w:p>
          <w:p w14:paraId="39822AA5">
            <w:pPr>
              <w:pStyle w:val="19"/>
              <w:spacing w:before="0" w:beforeAutospacing="0" w:after="0" w:afterAutospacing="0"/>
              <w:ind w:firstLine="482" w:firstLineChars="200"/>
              <w:jc w:val="center"/>
              <w:outlineLvl w:val="0"/>
              <w:rPr>
                <w:rFonts w:ascii="Times New Roman" w:hAnsi="Times New Roman"/>
                <w:b/>
              </w:rPr>
            </w:pPr>
            <w:r>
              <w:rPr>
                <w:rFonts w:hint="eastAsia" w:ascii="Times New Roman" w:hAnsi="Times New Roman"/>
                <w:b/>
              </w:rPr>
              <w:t>表4-12    噪声监测计划表</w:t>
            </w:r>
          </w:p>
          <w:tbl>
            <w:tblPr>
              <w:tblStyle w:val="23"/>
              <w:tblW w:w="7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1147"/>
              <w:gridCol w:w="1427"/>
              <w:gridCol w:w="1720"/>
              <w:gridCol w:w="2642"/>
            </w:tblGrid>
            <w:tr w14:paraId="23BA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6" w:type="dxa"/>
                  <w:vAlign w:val="center"/>
                </w:tcPr>
                <w:p w14:paraId="40B03538">
                  <w:pPr>
                    <w:pStyle w:val="19"/>
                    <w:spacing w:before="0" w:beforeAutospacing="0" w:after="0" w:afterAutospacing="0"/>
                    <w:jc w:val="center"/>
                    <w:outlineLvl w:val="0"/>
                    <w:rPr>
                      <w:rFonts w:ascii="Times New Roman" w:hAnsi="Times New Roman"/>
                      <w:bCs/>
                      <w:sz w:val="21"/>
                      <w:szCs w:val="21"/>
                    </w:rPr>
                  </w:pPr>
                  <w:r>
                    <w:rPr>
                      <w:rFonts w:hint="eastAsia" w:ascii="Times New Roman" w:hAnsi="Times New Roman"/>
                      <w:bCs/>
                      <w:sz w:val="21"/>
                      <w:szCs w:val="21"/>
                    </w:rPr>
                    <w:t>监测</w:t>
                  </w:r>
                </w:p>
              </w:tc>
              <w:tc>
                <w:tcPr>
                  <w:tcW w:w="1147" w:type="dxa"/>
                  <w:vAlign w:val="center"/>
                </w:tcPr>
                <w:p w14:paraId="27332F8C">
                  <w:pPr>
                    <w:pStyle w:val="19"/>
                    <w:spacing w:before="0" w:beforeAutospacing="0" w:after="0" w:afterAutospacing="0"/>
                    <w:jc w:val="center"/>
                    <w:outlineLvl w:val="0"/>
                    <w:rPr>
                      <w:rFonts w:ascii="Times New Roman" w:hAnsi="Times New Roman"/>
                      <w:bCs/>
                      <w:sz w:val="21"/>
                      <w:szCs w:val="21"/>
                    </w:rPr>
                  </w:pPr>
                  <w:r>
                    <w:rPr>
                      <w:rFonts w:hint="eastAsia" w:ascii="Times New Roman" w:hAnsi="Times New Roman"/>
                      <w:bCs/>
                      <w:sz w:val="21"/>
                      <w:szCs w:val="21"/>
                    </w:rPr>
                    <w:t>监测点位</w:t>
                  </w:r>
                </w:p>
              </w:tc>
              <w:tc>
                <w:tcPr>
                  <w:tcW w:w="1427" w:type="dxa"/>
                  <w:vAlign w:val="center"/>
                </w:tcPr>
                <w:p w14:paraId="33573D09">
                  <w:pPr>
                    <w:pStyle w:val="19"/>
                    <w:spacing w:before="0" w:beforeAutospacing="0" w:after="0" w:afterAutospacing="0"/>
                    <w:jc w:val="center"/>
                    <w:outlineLvl w:val="0"/>
                    <w:rPr>
                      <w:rFonts w:ascii="Times New Roman" w:hAnsi="Times New Roman"/>
                      <w:bCs/>
                      <w:sz w:val="21"/>
                      <w:szCs w:val="21"/>
                    </w:rPr>
                  </w:pPr>
                  <w:r>
                    <w:rPr>
                      <w:rFonts w:hint="eastAsia" w:ascii="Times New Roman" w:hAnsi="Times New Roman"/>
                      <w:bCs/>
                      <w:sz w:val="21"/>
                      <w:szCs w:val="21"/>
                    </w:rPr>
                    <w:t>污染因子</w:t>
                  </w:r>
                </w:p>
              </w:tc>
              <w:tc>
                <w:tcPr>
                  <w:tcW w:w="1720" w:type="dxa"/>
                  <w:vAlign w:val="center"/>
                </w:tcPr>
                <w:p w14:paraId="5464A73D">
                  <w:pPr>
                    <w:pStyle w:val="19"/>
                    <w:spacing w:before="0" w:beforeAutospacing="0" w:after="0" w:afterAutospacing="0"/>
                    <w:jc w:val="center"/>
                    <w:outlineLvl w:val="0"/>
                    <w:rPr>
                      <w:rFonts w:ascii="Times New Roman" w:hAnsi="Times New Roman"/>
                      <w:bCs/>
                      <w:sz w:val="21"/>
                      <w:szCs w:val="21"/>
                    </w:rPr>
                  </w:pPr>
                  <w:r>
                    <w:rPr>
                      <w:rFonts w:hint="eastAsia" w:ascii="Times New Roman" w:hAnsi="Times New Roman"/>
                      <w:bCs/>
                      <w:sz w:val="21"/>
                      <w:szCs w:val="21"/>
                    </w:rPr>
                    <w:t>监测频次</w:t>
                  </w:r>
                </w:p>
              </w:tc>
              <w:tc>
                <w:tcPr>
                  <w:tcW w:w="2642" w:type="dxa"/>
                  <w:vAlign w:val="center"/>
                </w:tcPr>
                <w:p w14:paraId="38B30499">
                  <w:pPr>
                    <w:pStyle w:val="19"/>
                    <w:spacing w:before="0" w:beforeAutospacing="0" w:after="0" w:afterAutospacing="0"/>
                    <w:jc w:val="center"/>
                    <w:outlineLvl w:val="0"/>
                    <w:rPr>
                      <w:rFonts w:ascii="Times New Roman" w:hAnsi="Times New Roman"/>
                      <w:bCs/>
                      <w:sz w:val="21"/>
                      <w:szCs w:val="21"/>
                    </w:rPr>
                  </w:pPr>
                  <w:r>
                    <w:rPr>
                      <w:rFonts w:hint="eastAsia" w:ascii="Times New Roman" w:hAnsi="Times New Roman"/>
                      <w:bCs/>
                      <w:sz w:val="21"/>
                      <w:szCs w:val="21"/>
                    </w:rPr>
                    <w:t>备注</w:t>
                  </w:r>
                </w:p>
              </w:tc>
            </w:tr>
            <w:tr w14:paraId="7C8C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6" w:type="dxa"/>
                  <w:vAlign w:val="center"/>
                </w:tcPr>
                <w:p w14:paraId="64F9A543">
                  <w:pPr>
                    <w:pStyle w:val="19"/>
                    <w:spacing w:before="0" w:beforeAutospacing="0" w:after="0" w:afterAutospacing="0"/>
                    <w:jc w:val="center"/>
                    <w:outlineLvl w:val="0"/>
                    <w:rPr>
                      <w:rFonts w:ascii="Times New Roman" w:hAnsi="Times New Roman"/>
                      <w:bCs/>
                      <w:sz w:val="21"/>
                      <w:szCs w:val="21"/>
                    </w:rPr>
                  </w:pPr>
                  <w:r>
                    <w:rPr>
                      <w:rFonts w:hint="eastAsia" w:ascii="Times New Roman" w:hAnsi="Times New Roman"/>
                      <w:bCs/>
                      <w:sz w:val="21"/>
                      <w:szCs w:val="21"/>
                    </w:rPr>
                    <w:t>噪声</w:t>
                  </w:r>
                </w:p>
              </w:tc>
              <w:tc>
                <w:tcPr>
                  <w:tcW w:w="1147" w:type="dxa"/>
                  <w:vAlign w:val="center"/>
                </w:tcPr>
                <w:p w14:paraId="7A588C53">
                  <w:pPr>
                    <w:pStyle w:val="19"/>
                    <w:spacing w:before="0" w:beforeAutospacing="0" w:after="0" w:afterAutospacing="0"/>
                    <w:jc w:val="center"/>
                    <w:outlineLvl w:val="0"/>
                    <w:rPr>
                      <w:rFonts w:ascii="Times New Roman" w:hAnsi="Times New Roman"/>
                      <w:bCs/>
                      <w:sz w:val="21"/>
                      <w:szCs w:val="21"/>
                    </w:rPr>
                  </w:pPr>
                  <w:r>
                    <w:rPr>
                      <w:rFonts w:hint="eastAsia" w:ascii="Times New Roman" w:hAnsi="Times New Roman"/>
                      <w:bCs/>
                      <w:sz w:val="21"/>
                      <w:szCs w:val="21"/>
                    </w:rPr>
                    <w:t>厂界外1m处</w:t>
                  </w:r>
                </w:p>
              </w:tc>
              <w:tc>
                <w:tcPr>
                  <w:tcW w:w="1427" w:type="dxa"/>
                  <w:vAlign w:val="center"/>
                </w:tcPr>
                <w:p w14:paraId="33B277F2">
                  <w:pPr>
                    <w:pStyle w:val="19"/>
                    <w:spacing w:before="0" w:beforeAutospacing="0" w:after="0" w:afterAutospacing="0"/>
                    <w:jc w:val="center"/>
                    <w:outlineLvl w:val="0"/>
                    <w:rPr>
                      <w:rFonts w:ascii="Times New Roman" w:hAnsi="Times New Roman"/>
                      <w:bCs/>
                      <w:sz w:val="21"/>
                      <w:szCs w:val="21"/>
                    </w:rPr>
                  </w:pPr>
                  <w:r>
                    <w:rPr>
                      <w:rFonts w:hint="eastAsia" w:ascii="Times New Roman" w:hAnsi="Times New Roman"/>
                      <w:bCs/>
                      <w:sz w:val="21"/>
                      <w:szCs w:val="21"/>
                    </w:rPr>
                    <w:t xml:space="preserve">等效连续 </w:t>
                  </w:r>
                  <w:r>
                    <w:rPr>
                      <w:rFonts w:ascii="Times New Roman" w:hAnsi="Times New Roman"/>
                      <w:bCs/>
                      <w:sz w:val="21"/>
                      <w:szCs w:val="21"/>
                    </w:rPr>
                    <w:t xml:space="preserve">A </w:t>
                  </w:r>
                  <w:r>
                    <w:rPr>
                      <w:rFonts w:hint="eastAsia" w:ascii="Times New Roman" w:hAnsi="Times New Roman"/>
                      <w:bCs/>
                      <w:sz w:val="21"/>
                      <w:szCs w:val="21"/>
                    </w:rPr>
                    <w:t>声级</w:t>
                  </w:r>
                </w:p>
              </w:tc>
              <w:tc>
                <w:tcPr>
                  <w:tcW w:w="1720" w:type="dxa"/>
                  <w:vAlign w:val="center"/>
                </w:tcPr>
                <w:p w14:paraId="367135FF">
                  <w:pPr>
                    <w:pStyle w:val="19"/>
                    <w:spacing w:before="0" w:beforeAutospacing="0" w:after="0" w:afterAutospacing="0"/>
                    <w:jc w:val="center"/>
                    <w:outlineLvl w:val="0"/>
                    <w:rPr>
                      <w:rFonts w:ascii="Times New Roman" w:hAnsi="Times New Roman"/>
                      <w:bCs/>
                      <w:sz w:val="21"/>
                      <w:szCs w:val="21"/>
                    </w:rPr>
                  </w:pPr>
                  <w:r>
                    <w:rPr>
                      <w:rFonts w:hint="eastAsia" w:ascii="Times New Roman" w:hAnsi="Times New Roman"/>
                      <w:bCs/>
                      <w:sz w:val="21"/>
                      <w:szCs w:val="21"/>
                    </w:rPr>
                    <w:t>1次/季</w:t>
                  </w:r>
                </w:p>
              </w:tc>
              <w:tc>
                <w:tcPr>
                  <w:tcW w:w="2642" w:type="dxa"/>
                  <w:vAlign w:val="center"/>
                </w:tcPr>
                <w:p w14:paraId="1EF49ECC">
                  <w:pPr>
                    <w:pStyle w:val="19"/>
                    <w:spacing w:before="0" w:beforeAutospacing="0" w:after="0" w:afterAutospacing="0"/>
                    <w:jc w:val="center"/>
                    <w:outlineLvl w:val="0"/>
                    <w:rPr>
                      <w:rFonts w:ascii="Times New Roman" w:hAnsi="Times New Roman"/>
                      <w:bCs/>
                      <w:sz w:val="21"/>
                      <w:szCs w:val="21"/>
                    </w:rPr>
                  </w:pPr>
                  <w:r>
                    <w:rPr>
                      <w:rFonts w:ascii="Times New Roman" w:hAnsi="Times New Roman"/>
                      <w:bCs/>
                      <w:sz w:val="21"/>
                      <w:szCs w:val="21"/>
                    </w:rPr>
                    <w:t>《工业企业厂界环境噪声排放标准》（GB12348-2008）</w:t>
                  </w:r>
                  <w:r>
                    <w:rPr>
                      <w:rFonts w:hint="eastAsia" w:ascii="Times New Roman" w:hAnsi="Times New Roman"/>
                      <w:bCs/>
                      <w:sz w:val="21"/>
                      <w:szCs w:val="21"/>
                    </w:rPr>
                    <w:t>3</w:t>
                  </w:r>
                  <w:r>
                    <w:rPr>
                      <w:rFonts w:ascii="Times New Roman" w:hAnsi="Times New Roman"/>
                      <w:bCs/>
                      <w:sz w:val="21"/>
                      <w:szCs w:val="21"/>
                    </w:rPr>
                    <w:t>类标准限值要求</w:t>
                  </w:r>
                </w:p>
              </w:tc>
            </w:tr>
          </w:tbl>
          <w:p w14:paraId="5DF0DA29">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4、固体废物</w:t>
            </w:r>
          </w:p>
          <w:p w14:paraId="79F98F84">
            <w:pPr>
              <w:pStyle w:val="19"/>
              <w:spacing w:before="0" w:beforeAutospacing="0" w:after="0" w:afterAutospacing="0" w:line="360" w:lineRule="auto"/>
              <w:ind w:firstLine="480" w:firstLineChars="200"/>
              <w:outlineLvl w:val="0"/>
              <w:rPr>
                <w:rFonts w:ascii="Times New Roman" w:hAnsi="Times New Roman"/>
                <w:snapToGrid w:val="0"/>
                <w:color w:val="1D39E1"/>
                <w:szCs w:val="24"/>
              </w:rPr>
            </w:pPr>
            <w:r>
              <w:rPr>
                <w:rFonts w:hint="eastAsia" w:ascii="Times New Roman" w:hAnsi="Times New Roman"/>
                <w:snapToGrid w:val="0"/>
                <w:szCs w:val="24"/>
              </w:rPr>
              <w:t>本项目运营期产生的固体废物包括：金属杂质（其他工业固体废物，代码SW59：900-099-S59）、除尘灰（固废属性为化工废物，代码SW16：252-003-S16）、职工生活垃圾以及设备维修的</w:t>
            </w:r>
            <w:r>
              <w:rPr>
                <w:rFonts w:hint="eastAsia" w:ascii="Times New Roman" w:hAnsi="Times New Roman"/>
              </w:rPr>
              <w:t>废润滑油</w:t>
            </w:r>
            <w:r>
              <w:rPr>
                <w:rFonts w:hint="eastAsia" w:ascii="Times New Roman" w:hAnsi="Times New Roman"/>
                <w:snapToGrid w:val="0"/>
                <w:szCs w:val="24"/>
              </w:rPr>
              <w:t>（固废属性为危险废物，代码为HW08：900-214-08）。</w:t>
            </w:r>
          </w:p>
          <w:p w14:paraId="72A4ACBA">
            <w:pPr>
              <w:pStyle w:val="19"/>
              <w:numPr>
                <w:ilvl w:val="0"/>
                <w:numId w:val="16"/>
              </w:numPr>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金属杂质S1</w:t>
            </w:r>
          </w:p>
          <w:p w14:paraId="5EF0AF6D">
            <w:pPr>
              <w:pStyle w:val="19"/>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本项目金属杂质产生量按0.1‰计算，原料为45.636万吨/年，共产生量为45.636t/a，收集在型焦生产车间内，收集在型焦生产车间内，外售处理。</w:t>
            </w:r>
          </w:p>
          <w:p w14:paraId="33FA9CF7">
            <w:pPr>
              <w:pStyle w:val="19"/>
              <w:numPr>
                <w:ilvl w:val="0"/>
                <w:numId w:val="16"/>
              </w:numPr>
              <w:spacing w:before="0" w:beforeAutospacing="0" w:after="0" w:afterAutospacing="0" w:line="360" w:lineRule="auto"/>
              <w:ind w:firstLine="480" w:firstLineChars="200"/>
              <w:outlineLvl w:val="0"/>
              <w:rPr>
                <w:rFonts w:ascii="Times New Roman" w:hAnsi="Times New Roman"/>
                <w:snapToGrid w:val="0"/>
                <w:szCs w:val="24"/>
              </w:rPr>
            </w:pPr>
            <w:r>
              <w:rPr>
                <w:rFonts w:hint="eastAsia" w:ascii="Times New Roman" w:hAnsi="Times New Roman"/>
                <w:snapToGrid w:val="0"/>
                <w:szCs w:val="24"/>
              </w:rPr>
              <w:t>除尘灰S2</w:t>
            </w:r>
          </w:p>
          <w:p w14:paraId="2DAF0C82">
            <w:pPr>
              <w:widowControl/>
              <w:spacing w:line="360" w:lineRule="auto"/>
              <w:ind w:firstLine="480" w:firstLineChars="200"/>
              <w:jc w:val="left"/>
              <w:rPr>
                <w:rFonts w:hint="eastAsia"/>
                <w:snapToGrid w:val="0"/>
                <w:color w:val="auto"/>
                <w:kern w:val="0"/>
                <w:sz w:val="24"/>
              </w:rPr>
            </w:pPr>
            <w:r>
              <w:rPr>
                <w:rFonts w:hint="eastAsia"/>
                <w:snapToGrid w:val="0"/>
                <w:kern w:val="0"/>
                <w:sz w:val="24"/>
              </w:rPr>
              <w:t>本项目共</w:t>
            </w:r>
            <w:r>
              <w:rPr>
                <w:rFonts w:hint="eastAsia"/>
                <w:snapToGrid w:val="0"/>
                <w:color w:val="auto"/>
                <w:kern w:val="0"/>
                <w:sz w:val="24"/>
              </w:rPr>
              <w:t>设置4套布袋除尘器，共计收集的除尘灰为</w:t>
            </w:r>
            <w:r>
              <w:rPr>
                <w:rFonts w:hint="eastAsia"/>
                <w:snapToGrid w:val="0"/>
                <w:color w:val="auto"/>
                <w:kern w:val="0"/>
                <w:sz w:val="24"/>
                <w:lang w:val="en-US" w:eastAsia="zh-CN"/>
              </w:rPr>
              <w:t>340.69</w:t>
            </w:r>
            <w:r>
              <w:rPr>
                <w:snapToGrid w:val="0"/>
                <w:color w:val="auto"/>
                <w:kern w:val="0"/>
                <w:sz w:val="24"/>
              </w:rPr>
              <w:t>t/a</w:t>
            </w:r>
            <w:r>
              <w:rPr>
                <w:rFonts w:hint="eastAsia"/>
                <w:snapToGrid w:val="0"/>
                <w:color w:val="auto"/>
                <w:kern w:val="0"/>
                <w:sz w:val="24"/>
              </w:rPr>
              <w:t>，</w:t>
            </w:r>
            <w:r>
              <w:rPr>
                <w:snapToGrid w:val="0"/>
                <w:color w:val="auto"/>
                <w:kern w:val="0"/>
                <w:sz w:val="24"/>
              </w:rPr>
              <w:t>定期收集后返回生产工序综合利用</w:t>
            </w:r>
            <w:r>
              <w:rPr>
                <w:rFonts w:hint="eastAsia"/>
                <w:snapToGrid w:val="0"/>
                <w:color w:val="auto"/>
                <w:kern w:val="0"/>
                <w:sz w:val="24"/>
              </w:rPr>
              <w:t>。</w:t>
            </w:r>
          </w:p>
          <w:p w14:paraId="3FA70818">
            <w:pPr>
              <w:widowControl/>
              <w:numPr>
                <w:ilvl w:val="0"/>
                <w:numId w:val="16"/>
              </w:numPr>
              <w:spacing w:line="360" w:lineRule="auto"/>
              <w:ind w:left="0" w:leftChars="0" w:firstLine="480" w:firstLineChars="200"/>
              <w:jc w:val="left"/>
              <w:rPr>
                <w:rFonts w:hint="eastAsia" w:ascii="Times New Roman" w:hAnsi="Times New Roman" w:eastAsia="宋体" w:cs="Times New Roman"/>
                <w:snapToGrid w:val="0"/>
                <w:color w:val="auto"/>
                <w:kern w:val="0"/>
                <w:sz w:val="24"/>
                <w:szCs w:val="24"/>
                <w:lang w:val="en-US" w:eastAsia="zh-CN" w:bidi="ar-SA"/>
              </w:rPr>
            </w:pPr>
            <w:r>
              <w:rPr>
                <w:rFonts w:hint="eastAsia" w:ascii="Times New Roman" w:hAnsi="Times New Roman" w:eastAsia="宋体" w:cs="Times New Roman"/>
                <w:snapToGrid w:val="0"/>
                <w:color w:val="auto"/>
                <w:kern w:val="0"/>
                <w:sz w:val="24"/>
                <w:szCs w:val="24"/>
                <w:lang w:val="en-US" w:eastAsia="zh-CN" w:bidi="ar-SA"/>
              </w:rPr>
              <w:t>沉淀池污泥S3</w:t>
            </w:r>
          </w:p>
          <w:p w14:paraId="223611FA">
            <w:pPr>
              <w:widowControl/>
              <w:numPr>
                <w:ilvl w:val="0"/>
                <w:numId w:val="0"/>
              </w:numPr>
              <w:spacing w:line="360" w:lineRule="auto"/>
              <w:ind w:firstLine="480" w:firstLineChars="200"/>
              <w:jc w:val="left"/>
              <w:rPr>
                <w:rFonts w:hint="eastAsia" w:ascii="Times New Roman" w:hAnsi="Times New Roman" w:eastAsia="宋体" w:cs="Times New Roman"/>
                <w:snapToGrid w:val="0"/>
                <w:color w:val="auto"/>
                <w:kern w:val="0"/>
                <w:sz w:val="24"/>
                <w:szCs w:val="24"/>
                <w:lang w:val="en-US" w:eastAsia="zh-CN" w:bidi="ar-SA"/>
              </w:rPr>
            </w:pPr>
            <w:r>
              <w:rPr>
                <w:rFonts w:hint="eastAsia" w:ascii="Times New Roman" w:hAnsi="Times New Roman" w:eastAsia="宋体" w:cs="Times New Roman"/>
                <w:snapToGrid w:val="0"/>
                <w:color w:val="auto"/>
                <w:kern w:val="0"/>
                <w:sz w:val="24"/>
                <w:szCs w:val="24"/>
                <w:lang w:val="en-US" w:eastAsia="zh-CN" w:bidi="ar-SA"/>
              </w:rPr>
              <w:t>本项目设置沉淀池用于车辆冲洗后收集车辆冲洗废水，废水循环利用，沉淀池污泥经计算产生量为</w:t>
            </w:r>
            <w:r>
              <w:rPr>
                <w:rFonts w:hint="eastAsia" w:cs="Times New Roman"/>
                <w:snapToGrid w:val="0"/>
                <w:color w:val="auto"/>
                <w:kern w:val="0"/>
                <w:sz w:val="24"/>
                <w:szCs w:val="24"/>
                <w:lang w:val="en-US" w:eastAsia="zh-CN" w:bidi="ar-SA"/>
              </w:rPr>
              <w:t>4</w:t>
            </w:r>
            <w:r>
              <w:rPr>
                <w:rFonts w:hint="eastAsia" w:ascii="Times New Roman" w:hAnsi="Times New Roman" w:eastAsia="宋体" w:cs="Times New Roman"/>
                <w:snapToGrid w:val="0"/>
                <w:color w:val="auto"/>
                <w:kern w:val="0"/>
                <w:sz w:val="24"/>
                <w:szCs w:val="24"/>
                <w:lang w:val="en-US" w:eastAsia="zh-CN" w:bidi="ar-SA"/>
              </w:rPr>
              <w:t>t/a。委托有资质的一般工业固废处置单位规范处置。</w:t>
            </w:r>
          </w:p>
          <w:p w14:paraId="31FD3F38">
            <w:pPr>
              <w:pStyle w:val="19"/>
              <w:numPr>
                <w:ilvl w:val="0"/>
                <w:numId w:val="16"/>
              </w:numPr>
              <w:spacing w:before="0" w:beforeAutospacing="0" w:after="0" w:afterAutospacing="0" w:line="360" w:lineRule="auto"/>
              <w:ind w:firstLine="480" w:firstLineChars="200"/>
              <w:outlineLvl w:val="0"/>
              <w:rPr>
                <w:rFonts w:ascii="Times New Roman" w:hAnsi="Times New Roman"/>
                <w:snapToGrid w:val="0"/>
                <w:color w:val="auto"/>
                <w:szCs w:val="24"/>
              </w:rPr>
            </w:pPr>
            <w:r>
              <w:rPr>
                <w:rFonts w:hint="eastAsia" w:ascii="Times New Roman" w:hAnsi="Times New Roman"/>
                <w:snapToGrid w:val="0"/>
                <w:color w:val="auto"/>
                <w:szCs w:val="24"/>
              </w:rPr>
              <w:t>生活垃圾S</w:t>
            </w:r>
            <w:r>
              <w:rPr>
                <w:rFonts w:hint="eastAsia" w:ascii="Times New Roman" w:hAnsi="Times New Roman"/>
                <w:snapToGrid w:val="0"/>
                <w:color w:val="auto"/>
                <w:szCs w:val="24"/>
                <w:lang w:val="en-US" w:eastAsia="zh-CN"/>
              </w:rPr>
              <w:t>4</w:t>
            </w:r>
          </w:p>
          <w:p w14:paraId="0A21EEC4">
            <w:pPr>
              <w:pStyle w:val="19"/>
              <w:tabs>
                <w:tab w:val="left" w:pos="1324"/>
              </w:tabs>
              <w:spacing w:before="0" w:beforeAutospacing="0" w:after="0" w:afterAutospacing="0" w:line="360" w:lineRule="auto"/>
              <w:ind w:firstLine="480" w:firstLineChars="200"/>
              <w:outlineLvl w:val="0"/>
              <w:rPr>
                <w:rFonts w:ascii="Times New Roman" w:hAnsi="Times New Roman"/>
                <w:snapToGrid w:val="0"/>
                <w:color w:val="auto"/>
                <w:szCs w:val="24"/>
              </w:rPr>
            </w:pPr>
            <w:r>
              <w:rPr>
                <w:rFonts w:hint="eastAsia" w:ascii="Times New Roman" w:hAnsi="Times New Roman"/>
                <w:snapToGrid w:val="0"/>
                <w:color w:val="auto"/>
                <w:szCs w:val="24"/>
                <w:lang w:val="en-US" w:eastAsia="zh-CN"/>
              </w:rPr>
              <w:t>二期</w:t>
            </w:r>
            <w:r>
              <w:rPr>
                <w:rFonts w:hint="eastAsia" w:ascii="Times New Roman" w:hAnsi="Times New Roman"/>
                <w:snapToGrid w:val="0"/>
                <w:color w:val="auto"/>
                <w:szCs w:val="24"/>
              </w:rPr>
              <w:t>劳动定员为20人，生活垃圾产生系数按 0.5kg/d·人计算，</w:t>
            </w:r>
            <w:r>
              <w:rPr>
                <w:rFonts w:ascii="Times New Roman" w:hAnsi="Times New Roman"/>
                <w:snapToGrid w:val="0"/>
                <w:color w:val="auto"/>
                <w:szCs w:val="24"/>
              </w:rPr>
              <w:t>年工作时间为</w:t>
            </w:r>
            <w:r>
              <w:rPr>
                <w:rFonts w:hint="eastAsia" w:ascii="Times New Roman" w:hAnsi="Times New Roman"/>
                <w:snapToGrid w:val="0"/>
                <w:color w:val="auto"/>
                <w:szCs w:val="24"/>
              </w:rPr>
              <w:t>333</w:t>
            </w:r>
            <w:r>
              <w:rPr>
                <w:rFonts w:ascii="Times New Roman" w:hAnsi="Times New Roman"/>
                <w:snapToGrid w:val="0"/>
                <w:color w:val="auto"/>
                <w:szCs w:val="24"/>
              </w:rPr>
              <w:t>d</w:t>
            </w:r>
            <w:r>
              <w:rPr>
                <w:rFonts w:hint="eastAsia" w:ascii="Times New Roman" w:hAnsi="Times New Roman"/>
                <w:snapToGrid w:val="0"/>
                <w:color w:val="auto"/>
                <w:szCs w:val="24"/>
              </w:rPr>
              <w:t>，生活垃圾排放量0.01t/d（3.33t/a），生活垃圾依托办公生活区收集设施集中收集，生活垃圾由园区环卫部门统一处理。</w:t>
            </w:r>
          </w:p>
          <w:p w14:paraId="11FC7549">
            <w:pPr>
              <w:pStyle w:val="19"/>
              <w:numPr>
                <w:ilvl w:val="0"/>
                <w:numId w:val="16"/>
              </w:numPr>
              <w:spacing w:before="0" w:beforeAutospacing="0" w:after="0" w:afterAutospacing="0" w:line="360" w:lineRule="auto"/>
              <w:ind w:firstLine="480" w:firstLineChars="200"/>
              <w:outlineLvl w:val="0"/>
              <w:rPr>
                <w:rFonts w:ascii="Times New Roman" w:hAnsi="Times New Roman"/>
                <w:snapToGrid w:val="0"/>
                <w:color w:val="auto"/>
                <w:szCs w:val="24"/>
              </w:rPr>
            </w:pPr>
            <w:r>
              <w:rPr>
                <w:rFonts w:hint="eastAsia" w:ascii="Times New Roman" w:hAnsi="Times New Roman"/>
                <w:snapToGrid w:val="0"/>
                <w:color w:val="auto"/>
                <w:szCs w:val="24"/>
              </w:rPr>
              <w:t>废润滑油S</w:t>
            </w:r>
            <w:r>
              <w:rPr>
                <w:rFonts w:hint="eastAsia" w:ascii="Times New Roman" w:hAnsi="Times New Roman"/>
                <w:snapToGrid w:val="0"/>
                <w:color w:val="auto"/>
                <w:szCs w:val="24"/>
                <w:lang w:val="en-US" w:eastAsia="zh-CN"/>
              </w:rPr>
              <w:t>5</w:t>
            </w:r>
          </w:p>
          <w:p w14:paraId="219AD34C">
            <w:pPr>
              <w:pStyle w:val="19"/>
              <w:spacing w:before="0" w:beforeAutospacing="0" w:after="0" w:afterAutospacing="0" w:line="360" w:lineRule="auto"/>
              <w:ind w:firstLine="480" w:firstLineChars="200"/>
              <w:outlineLvl w:val="0"/>
              <w:rPr>
                <w:rFonts w:ascii="Times New Roman" w:hAnsi="Times New Roman"/>
                <w:snapToGrid w:val="0"/>
                <w:color w:val="auto"/>
                <w:szCs w:val="24"/>
              </w:rPr>
            </w:pPr>
            <w:r>
              <w:rPr>
                <w:rFonts w:hint="eastAsia" w:ascii="Times New Roman" w:hAnsi="Times New Roman"/>
                <w:color w:val="auto"/>
              </w:rPr>
              <w:t>废润滑油</w:t>
            </w:r>
            <w:r>
              <w:rPr>
                <w:rFonts w:ascii="Times New Roman" w:hAnsi="Times New Roman"/>
                <w:snapToGrid w:val="0"/>
                <w:color w:val="auto"/>
                <w:szCs w:val="24"/>
              </w:rPr>
              <w:t>主要由搅拌机、压球机、烘干机的检修过程产生，属于《国家危险废物名录》（202</w:t>
            </w:r>
            <w:r>
              <w:rPr>
                <w:rFonts w:hint="eastAsia" w:ascii="Times New Roman" w:hAnsi="Times New Roman"/>
                <w:snapToGrid w:val="0"/>
                <w:color w:val="auto"/>
                <w:szCs w:val="24"/>
              </w:rPr>
              <w:t>5</w:t>
            </w:r>
            <w:r>
              <w:rPr>
                <w:rFonts w:ascii="Times New Roman" w:hAnsi="Times New Roman"/>
                <w:snapToGrid w:val="0"/>
                <w:color w:val="auto"/>
                <w:szCs w:val="24"/>
              </w:rPr>
              <w:t>版）中HW08废矿物油与含矿物油废物900-214-08</w:t>
            </w:r>
            <w:r>
              <w:rPr>
                <w:rFonts w:hint="eastAsia" w:ascii="Times New Roman" w:hAnsi="Times New Roman"/>
                <w:snapToGrid w:val="0"/>
                <w:color w:val="auto"/>
                <w:szCs w:val="24"/>
              </w:rPr>
              <w:t>；依托新航焦化</w:t>
            </w:r>
            <w:r>
              <w:rPr>
                <w:rFonts w:ascii="Times New Roman" w:hAnsi="Times New Roman"/>
                <w:snapToGrid w:val="0"/>
                <w:color w:val="auto"/>
                <w:szCs w:val="24"/>
              </w:rPr>
              <w:t>危废暂存库暂存</w:t>
            </w:r>
            <w:r>
              <w:rPr>
                <w:rFonts w:hint="eastAsia" w:ascii="Times New Roman" w:hAnsi="Times New Roman"/>
                <w:snapToGrid w:val="0"/>
                <w:color w:val="auto"/>
                <w:szCs w:val="24"/>
              </w:rPr>
              <w:t>，</w:t>
            </w:r>
            <w:r>
              <w:rPr>
                <w:rFonts w:ascii="Times New Roman" w:hAnsi="Times New Roman"/>
                <w:snapToGrid w:val="0"/>
                <w:color w:val="auto"/>
                <w:szCs w:val="24"/>
              </w:rPr>
              <w:t>总产生量为0.5t/a，定期交由有资质单位处置。</w:t>
            </w:r>
          </w:p>
          <w:p w14:paraId="24D6B491">
            <w:pPr>
              <w:pStyle w:val="19"/>
              <w:spacing w:before="0" w:beforeAutospacing="0" w:after="0" w:afterAutospacing="0" w:line="360" w:lineRule="auto"/>
              <w:ind w:firstLine="480" w:firstLineChars="200"/>
              <w:outlineLvl w:val="0"/>
              <w:rPr>
                <w:rFonts w:ascii="Times New Roman" w:hAnsi="Times New Roman"/>
                <w:snapToGrid w:val="0"/>
                <w:color w:val="auto"/>
                <w:szCs w:val="24"/>
              </w:rPr>
            </w:pPr>
            <w:r>
              <w:rPr>
                <w:rFonts w:ascii="Times New Roman" w:hAnsi="Times New Roman"/>
                <w:snapToGrid w:val="0"/>
                <w:color w:val="auto"/>
                <w:szCs w:val="24"/>
              </w:rPr>
              <w:t>综上所述，本项目固废均合理处置，符合《一般工业固体废物贮存和填埋污染控制标准》（GB18599-2020）中要求；危险废物的贮存、排放符合《危</w:t>
            </w:r>
          </w:p>
          <w:p w14:paraId="1AAFE95C">
            <w:pPr>
              <w:pStyle w:val="19"/>
              <w:spacing w:before="0" w:beforeAutospacing="0" w:after="0" w:afterAutospacing="0" w:line="360" w:lineRule="auto"/>
              <w:outlineLvl w:val="0"/>
              <w:rPr>
                <w:rFonts w:ascii="Times New Roman" w:hAnsi="Times New Roman"/>
                <w:snapToGrid w:val="0"/>
                <w:color w:val="auto"/>
                <w:szCs w:val="24"/>
              </w:rPr>
            </w:pPr>
            <w:r>
              <w:rPr>
                <w:rFonts w:ascii="Times New Roman" w:hAnsi="Times New Roman"/>
                <w:snapToGrid w:val="0"/>
                <w:color w:val="auto"/>
                <w:szCs w:val="24"/>
              </w:rPr>
              <w:t>险废物贮存污染控制标准》（GB18597-2023）。</w:t>
            </w:r>
          </w:p>
          <w:p w14:paraId="16095BE2">
            <w:pPr>
              <w:pStyle w:val="19"/>
              <w:spacing w:before="0" w:beforeAutospacing="0" w:after="0" w:afterAutospacing="0" w:line="360" w:lineRule="auto"/>
              <w:ind w:firstLine="480" w:firstLineChars="200"/>
              <w:outlineLvl w:val="0"/>
              <w:rPr>
                <w:rFonts w:ascii="Times New Roman" w:hAnsi="Times New Roman"/>
                <w:snapToGrid w:val="0"/>
                <w:color w:val="auto"/>
                <w:szCs w:val="24"/>
              </w:rPr>
            </w:pPr>
            <w:r>
              <w:rPr>
                <w:rFonts w:ascii="Times New Roman" w:hAnsi="Times New Roman"/>
                <w:snapToGrid w:val="0"/>
                <w:color w:val="auto"/>
                <w:szCs w:val="24"/>
              </w:rPr>
              <w:t>本项目固废全部妥善处理，对周边环境影响较小，固体废物产生情况及处置措施见下表。</w:t>
            </w:r>
          </w:p>
          <w:p w14:paraId="2C5105A7">
            <w:pPr>
              <w:pStyle w:val="19"/>
              <w:spacing w:before="0" w:beforeAutospacing="0" w:after="0" w:afterAutospacing="0"/>
              <w:ind w:left="420" w:leftChars="200"/>
              <w:jc w:val="center"/>
              <w:outlineLvl w:val="0"/>
              <w:rPr>
                <w:rFonts w:ascii="Times New Roman" w:hAnsi="Times New Roman"/>
                <w:b/>
                <w:bCs/>
                <w:snapToGrid w:val="0"/>
                <w:color w:val="auto"/>
                <w:szCs w:val="24"/>
              </w:rPr>
            </w:pPr>
            <w:r>
              <w:rPr>
                <w:rFonts w:ascii="Times New Roman" w:hAnsi="Times New Roman"/>
                <w:b/>
                <w:bCs/>
                <w:snapToGrid w:val="0"/>
                <w:color w:val="auto"/>
                <w:szCs w:val="24"/>
              </w:rPr>
              <w:t>表4-</w:t>
            </w:r>
            <w:r>
              <w:rPr>
                <w:rFonts w:hint="eastAsia" w:ascii="Times New Roman" w:hAnsi="Times New Roman"/>
                <w:b/>
                <w:bCs/>
                <w:snapToGrid w:val="0"/>
                <w:color w:val="auto"/>
                <w:szCs w:val="24"/>
              </w:rPr>
              <w:t>13</w:t>
            </w:r>
            <w:r>
              <w:rPr>
                <w:rFonts w:ascii="Times New Roman" w:hAnsi="Times New Roman"/>
                <w:b/>
                <w:bCs/>
                <w:snapToGrid w:val="0"/>
                <w:color w:val="auto"/>
                <w:szCs w:val="24"/>
              </w:rPr>
              <w:t xml:space="preserve">    固体废物产生信息一览表</w:t>
            </w:r>
          </w:p>
          <w:tbl>
            <w:tblPr>
              <w:tblStyle w:val="23"/>
              <w:tblW w:w="8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992"/>
              <w:gridCol w:w="930"/>
              <w:gridCol w:w="750"/>
              <w:gridCol w:w="990"/>
              <w:gridCol w:w="930"/>
              <w:gridCol w:w="540"/>
              <w:gridCol w:w="825"/>
              <w:gridCol w:w="1695"/>
            </w:tblGrid>
            <w:tr w14:paraId="094D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488" w:type="dxa"/>
                  <w:vAlign w:val="center"/>
                </w:tcPr>
                <w:p w14:paraId="6C0894CB">
                  <w:pPr>
                    <w:pStyle w:val="19"/>
                    <w:spacing w:before="0" w:beforeAutospacing="0" w:after="0" w:afterAutospacing="0"/>
                    <w:jc w:val="center"/>
                    <w:outlineLvl w:val="0"/>
                    <w:rPr>
                      <w:rFonts w:ascii="Times New Roman" w:hAnsi="Times New Roman"/>
                      <w:snapToGrid w:val="0"/>
                      <w:color w:val="auto"/>
                      <w:sz w:val="21"/>
                      <w:szCs w:val="21"/>
                    </w:rPr>
                  </w:pPr>
                  <w:r>
                    <w:rPr>
                      <w:rFonts w:ascii="Times New Roman" w:hAnsi="Times New Roman"/>
                      <w:snapToGrid w:val="0"/>
                      <w:color w:val="auto"/>
                      <w:sz w:val="21"/>
                      <w:szCs w:val="21"/>
                    </w:rPr>
                    <w:t>序号</w:t>
                  </w:r>
                </w:p>
              </w:tc>
              <w:tc>
                <w:tcPr>
                  <w:tcW w:w="992" w:type="dxa"/>
                  <w:vAlign w:val="center"/>
                </w:tcPr>
                <w:p w14:paraId="0C22F342">
                  <w:pPr>
                    <w:pStyle w:val="46"/>
                    <w:widowControl/>
                    <w:jc w:val="center"/>
                    <w:rPr>
                      <w:rFonts w:ascii="Times New Roman" w:hAnsi="Times New Roman" w:cs="Times New Roman"/>
                      <w:snapToGrid w:val="0"/>
                      <w:color w:val="auto"/>
                      <w:sz w:val="21"/>
                      <w:szCs w:val="21"/>
                      <w:lang w:eastAsia="zh-CN"/>
                    </w:rPr>
                  </w:pPr>
                  <w:r>
                    <w:rPr>
                      <w:rFonts w:ascii="Times New Roman" w:hAnsi="Times New Roman" w:cs="Times New Roman"/>
                      <w:color w:val="auto"/>
                      <w:spacing w:val="2"/>
                      <w:sz w:val="21"/>
                      <w:szCs w:val="21"/>
                    </w:rPr>
                    <w:t>固体废物</w:t>
                  </w:r>
                  <w:r>
                    <w:rPr>
                      <w:rFonts w:ascii="Times New Roman" w:hAnsi="Times New Roman" w:cs="Times New Roman"/>
                      <w:color w:val="auto"/>
                      <w:spacing w:val="7"/>
                      <w:sz w:val="21"/>
                      <w:szCs w:val="21"/>
                    </w:rPr>
                    <w:t>产生环节</w:t>
                  </w:r>
                </w:p>
              </w:tc>
              <w:tc>
                <w:tcPr>
                  <w:tcW w:w="930" w:type="dxa"/>
                  <w:vAlign w:val="center"/>
                </w:tcPr>
                <w:p w14:paraId="33391937">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固体废物名称</w:t>
                  </w:r>
                </w:p>
              </w:tc>
              <w:tc>
                <w:tcPr>
                  <w:tcW w:w="750" w:type="dxa"/>
                  <w:vAlign w:val="center"/>
                </w:tcPr>
                <w:p w14:paraId="3A0FF1D7">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属性</w:t>
                  </w:r>
                </w:p>
              </w:tc>
              <w:tc>
                <w:tcPr>
                  <w:tcW w:w="990" w:type="dxa"/>
                  <w:vAlign w:val="center"/>
                </w:tcPr>
                <w:p w14:paraId="1FD2A7D5">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危险废物类别、代码</w:t>
                  </w:r>
                </w:p>
              </w:tc>
              <w:tc>
                <w:tcPr>
                  <w:tcW w:w="930" w:type="dxa"/>
                  <w:vAlign w:val="center"/>
                </w:tcPr>
                <w:p w14:paraId="5C291C51">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产生量（t/a）</w:t>
                  </w:r>
                </w:p>
              </w:tc>
              <w:tc>
                <w:tcPr>
                  <w:tcW w:w="540" w:type="dxa"/>
                  <w:vAlign w:val="center"/>
                </w:tcPr>
                <w:p w14:paraId="6A69C5D2">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形态</w:t>
                  </w:r>
                </w:p>
              </w:tc>
              <w:tc>
                <w:tcPr>
                  <w:tcW w:w="825" w:type="dxa"/>
                  <w:vAlign w:val="center"/>
                </w:tcPr>
                <w:p w14:paraId="77CE2213">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暂存位置</w:t>
                  </w:r>
                </w:p>
              </w:tc>
              <w:tc>
                <w:tcPr>
                  <w:tcW w:w="1695" w:type="dxa"/>
                  <w:vAlign w:val="center"/>
                </w:tcPr>
                <w:p w14:paraId="36722964">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处置方式</w:t>
                  </w:r>
                </w:p>
              </w:tc>
            </w:tr>
            <w:tr w14:paraId="2D53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88" w:type="dxa"/>
                  <w:vAlign w:val="center"/>
                </w:tcPr>
                <w:p w14:paraId="72134C8D">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1</w:t>
                  </w:r>
                </w:p>
              </w:tc>
              <w:tc>
                <w:tcPr>
                  <w:tcW w:w="992" w:type="dxa"/>
                  <w:vAlign w:val="center"/>
                </w:tcPr>
                <w:p w14:paraId="3F99E84F">
                  <w:pPr>
                    <w:pStyle w:val="19"/>
                    <w:spacing w:before="0" w:beforeAutospacing="0" w:after="0" w:afterAutospacing="0"/>
                    <w:jc w:val="center"/>
                    <w:outlineLvl w:val="0"/>
                    <w:rPr>
                      <w:rFonts w:ascii="Times New Roman" w:hAnsi="Times New Roman"/>
                      <w:snapToGrid w:val="0"/>
                      <w:color w:val="auto"/>
                      <w:sz w:val="21"/>
                      <w:szCs w:val="21"/>
                    </w:rPr>
                  </w:pPr>
                  <w:r>
                    <w:rPr>
                      <w:rFonts w:ascii="Times New Roman" w:hAnsi="Times New Roman"/>
                      <w:snapToGrid w:val="0"/>
                      <w:color w:val="auto"/>
                      <w:sz w:val="21"/>
                      <w:szCs w:val="21"/>
                    </w:rPr>
                    <w:t>混合料经除铁器除去杂质</w:t>
                  </w:r>
                </w:p>
              </w:tc>
              <w:tc>
                <w:tcPr>
                  <w:tcW w:w="930" w:type="dxa"/>
                  <w:vAlign w:val="center"/>
                </w:tcPr>
                <w:p w14:paraId="313C8F71">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金属杂质（S1）</w:t>
                  </w:r>
                </w:p>
              </w:tc>
              <w:tc>
                <w:tcPr>
                  <w:tcW w:w="750" w:type="dxa"/>
                  <w:vMerge w:val="restart"/>
                  <w:vAlign w:val="center"/>
                </w:tcPr>
                <w:p w14:paraId="04577C22">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一般固废</w:t>
                  </w:r>
                </w:p>
              </w:tc>
              <w:tc>
                <w:tcPr>
                  <w:tcW w:w="990" w:type="dxa"/>
                  <w:vAlign w:val="center"/>
                </w:tcPr>
                <w:p w14:paraId="5284AFDD">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SW59（900-099-S59）</w:t>
                  </w:r>
                </w:p>
              </w:tc>
              <w:tc>
                <w:tcPr>
                  <w:tcW w:w="930" w:type="dxa"/>
                  <w:vAlign w:val="center"/>
                </w:tcPr>
                <w:p w14:paraId="156C2920">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45.636</w:t>
                  </w:r>
                </w:p>
              </w:tc>
              <w:tc>
                <w:tcPr>
                  <w:tcW w:w="540" w:type="dxa"/>
                  <w:vAlign w:val="center"/>
                </w:tcPr>
                <w:p w14:paraId="710623D0">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固</w:t>
                  </w:r>
                </w:p>
              </w:tc>
              <w:tc>
                <w:tcPr>
                  <w:tcW w:w="825" w:type="dxa"/>
                  <w:vAlign w:val="center"/>
                </w:tcPr>
                <w:p w14:paraId="370882EA">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型焦生产车间</w:t>
                  </w:r>
                </w:p>
              </w:tc>
              <w:tc>
                <w:tcPr>
                  <w:tcW w:w="1695" w:type="dxa"/>
                  <w:vAlign w:val="center"/>
                </w:tcPr>
                <w:p w14:paraId="64E23BDB">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收集在型焦生产车间内，外售处理。</w:t>
                  </w:r>
                </w:p>
              </w:tc>
            </w:tr>
            <w:tr w14:paraId="5FB9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88" w:type="dxa"/>
                  <w:vAlign w:val="center"/>
                </w:tcPr>
                <w:p w14:paraId="4E5AC6B4">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2</w:t>
                  </w:r>
                </w:p>
              </w:tc>
              <w:tc>
                <w:tcPr>
                  <w:tcW w:w="992" w:type="dxa"/>
                  <w:vAlign w:val="center"/>
                </w:tcPr>
                <w:p w14:paraId="220FB168">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布袋除尘器收集</w:t>
                  </w:r>
                </w:p>
              </w:tc>
              <w:tc>
                <w:tcPr>
                  <w:tcW w:w="930" w:type="dxa"/>
                  <w:vAlign w:val="center"/>
                </w:tcPr>
                <w:p w14:paraId="4E8C65F2">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除尘灰（S2）</w:t>
                  </w:r>
                </w:p>
              </w:tc>
              <w:tc>
                <w:tcPr>
                  <w:tcW w:w="750" w:type="dxa"/>
                  <w:vMerge w:val="continue"/>
                  <w:vAlign w:val="center"/>
                </w:tcPr>
                <w:p w14:paraId="56081053">
                  <w:pPr>
                    <w:pStyle w:val="19"/>
                    <w:spacing w:before="0" w:beforeAutospacing="0" w:after="0" w:afterAutospacing="0"/>
                    <w:jc w:val="center"/>
                    <w:outlineLvl w:val="0"/>
                    <w:rPr>
                      <w:rFonts w:ascii="Times New Roman" w:hAnsi="Times New Roman"/>
                      <w:snapToGrid w:val="0"/>
                      <w:color w:val="auto"/>
                      <w:sz w:val="21"/>
                      <w:szCs w:val="21"/>
                    </w:rPr>
                  </w:pPr>
                </w:p>
              </w:tc>
              <w:tc>
                <w:tcPr>
                  <w:tcW w:w="990" w:type="dxa"/>
                  <w:vAlign w:val="center"/>
                </w:tcPr>
                <w:p w14:paraId="22115770">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SW16（252-003-S16）</w:t>
                  </w:r>
                </w:p>
              </w:tc>
              <w:tc>
                <w:tcPr>
                  <w:tcW w:w="930" w:type="dxa"/>
                  <w:vAlign w:val="center"/>
                </w:tcPr>
                <w:p w14:paraId="4D0497D1">
                  <w:pPr>
                    <w:pStyle w:val="19"/>
                    <w:spacing w:before="0" w:beforeAutospacing="0" w:after="0" w:afterAutospacing="0"/>
                    <w:jc w:val="center"/>
                    <w:outlineLvl w:val="0"/>
                    <w:rPr>
                      <w:rFonts w:hint="default"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340.69</w:t>
                  </w:r>
                </w:p>
              </w:tc>
              <w:tc>
                <w:tcPr>
                  <w:tcW w:w="540" w:type="dxa"/>
                  <w:vAlign w:val="center"/>
                </w:tcPr>
                <w:p w14:paraId="0F955D40">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Times New Roman" w:hAnsi="Times New Roman"/>
                      <w:snapToGrid w:val="0"/>
                      <w:color w:val="auto"/>
                      <w:sz w:val="21"/>
                      <w:szCs w:val="21"/>
                    </w:rPr>
                    <w:t>/</w:t>
                  </w:r>
                </w:p>
              </w:tc>
              <w:tc>
                <w:tcPr>
                  <w:tcW w:w="825" w:type="dxa"/>
                  <w:vAlign w:val="center"/>
                </w:tcPr>
                <w:p w14:paraId="1C6DBD9A">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型焦生产车间</w:t>
                  </w:r>
                </w:p>
              </w:tc>
              <w:tc>
                <w:tcPr>
                  <w:tcW w:w="1695" w:type="dxa"/>
                  <w:vAlign w:val="center"/>
                </w:tcPr>
                <w:p w14:paraId="3FC88023">
                  <w:pPr>
                    <w:pStyle w:val="19"/>
                    <w:spacing w:before="0" w:beforeAutospacing="0" w:after="0" w:afterAutospacing="0"/>
                    <w:jc w:val="center"/>
                    <w:outlineLvl w:val="0"/>
                    <w:rPr>
                      <w:rFonts w:ascii="Times New Roman" w:hAnsi="Times New Roman"/>
                      <w:snapToGrid w:val="0"/>
                      <w:color w:val="auto"/>
                      <w:sz w:val="21"/>
                      <w:szCs w:val="21"/>
                    </w:rPr>
                  </w:pPr>
                  <w:r>
                    <w:rPr>
                      <w:rFonts w:ascii="Times New Roman" w:hAnsi="Times New Roman"/>
                      <w:bCs/>
                      <w:color w:val="auto"/>
                      <w:kern w:val="2"/>
                      <w:sz w:val="21"/>
                      <w:szCs w:val="21"/>
                    </w:rPr>
                    <w:t>定期收集后返回生产工序综合利用</w:t>
                  </w:r>
                  <w:r>
                    <w:rPr>
                      <w:rFonts w:hint="eastAsia" w:ascii="Times New Roman" w:hAnsi="Times New Roman"/>
                      <w:bCs/>
                      <w:color w:val="auto"/>
                      <w:kern w:val="2"/>
                      <w:sz w:val="21"/>
                      <w:szCs w:val="21"/>
                    </w:rPr>
                    <w:t>。</w:t>
                  </w:r>
                </w:p>
              </w:tc>
            </w:tr>
            <w:tr w14:paraId="3548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88" w:type="dxa"/>
                  <w:vAlign w:val="center"/>
                </w:tcPr>
                <w:p w14:paraId="059BCDEA">
                  <w:pPr>
                    <w:pStyle w:val="19"/>
                    <w:spacing w:before="0" w:beforeAutospacing="0" w:after="0" w:afterAutospacing="0"/>
                    <w:jc w:val="center"/>
                    <w:outlineLvl w:val="0"/>
                    <w:rPr>
                      <w:rFonts w:hint="eastAsia" w:ascii="Times New Roman" w:hAnsi="Times New Roman" w:eastAsia="宋体"/>
                      <w:snapToGrid w:val="0"/>
                      <w:color w:val="auto"/>
                      <w:sz w:val="21"/>
                      <w:szCs w:val="21"/>
                      <w:lang w:val="en-US" w:eastAsia="zh-CN"/>
                    </w:rPr>
                  </w:pPr>
                  <w:r>
                    <w:rPr>
                      <w:rFonts w:hint="eastAsia" w:ascii="Times New Roman" w:hAnsi="Times New Roman"/>
                      <w:snapToGrid w:val="0"/>
                      <w:color w:val="auto"/>
                      <w:sz w:val="21"/>
                      <w:szCs w:val="21"/>
                      <w:lang w:val="en-US" w:eastAsia="zh-CN"/>
                    </w:rPr>
                    <w:t>3</w:t>
                  </w:r>
                </w:p>
              </w:tc>
              <w:tc>
                <w:tcPr>
                  <w:tcW w:w="992" w:type="dxa"/>
                  <w:vAlign w:val="center"/>
                </w:tcPr>
                <w:p w14:paraId="07D87BD3">
                  <w:pPr>
                    <w:pStyle w:val="19"/>
                    <w:spacing w:before="0" w:beforeAutospacing="0" w:after="0" w:afterAutospacing="0"/>
                    <w:jc w:val="center"/>
                    <w:outlineLvl w:val="0"/>
                    <w:rPr>
                      <w:rFonts w:hint="default" w:ascii="Times New Roman" w:hAnsi="Times New Roman" w:eastAsia="宋体"/>
                      <w:snapToGrid w:val="0"/>
                      <w:color w:val="auto"/>
                      <w:sz w:val="21"/>
                      <w:szCs w:val="21"/>
                      <w:lang w:val="en-US" w:eastAsia="zh-CN"/>
                    </w:rPr>
                  </w:pPr>
                  <w:r>
                    <w:rPr>
                      <w:rFonts w:hint="eastAsia" w:ascii="Times New Roman" w:hAnsi="Times New Roman"/>
                      <w:snapToGrid w:val="0"/>
                      <w:color w:val="auto"/>
                      <w:sz w:val="21"/>
                      <w:szCs w:val="21"/>
                      <w:lang w:val="en-US" w:eastAsia="zh-CN"/>
                    </w:rPr>
                    <w:t>车辆冲洗沉淀池收集</w:t>
                  </w:r>
                </w:p>
              </w:tc>
              <w:tc>
                <w:tcPr>
                  <w:tcW w:w="930" w:type="dxa"/>
                  <w:shd w:val="clear" w:color="auto" w:fill="auto"/>
                  <w:vAlign w:val="center"/>
                </w:tcPr>
                <w:p w14:paraId="66F120D4">
                  <w:pPr>
                    <w:widowControl/>
                    <w:jc w:val="center"/>
                    <w:textAlignment w:val="center"/>
                    <w:rPr>
                      <w:rFonts w:hint="eastAsia" w:ascii="Times New Roman" w:hAnsi="Times New Roman" w:eastAsia="宋体" w:cs="Times New Roman"/>
                      <w:color w:val="auto"/>
                      <w:kern w:val="0"/>
                      <w:sz w:val="21"/>
                      <w:szCs w:val="21"/>
                      <w:lang w:val="en-US" w:eastAsia="zh-CN" w:bidi="ar"/>
                    </w:rPr>
                  </w:pPr>
                  <w:r>
                    <w:rPr>
                      <w:rFonts w:hint="eastAsia"/>
                      <w:color w:val="auto"/>
                      <w:kern w:val="0"/>
                      <w:szCs w:val="21"/>
                      <w:lang w:val="en-US" w:eastAsia="zh-CN" w:bidi="ar"/>
                    </w:rPr>
                    <w:t>沉淀池污泥（S3）</w:t>
                  </w:r>
                </w:p>
              </w:tc>
              <w:tc>
                <w:tcPr>
                  <w:tcW w:w="750" w:type="dxa"/>
                  <w:vMerge w:val="continue"/>
                  <w:vAlign w:val="center"/>
                </w:tcPr>
                <w:p w14:paraId="5B0BF790">
                  <w:pPr>
                    <w:pStyle w:val="19"/>
                    <w:spacing w:before="0" w:beforeAutospacing="0" w:after="0" w:afterAutospacing="0"/>
                    <w:jc w:val="center"/>
                    <w:outlineLvl w:val="0"/>
                    <w:rPr>
                      <w:rFonts w:ascii="Times New Roman" w:hAnsi="Times New Roman"/>
                      <w:snapToGrid w:val="0"/>
                      <w:color w:val="auto"/>
                      <w:sz w:val="21"/>
                      <w:szCs w:val="21"/>
                    </w:rPr>
                  </w:pPr>
                </w:p>
              </w:tc>
              <w:tc>
                <w:tcPr>
                  <w:tcW w:w="990" w:type="dxa"/>
                  <w:vAlign w:val="center"/>
                </w:tcPr>
                <w:p w14:paraId="50F46D37">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Times New Roman" w:hAnsi="Times New Roman"/>
                      <w:snapToGrid w:val="0"/>
                      <w:color w:val="auto"/>
                      <w:sz w:val="21"/>
                      <w:szCs w:val="21"/>
                    </w:rPr>
                    <w:t>-----</w:t>
                  </w:r>
                </w:p>
              </w:tc>
              <w:tc>
                <w:tcPr>
                  <w:tcW w:w="930" w:type="dxa"/>
                  <w:vAlign w:val="center"/>
                </w:tcPr>
                <w:p w14:paraId="4C232675">
                  <w:pPr>
                    <w:pStyle w:val="19"/>
                    <w:spacing w:before="0" w:beforeAutospacing="0" w:after="0" w:afterAutospacing="0"/>
                    <w:jc w:val="center"/>
                    <w:outlineLvl w:val="0"/>
                    <w:rPr>
                      <w:rFonts w:hint="default" w:ascii="Times New Roman" w:hAnsi="Times New Roman" w:eastAsia="宋体"/>
                      <w:snapToGrid w:val="0"/>
                      <w:color w:val="auto"/>
                      <w:sz w:val="21"/>
                      <w:szCs w:val="21"/>
                      <w:lang w:val="en-US" w:eastAsia="zh-CN"/>
                    </w:rPr>
                  </w:pPr>
                  <w:r>
                    <w:rPr>
                      <w:rFonts w:hint="eastAsia" w:ascii="Times New Roman" w:hAnsi="Times New Roman"/>
                      <w:snapToGrid w:val="0"/>
                      <w:color w:val="auto"/>
                      <w:sz w:val="21"/>
                      <w:szCs w:val="21"/>
                      <w:lang w:val="en-US" w:eastAsia="zh-CN"/>
                    </w:rPr>
                    <w:t>4</w:t>
                  </w:r>
                </w:p>
              </w:tc>
              <w:tc>
                <w:tcPr>
                  <w:tcW w:w="540" w:type="dxa"/>
                  <w:vAlign w:val="center"/>
                </w:tcPr>
                <w:p w14:paraId="27DB28A6">
                  <w:pPr>
                    <w:pStyle w:val="19"/>
                    <w:spacing w:before="0" w:beforeAutospacing="0" w:after="0" w:afterAutospacing="0"/>
                    <w:jc w:val="center"/>
                    <w:outlineLvl w:val="0"/>
                    <w:rPr>
                      <w:rFonts w:hint="eastAsia" w:ascii="Times New Roman" w:hAnsi="Times New Roman" w:eastAsia="宋体"/>
                      <w:snapToGrid w:val="0"/>
                      <w:color w:val="auto"/>
                      <w:sz w:val="21"/>
                      <w:szCs w:val="21"/>
                      <w:lang w:val="en-US" w:eastAsia="zh-CN"/>
                    </w:rPr>
                  </w:pPr>
                  <w:r>
                    <w:rPr>
                      <w:rFonts w:hint="eastAsia" w:ascii="Times New Roman" w:hAnsi="Times New Roman"/>
                      <w:snapToGrid w:val="0"/>
                      <w:color w:val="auto"/>
                      <w:sz w:val="21"/>
                      <w:szCs w:val="21"/>
                      <w:lang w:val="en-US" w:eastAsia="zh-CN"/>
                    </w:rPr>
                    <w:t>固</w:t>
                  </w:r>
                </w:p>
              </w:tc>
              <w:tc>
                <w:tcPr>
                  <w:tcW w:w="825" w:type="dxa"/>
                  <w:vAlign w:val="center"/>
                </w:tcPr>
                <w:p w14:paraId="40084DEE">
                  <w:pPr>
                    <w:pStyle w:val="19"/>
                    <w:spacing w:before="0" w:beforeAutospacing="0" w:after="0" w:afterAutospacing="0"/>
                    <w:jc w:val="center"/>
                    <w:outlineLvl w:val="0"/>
                    <w:rPr>
                      <w:rFonts w:hint="default" w:ascii="Times New Roman" w:hAnsi="Times New Roman" w:eastAsia="宋体"/>
                      <w:snapToGrid w:val="0"/>
                      <w:color w:val="auto"/>
                      <w:sz w:val="21"/>
                      <w:szCs w:val="21"/>
                      <w:lang w:val="en-US" w:eastAsia="zh-CN"/>
                    </w:rPr>
                  </w:pPr>
                  <w:r>
                    <w:rPr>
                      <w:rFonts w:hint="eastAsia" w:ascii="Times New Roman" w:hAnsi="Times New Roman"/>
                      <w:snapToGrid w:val="0"/>
                      <w:color w:val="auto"/>
                      <w:sz w:val="21"/>
                      <w:szCs w:val="21"/>
                      <w:lang w:val="en-US" w:eastAsia="zh-CN"/>
                    </w:rPr>
                    <w:t>原料仓库</w:t>
                  </w:r>
                </w:p>
              </w:tc>
              <w:tc>
                <w:tcPr>
                  <w:tcW w:w="1695" w:type="dxa"/>
                  <w:vAlign w:val="center"/>
                </w:tcPr>
                <w:p w14:paraId="74CFDB1B">
                  <w:pPr>
                    <w:pStyle w:val="19"/>
                    <w:spacing w:before="0" w:beforeAutospacing="0" w:after="0" w:afterAutospacing="0"/>
                    <w:jc w:val="center"/>
                    <w:outlineLvl w:val="0"/>
                    <w:rPr>
                      <w:rFonts w:ascii="Times New Roman" w:hAnsi="Times New Roman"/>
                      <w:bCs/>
                      <w:color w:val="auto"/>
                      <w:kern w:val="2"/>
                      <w:sz w:val="21"/>
                      <w:szCs w:val="21"/>
                    </w:rPr>
                  </w:pPr>
                  <w:r>
                    <w:rPr>
                      <w:rFonts w:hint="eastAsia" w:ascii="Times New Roman" w:hAnsi="Times New Roman"/>
                      <w:snapToGrid w:val="0"/>
                      <w:color w:val="auto"/>
                      <w:sz w:val="21"/>
                      <w:szCs w:val="21"/>
                    </w:rPr>
                    <w:t>收集在</w:t>
                  </w:r>
                  <w:r>
                    <w:rPr>
                      <w:rFonts w:hint="eastAsia" w:ascii="Times New Roman" w:hAnsi="Times New Roman"/>
                      <w:snapToGrid w:val="0"/>
                      <w:color w:val="auto"/>
                      <w:sz w:val="21"/>
                      <w:szCs w:val="21"/>
                      <w:lang w:val="en-US" w:eastAsia="zh-CN"/>
                    </w:rPr>
                    <w:t>原料仓库划分区域</w:t>
                  </w:r>
                  <w:r>
                    <w:rPr>
                      <w:rFonts w:hint="eastAsia" w:ascii="Times New Roman" w:hAnsi="Times New Roman"/>
                      <w:snapToGrid w:val="0"/>
                      <w:color w:val="auto"/>
                      <w:sz w:val="21"/>
                      <w:szCs w:val="21"/>
                    </w:rPr>
                    <w:t>，</w:t>
                  </w:r>
                  <w:r>
                    <w:rPr>
                      <w:rFonts w:hint="eastAsia" w:ascii="Times New Roman" w:hAnsi="Times New Roman" w:eastAsia="宋体" w:cs="Times New Roman"/>
                      <w:bCs/>
                      <w:color w:val="auto"/>
                      <w:kern w:val="2"/>
                      <w:sz w:val="21"/>
                      <w:szCs w:val="21"/>
                    </w:rPr>
                    <w:t>委托有资质的一般工业固废处置单位规范处置。</w:t>
                  </w:r>
                </w:p>
              </w:tc>
            </w:tr>
            <w:tr w14:paraId="07B3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88" w:type="dxa"/>
                  <w:vAlign w:val="center"/>
                </w:tcPr>
                <w:p w14:paraId="467016EF">
                  <w:pPr>
                    <w:pStyle w:val="19"/>
                    <w:spacing w:before="0" w:beforeAutospacing="0" w:after="0" w:afterAutospacing="0"/>
                    <w:jc w:val="center"/>
                    <w:outlineLvl w:val="0"/>
                    <w:rPr>
                      <w:rFonts w:hint="eastAsia" w:ascii="Times New Roman" w:hAnsi="Times New Roman" w:eastAsia="宋体"/>
                      <w:snapToGrid w:val="0"/>
                      <w:color w:val="auto"/>
                      <w:sz w:val="21"/>
                      <w:szCs w:val="21"/>
                      <w:lang w:eastAsia="zh-CN"/>
                    </w:rPr>
                  </w:pPr>
                  <w:r>
                    <w:rPr>
                      <w:rFonts w:hint="eastAsia" w:ascii="Times New Roman" w:hAnsi="Times New Roman"/>
                      <w:snapToGrid w:val="0"/>
                      <w:color w:val="auto"/>
                      <w:sz w:val="21"/>
                      <w:szCs w:val="21"/>
                      <w:lang w:val="en-US" w:eastAsia="zh-CN"/>
                    </w:rPr>
                    <w:t>4</w:t>
                  </w:r>
                </w:p>
              </w:tc>
              <w:tc>
                <w:tcPr>
                  <w:tcW w:w="992" w:type="dxa"/>
                  <w:vAlign w:val="center"/>
                </w:tcPr>
                <w:p w14:paraId="22E7A18D">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人员生活</w:t>
                  </w:r>
                </w:p>
              </w:tc>
              <w:tc>
                <w:tcPr>
                  <w:tcW w:w="930" w:type="dxa"/>
                  <w:vAlign w:val="center"/>
                </w:tcPr>
                <w:p w14:paraId="2479F944">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生活垃圾（S</w:t>
                  </w:r>
                  <w:r>
                    <w:rPr>
                      <w:rFonts w:hint="eastAsia" w:ascii="Times New Roman" w:hAnsi="Times New Roman"/>
                      <w:snapToGrid w:val="0"/>
                      <w:color w:val="auto"/>
                      <w:sz w:val="21"/>
                      <w:szCs w:val="21"/>
                      <w:lang w:val="en-US" w:eastAsia="zh-CN"/>
                    </w:rPr>
                    <w:t>4</w:t>
                  </w:r>
                  <w:r>
                    <w:rPr>
                      <w:rFonts w:hint="eastAsia" w:ascii="Times New Roman" w:hAnsi="Times New Roman"/>
                      <w:snapToGrid w:val="0"/>
                      <w:color w:val="auto"/>
                      <w:sz w:val="21"/>
                      <w:szCs w:val="21"/>
                    </w:rPr>
                    <w:t>）</w:t>
                  </w:r>
                </w:p>
              </w:tc>
              <w:tc>
                <w:tcPr>
                  <w:tcW w:w="750" w:type="dxa"/>
                  <w:vMerge w:val="continue"/>
                  <w:vAlign w:val="center"/>
                </w:tcPr>
                <w:p w14:paraId="50F058E3">
                  <w:pPr>
                    <w:pStyle w:val="19"/>
                    <w:spacing w:before="0" w:beforeAutospacing="0" w:after="0" w:afterAutospacing="0"/>
                    <w:jc w:val="center"/>
                    <w:outlineLvl w:val="0"/>
                    <w:rPr>
                      <w:rFonts w:ascii="Times New Roman" w:hAnsi="Times New Roman"/>
                      <w:snapToGrid w:val="0"/>
                      <w:color w:val="auto"/>
                      <w:sz w:val="21"/>
                      <w:szCs w:val="21"/>
                    </w:rPr>
                  </w:pPr>
                </w:p>
              </w:tc>
              <w:tc>
                <w:tcPr>
                  <w:tcW w:w="990" w:type="dxa"/>
                  <w:vAlign w:val="center"/>
                </w:tcPr>
                <w:p w14:paraId="63C3376C">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w:t>
                  </w:r>
                </w:p>
              </w:tc>
              <w:tc>
                <w:tcPr>
                  <w:tcW w:w="930" w:type="dxa"/>
                  <w:vAlign w:val="center"/>
                </w:tcPr>
                <w:p w14:paraId="12C96E8F">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3.33</w:t>
                  </w:r>
                </w:p>
              </w:tc>
              <w:tc>
                <w:tcPr>
                  <w:tcW w:w="540" w:type="dxa"/>
                  <w:vAlign w:val="center"/>
                </w:tcPr>
                <w:p w14:paraId="76D4C117">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固</w:t>
                  </w:r>
                </w:p>
              </w:tc>
              <w:tc>
                <w:tcPr>
                  <w:tcW w:w="825" w:type="dxa"/>
                  <w:vAlign w:val="center"/>
                </w:tcPr>
                <w:p w14:paraId="79180A86">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垃圾桶</w:t>
                  </w:r>
                </w:p>
              </w:tc>
              <w:tc>
                <w:tcPr>
                  <w:tcW w:w="1695" w:type="dxa"/>
                  <w:vAlign w:val="center"/>
                </w:tcPr>
                <w:p w14:paraId="2BB95D2A">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生活垃圾依托办公生活区收集设施集中收集，生活垃圾由园区环卫部门统一处理</w:t>
                  </w:r>
                </w:p>
              </w:tc>
            </w:tr>
            <w:tr w14:paraId="2EC6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88" w:type="dxa"/>
                  <w:vAlign w:val="center"/>
                </w:tcPr>
                <w:p w14:paraId="5660A7F0">
                  <w:pPr>
                    <w:pStyle w:val="19"/>
                    <w:spacing w:before="0" w:beforeAutospacing="0" w:after="0" w:afterAutospacing="0"/>
                    <w:jc w:val="center"/>
                    <w:outlineLvl w:val="0"/>
                    <w:rPr>
                      <w:rFonts w:hint="eastAsia" w:ascii="Times New Roman" w:hAnsi="Times New Roman" w:eastAsia="宋体"/>
                      <w:snapToGrid w:val="0"/>
                      <w:color w:val="auto"/>
                      <w:sz w:val="21"/>
                      <w:szCs w:val="21"/>
                      <w:lang w:eastAsia="zh-CN"/>
                    </w:rPr>
                  </w:pPr>
                  <w:r>
                    <w:rPr>
                      <w:rFonts w:hint="eastAsia" w:ascii="Times New Roman" w:hAnsi="Times New Roman"/>
                      <w:snapToGrid w:val="0"/>
                      <w:color w:val="auto"/>
                      <w:sz w:val="21"/>
                      <w:szCs w:val="21"/>
                      <w:lang w:val="en-US" w:eastAsia="zh-CN"/>
                    </w:rPr>
                    <w:t>5</w:t>
                  </w:r>
                </w:p>
              </w:tc>
              <w:tc>
                <w:tcPr>
                  <w:tcW w:w="992" w:type="dxa"/>
                  <w:vAlign w:val="center"/>
                </w:tcPr>
                <w:p w14:paraId="0994E72C">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机器</w:t>
                  </w:r>
                  <w:r>
                    <w:rPr>
                      <w:rFonts w:ascii="Times New Roman" w:hAnsi="Times New Roman"/>
                      <w:snapToGrid w:val="0"/>
                      <w:color w:val="auto"/>
                      <w:sz w:val="21"/>
                      <w:szCs w:val="21"/>
                    </w:rPr>
                    <w:t>检修过程产生</w:t>
                  </w:r>
                </w:p>
              </w:tc>
              <w:tc>
                <w:tcPr>
                  <w:tcW w:w="930" w:type="dxa"/>
                  <w:vAlign w:val="center"/>
                </w:tcPr>
                <w:p w14:paraId="773A4C7A">
                  <w:pPr>
                    <w:pStyle w:val="19"/>
                    <w:spacing w:before="0" w:beforeAutospacing="0" w:after="0" w:afterAutospacing="0"/>
                    <w:jc w:val="center"/>
                    <w:outlineLvl w:val="0"/>
                    <w:rPr>
                      <w:rFonts w:hint="eastAsia" w:ascii="Times New Roman" w:hAnsi="Times New Roman" w:eastAsia="宋体"/>
                      <w:snapToGrid w:val="0"/>
                      <w:color w:val="auto"/>
                      <w:sz w:val="21"/>
                      <w:szCs w:val="21"/>
                      <w:lang w:eastAsia="zh-CN"/>
                    </w:rPr>
                  </w:pPr>
                  <w:r>
                    <w:rPr>
                      <w:rFonts w:hint="eastAsia" w:ascii="Times New Roman" w:hAnsi="Times New Roman"/>
                      <w:snapToGrid w:val="0"/>
                      <w:color w:val="auto"/>
                      <w:sz w:val="21"/>
                      <w:szCs w:val="21"/>
                    </w:rPr>
                    <w:t>废润滑油S</w:t>
                  </w:r>
                  <w:r>
                    <w:rPr>
                      <w:rFonts w:hint="eastAsia" w:ascii="Times New Roman" w:hAnsi="Times New Roman"/>
                      <w:snapToGrid w:val="0"/>
                      <w:color w:val="auto"/>
                      <w:sz w:val="21"/>
                      <w:szCs w:val="21"/>
                      <w:lang w:val="en-US" w:eastAsia="zh-CN"/>
                    </w:rPr>
                    <w:t>5</w:t>
                  </w:r>
                </w:p>
              </w:tc>
              <w:tc>
                <w:tcPr>
                  <w:tcW w:w="750" w:type="dxa"/>
                  <w:vAlign w:val="center"/>
                </w:tcPr>
                <w:p w14:paraId="38A9751B">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危险废物</w:t>
                  </w:r>
                </w:p>
              </w:tc>
              <w:tc>
                <w:tcPr>
                  <w:tcW w:w="990" w:type="dxa"/>
                  <w:vAlign w:val="center"/>
                </w:tcPr>
                <w:p w14:paraId="64B0F3EC">
                  <w:pPr>
                    <w:pStyle w:val="19"/>
                    <w:spacing w:before="0" w:beforeAutospacing="0" w:after="0" w:afterAutospacing="0"/>
                    <w:jc w:val="center"/>
                    <w:outlineLvl w:val="0"/>
                    <w:rPr>
                      <w:rFonts w:ascii="Times New Roman" w:hAnsi="Times New Roman"/>
                      <w:snapToGrid w:val="0"/>
                      <w:color w:val="auto"/>
                      <w:sz w:val="21"/>
                      <w:szCs w:val="21"/>
                    </w:rPr>
                  </w:pPr>
                  <w:r>
                    <w:rPr>
                      <w:rFonts w:ascii="Times New Roman" w:hAnsi="Times New Roman"/>
                      <w:snapToGrid w:val="0"/>
                      <w:color w:val="auto"/>
                      <w:sz w:val="21"/>
                      <w:szCs w:val="21"/>
                    </w:rPr>
                    <w:t>HW08</w:t>
                  </w:r>
                  <w:r>
                    <w:rPr>
                      <w:rFonts w:hint="eastAsia" w:ascii="Times New Roman" w:hAnsi="Times New Roman"/>
                      <w:snapToGrid w:val="0"/>
                      <w:color w:val="auto"/>
                      <w:sz w:val="21"/>
                      <w:szCs w:val="21"/>
                    </w:rPr>
                    <w:t>（</w:t>
                  </w:r>
                  <w:r>
                    <w:rPr>
                      <w:rFonts w:ascii="Times New Roman" w:hAnsi="Times New Roman"/>
                      <w:snapToGrid w:val="0"/>
                      <w:color w:val="auto"/>
                      <w:sz w:val="21"/>
                      <w:szCs w:val="21"/>
                    </w:rPr>
                    <w:t>900-214-08</w:t>
                  </w:r>
                  <w:r>
                    <w:rPr>
                      <w:rFonts w:hint="eastAsia" w:ascii="Times New Roman" w:hAnsi="Times New Roman"/>
                      <w:snapToGrid w:val="0"/>
                      <w:color w:val="auto"/>
                      <w:sz w:val="21"/>
                      <w:szCs w:val="21"/>
                    </w:rPr>
                    <w:t>）</w:t>
                  </w:r>
                </w:p>
              </w:tc>
              <w:tc>
                <w:tcPr>
                  <w:tcW w:w="930" w:type="dxa"/>
                  <w:vAlign w:val="center"/>
                </w:tcPr>
                <w:p w14:paraId="349C3E8F">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0.5</w:t>
                  </w:r>
                </w:p>
              </w:tc>
              <w:tc>
                <w:tcPr>
                  <w:tcW w:w="540" w:type="dxa"/>
                  <w:vAlign w:val="center"/>
                </w:tcPr>
                <w:p w14:paraId="7944215A">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液</w:t>
                  </w:r>
                </w:p>
              </w:tc>
              <w:tc>
                <w:tcPr>
                  <w:tcW w:w="825" w:type="dxa"/>
                  <w:vAlign w:val="center"/>
                </w:tcPr>
                <w:p w14:paraId="7462F10B">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危废暂存间</w:t>
                  </w:r>
                </w:p>
              </w:tc>
              <w:tc>
                <w:tcPr>
                  <w:tcW w:w="1695" w:type="dxa"/>
                  <w:vAlign w:val="center"/>
                </w:tcPr>
                <w:p w14:paraId="36107C56">
                  <w:pPr>
                    <w:pStyle w:val="19"/>
                    <w:spacing w:before="0" w:beforeAutospacing="0" w:after="0" w:afterAutospacing="0"/>
                    <w:jc w:val="center"/>
                    <w:outlineLvl w:val="0"/>
                    <w:rPr>
                      <w:rFonts w:ascii="Times New Roman" w:hAnsi="Times New Roman"/>
                      <w:snapToGrid w:val="0"/>
                      <w:color w:val="auto"/>
                      <w:sz w:val="21"/>
                      <w:szCs w:val="21"/>
                    </w:rPr>
                  </w:pPr>
                  <w:r>
                    <w:rPr>
                      <w:rFonts w:hint="eastAsia" w:ascii="Times New Roman" w:hAnsi="Times New Roman"/>
                      <w:snapToGrid w:val="0"/>
                      <w:color w:val="auto"/>
                      <w:sz w:val="21"/>
                      <w:szCs w:val="21"/>
                    </w:rPr>
                    <w:t>依托新航焦化</w:t>
                  </w:r>
                  <w:r>
                    <w:rPr>
                      <w:rFonts w:ascii="Times New Roman" w:hAnsi="Times New Roman"/>
                      <w:snapToGrid w:val="0"/>
                      <w:color w:val="auto"/>
                      <w:sz w:val="21"/>
                      <w:szCs w:val="21"/>
                    </w:rPr>
                    <w:t>危废暂存库暂存</w:t>
                  </w:r>
                  <w:r>
                    <w:rPr>
                      <w:rFonts w:hint="eastAsia" w:ascii="Times New Roman" w:hAnsi="Times New Roman"/>
                      <w:snapToGrid w:val="0"/>
                      <w:color w:val="auto"/>
                      <w:sz w:val="21"/>
                      <w:szCs w:val="21"/>
                    </w:rPr>
                    <w:t>，</w:t>
                  </w:r>
                  <w:r>
                    <w:rPr>
                      <w:rFonts w:ascii="Times New Roman" w:hAnsi="Times New Roman"/>
                      <w:snapToGrid w:val="0"/>
                      <w:color w:val="auto"/>
                      <w:sz w:val="21"/>
                      <w:szCs w:val="21"/>
                    </w:rPr>
                    <w:t>定期交由有资质单位处置。</w:t>
                  </w:r>
                </w:p>
              </w:tc>
            </w:tr>
          </w:tbl>
          <w:p w14:paraId="58DD4FC0">
            <w:pPr>
              <w:pStyle w:val="19"/>
              <w:numPr>
                <w:ilvl w:val="0"/>
                <w:numId w:val="11"/>
              </w:numPr>
              <w:spacing w:before="0" w:beforeAutospacing="0" w:after="0" w:afterAutospacing="0" w:line="360" w:lineRule="auto"/>
              <w:ind w:firstLine="480" w:firstLineChars="200"/>
              <w:outlineLvl w:val="0"/>
              <w:rPr>
                <w:rFonts w:ascii="Times New Roman" w:hAnsi="Times New Roman"/>
                <w:snapToGrid w:val="0"/>
                <w:color w:val="auto"/>
                <w:szCs w:val="24"/>
              </w:rPr>
            </w:pPr>
            <w:r>
              <w:rPr>
                <w:rFonts w:hint="eastAsia" w:ascii="Times New Roman" w:hAnsi="Times New Roman"/>
                <w:snapToGrid w:val="0"/>
                <w:color w:val="auto"/>
                <w:szCs w:val="24"/>
              </w:rPr>
              <w:t>生态环境影响分析</w:t>
            </w:r>
          </w:p>
          <w:p w14:paraId="3D5A2C48">
            <w:pPr>
              <w:widowControl/>
              <w:spacing w:line="360" w:lineRule="auto"/>
              <w:ind w:firstLine="480" w:firstLineChars="200"/>
              <w:jc w:val="left"/>
              <w:rPr>
                <w:color w:val="auto"/>
                <w:kern w:val="0"/>
                <w:sz w:val="24"/>
                <w:lang w:bidi="ar"/>
              </w:rPr>
            </w:pPr>
            <w:r>
              <w:rPr>
                <w:rFonts w:hint="eastAsia"/>
                <w:color w:val="auto"/>
                <w:kern w:val="0"/>
                <w:sz w:val="24"/>
                <w:lang w:bidi="ar"/>
              </w:rPr>
              <w:t>项目运营期间所产生的各类污染物的量都很小，对周围生态环境的影响很小为控制项目产生的固废对土壤和植被的不利影响，项目的生活垃圾依托办公生活区收集设施集中收集，委托园区环卫部门定期清运；除尘灰返回生产中；金属杂质收集在型焦生产车间内，</w:t>
            </w:r>
            <w:r>
              <w:rPr>
                <w:rFonts w:hint="eastAsia"/>
                <w:color w:val="auto"/>
                <w:kern w:val="0"/>
                <w:sz w:val="24"/>
                <w:lang w:val="en-US" w:eastAsia="zh-CN" w:bidi="ar"/>
              </w:rPr>
              <w:t>外售处理</w:t>
            </w:r>
            <w:r>
              <w:rPr>
                <w:rFonts w:hint="eastAsia"/>
                <w:color w:val="auto"/>
                <w:kern w:val="0"/>
                <w:sz w:val="24"/>
                <w:lang w:bidi="ar"/>
              </w:rPr>
              <w:t>。采取以上措施后，可以有效控制项目运营过程对生态环境影响范围，减缓对生态环境影响程度，措施可行。</w:t>
            </w:r>
          </w:p>
          <w:p w14:paraId="431E24F6">
            <w:pPr>
              <w:pStyle w:val="19"/>
              <w:numPr>
                <w:ilvl w:val="0"/>
                <w:numId w:val="11"/>
              </w:numPr>
              <w:spacing w:before="0" w:beforeAutospacing="0" w:after="0" w:afterAutospacing="0" w:line="360" w:lineRule="auto"/>
              <w:ind w:firstLine="480" w:firstLineChars="200"/>
              <w:outlineLvl w:val="0"/>
              <w:rPr>
                <w:rFonts w:ascii="Times New Roman" w:hAnsi="Times New Roman"/>
                <w:snapToGrid w:val="0"/>
                <w:color w:val="auto"/>
                <w:szCs w:val="24"/>
              </w:rPr>
            </w:pPr>
            <w:r>
              <w:rPr>
                <w:rFonts w:hint="eastAsia" w:ascii="Times New Roman" w:hAnsi="Times New Roman"/>
                <w:snapToGrid w:val="0"/>
                <w:color w:val="auto"/>
                <w:szCs w:val="24"/>
              </w:rPr>
              <w:t>地下水、土壤污染影响分析及环境保护措施</w:t>
            </w:r>
          </w:p>
          <w:p w14:paraId="70F52493">
            <w:pPr>
              <w:widowControl/>
              <w:spacing w:line="360" w:lineRule="auto"/>
              <w:ind w:firstLine="480" w:firstLineChars="200"/>
              <w:jc w:val="left"/>
              <w:rPr>
                <w:color w:val="auto"/>
                <w:kern w:val="0"/>
                <w:sz w:val="24"/>
                <w:lang w:bidi="ar"/>
              </w:rPr>
            </w:pPr>
            <w:r>
              <w:rPr>
                <w:rFonts w:hint="eastAsia"/>
                <w:color w:val="auto"/>
                <w:kern w:val="0"/>
                <w:sz w:val="24"/>
                <w:lang w:bidi="ar"/>
              </w:rPr>
              <w:t>本项目位于内蒙古鄂尔多斯市鄂托克经济开发区棋东项目区，项目周围以工业用地为主，不存在土壤污染途径，因此，本项目可不开展土壤环境影响评价。本项目无生产废水，职工生活污水</w:t>
            </w:r>
            <w:r>
              <w:rPr>
                <w:rFonts w:hint="eastAsia"/>
                <w:color w:val="auto"/>
                <w:kern w:val="0"/>
                <w:sz w:val="24"/>
                <w:lang w:val="en-US" w:eastAsia="zh-CN" w:bidi="ar"/>
              </w:rPr>
              <w:t>排入</w:t>
            </w:r>
            <w:r>
              <w:rPr>
                <w:rFonts w:hint="eastAsia"/>
                <w:color w:val="auto"/>
                <w:kern w:val="0"/>
                <w:sz w:val="24"/>
                <w:lang w:bidi="ar"/>
              </w:rPr>
              <w:t xml:space="preserve">生化污水处理站，出水送至污水深度处理系统进行深度处理后回用厂区，对地下水环境影响较小。 </w:t>
            </w:r>
          </w:p>
          <w:p w14:paraId="5E326462">
            <w:pPr>
              <w:widowControl/>
              <w:spacing w:line="360" w:lineRule="auto"/>
              <w:jc w:val="left"/>
              <w:rPr>
                <w:color w:val="auto"/>
                <w:kern w:val="0"/>
                <w:sz w:val="24"/>
                <w:lang w:bidi="ar"/>
              </w:rPr>
            </w:pPr>
            <w:r>
              <w:rPr>
                <w:rFonts w:hint="eastAsia"/>
                <w:color w:val="auto"/>
                <w:lang w:val="en-US" w:eastAsia="zh-CN"/>
              </w:rPr>
              <w:t xml:space="preserve"> </w:t>
            </w:r>
            <w:r>
              <w:rPr>
                <w:rFonts w:hint="eastAsia"/>
                <w:color w:val="auto"/>
                <w:lang w:val="en-US" w:eastAsia="zh-CN"/>
              </w:rPr>
              <w:t xml:space="preserve">   </w:t>
            </w:r>
            <w:r>
              <w:rPr>
                <w:rFonts w:hint="eastAsia"/>
                <w:color w:val="auto"/>
                <w:kern w:val="0"/>
                <w:sz w:val="24"/>
                <w:lang w:bidi="ar"/>
              </w:rPr>
              <w:t>本项目依托的危险废物暂存</w:t>
            </w:r>
            <w:r>
              <w:rPr>
                <w:rFonts w:hint="eastAsia"/>
                <w:color w:val="auto"/>
                <w:kern w:val="0"/>
                <w:sz w:val="24"/>
                <w:lang w:val="en-US" w:eastAsia="zh-CN" w:bidi="ar"/>
              </w:rPr>
              <w:t>间</w:t>
            </w:r>
            <w:r>
              <w:rPr>
                <w:rFonts w:hint="eastAsia"/>
                <w:color w:val="auto"/>
                <w:kern w:val="0"/>
                <w:sz w:val="24"/>
                <w:lang w:bidi="ar"/>
              </w:rPr>
              <w:t>、生化污水处理站为重点防渗区，依托现有防渗措施</w:t>
            </w:r>
            <w:r>
              <w:rPr>
                <w:rFonts w:hint="eastAsia"/>
                <w:color w:val="auto"/>
                <w:kern w:val="0"/>
                <w:sz w:val="24"/>
                <w:lang w:eastAsia="zh-CN" w:bidi="ar"/>
              </w:rPr>
              <w:t>，</w:t>
            </w:r>
            <w:r>
              <w:rPr>
                <w:rFonts w:hint="eastAsia"/>
                <w:color w:val="auto"/>
                <w:kern w:val="0"/>
                <w:sz w:val="24"/>
                <w:lang w:bidi="ar"/>
              </w:rPr>
              <w:t>危险废物暂存</w:t>
            </w:r>
            <w:r>
              <w:rPr>
                <w:rFonts w:hint="eastAsia"/>
                <w:color w:val="auto"/>
                <w:kern w:val="0"/>
                <w:sz w:val="24"/>
                <w:lang w:val="en-US" w:eastAsia="zh-CN" w:bidi="ar"/>
              </w:rPr>
              <w:t>间的</w:t>
            </w:r>
            <w:r>
              <w:rPr>
                <w:rFonts w:hint="default" w:ascii="Times New Roman" w:hAnsi="Times New Roman" w:cs="Times New Roman"/>
                <w:color w:val="auto"/>
                <w:sz w:val="24"/>
                <w:szCs w:val="24"/>
              </w:rPr>
              <w:t>渗</w:t>
            </w:r>
            <w:r>
              <w:rPr>
                <w:rFonts w:hint="default" w:ascii="Times New Roman" w:hAnsi="Times New Roman" w:eastAsia="宋体" w:cs="Times New Roman"/>
                <w:color w:val="auto"/>
                <w:kern w:val="0"/>
                <w:sz w:val="24"/>
                <w:szCs w:val="24"/>
                <w:lang w:val="en-US" w:eastAsia="zh-CN" w:bidi="ar"/>
              </w:rPr>
              <w:t>透系数</w:t>
            </w:r>
            <w:r>
              <w:rPr>
                <w:rFonts w:hint="default" w:ascii="Times New Roman" w:hAnsi="Times New Roman" w:cs="Times New Roman"/>
                <w:color w:val="auto"/>
                <w:sz w:val="24"/>
                <w:szCs w:val="24"/>
              </w:rPr>
              <w:t>≤1.0</w:t>
            </w:r>
            <w:r>
              <w:rPr>
                <w:rFonts w:hint="default" w:ascii="Times New Roman" w:hAnsi="Times New Roman" w:cs="Times New Roman"/>
                <w:color w:val="auto"/>
                <w:sz w:val="24"/>
                <w:szCs w:val="24"/>
                <w:vertAlign w:val="superscript"/>
              </w:rPr>
              <w:t>-10</w:t>
            </w:r>
            <w:r>
              <w:rPr>
                <w:rFonts w:hint="default" w:ascii="Times New Roman" w:hAnsi="Times New Roman" w:cs="Times New Roman"/>
                <w:color w:val="auto"/>
                <w:sz w:val="24"/>
                <w:szCs w:val="24"/>
              </w:rPr>
              <w:t>cm/s</w:t>
            </w:r>
            <w:r>
              <w:rPr>
                <w:rFonts w:hint="eastAsia" w:ascii="Times New Roman" w:hAnsi="Times New Roman" w:cs="Times New Roman"/>
                <w:color w:val="auto"/>
                <w:sz w:val="24"/>
                <w:szCs w:val="24"/>
                <w:lang w:eastAsia="zh-CN"/>
              </w:rPr>
              <w:t>，</w:t>
            </w:r>
            <w:r>
              <w:rPr>
                <w:rFonts w:hint="eastAsia"/>
                <w:color w:val="auto"/>
                <w:kern w:val="0"/>
                <w:sz w:val="24"/>
                <w:lang w:bidi="ar"/>
              </w:rPr>
              <w:t>生化污水处理站</w:t>
            </w:r>
            <w:r>
              <w:rPr>
                <w:rFonts w:hint="eastAsia"/>
                <w:color w:val="auto"/>
                <w:kern w:val="0"/>
                <w:sz w:val="24"/>
                <w:lang w:eastAsia="zh-CN" w:bidi="ar"/>
              </w:rPr>
              <w:t>的</w:t>
            </w:r>
            <w:r>
              <w:rPr>
                <w:rFonts w:hint="eastAsia"/>
                <w:color w:val="auto"/>
                <w:kern w:val="0"/>
                <w:sz w:val="24"/>
                <w:lang w:bidi="ar"/>
              </w:rPr>
              <w:t>渗透系数</w:t>
            </w:r>
            <w:r>
              <w:rPr>
                <w:rFonts w:hint="eastAsia"/>
                <w:color w:val="auto"/>
                <w:kern w:val="0"/>
                <w:szCs w:val="21"/>
                <w:lang w:bidi="ar"/>
              </w:rPr>
              <w:t>≤</w:t>
            </w:r>
            <w:r>
              <w:rPr>
                <w:rFonts w:hint="eastAsia"/>
                <w:color w:val="auto"/>
                <w:kern w:val="0"/>
                <w:sz w:val="24"/>
                <w:lang w:bidi="ar"/>
              </w:rPr>
              <w:t>1.0×10</w:t>
            </w:r>
            <w:r>
              <w:rPr>
                <w:rFonts w:hint="eastAsia"/>
                <w:color w:val="auto"/>
                <w:kern w:val="0"/>
                <w:sz w:val="24"/>
                <w:vertAlign w:val="superscript"/>
                <w:lang w:bidi="ar"/>
              </w:rPr>
              <w:t>-7</w:t>
            </w:r>
            <w:r>
              <w:rPr>
                <w:rFonts w:hint="eastAsia"/>
                <w:color w:val="auto"/>
                <w:kern w:val="0"/>
                <w:sz w:val="24"/>
                <w:lang w:bidi="ar"/>
              </w:rPr>
              <w:t>cm/s</w:t>
            </w:r>
            <w:r>
              <w:rPr>
                <w:rFonts w:hint="default" w:ascii="Times New Roman" w:hAnsi="Times New Roman" w:cs="Times New Roman"/>
                <w:color w:val="auto"/>
                <w:kern w:val="0"/>
                <w:sz w:val="24"/>
                <w:szCs w:val="24"/>
                <w:lang w:bidi="ar"/>
              </w:rPr>
              <w:t>；事故水</w:t>
            </w:r>
            <w:r>
              <w:rPr>
                <w:rFonts w:hint="eastAsia"/>
                <w:color w:val="auto"/>
                <w:kern w:val="0"/>
                <w:sz w:val="24"/>
                <w:lang w:bidi="ar"/>
              </w:rPr>
              <w:t>池</w:t>
            </w:r>
            <w:r>
              <w:rPr>
                <w:rFonts w:hint="eastAsia"/>
                <w:color w:val="auto"/>
                <w:kern w:val="0"/>
                <w:sz w:val="24"/>
                <w:lang w:eastAsia="zh-CN" w:bidi="ar"/>
              </w:rPr>
              <w:t>、</w:t>
            </w:r>
            <w:r>
              <w:rPr>
                <w:rFonts w:hint="eastAsia"/>
                <w:color w:val="auto"/>
                <w:kern w:val="0"/>
                <w:sz w:val="24"/>
                <w:lang w:val="en-US" w:eastAsia="zh-CN" w:bidi="ar"/>
              </w:rPr>
              <w:t>沉淀池、</w:t>
            </w:r>
            <w:r>
              <w:rPr>
                <w:rFonts w:hint="eastAsia"/>
                <w:color w:val="auto"/>
                <w:kern w:val="0"/>
                <w:sz w:val="24"/>
                <w:lang w:bidi="ar"/>
              </w:rPr>
              <w:t>型焦生产车间、原料仓库、成品仓库为一般防渗区，渗透系数</w:t>
            </w:r>
            <w:r>
              <w:rPr>
                <w:rFonts w:hint="eastAsia"/>
                <w:color w:val="auto"/>
                <w:kern w:val="0"/>
                <w:szCs w:val="21"/>
                <w:lang w:bidi="ar"/>
              </w:rPr>
              <w:t>≤</w:t>
            </w:r>
            <w:r>
              <w:rPr>
                <w:rFonts w:hint="eastAsia"/>
                <w:color w:val="auto"/>
                <w:kern w:val="0"/>
                <w:sz w:val="24"/>
                <w:lang w:bidi="ar"/>
              </w:rPr>
              <w:t>1.0×10</w:t>
            </w:r>
            <w:r>
              <w:rPr>
                <w:rFonts w:hint="eastAsia"/>
                <w:color w:val="auto"/>
                <w:kern w:val="0"/>
                <w:sz w:val="24"/>
                <w:vertAlign w:val="superscript"/>
                <w:lang w:bidi="ar"/>
              </w:rPr>
              <w:t>-7</w:t>
            </w:r>
            <w:r>
              <w:rPr>
                <w:rFonts w:hint="eastAsia"/>
                <w:color w:val="auto"/>
                <w:kern w:val="0"/>
                <w:sz w:val="24"/>
                <w:lang w:bidi="ar"/>
              </w:rPr>
              <w:t>cm/s；办公楼、宿舍、食堂均依托新航焦化现有设置，型焦变电所、型焦控制室、型焦化验室为新建：防渗措施为地面水泥硬化。</w:t>
            </w:r>
          </w:p>
          <w:p w14:paraId="1C1733BE">
            <w:pPr>
              <w:widowControl/>
              <w:spacing w:line="360" w:lineRule="auto"/>
              <w:ind w:firstLine="480" w:firstLineChars="200"/>
              <w:jc w:val="left"/>
              <w:rPr>
                <w:color w:val="auto"/>
                <w:kern w:val="0"/>
                <w:sz w:val="24"/>
                <w:lang w:bidi="ar"/>
              </w:rPr>
            </w:pPr>
            <w:r>
              <w:rPr>
                <w:rFonts w:hint="eastAsia"/>
                <w:color w:val="auto"/>
                <w:kern w:val="0"/>
                <w:sz w:val="24"/>
                <w:lang w:bidi="ar"/>
              </w:rPr>
              <w:t xml:space="preserve"> 生活垃圾依托办公生活区收集设施集中收集；金属杂质收集在型焦生产车间内，外售处理</w:t>
            </w:r>
            <w:r>
              <w:rPr>
                <w:rFonts w:hint="eastAsia"/>
                <w:color w:val="auto"/>
                <w:kern w:val="0"/>
                <w:sz w:val="24"/>
                <w:lang w:eastAsia="zh-CN" w:bidi="ar"/>
              </w:rPr>
              <w:t>；</w:t>
            </w:r>
            <w:r>
              <w:rPr>
                <w:rFonts w:hint="eastAsia"/>
                <w:color w:val="auto"/>
                <w:kern w:val="0"/>
                <w:sz w:val="24"/>
                <w:lang w:val="en-US" w:eastAsia="zh-CN" w:bidi="ar"/>
              </w:rPr>
              <w:t>车辆冲洗沉淀池中的沉淀污泥暂存原料仓库，委托有资质的一般工业固废处置单位规范处置</w:t>
            </w:r>
            <w:r>
              <w:rPr>
                <w:rFonts w:hint="eastAsia"/>
                <w:color w:val="auto"/>
                <w:kern w:val="0"/>
                <w:sz w:val="24"/>
                <w:lang w:bidi="ar"/>
              </w:rPr>
              <w:t>。</w:t>
            </w:r>
          </w:p>
          <w:p w14:paraId="043469F0">
            <w:pPr>
              <w:widowControl/>
              <w:spacing w:line="360" w:lineRule="auto"/>
              <w:ind w:firstLine="480" w:firstLineChars="200"/>
              <w:jc w:val="left"/>
              <w:rPr>
                <w:rFonts w:hint="eastAsia"/>
                <w:color w:val="auto"/>
                <w:kern w:val="0"/>
                <w:sz w:val="24"/>
                <w:lang w:bidi="ar"/>
              </w:rPr>
            </w:pPr>
            <w:r>
              <w:rPr>
                <w:rFonts w:hint="eastAsia"/>
                <w:color w:val="auto"/>
                <w:kern w:val="0"/>
                <w:sz w:val="24"/>
                <w:lang w:bidi="ar"/>
              </w:rPr>
              <w:t>采取上述措施后，本项目的建设对地下水及土壤环境影响较小。</w:t>
            </w:r>
          </w:p>
          <w:p w14:paraId="403F3711">
            <w:pPr>
              <w:pStyle w:val="19"/>
              <w:spacing w:before="0" w:beforeAutospacing="0" w:after="0" w:afterAutospacing="0"/>
              <w:jc w:val="center"/>
              <w:outlineLvl w:val="0"/>
              <w:rPr>
                <w:rFonts w:hint="eastAsia" w:ascii="Times New Roman" w:hAnsi="Times New Roman"/>
                <w:b/>
                <w:bCs/>
                <w:snapToGrid w:val="0"/>
                <w:color w:val="auto"/>
                <w:szCs w:val="24"/>
              </w:rPr>
            </w:pPr>
            <w:r>
              <w:rPr>
                <w:rFonts w:ascii="Times New Roman" w:hAnsi="Times New Roman"/>
                <w:b/>
                <w:bCs/>
                <w:snapToGrid w:val="0"/>
                <w:color w:val="auto"/>
                <w:szCs w:val="24"/>
              </w:rPr>
              <w:t>表</w:t>
            </w:r>
            <w:r>
              <w:rPr>
                <w:rFonts w:hint="eastAsia" w:ascii="Times New Roman" w:hAnsi="Times New Roman"/>
                <w:b/>
                <w:bCs/>
                <w:snapToGrid w:val="0"/>
                <w:color w:val="auto"/>
                <w:szCs w:val="24"/>
              </w:rPr>
              <w:t>4-1</w:t>
            </w:r>
            <w:r>
              <w:rPr>
                <w:rFonts w:hint="eastAsia" w:ascii="Times New Roman" w:hAnsi="Times New Roman"/>
                <w:b/>
                <w:bCs/>
                <w:snapToGrid w:val="0"/>
                <w:color w:val="auto"/>
                <w:szCs w:val="24"/>
                <w:lang w:val="en-US" w:eastAsia="zh-CN"/>
              </w:rPr>
              <w:t>4    本项目防渗措施一览表</w:t>
            </w:r>
            <w:r>
              <w:rPr>
                <w:rFonts w:hint="eastAsia" w:ascii="Times New Roman" w:hAnsi="Times New Roman"/>
                <w:b/>
                <w:bCs/>
                <w:snapToGrid w:val="0"/>
                <w:color w:val="auto"/>
                <w:szCs w:val="24"/>
              </w:rPr>
              <w:t xml:space="preserve">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481"/>
              <w:gridCol w:w="3538"/>
              <w:gridCol w:w="2275"/>
            </w:tblGrid>
            <w:tr w14:paraId="625C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664" w:type="dxa"/>
                  <w:vAlign w:val="center"/>
                </w:tcPr>
                <w:p w14:paraId="7E7E0FD1">
                  <w:pPr>
                    <w:pStyle w:val="19"/>
                    <w:spacing w:before="0" w:beforeAutospacing="0" w:after="0" w:afterAutospacing="0"/>
                    <w:jc w:val="center"/>
                    <w:outlineLvl w:val="0"/>
                    <w:rPr>
                      <w:rFonts w:hint="default"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防渗分区</w:t>
                  </w:r>
                </w:p>
              </w:tc>
              <w:tc>
                <w:tcPr>
                  <w:tcW w:w="1481" w:type="dxa"/>
                  <w:vAlign w:val="center"/>
                </w:tcPr>
                <w:p w14:paraId="43B2A49F">
                  <w:pPr>
                    <w:pStyle w:val="19"/>
                    <w:spacing w:before="0" w:beforeAutospacing="0" w:after="0" w:afterAutospacing="0"/>
                    <w:jc w:val="center"/>
                    <w:outlineLvl w:val="0"/>
                    <w:rPr>
                      <w:rFonts w:hint="default"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防渗位置</w:t>
                  </w:r>
                </w:p>
              </w:tc>
              <w:tc>
                <w:tcPr>
                  <w:tcW w:w="3538" w:type="dxa"/>
                  <w:vAlign w:val="center"/>
                </w:tcPr>
                <w:p w14:paraId="23E1E330">
                  <w:pPr>
                    <w:pStyle w:val="19"/>
                    <w:spacing w:before="0" w:beforeAutospacing="0" w:after="0" w:afterAutospacing="0"/>
                    <w:jc w:val="center"/>
                    <w:outlineLvl w:val="0"/>
                    <w:rPr>
                      <w:rFonts w:hint="default" w:ascii="Times New Roman" w:hAnsi="Times New Roman" w:cs="Times New Roman"/>
                      <w:snapToGrid w:val="0"/>
                      <w:color w:val="auto"/>
                      <w:sz w:val="21"/>
                      <w:szCs w:val="21"/>
                      <w:lang w:val="en-US" w:eastAsia="zh-CN"/>
                    </w:rPr>
                  </w:pPr>
                  <w:r>
                    <w:rPr>
                      <w:rFonts w:hint="default" w:ascii="Times New Roman" w:hAnsi="Times New Roman" w:cs="Times New Roman"/>
                      <w:snapToGrid w:val="0"/>
                      <w:color w:val="auto"/>
                      <w:sz w:val="21"/>
                      <w:szCs w:val="21"/>
                      <w:lang w:val="en-US" w:eastAsia="zh-CN"/>
                    </w:rPr>
                    <w:t>依托</w:t>
                  </w:r>
                  <w:r>
                    <w:rPr>
                      <w:rFonts w:hint="eastAsia" w:ascii="Times New Roman" w:hAnsi="Times New Roman"/>
                      <w:snapToGrid w:val="0"/>
                      <w:color w:val="auto"/>
                      <w:sz w:val="21"/>
                      <w:szCs w:val="21"/>
                      <w:lang w:val="en-US" w:eastAsia="zh-CN"/>
                    </w:rPr>
                    <w:t>防渗要求</w:t>
                  </w:r>
                </w:p>
              </w:tc>
              <w:tc>
                <w:tcPr>
                  <w:tcW w:w="2275" w:type="dxa"/>
                  <w:vAlign w:val="center"/>
                </w:tcPr>
                <w:p w14:paraId="63F98A6B">
                  <w:pPr>
                    <w:pStyle w:val="19"/>
                    <w:spacing w:before="0" w:beforeAutospacing="0" w:after="0" w:afterAutospacing="0"/>
                    <w:jc w:val="center"/>
                    <w:outlineLvl w:val="0"/>
                    <w:rPr>
                      <w:rFonts w:hint="default"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新建防渗要求</w:t>
                  </w:r>
                </w:p>
              </w:tc>
            </w:tr>
            <w:tr w14:paraId="6DBE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664" w:type="dxa"/>
                  <w:vMerge w:val="restart"/>
                  <w:vAlign w:val="center"/>
                </w:tcPr>
                <w:p w14:paraId="1182C870">
                  <w:pPr>
                    <w:pStyle w:val="19"/>
                    <w:spacing w:before="0" w:beforeAutospacing="0" w:after="0" w:afterAutospacing="0"/>
                    <w:jc w:val="center"/>
                    <w:outlineLvl w:val="0"/>
                    <w:rPr>
                      <w:rFonts w:hint="default" w:ascii="Times New Roman" w:hAnsi="Times New Roman" w:eastAsia="宋体"/>
                      <w:snapToGrid w:val="0"/>
                      <w:color w:val="auto"/>
                      <w:sz w:val="21"/>
                      <w:szCs w:val="21"/>
                      <w:lang w:val="en-US" w:eastAsia="zh-CN"/>
                    </w:rPr>
                  </w:pPr>
                  <w:r>
                    <w:rPr>
                      <w:rFonts w:hint="eastAsia" w:ascii="Times New Roman" w:hAnsi="Times New Roman"/>
                      <w:snapToGrid w:val="0"/>
                      <w:color w:val="auto"/>
                      <w:sz w:val="21"/>
                      <w:szCs w:val="21"/>
                      <w:lang w:val="en-US" w:eastAsia="zh-CN"/>
                    </w:rPr>
                    <w:t>重点防渗</w:t>
                  </w:r>
                </w:p>
              </w:tc>
              <w:tc>
                <w:tcPr>
                  <w:tcW w:w="1481" w:type="dxa"/>
                  <w:vAlign w:val="center"/>
                </w:tcPr>
                <w:p w14:paraId="5EB4D0D5">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危废暂存间</w:t>
                  </w:r>
                </w:p>
              </w:tc>
              <w:tc>
                <w:tcPr>
                  <w:tcW w:w="3538" w:type="dxa"/>
                  <w:vAlign w:val="center"/>
                </w:tcPr>
                <w:p w14:paraId="56490726">
                  <w:pPr>
                    <w:pStyle w:val="19"/>
                    <w:spacing w:before="0" w:beforeAutospacing="0" w:after="0" w:afterAutospacing="0"/>
                    <w:jc w:val="center"/>
                    <w:outlineLvl w:val="0"/>
                    <w:rPr>
                      <w:rFonts w:hint="default" w:ascii="Times New Roman" w:hAnsi="Times New Roman" w:cs="Times New Roman"/>
                      <w:snapToGrid w:val="0"/>
                      <w:color w:val="auto"/>
                      <w:sz w:val="21"/>
                      <w:szCs w:val="21"/>
                    </w:rPr>
                  </w:pPr>
                  <w:r>
                    <w:rPr>
                      <w:rFonts w:hint="default" w:ascii="Times New Roman" w:hAnsi="Times New Roman" w:cs="Times New Roman"/>
                      <w:color w:val="auto"/>
                      <w:sz w:val="21"/>
                      <w:szCs w:val="21"/>
                    </w:rPr>
                    <w:t>渗</w:t>
                  </w:r>
                  <w:r>
                    <w:rPr>
                      <w:rFonts w:hint="default" w:ascii="Times New Roman" w:hAnsi="Times New Roman" w:eastAsia="宋体" w:cs="Times New Roman"/>
                      <w:color w:val="auto"/>
                      <w:kern w:val="0"/>
                      <w:sz w:val="21"/>
                      <w:szCs w:val="21"/>
                      <w:lang w:val="en-US" w:eastAsia="zh-CN" w:bidi="ar"/>
                    </w:rPr>
                    <w:t>透系数</w:t>
                  </w:r>
                  <w:r>
                    <w:rPr>
                      <w:rFonts w:hint="default" w:ascii="Times New Roman" w:hAnsi="Times New Roman" w:cs="Times New Roman"/>
                      <w:color w:val="auto"/>
                      <w:sz w:val="21"/>
                      <w:szCs w:val="21"/>
                    </w:rPr>
                    <w:t>≤1.0</w:t>
                  </w:r>
                  <w:r>
                    <w:rPr>
                      <w:rFonts w:hint="default" w:ascii="Times New Roman" w:hAnsi="Times New Roman" w:cs="Times New Roman"/>
                      <w:color w:val="auto"/>
                      <w:sz w:val="21"/>
                      <w:szCs w:val="21"/>
                      <w:vertAlign w:val="superscript"/>
                    </w:rPr>
                    <w:t>-10</w:t>
                  </w:r>
                  <w:r>
                    <w:rPr>
                      <w:rFonts w:hint="default" w:ascii="Times New Roman" w:hAnsi="Times New Roman" w:cs="Times New Roman"/>
                      <w:color w:val="auto"/>
                      <w:sz w:val="21"/>
                      <w:szCs w:val="21"/>
                    </w:rPr>
                    <w:t>cm/s</w:t>
                  </w:r>
                </w:p>
              </w:tc>
              <w:tc>
                <w:tcPr>
                  <w:tcW w:w="2275" w:type="dxa"/>
                  <w:vAlign w:val="center"/>
                </w:tcPr>
                <w:p w14:paraId="32C9D200">
                  <w:pPr>
                    <w:pStyle w:val="19"/>
                    <w:spacing w:before="0" w:beforeAutospacing="0" w:after="0" w:afterAutospacing="0"/>
                    <w:jc w:val="center"/>
                    <w:outlineLvl w:val="0"/>
                    <w:rPr>
                      <w:rFonts w:hint="eastAsia" w:ascii="Times New Roman" w:hAnsi="Times New Roman" w:eastAsia="宋体"/>
                      <w:snapToGrid w:val="0"/>
                      <w:color w:val="auto"/>
                      <w:sz w:val="21"/>
                      <w:szCs w:val="21"/>
                      <w:lang w:eastAsia="zh-CN"/>
                    </w:rPr>
                  </w:pPr>
                  <w:r>
                    <w:rPr>
                      <w:rFonts w:hint="eastAsia" w:ascii="Times New Roman" w:hAnsi="Times New Roman"/>
                      <w:snapToGrid w:val="0"/>
                      <w:color w:val="auto"/>
                      <w:sz w:val="21"/>
                      <w:szCs w:val="21"/>
                      <w:lang w:val="en-US" w:eastAsia="zh-CN"/>
                    </w:rPr>
                    <w:t>/</w:t>
                  </w:r>
                </w:p>
              </w:tc>
            </w:tr>
            <w:tr w14:paraId="3C7C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vMerge w:val="continue"/>
                  <w:vAlign w:val="center"/>
                </w:tcPr>
                <w:p w14:paraId="63D6EDFA">
                  <w:pPr>
                    <w:pStyle w:val="19"/>
                    <w:spacing w:before="0" w:beforeAutospacing="0" w:after="0" w:afterAutospacing="0"/>
                    <w:jc w:val="center"/>
                    <w:outlineLvl w:val="0"/>
                    <w:rPr>
                      <w:rFonts w:hint="eastAsia" w:ascii="Times New Roman" w:hAnsi="Times New Roman"/>
                      <w:snapToGrid w:val="0"/>
                      <w:color w:val="auto"/>
                      <w:sz w:val="21"/>
                      <w:szCs w:val="21"/>
                    </w:rPr>
                  </w:pPr>
                </w:p>
              </w:tc>
              <w:tc>
                <w:tcPr>
                  <w:tcW w:w="1481" w:type="dxa"/>
                  <w:vAlign w:val="center"/>
                </w:tcPr>
                <w:p w14:paraId="3A011512">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生化污水</w:t>
                  </w:r>
                </w:p>
                <w:p w14:paraId="464311EE">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处理站</w:t>
                  </w:r>
                </w:p>
              </w:tc>
              <w:tc>
                <w:tcPr>
                  <w:tcW w:w="3538" w:type="dxa"/>
                  <w:vAlign w:val="center"/>
                </w:tcPr>
                <w:p w14:paraId="3A54581F">
                  <w:pPr>
                    <w:keepNext w:val="0"/>
                    <w:keepLines w:val="0"/>
                    <w:widowControl/>
                    <w:suppressLineNumbers w:val="0"/>
                    <w:jc w:val="center"/>
                    <w:rPr>
                      <w:rFonts w:hint="default" w:ascii="Times New Roman" w:hAnsi="Times New Roman" w:cs="Times New Roman"/>
                      <w:snapToGrid w:val="0"/>
                      <w:color w:val="auto"/>
                      <w:sz w:val="21"/>
                      <w:szCs w:val="21"/>
                    </w:rPr>
                  </w:pPr>
                  <w:r>
                    <w:rPr>
                      <w:rFonts w:hint="default" w:ascii="Times New Roman" w:hAnsi="Times New Roman" w:cs="Times New Roman"/>
                      <w:color w:val="auto"/>
                      <w:sz w:val="21"/>
                      <w:szCs w:val="21"/>
                    </w:rPr>
                    <w:t>渗</w:t>
                  </w:r>
                  <w:r>
                    <w:rPr>
                      <w:rFonts w:hint="default" w:ascii="Times New Roman" w:hAnsi="Times New Roman" w:eastAsia="宋体" w:cs="Times New Roman"/>
                      <w:color w:val="auto"/>
                      <w:kern w:val="0"/>
                      <w:sz w:val="21"/>
                      <w:szCs w:val="21"/>
                      <w:lang w:val="en-US" w:eastAsia="zh-CN" w:bidi="ar"/>
                    </w:rPr>
                    <w:t>透系数</w:t>
                  </w:r>
                  <w:r>
                    <w:rPr>
                      <w:rFonts w:hint="default" w:ascii="Times New Roman" w:hAnsi="Times New Roman" w:cs="Times New Roman"/>
                      <w:color w:val="auto"/>
                      <w:sz w:val="21"/>
                      <w:szCs w:val="21"/>
                    </w:rPr>
                    <w:t>≤1.0</w:t>
                  </w:r>
                  <w:r>
                    <w:rPr>
                      <w:rFonts w:hint="default" w:ascii="Times New Roman" w:hAnsi="Times New Roman" w:cs="Times New Roman"/>
                      <w:color w:val="auto"/>
                      <w:sz w:val="21"/>
                      <w:szCs w:val="21"/>
                      <w:vertAlign w:val="superscript"/>
                    </w:rPr>
                    <w:t>-</w:t>
                  </w:r>
                  <w:r>
                    <w:rPr>
                      <w:rFonts w:hint="eastAsia" w:ascii="Times New Roman" w:hAnsi="Times New Roman" w:cs="Times New Roman"/>
                      <w:color w:val="auto"/>
                      <w:sz w:val="21"/>
                      <w:szCs w:val="21"/>
                      <w:vertAlign w:val="superscript"/>
                      <w:lang w:val="en-US" w:eastAsia="zh-CN"/>
                    </w:rPr>
                    <w:t>7</w:t>
                  </w:r>
                  <w:r>
                    <w:rPr>
                      <w:rFonts w:hint="default" w:ascii="Times New Roman" w:hAnsi="Times New Roman" w:cs="Times New Roman"/>
                      <w:color w:val="auto"/>
                      <w:sz w:val="21"/>
                      <w:szCs w:val="21"/>
                    </w:rPr>
                    <w:t>cm/s</w:t>
                  </w:r>
                </w:p>
              </w:tc>
              <w:tc>
                <w:tcPr>
                  <w:tcW w:w="2275" w:type="dxa"/>
                  <w:vAlign w:val="center"/>
                </w:tcPr>
                <w:p w14:paraId="140FDD42">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Times New Roman" w:hAnsi="Times New Roman"/>
                      <w:snapToGrid w:val="0"/>
                      <w:color w:val="auto"/>
                      <w:sz w:val="21"/>
                      <w:szCs w:val="21"/>
                      <w:lang w:val="en-US" w:eastAsia="zh-CN"/>
                    </w:rPr>
                    <w:t>/</w:t>
                  </w:r>
                </w:p>
              </w:tc>
            </w:tr>
            <w:tr w14:paraId="686D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4" w:type="dxa"/>
                  <w:vMerge w:val="restart"/>
                  <w:vAlign w:val="center"/>
                </w:tcPr>
                <w:p w14:paraId="295782BD">
                  <w:pPr>
                    <w:pStyle w:val="19"/>
                    <w:spacing w:before="0" w:beforeAutospacing="0" w:after="0" w:afterAutospacing="0"/>
                    <w:jc w:val="center"/>
                    <w:outlineLvl w:val="0"/>
                    <w:rPr>
                      <w:rFonts w:hint="default" w:ascii="Times New Roman" w:hAnsi="Times New Roman" w:eastAsia="宋体"/>
                      <w:snapToGrid w:val="0"/>
                      <w:color w:val="auto"/>
                      <w:sz w:val="21"/>
                      <w:szCs w:val="21"/>
                      <w:lang w:val="en-US" w:eastAsia="zh-CN"/>
                    </w:rPr>
                  </w:pPr>
                  <w:r>
                    <w:rPr>
                      <w:rFonts w:hint="eastAsia" w:ascii="Times New Roman" w:hAnsi="Times New Roman"/>
                      <w:snapToGrid w:val="0"/>
                      <w:color w:val="auto"/>
                      <w:sz w:val="21"/>
                      <w:szCs w:val="21"/>
                      <w:lang w:val="en-US" w:eastAsia="zh-CN"/>
                    </w:rPr>
                    <w:t>一般防渗</w:t>
                  </w:r>
                </w:p>
              </w:tc>
              <w:tc>
                <w:tcPr>
                  <w:tcW w:w="1481" w:type="dxa"/>
                  <w:vAlign w:val="center"/>
                </w:tcPr>
                <w:p w14:paraId="4A823124">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宋体" w:hAnsi="宋体" w:eastAsia="宋体" w:cs="宋体"/>
                      <w:color w:val="auto"/>
                      <w:kern w:val="0"/>
                      <w:sz w:val="20"/>
                      <w:szCs w:val="20"/>
                      <w:lang w:val="en-US" w:eastAsia="zh-CN" w:bidi="ar"/>
                    </w:rPr>
                    <w:t>事故水池</w:t>
                  </w:r>
                </w:p>
              </w:tc>
              <w:tc>
                <w:tcPr>
                  <w:tcW w:w="3538" w:type="dxa"/>
                  <w:vAlign w:val="center"/>
                </w:tcPr>
                <w:p w14:paraId="78976E4A">
                  <w:pPr>
                    <w:pStyle w:val="19"/>
                    <w:spacing w:before="0" w:beforeAutospacing="0" w:after="0" w:afterAutospacing="0"/>
                    <w:jc w:val="center"/>
                    <w:outlineLvl w:val="0"/>
                    <w:rPr>
                      <w:rFonts w:hint="default" w:ascii="Times New Roman" w:hAnsi="Times New Roman" w:cs="Times New Roman"/>
                      <w:snapToGrid w:val="0"/>
                      <w:color w:val="auto"/>
                      <w:sz w:val="21"/>
                      <w:szCs w:val="21"/>
                    </w:rPr>
                  </w:pPr>
                  <w:r>
                    <w:rPr>
                      <w:rFonts w:hint="default" w:ascii="Times New Roman" w:hAnsi="Times New Roman" w:eastAsia="宋体" w:cs="Times New Roman"/>
                      <w:color w:val="auto"/>
                      <w:kern w:val="0"/>
                      <w:sz w:val="20"/>
                      <w:szCs w:val="20"/>
                      <w:lang w:val="en-US" w:eastAsia="zh-CN" w:bidi="ar"/>
                    </w:rPr>
                    <w:t>渗透系数</w:t>
                  </w:r>
                  <w:r>
                    <w:rPr>
                      <w:rFonts w:hint="default" w:ascii="Times New Roman" w:hAnsi="Times New Roman" w:cs="Times New Roman"/>
                      <w:color w:val="auto"/>
                      <w:kern w:val="0"/>
                      <w:sz w:val="21"/>
                      <w:szCs w:val="21"/>
                      <w:lang w:bidi="ar"/>
                    </w:rPr>
                    <w:t>≤10</w:t>
                  </w:r>
                  <w:r>
                    <w:rPr>
                      <w:rFonts w:hint="default" w:ascii="Times New Roman" w:hAnsi="Times New Roman" w:cs="Times New Roman"/>
                      <w:color w:val="auto"/>
                      <w:kern w:val="0"/>
                      <w:sz w:val="21"/>
                      <w:szCs w:val="21"/>
                      <w:vertAlign w:val="superscript"/>
                      <w:lang w:val="en-US" w:eastAsia="zh-CN" w:bidi="ar"/>
                    </w:rPr>
                    <w:t>-</w:t>
                  </w:r>
                  <w:r>
                    <w:rPr>
                      <w:rFonts w:hint="default" w:ascii="Times New Roman" w:hAnsi="Times New Roman" w:cs="Times New Roman"/>
                      <w:color w:val="auto"/>
                      <w:kern w:val="0"/>
                      <w:sz w:val="21"/>
                      <w:szCs w:val="21"/>
                      <w:vertAlign w:val="superscript"/>
                      <w:lang w:bidi="ar"/>
                    </w:rPr>
                    <w:t>7</w:t>
                  </w:r>
                  <w:r>
                    <w:rPr>
                      <w:rFonts w:hint="default" w:ascii="Times New Roman" w:hAnsi="Times New Roman" w:cs="Times New Roman"/>
                      <w:color w:val="auto"/>
                      <w:kern w:val="0"/>
                      <w:sz w:val="21"/>
                      <w:szCs w:val="21"/>
                      <w:lang w:bidi="ar"/>
                    </w:rPr>
                    <w:t>cm/s</w:t>
                  </w:r>
                </w:p>
              </w:tc>
              <w:tc>
                <w:tcPr>
                  <w:tcW w:w="2275" w:type="dxa"/>
                  <w:vAlign w:val="center"/>
                </w:tcPr>
                <w:p w14:paraId="54C1E0E4">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Times New Roman" w:hAnsi="Times New Roman"/>
                      <w:snapToGrid w:val="0"/>
                      <w:color w:val="auto"/>
                      <w:sz w:val="21"/>
                      <w:szCs w:val="21"/>
                      <w:lang w:val="en-US" w:eastAsia="zh-CN"/>
                    </w:rPr>
                    <w:t>/</w:t>
                  </w:r>
                </w:p>
              </w:tc>
            </w:tr>
            <w:tr w14:paraId="3141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64" w:type="dxa"/>
                  <w:vMerge w:val="continue"/>
                  <w:vAlign w:val="center"/>
                </w:tcPr>
                <w:p w14:paraId="1F62F8EB">
                  <w:pPr>
                    <w:pStyle w:val="19"/>
                    <w:spacing w:before="0" w:beforeAutospacing="0" w:after="0" w:afterAutospacing="0"/>
                    <w:jc w:val="center"/>
                    <w:outlineLvl w:val="0"/>
                    <w:rPr>
                      <w:rFonts w:hint="eastAsia" w:ascii="Times New Roman" w:hAnsi="Times New Roman"/>
                      <w:snapToGrid w:val="0"/>
                      <w:color w:val="auto"/>
                      <w:sz w:val="21"/>
                      <w:szCs w:val="21"/>
                    </w:rPr>
                  </w:pPr>
                </w:p>
              </w:tc>
              <w:tc>
                <w:tcPr>
                  <w:tcW w:w="1481" w:type="dxa"/>
                  <w:vAlign w:val="center"/>
                </w:tcPr>
                <w:p w14:paraId="5151A6AC">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沉淀池</w:t>
                  </w:r>
                </w:p>
              </w:tc>
              <w:tc>
                <w:tcPr>
                  <w:tcW w:w="3538" w:type="dxa"/>
                  <w:vAlign w:val="center"/>
                </w:tcPr>
                <w:p w14:paraId="66208B8D">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Times New Roman" w:hAnsi="Times New Roman"/>
                      <w:snapToGrid w:val="0"/>
                      <w:color w:val="auto"/>
                      <w:sz w:val="21"/>
                      <w:szCs w:val="21"/>
                      <w:lang w:val="en-US" w:eastAsia="zh-CN"/>
                    </w:rPr>
                    <w:t>/</w:t>
                  </w:r>
                </w:p>
              </w:tc>
              <w:tc>
                <w:tcPr>
                  <w:tcW w:w="2275" w:type="dxa"/>
                  <w:vAlign w:val="center"/>
                </w:tcPr>
                <w:p w14:paraId="1AB719E3">
                  <w:pPr>
                    <w:pStyle w:val="19"/>
                    <w:spacing w:before="0" w:beforeAutospacing="0" w:after="0" w:afterAutospacing="0"/>
                    <w:jc w:val="center"/>
                    <w:outlineLvl w:val="0"/>
                    <w:rPr>
                      <w:rFonts w:hint="default" w:ascii="Times New Roman" w:hAnsi="Times New Roman" w:cs="Times New Roman"/>
                      <w:snapToGrid w:val="0"/>
                      <w:color w:val="auto"/>
                      <w:sz w:val="21"/>
                      <w:szCs w:val="21"/>
                    </w:rPr>
                  </w:pPr>
                  <w:r>
                    <w:rPr>
                      <w:rFonts w:hint="default" w:ascii="Times New Roman" w:hAnsi="Times New Roman" w:cs="Times New Roman"/>
                      <w:color w:val="auto"/>
                      <w:sz w:val="21"/>
                      <w:szCs w:val="21"/>
                    </w:rPr>
                    <w:t>等效黏土防渗层Mb≥1.5m，渗透系数≤1.0×10</w:t>
                  </w:r>
                  <w:r>
                    <w:rPr>
                      <w:rFonts w:hint="default" w:ascii="Times New Roman" w:hAnsi="Times New Roman" w:cs="Times New Roman"/>
                      <w:color w:val="auto"/>
                      <w:sz w:val="21"/>
                      <w:szCs w:val="21"/>
                      <w:vertAlign w:val="superscript"/>
                    </w:rPr>
                    <w:t>-7</w:t>
                  </w:r>
                  <w:r>
                    <w:rPr>
                      <w:rFonts w:hint="default" w:ascii="Times New Roman" w:hAnsi="Times New Roman" w:cs="Times New Roman"/>
                      <w:color w:val="auto"/>
                      <w:sz w:val="21"/>
                      <w:szCs w:val="21"/>
                    </w:rPr>
                    <w:t>cm/s</w:t>
                  </w:r>
                </w:p>
              </w:tc>
            </w:tr>
            <w:tr w14:paraId="4A7E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664" w:type="dxa"/>
                  <w:vMerge w:val="continue"/>
                  <w:vAlign w:val="center"/>
                </w:tcPr>
                <w:p w14:paraId="5748821E">
                  <w:pPr>
                    <w:pStyle w:val="19"/>
                    <w:spacing w:before="0" w:beforeAutospacing="0" w:after="0" w:afterAutospacing="0"/>
                    <w:jc w:val="center"/>
                    <w:outlineLvl w:val="0"/>
                    <w:rPr>
                      <w:rFonts w:hint="eastAsia" w:ascii="Times New Roman" w:hAnsi="Times New Roman"/>
                      <w:snapToGrid w:val="0"/>
                      <w:color w:val="auto"/>
                      <w:sz w:val="21"/>
                      <w:szCs w:val="21"/>
                    </w:rPr>
                  </w:pPr>
                </w:p>
              </w:tc>
              <w:tc>
                <w:tcPr>
                  <w:tcW w:w="1481" w:type="dxa"/>
                  <w:vAlign w:val="center"/>
                </w:tcPr>
                <w:p w14:paraId="4EAF1049">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型焦生产车间</w:t>
                  </w:r>
                </w:p>
              </w:tc>
              <w:tc>
                <w:tcPr>
                  <w:tcW w:w="3538" w:type="dxa"/>
                  <w:vAlign w:val="center"/>
                </w:tcPr>
                <w:p w14:paraId="08984A77">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Times New Roman" w:hAnsi="Times New Roman"/>
                      <w:snapToGrid w:val="0"/>
                      <w:color w:val="auto"/>
                      <w:sz w:val="21"/>
                      <w:szCs w:val="21"/>
                      <w:lang w:val="en-US" w:eastAsia="zh-CN"/>
                    </w:rPr>
                    <w:t>/</w:t>
                  </w:r>
                </w:p>
              </w:tc>
              <w:tc>
                <w:tcPr>
                  <w:tcW w:w="2275" w:type="dxa"/>
                  <w:vAlign w:val="center"/>
                </w:tcPr>
                <w:p w14:paraId="10422036">
                  <w:pPr>
                    <w:pStyle w:val="19"/>
                    <w:spacing w:before="0" w:beforeAutospacing="0" w:after="0" w:afterAutospacing="0"/>
                    <w:jc w:val="center"/>
                    <w:outlineLvl w:val="0"/>
                    <w:rPr>
                      <w:rFonts w:hint="default" w:ascii="Times New Roman" w:hAnsi="Times New Roman" w:cs="Times New Roman"/>
                      <w:snapToGrid w:val="0"/>
                      <w:color w:val="auto"/>
                      <w:sz w:val="21"/>
                      <w:szCs w:val="21"/>
                    </w:rPr>
                  </w:pPr>
                  <w:r>
                    <w:rPr>
                      <w:rFonts w:hint="default" w:ascii="Times New Roman" w:hAnsi="Times New Roman" w:cs="Times New Roman"/>
                      <w:color w:val="auto"/>
                      <w:sz w:val="21"/>
                      <w:szCs w:val="21"/>
                    </w:rPr>
                    <w:t>等效黏土防渗层Mb≥1.5m，渗透系数≤1.0×10</w:t>
                  </w:r>
                  <w:r>
                    <w:rPr>
                      <w:rFonts w:hint="default" w:ascii="Times New Roman" w:hAnsi="Times New Roman" w:cs="Times New Roman"/>
                      <w:color w:val="auto"/>
                      <w:sz w:val="21"/>
                      <w:szCs w:val="21"/>
                      <w:vertAlign w:val="superscript"/>
                    </w:rPr>
                    <w:t>-7</w:t>
                  </w:r>
                  <w:r>
                    <w:rPr>
                      <w:rFonts w:hint="default" w:ascii="Times New Roman" w:hAnsi="Times New Roman" w:cs="Times New Roman"/>
                      <w:color w:val="auto"/>
                      <w:sz w:val="21"/>
                      <w:szCs w:val="21"/>
                    </w:rPr>
                    <w:t>cm/s</w:t>
                  </w:r>
                </w:p>
              </w:tc>
            </w:tr>
            <w:tr w14:paraId="1B11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64" w:type="dxa"/>
                  <w:vMerge w:val="continue"/>
                  <w:vAlign w:val="center"/>
                </w:tcPr>
                <w:p w14:paraId="1B8D3884">
                  <w:pPr>
                    <w:pStyle w:val="19"/>
                    <w:spacing w:before="0" w:beforeAutospacing="0" w:after="0" w:afterAutospacing="0"/>
                    <w:jc w:val="center"/>
                    <w:outlineLvl w:val="0"/>
                    <w:rPr>
                      <w:rFonts w:hint="eastAsia" w:ascii="Times New Roman" w:hAnsi="Times New Roman"/>
                      <w:snapToGrid w:val="0"/>
                      <w:color w:val="auto"/>
                      <w:sz w:val="21"/>
                      <w:szCs w:val="21"/>
                    </w:rPr>
                  </w:pPr>
                </w:p>
              </w:tc>
              <w:tc>
                <w:tcPr>
                  <w:tcW w:w="1481" w:type="dxa"/>
                  <w:vAlign w:val="center"/>
                </w:tcPr>
                <w:p w14:paraId="7578696A">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原料仓库</w:t>
                  </w:r>
                </w:p>
              </w:tc>
              <w:tc>
                <w:tcPr>
                  <w:tcW w:w="3538" w:type="dxa"/>
                  <w:vAlign w:val="center"/>
                </w:tcPr>
                <w:p w14:paraId="75C64643">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Times New Roman" w:hAnsi="Times New Roman"/>
                      <w:snapToGrid w:val="0"/>
                      <w:color w:val="auto"/>
                      <w:sz w:val="21"/>
                      <w:szCs w:val="21"/>
                      <w:lang w:val="en-US" w:eastAsia="zh-CN"/>
                    </w:rPr>
                    <w:t>/</w:t>
                  </w:r>
                </w:p>
              </w:tc>
              <w:tc>
                <w:tcPr>
                  <w:tcW w:w="2275" w:type="dxa"/>
                  <w:vAlign w:val="center"/>
                </w:tcPr>
                <w:p w14:paraId="63DC7074">
                  <w:pPr>
                    <w:pStyle w:val="19"/>
                    <w:spacing w:before="0" w:beforeAutospacing="0" w:after="0" w:afterAutospacing="0"/>
                    <w:jc w:val="center"/>
                    <w:outlineLvl w:val="0"/>
                    <w:rPr>
                      <w:rFonts w:hint="default" w:ascii="Times New Roman" w:hAnsi="Times New Roman" w:cs="Times New Roman"/>
                      <w:snapToGrid w:val="0"/>
                      <w:color w:val="auto"/>
                      <w:sz w:val="21"/>
                      <w:szCs w:val="21"/>
                    </w:rPr>
                  </w:pPr>
                  <w:r>
                    <w:rPr>
                      <w:rFonts w:hint="default" w:ascii="Times New Roman" w:hAnsi="Times New Roman" w:cs="Times New Roman"/>
                      <w:color w:val="auto"/>
                      <w:sz w:val="21"/>
                      <w:szCs w:val="21"/>
                    </w:rPr>
                    <w:t>等效黏土防渗层Mb≥1.5m，渗透系数≤1.0×10</w:t>
                  </w:r>
                  <w:r>
                    <w:rPr>
                      <w:rFonts w:hint="default" w:ascii="Times New Roman" w:hAnsi="Times New Roman" w:cs="Times New Roman"/>
                      <w:color w:val="auto"/>
                      <w:sz w:val="21"/>
                      <w:szCs w:val="21"/>
                      <w:vertAlign w:val="superscript"/>
                    </w:rPr>
                    <w:t>-7</w:t>
                  </w:r>
                  <w:r>
                    <w:rPr>
                      <w:rFonts w:hint="default" w:ascii="Times New Roman" w:hAnsi="Times New Roman" w:cs="Times New Roman"/>
                      <w:color w:val="auto"/>
                      <w:sz w:val="21"/>
                      <w:szCs w:val="21"/>
                    </w:rPr>
                    <w:t>cm/s</w:t>
                  </w:r>
                </w:p>
              </w:tc>
            </w:tr>
            <w:tr w14:paraId="06E7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64" w:type="dxa"/>
                  <w:vMerge w:val="continue"/>
                  <w:vAlign w:val="center"/>
                </w:tcPr>
                <w:p w14:paraId="2937F454">
                  <w:pPr>
                    <w:pStyle w:val="19"/>
                    <w:spacing w:before="0" w:beforeAutospacing="0" w:after="0" w:afterAutospacing="0"/>
                    <w:jc w:val="center"/>
                    <w:outlineLvl w:val="0"/>
                    <w:rPr>
                      <w:rFonts w:hint="eastAsia" w:ascii="Times New Roman" w:hAnsi="Times New Roman"/>
                      <w:snapToGrid w:val="0"/>
                      <w:color w:val="auto"/>
                      <w:sz w:val="21"/>
                      <w:szCs w:val="21"/>
                    </w:rPr>
                  </w:pPr>
                </w:p>
              </w:tc>
              <w:tc>
                <w:tcPr>
                  <w:tcW w:w="1481" w:type="dxa"/>
                  <w:vAlign w:val="center"/>
                </w:tcPr>
                <w:p w14:paraId="758C92E7">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成品仓库</w:t>
                  </w:r>
                </w:p>
              </w:tc>
              <w:tc>
                <w:tcPr>
                  <w:tcW w:w="3538" w:type="dxa"/>
                  <w:vAlign w:val="center"/>
                </w:tcPr>
                <w:p w14:paraId="3D319CE6">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Times New Roman" w:hAnsi="Times New Roman"/>
                      <w:snapToGrid w:val="0"/>
                      <w:color w:val="auto"/>
                      <w:sz w:val="21"/>
                      <w:szCs w:val="21"/>
                      <w:lang w:val="en-US" w:eastAsia="zh-CN"/>
                    </w:rPr>
                    <w:t>/</w:t>
                  </w:r>
                </w:p>
              </w:tc>
              <w:tc>
                <w:tcPr>
                  <w:tcW w:w="2275" w:type="dxa"/>
                  <w:vAlign w:val="center"/>
                </w:tcPr>
                <w:p w14:paraId="4378738C">
                  <w:pPr>
                    <w:pStyle w:val="19"/>
                    <w:spacing w:before="0" w:beforeAutospacing="0" w:after="0" w:afterAutospacing="0"/>
                    <w:jc w:val="center"/>
                    <w:outlineLvl w:val="0"/>
                    <w:rPr>
                      <w:rFonts w:hint="default" w:ascii="Times New Roman" w:hAnsi="Times New Roman" w:cs="Times New Roman"/>
                      <w:snapToGrid w:val="0"/>
                      <w:color w:val="auto"/>
                      <w:sz w:val="21"/>
                      <w:szCs w:val="21"/>
                    </w:rPr>
                  </w:pPr>
                  <w:r>
                    <w:rPr>
                      <w:rFonts w:hint="default" w:ascii="Times New Roman" w:hAnsi="Times New Roman" w:cs="Times New Roman"/>
                      <w:color w:val="auto"/>
                      <w:sz w:val="21"/>
                      <w:szCs w:val="21"/>
                    </w:rPr>
                    <w:t>等效黏土防渗层Mb≥1.5m，渗透系数≤1.0×10</w:t>
                  </w:r>
                  <w:r>
                    <w:rPr>
                      <w:rFonts w:hint="default" w:ascii="Times New Roman" w:hAnsi="Times New Roman" w:cs="Times New Roman"/>
                      <w:color w:val="auto"/>
                      <w:sz w:val="21"/>
                      <w:szCs w:val="21"/>
                      <w:vertAlign w:val="superscript"/>
                    </w:rPr>
                    <w:t>-7</w:t>
                  </w:r>
                  <w:r>
                    <w:rPr>
                      <w:rFonts w:hint="default" w:ascii="Times New Roman" w:hAnsi="Times New Roman" w:cs="Times New Roman"/>
                      <w:color w:val="auto"/>
                      <w:sz w:val="21"/>
                      <w:szCs w:val="21"/>
                    </w:rPr>
                    <w:t>cm/s</w:t>
                  </w:r>
                </w:p>
              </w:tc>
            </w:tr>
            <w:tr w14:paraId="73A0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64" w:type="dxa"/>
                  <w:vMerge w:val="restart"/>
                  <w:vAlign w:val="center"/>
                </w:tcPr>
                <w:p w14:paraId="4E01E358">
                  <w:pPr>
                    <w:pStyle w:val="19"/>
                    <w:spacing w:before="0" w:beforeAutospacing="0" w:after="0" w:afterAutospacing="0"/>
                    <w:jc w:val="center"/>
                    <w:outlineLvl w:val="0"/>
                    <w:rPr>
                      <w:rFonts w:hint="default" w:ascii="Times New Roman" w:hAnsi="Times New Roman" w:eastAsia="宋体"/>
                      <w:snapToGrid w:val="0"/>
                      <w:color w:val="auto"/>
                      <w:sz w:val="21"/>
                      <w:szCs w:val="21"/>
                      <w:lang w:val="en-US" w:eastAsia="zh-CN"/>
                    </w:rPr>
                  </w:pPr>
                  <w:r>
                    <w:rPr>
                      <w:rFonts w:hint="eastAsia" w:ascii="Times New Roman" w:hAnsi="Times New Roman"/>
                      <w:snapToGrid w:val="0"/>
                      <w:color w:val="auto"/>
                      <w:sz w:val="21"/>
                      <w:szCs w:val="21"/>
                      <w:lang w:val="en-US" w:eastAsia="zh-CN"/>
                    </w:rPr>
                    <w:t>简单防渗</w:t>
                  </w:r>
                </w:p>
              </w:tc>
              <w:tc>
                <w:tcPr>
                  <w:tcW w:w="1481" w:type="dxa"/>
                  <w:vAlign w:val="center"/>
                </w:tcPr>
                <w:p w14:paraId="6537C058">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办公楼</w:t>
                  </w:r>
                </w:p>
              </w:tc>
              <w:tc>
                <w:tcPr>
                  <w:tcW w:w="3538" w:type="dxa"/>
                  <w:vAlign w:val="center"/>
                </w:tcPr>
                <w:p w14:paraId="6C43CFE9">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Times New Roman" w:hAnsi="Times New Roman"/>
                      <w:snapToGrid w:val="0"/>
                      <w:color w:val="auto"/>
                      <w:sz w:val="21"/>
                      <w:szCs w:val="21"/>
                      <w:lang w:val="en-US" w:eastAsia="zh-CN"/>
                    </w:rPr>
                    <w:t>地面采用水退砂浆地面</w:t>
                  </w:r>
                </w:p>
              </w:tc>
              <w:tc>
                <w:tcPr>
                  <w:tcW w:w="2275" w:type="dxa"/>
                  <w:vAlign w:val="center"/>
                </w:tcPr>
                <w:p w14:paraId="065C7E95">
                  <w:pPr>
                    <w:pStyle w:val="19"/>
                    <w:spacing w:before="0" w:beforeAutospacing="0" w:after="0" w:afterAutospacing="0"/>
                    <w:jc w:val="center"/>
                    <w:outlineLvl w:val="0"/>
                    <w:rPr>
                      <w:rFonts w:hint="eastAsia" w:ascii="Times New Roman" w:hAnsi="Times New Roman" w:eastAsia="宋体"/>
                      <w:snapToGrid w:val="0"/>
                      <w:color w:val="auto"/>
                      <w:sz w:val="21"/>
                      <w:szCs w:val="21"/>
                      <w:lang w:val="en-US" w:eastAsia="zh-CN"/>
                    </w:rPr>
                  </w:pPr>
                  <w:r>
                    <w:rPr>
                      <w:rFonts w:hint="eastAsia" w:ascii="Times New Roman" w:hAnsi="Times New Roman"/>
                      <w:snapToGrid w:val="0"/>
                      <w:color w:val="auto"/>
                      <w:sz w:val="21"/>
                      <w:szCs w:val="21"/>
                      <w:lang w:val="en-US" w:eastAsia="zh-CN"/>
                    </w:rPr>
                    <w:t>/</w:t>
                  </w:r>
                </w:p>
              </w:tc>
            </w:tr>
            <w:tr w14:paraId="3DCD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64" w:type="dxa"/>
                  <w:vMerge w:val="continue"/>
                  <w:vAlign w:val="center"/>
                </w:tcPr>
                <w:p w14:paraId="27C9BC75">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p>
              </w:tc>
              <w:tc>
                <w:tcPr>
                  <w:tcW w:w="1481" w:type="dxa"/>
                  <w:vAlign w:val="center"/>
                </w:tcPr>
                <w:p w14:paraId="06C21126">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宿舍</w:t>
                  </w:r>
                </w:p>
              </w:tc>
              <w:tc>
                <w:tcPr>
                  <w:tcW w:w="3538" w:type="dxa"/>
                  <w:vAlign w:val="center"/>
                </w:tcPr>
                <w:p w14:paraId="78294007">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地面采用水退砂浆地面</w:t>
                  </w:r>
                </w:p>
              </w:tc>
              <w:tc>
                <w:tcPr>
                  <w:tcW w:w="2275" w:type="dxa"/>
                  <w:vAlign w:val="center"/>
                </w:tcPr>
                <w:p w14:paraId="27E447E3">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Times New Roman" w:hAnsi="Times New Roman"/>
                      <w:snapToGrid w:val="0"/>
                      <w:color w:val="auto"/>
                      <w:sz w:val="21"/>
                      <w:szCs w:val="21"/>
                      <w:lang w:val="en-US" w:eastAsia="zh-CN"/>
                    </w:rPr>
                    <w:t>/</w:t>
                  </w:r>
                </w:p>
              </w:tc>
            </w:tr>
            <w:tr w14:paraId="62D3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64" w:type="dxa"/>
                  <w:vMerge w:val="continue"/>
                  <w:vAlign w:val="center"/>
                </w:tcPr>
                <w:p w14:paraId="6F8C861E">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p>
              </w:tc>
              <w:tc>
                <w:tcPr>
                  <w:tcW w:w="1481" w:type="dxa"/>
                  <w:vAlign w:val="center"/>
                </w:tcPr>
                <w:p w14:paraId="3377F6B2">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食堂</w:t>
                  </w:r>
                </w:p>
              </w:tc>
              <w:tc>
                <w:tcPr>
                  <w:tcW w:w="3538" w:type="dxa"/>
                  <w:vAlign w:val="center"/>
                </w:tcPr>
                <w:p w14:paraId="7F17D86A">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地面采用水退砂浆地面</w:t>
                  </w:r>
                </w:p>
              </w:tc>
              <w:tc>
                <w:tcPr>
                  <w:tcW w:w="2275" w:type="dxa"/>
                  <w:vAlign w:val="center"/>
                </w:tcPr>
                <w:p w14:paraId="6BFBEF36">
                  <w:pPr>
                    <w:pStyle w:val="19"/>
                    <w:spacing w:before="0" w:beforeAutospacing="0" w:after="0" w:afterAutospacing="0"/>
                    <w:jc w:val="center"/>
                    <w:outlineLvl w:val="0"/>
                    <w:rPr>
                      <w:rFonts w:hint="eastAsia" w:ascii="Times New Roman" w:hAnsi="Times New Roman"/>
                      <w:snapToGrid w:val="0"/>
                      <w:color w:val="auto"/>
                      <w:sz w:val="21"/>
                      <w:szCs w:val="21"/>
                    </w:rPr>
                  </w:pPr>
                  <w:r>
                    <w:rPr>
                      <w:rFonts w:hint="eastAsia" w:ascii="Times New Roman" w:hAnsi="Times New Roman"/>
                      <w:snapToGrid w:val="0"/>
                      <w:color w:val="auto"/>
                      <w:sz w:val="21"/>
                      <w:szCs w:val="21"/>
                      <w:lang w:val="en-US" w:eastAsia="zh-CN"/>
                    </w:rPr>
                    <w:t>/</w:t>
                  </w:r>
                </w:p>
              </w:tc>
            </w:tr>
            <w:tr w14:paraId="683C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64" w:type="dxa"/>
                  <w:vMerge w:val="continue"/>
                  <w:vAlign w:val="center"/>
                </w:tcPr>
                <w:p w14:paraId="0CADEDDE">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p>
              </w:tc>
              <w:tc>
                <w:tcPr>
                  <w:tcW w:w="1481" w:type="dxa"/>
                  <w:vAlign w:val="center"/>
                </w:tcPr>
                <w:p w14:paraId="6E7E50A8">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型焦变电所</w:t>
                  </w:r>
                </w:p>
              </w:tc>
              <w:tc>
                <w:tcPr>
                  <w:tcW w:w="3538" w:type="dxa"/>
                  <w:vAlign w:val="center"/>
                </w:tcPr>
                <w:p w14:paraId="726F9F20">
                  <w:pPr>
                    <w:pStyle w:val="19"/>
                    <w:spacing w:before="0" w:beforeAutospacing="0" w:after="0" w:afterAutospacing="0"/>
                    <w:jc w:val="center"/>
                    <w:outlineLvl w:val="0"/>
                    <w:rPr>
                      <w:rFonts w:hint="default"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w:t>
                  </w:r>
                </w:p>
              </w:tc>
              <w:tc>
                <w:tcPr>
                  <w:tcW w:w="2275" w:type="dxa"/>
                  <w:vMerge w:val="restart"/>
                  <w:vAlign w:val="center"/>
                </w:tcPr>
                <w:p w14:paraId="05ADADD3">
                  <w:pPr>
                    <w:pStyle w:val="19"/>
                    <w:spacing w:before="0" w:beforeAutospacing="0" w:after="0" w:afterAutospacing="0"/>
                    <w:jc w:val="center"/>
                    <w:outlineLvl w:val="0"/>
                    <w:rPr>
                      <w:rFonts w:hint="default" w:ascii="Times New Roman" w:hAnsi="Times New Roman" w:eastAsia="宋体"/>
                      <w:snapToGrid w:val="0"/>
                      <w:color w:val="auto"/>
                      <w:sz w:val="21"/>
                      <w:szCs w:val="21"/>
                      <w:lang w:val="en-US" w:eastAsia="zh-CN"/>
                    </w:rPr>
                  </w:pPr>
                  <w:r>
                    <w:rPr>
                      <w:rFonts w:hint="eastAsia" w:ascii="Times New Roman" w:hAnsi="Times New Roman"/>
                      <w:snapToGrid w:val="0"/>
                      <w:color w:val="auto"/>
                      <w:sz w:val="21"/>
                      <w:szCs w:val="21"/>
                      <w:lang w:val="en-US" w:eastAsia="zh-CN"/>
                    </w:rPr>
                    <w:t>一般地面硬化</w:t>
                  </w:r>
                </w:p>
              </w:tc>
            </w:tr>
            <w:tr w14:paraId="2F67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64" w:type="dxa"/>
                  <w:vMerge w:val="continue"/>
                  <w:vAlign w:val="center"/>
                </w:tcPr>
                <w:p w14:paraId="1FACFBF6">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p>
              </w:tc>
              <w:tc>
                <w:tcPr>
                  <w:tcW w:w="1481" w:type="dxa"/>
                  <w:vAlign w:val="center"/>
                </w:tcPr>
                <w:p w14:paraId="09F86322">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型焦控制室</w:t>
                  </w:r>
                </w:p>
              </w:tc>
              <w:tc>
                <w:tcPr>
                  <w:tcW w:w="3538" w:type="dxa"/>
                  <w:vAlign w:val="center"/>
                </w:tcPr>
                <w:p w14:paraId="5408E319">
                  <w:pPr>
                    <w:pStyle w:val="19"/>
                    <w:spacing w:before="0" w:beforeAutospacing="0" w:after="0" w:afterAutospacing="0"/>
                    <w:jc w:val="center"/>
                    <w:outlineLvl w:val="0"/>
                    <w:rPr>
                      <w:rFonts w:hint="default"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w:t>
                  </w:r>
                </w:p>
              </w:tc>
              <w:tc>
                <w:tcPr>
                  <w:tcW w:w="2275" w:type="dxa"/>
                  <w:vMerge w:val="continue"/>
                  <w:vAlign w:val="center"/>
                </w:tcPr>
                <w:p w14:paraId="3D0E73F3">
                  <w:pPr>
                    <w:pStyle w:val="19"/>
                    <w:spacing w:before="0" w:beforeAutospacing="0" w:after="0" w:afterAutospacing="0"/>
                    <w:jc w:val="center"/>
                    <w:outlineLvl w:val="0"/>
                    <w:rPr>
                      <w:rFonts w:hint="eastAsia" w:ascii="Times New Roman" w:hAnsi="Times New Roman"/>
                      <w:snapToGrid w:val="0"/>
                      <w:color w:val="auto"/>
                      <w:sz w:val="21"/>
                      <w:szCs w:val="21"/>
                    </w:rPr>
                  </w:pPr>
                </w:p>
              </w:tc>
            </w:tr>
            <w:tr w14:paraId="00A6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64" w:type="dxa"/>
                  <w:vMerge w:val="continue"/>
                  <w:vAlign w:val="center"/>
                </w:tcPr>
                <w:p w14:paraId="1A649344">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p>
              </w:tc>
              <w:tc>
                <w:tcPr>
                  <w:tcW w:w="1481" w:type="dxa"/>
                  <w:vAlign w:val="center"/>
                </w:tcPr>
                <w:p w14:paraId="0B9C57D2">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型焦化验室</w:t>
                  </w:r>
                </w:p>
              </w:tc>
              <w:tc>
                <w:tcPr>
                  <w:tcW w:w="3538" w:type="dxa"/>
                  <w:vAlign w:val="center"/>
                </w:tcPr>
                <w:p w14:paraId="204A5270">
                  <w:pPr>
                    <w:pStyle w:val="19"/>
                    <w:spacing w:before="0" w:beforeAutospacing="0" w:after="0" w:afterAutospacing="0"/>
                    <w:jc w:val="center"/>
                    <w:outlineLvl w:val="0"/>
                    <w:rPr>
                      <w:rFonts w:hint="default"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w:t>
                  </w:r>
                </w:p>
              </w:tc>
              <w:tc>
                <w:tcPr>
                  <w:tcW w:w="2275" w:type="dxa"/>
                  <w:vMerge w:val="continue"/>
                  <w:vAlign w:val="center"/>
                </w:tcPr>
                <w:p w14:paraId="526A6A2D">
                  <w:pPr>
                    <w:pStyle w:val="19"/>
                    <w:spacing w:before="0" w:beforeAutospacing="0" w:after="0" w:afterAutospacing="0"/>
                    <w:jc w:val="center"/>
                    <w:outlineLvl w:val="0"/>
                    <w:rPr>
                      <w:rFonts w:hint="eastAsia" w:ascii="Times New Roman" w:hAnsi="Times New Roman"/>
                      <w:snapToGrid w:val="0"/>
                      <w:color w:val="auto"/>
                      <w:sz w:val="21"/>
                      <w:szCs w:val="21"/>
                    </w:rPr>
                  </w:pPr>
                </w:p>
              </w:tc>
            </w:tr>
          </w:tbl>
          <w:p w14:paraId="3EBAD10E">
            <w:pPr>
              <w:pStyle w:val="1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outlineLvl w:val="0"/>
              <w:rPr>
                <w:rFonts w:hint="default"/>
                <w:color w:val="auto"/>
                <w:kern w:val="0"/>
                <w:sz w:val="24"/>
                <w:lang w:val="en-US" w:eastAsia="zh-CN" w:bidi="ar"/>
              </w:rPr>
            </w:pPr>
            <w:r>
              <w:rPr>
                <w:rFonts w:hint="eastAsia"/>
                <w:color w:val="auto"/>
                <w:kern w:val="0"/>
                <w:sz w:val="24"/>
                <w:lang w:val="en-US" w:eastAsia="zh-CN" w:bidi="ar"/>
              </w:rPr>
              <w:t>由于</w:t>
            </w:r>
            <w:r>
              <w:rPr>
                <w:rFonts w:hint="eastAsia" w:ascii="Times New Roman" w:hAnsi="Times New Roman" w:eastAsia="宋体" w:cs="Times New Roman"/>
                <w:color w:val="auto"/>
                <w:kern w:val="2"/>
                <w:sz w:val="24"/>
                <w:szCs w:val="24"/>
                <w:lang w:val="en-US" w:eastAsia="zh-CN" w:bidi="ar-SA"/>
              </w:rPr>
              <w:t>新航焦化</w:t>
            </w:r>
            <w:r>
              <w:rPr>
                <w:rFonts w:hint="eastAsia"/>
                <w:color w:val="auto"/>
                <w:kern w:val="0"/>
                <w:sz w:val="24"/>
                <w:lang w:val="en-US" w:eastAsia="zh-CN" w:bidi="ar"/>
              </w:rPr>
              <w:t>为</w:t>
            </w:r>
            <w:r>
              <w:rPr>
                <w:rFonts w:hint="eastAsia" w:ascii="Times New Roman" w:hAnsi="Times New Roman" w:eastAsia="宋体" w:cs="Times New Roman"/>
                <w:color w:val="auto"/>
                <w:kern w:val="2"/>
                <w:sz w:val="24"/>
                <w:szCs w:val="24"/>
                <w:lang w:val="en-US" w:eastAsia="zh-CN" w:bidi="ar-SA"/>
              </w:rPr>
              <w:t>土壤重点监管单位</w:t>
            </w:r>
            <w:r>
              <w:rPr>
                <w:rFonts w:hint="eastAsia" w:ascii="Times New Roman" w:hAnsi="Times New Roman" w:cs="Times New Roman"/>
                <w:color w:val="auto"/>
                <w:kern w:val="2"/>
                <w:sz w:val="24"/>
                <w:szCs w:val="24"/>
                <w:lang w:val="en-US" w:eastAsia="zh-CN" w:bidi="ar-SA"/>
              </w:rPr>
              <w:t>，</w:t>
            </w:r>
            <w:r>
              <w:rPr>
                <w:rFonts w:hint="eastAsia"/>
                <w:color w:val="auto"/>
                <w:kern w:val="0"/>
                <w:sz w:val="24"/>
                <w:lang w:val="en-US" w:eastAsia="zh-CN" w:bidi="ar"/>
              </w:rPr>
              <w:t>实施扩建项目后，需重新编制并执行土壤、地下水监测方案，严</w:t>
            </w:r>
            <w:r>
              <w:rPr>
                <w:rFonts w:hint="default" w:ascii="Times New Roman" w:hAnsi="Times New Roman" w:cs="Times New Roman"/>
                <w:color w:val="auto"/>
                <w:kern w:val="0"/>
                <w:sz w:val="24"/>
                <w:lang w:val="en-US" w:eastAsia="zh-CN" w:bidi="ar"/>
              </w:rPr>
              <w:t>格遵照</w:t>
            </w:r>
            <w:r>
              <w:rPr>
                <w:rFonts w:hint="eastAsia" w:ascii="Times New Roman" w:hAnsi="Times New Roman" w:cs="Times New Roman"/>
                <w:color w:val="auto"/>
                <w:kern w:val="0"/>
                <w:sz w:val="24"/>
                <w:lang w:val="en-US" w:eastAsia="zh-CN" w:bidi="ar"/>
              </w:rPr>
              <w:t>现有环评批复、《建设项目竣工环境保护验收暂行办法》、</w:t>
            </w:r>
            <w:r>
              <w:rPr>
                <w:rFonts w:hint="default" w:ascii="Times New Roman" w:hAnsi="Times New Roman" w:cs="Times New Roman"/>
                <w:color w:val="auto"/>
                <w:kern w:val="0"/>
                <w:sz w:val="24"/>
                <w:lang w:val="en-US" w:eastAsia="zh-CN" w:bidi="ar"/>
              </w:rPr>
              <w:t>《工业企业土壤和地下水自行监测技术指南（试行）》（HJ 1209）</w:t>
            </w:r>
            <w:r>
              <w:rPr>
                <w:rFonts w:hint="eastAsia"/>
                <w:color w:val="auto"/>
                <w:kern w:val="0"/>
                <w:sz w:val="24"/>
                <w:lang w:val="en-US" w:eastAsia="zh-CN" w:bidi="ar"/>
              </w:rPr>
              <w:t>等规范要求，开展针对性监测，全面评估扩建后土壤及地下水环境状况。</w:t>
            </w:r>
          </w:p>
          <w:p w14:paraId="71EC0A3C">
            <w:pPr>
              <w:pStyle w:val="19"/>
              <w:keepNext w:val="0"/>
              <w:keepLines w:val="0"/>
              <w:pageBreakBefore w:val="0"/>
              <w:widowControl/>
              <w:numPr>
                <w:ilvl w:val="0"/>
                <w:numId w:val="11"/>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outlineLvl w:val="0"/>
              <w:rPr>
                <w:rFonts w:hint="eastAsia" w:ascii="Times New Roman" w:hAnsi="Times New Roman"/>
                <w:snapToGrid w:val="0"/>
                <w:color w:val="auto"/>
                <w:szCs w:val="24"/>
                <w:lang w:val="en-US" w:eastAsia="zh-CN"/>
              </w:rPr>
            </w:pPr>
            <w:r>
              <w:rPr>
                <w:rFonts w:hint="eastAsia" w:ascii="Times New Roman" w:hAnsi="Times New Roman"/>
                <w:snapToGrid w:val="0"/>
                <w:color w:val="auto"/>
                <w:szCs w:val="24"/>
                <w:lang w:val="en-US" w:eastAsia="zh-CN"/>
              </w:rPr>
              <w:t>企业污染物排放“三本账”</w:t>
            </w:r>
          </w:p>
          <w:p w14:paraId="6F1224CD">
            <w:pPr>
              <w:pStyle w:val="1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Chars="200"/>
              <w:textAlignment w:val="auto"/>
              <w:outlineLvl w:val="0"/>
              <w:rPr>
                <w:rFonts w:hint="eastAsia" w:ascii="Times New Roman" w:hAnsi="Times New Roman"/>
                <w:snapToGrid w:val="0"/>
                <w:color w:val="auto"/>
                <w:szCs w:val="24"/>
                <w:lang w:val="en-US" w:eastAsia="zh-CN"/>
              </w:rPr>
            </w:pPr>
            <w:r>
              <w:rPr>
                <w:rFonts w:hint="eastAsia" w:ascii="Times New Roman" w:hAnsi="Times New Roman"/>
                <w:snapToGrid w:val="0"/>
                <w:color w:val="auto"/>
                <w:szCs w:val="24"/>
                <w:lang w:val="en-US" w:eastAsia="zh-CN"/>
              </w:rPr>
              <w:t>扩建后污染物“三本账”见下表。</w:t>
            </w:r>
          </w:p>
          <w:p w14:paraId="413A7CA7">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val="0"/>
                <w:color w:val="auto"/>
                <w:sz w:val="24"/>
                <w:szCs w:val="21"/>
                <w:lang w:val="en-US" w:eastAsia="zh-CN" w:bidi="ar-SA"/>
              </w:rPr>
            </w:pPr>
            <w:r>
              <w:rPr>
                <w:rFonts w:ascii="Times New Roman" w:hAnsi="Times New Roman" w:eastAsia="宋体" w:cs="Times New Roman"/>
                <w:b/>
                <w:bCs w:val="0"/>
                <w:color w:val="auto"/>
                <w:sz w:val="24"/>
                <w:szCs w:val="21"/>
                <w:lang w:val="en-US" w:eastAsia="zh-CN" w:bidi="ar-SA"/>
              </w:rPr>
              <w:t>表</w:t>
            </w:r>
            <w:r>
              <w:rPr>
                <w:rFonts w:hint="eastAsia" w:ascii="Times New Roman" w:hAnsi="Times New Roman" w:eastAsia="宋体" w:cs="Times New Roman"/>
                <w:b/>
                <w:bCs w:val="0"/>
                <w:color w:val="auto"/>
                <w:sz w:val="24"/>
                <w:szCs w:val="21"/>
                <w:lang w:val="en-US" w:eastAsia="zh-CN" w:bidi="ar-SA"/>
              </w:rPr>
              <w:t xml:space="preserve">4-15  </w:t>
            </w:r>
            <w:r>
              <w:rPr>
                <w:rFonts w:ascii="Times New Roman" w:hAnsi="Times New Roman" w:eastAsia="宋体" w:cs="Times New Roman"/>
                <w:b/>
                <w:bCs w:val="0"/>
                <w:color w:val="auto"/>
                <w:sz w:val="24"/>
                <w:szCs w:val="21"/>
                <w:lang w:val="en-US" w:eastAsia="zh-CN" w:bidi="ar-SA"/>
              </w:rPr>
              <w:t xml:space="preserve"> </w:t>
            </w:r>
            <w:r>
              <w:rPr>
                <w:rFonts w:hint="eastAsia" w:ascii="Times New Roman" w:hAnsi="Times New Roman" w:eastAsia="宋体" w:cs="Times New Roman"/>
                <w:b/>
                <w:bCs w:val="0"/>
                <w:color w:val="auto"/>
                <w:sz w:val="24"/>
                <w:szCs w:val="21"/>
                <w:lang w:val="en-US" w:eastAsia="zh-CN" w:bidi="ar-SA"/>
              </w:rPr>
              <w:t xml:space="preserve"> 扩建</w:t>
            </w:r>
            <w:r>
              <w:rPr>
                <w:rFonts w:ascii="Times New Roman" w:hAnsi="Times New Roman" w:eastAsia="宋体" w:cs="Times New Roman"/>
                <w:b/>
                <w:bCs w:val="0"/>
                <w:color w:val="auto"/>
                <w:sz w:val="24"/>
                <w:szCs w:val="21"/>
                <w:lang w:val="en-US" w:eastAsia="zh-CN" w:bidi="ar-SA"/>
              </w:rPr>
              <w:t>前后污染物排放量汇总表</w:t>
            </w:r>
            <w:r>
              <w:rPr>
                <w:rFonts w:hint="eastAsia" w:ascii="Times New Roman" w:hAnsi="Times New Roman" w:eastAsia="宋体" w:cs="Times New Roman"/>
                <w:b/>
                <w:bCs w:val="0"/>
                <w:color w:val="auto"/>
                <w:sz w:val="24"/>
                <w:szCs w:val="21"/>
                <w:lang w:val="en-US" w:eastAsia="zh-CN" w:bidi="ar-SA"/>
              </w:rPr>
              <w:t xml:space="preserve">     单位：（t/a）</w:t>
            </w:r>
          </w:p>
          <w:tbl>
            <w:tblPr>
              <w:tblStyle w:val="23"/>
              <w:tblW w:w="8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1145"/>
              <w:gridCol w:w="1145"/>
              <w:gridCol w:w="1145"/>
              <w:gridCol w:w="1145"/>
              <w:gridCol w:w="1145"/>
              <w:gridCol w:w="1145"/>
            </w:tblGrid>
            <w:tr w14:paraId="4617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145" w:type="dxa"/>
                  <w:shd w:val="clear" w:color="auto" w:fill="auto"/>
                  <w:vAlign w:val="center"/>
                </w:tcPr>
                <w:p w14:paraId="472DA6CF">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rPr>
                    <w:t>类别</w:t>
                  </w:r>
                </w:p>
              </w:tc>
              <w:tc>
                <w:tcPr>
                  <w:tcW w:w="1145" w:type="dxa"/>
                  <w:shd w:val="clear" w:color="auto" w:fill="auto"/>
                  <w:vAlign w:val="center"/>
                </w:tcPr>
                <w:p w14:paraId="02D39061">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rPr>
                    <w:t>污染物</w:t>
                  </w:r>
                </w:p>
              </w:tc>
              <w:tc>
                <w:tcPr>
                  <w:tcW w:w="1145" w:type="dxa"/>
                  <w:shd w:val="clear" w:color="auto" w:fill="auto"/>
                  <w:vAlign w:val="center"/>
                </w:tcPr>
                <w:p w14:paraId="3D9333FB">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rPr>
                    <w:t>现有工程排放量</w:t>
                  </w:r>
                </w:p>
              </w:tc>
              <w:tc>
                <w:tcPr>
                  <w:tcW w:w="1145" w:type="dxa"/>
                  <w:shd w:val="clear" w:color="auto" w:fill="auto"/>
                  <w:vAlign w:val="center"/>
                </w:tcPr>
                <w:p w14:paraId="716AC2B0">
                  <w:pPr>
                    <w:pStyle w:val="19"/>
                    <w:spacing w:before="0" w:beforeAutospacing="0" w:after="0" w:afterAutospacing="0"/>
                    <w:jc w:val="center"/>
                    <w:outlineLvl w:val="0"/>
                    <w:rPr>
                      <w:rFonts w:hint="eastAsia" w:ascii="Times New Roman" w:hAnsi="Times New Roman"/>
                      <w:snapToGrid w:val="0"/>
                      <w:color w:val="auto"/>
                      <w:sz w:val="21"/>
                      <w:szCs w:val="21"/>
                      <w:lang w:val="en-US" w:eastAsia="zh-CN"/>
                    </w:rPr>
                  </w:pPr>
                  <w:r>
                    <w:rPr>
                      <w:rFonts w:hint="eastAsia" w:ascii="Times New Roman" w:hAnsi="Times New Roman"/>
                      <w:snapToGrid w:val="0"/>
                      <w:color w:val="auto"/>
                      <w:sz w:val="21"/>
                      <w:szCs w:val="21"/>
                      <w:lang w:val="en-US" w:eastAsia="zh-CN"/>
                    </w:rPr>
                    <w:t>本项目</w:t>
                  </w:r>
                </w:p>
                <w:p w14:paraId="0C851344">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lang w:val="en-US" w:eastAsia="zh-CN"/>
                    </w:rPr>
                    <w:t>排放量</w:t>
                  </w:r>
                </w:p>
              </w:tc>
              <w:tc>
                <w:tcPr>
                  <w:tcW w:w="1145" w:type="dxa"/>
                  <w:shd w:val="clear" w:color="auto" w:fill="auto"/>
                  <w:vAlign w:val="center"/>
                </w:tcPr>
                <w:p w14:paraId="24685A4C">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lang w:eastAsia="zh-CN"/>
                    </w:rPr>
                    <w:t>“</w:t>
                  </w:r>
                  <w:r>
                    <w:rPr>
                      <w:rFonts w:hint="eastAsia" w:ascii="Times New Roman" w:hAnsi="Times New Roman"/>
                      <w:snapToGrid w:val="0"/>
                      <w:color w:val="auto"/>
                      <w:sz w:val="21"/>
                      <w:szCs w:val="21"/>
                    </w:rPr>
                    <w:t>以新带老</w:t>
                  </w:r>
                  <w:r>
                    <w:rPr>
                      <w:rFonts w:hint="eastAsia" w:ascii="Times New Roman" w:hAnsi="Times New Roman"/>
                      <w:snapToGrid w:val="0"/>
                      <w:color w:val="auto"/>
                      <w:sz w:val="21"/>
                      <w:szCs w:val="21"/>
                      <w:lang w:eastAsia="zh-CN"/>
                    </w:rPr>
                    <w:t>”</w:t>
                  </w:r>
                  <w:r>
                    <w:rPr>
                      <w:rFonts w:hint="eastAsia" w:ascii="Times New Roman" w:hAnsi="Times New Roman"/>
                      <w:snapToGrid w:val="0"/>
                      <w:color w:val="auto"/>
                      <w:sz w:val="21"/>
                      <w:szCs w:val="21"/>
                    </w:rPr>
                    <w:t>削减量</w:t>
                  </w:r>
                </w:p>
              </w:tc>
              <w:tc>
                <w:tcPr>
                  <w:tcW w:w="1145" w:type="dxa"/>
                  <w:shd w:val="clear" w:color="auto" w:fill="auto"/>
                  <w:vAlign w:val="center"/>
                </w:tcPr>
                <w:p w14:paraId="702C08B5">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rPr>
                    <w:t>扩建</w:t>
                  </w:r>
                  <w:r>
                    <w:rPr>
                      <w:rFonts w:hint="eastAsia" w:ascii="Times New Roman" w:hAnsi="Times New Roman"/>
                      <w:snapToGrid w:val="0"/>
                      <w:color w:val="auto"/>
                      <w:sz w:val="21"/>
                      <w:szCs w:val="21"/>
                      <w:lang w:val="en-US" w:eastAsia="zh-CN"/>
                    </w:rPr>
                    <w:t>后污染物</w:t>
                  </w:r>
                  <w:r>
                    <w:rPr>
                      <w:rFonts w:hint="eastAsia" w:ascii="Times New Roman" w:hAnsi="Times New Roman"/>
                      <w:snapToGrid w:val="0"/>
                      <w:color w:val="auto"/>
                      <w:sz w:val="21"/>
                      <w:szCs w:val="21"/>
                    </w:rPr>
                    <w:t>排放量</w:t>
                  </w:r>
                </w:p>
              </w:tc>
              <w:tc>
                <w:tcPr>
                  <w:tcW w:w="1145" w:type="dxa"/>
                  <w:shd w:val="clear" w:color="auto" w:fill="auto"/>
                  <w:vAlign w:val="center"/>
                </w:tcPr>
                <w:p w14:paraId="2709F7B1">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rPr>
                    <w:t>增减量变化</w:t>
                  </w:r>
                </w:p>
              </w:tc>
            </w:tr>
            <w:tr w14:paraId="28EB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145" w:type="dxa"/>
                  <w:vMerge w:val="restart"/>
                  <w:vAlign w:val="center"/>
                </w:tcPr>
                <w:p w14:paraId="49C6982F">
                  <w:pPr>
                    <w:jc w:val="center"/>
                    <w:rPr>
                      <w:rFonts w:hint="default"/>
                      <w:color w:val="auto"/>
                      <w:vertAlign w:val="baseline"/>
                      <w:lang w:val="en-US" w:eastAsia="zh-CN"/>
                    </w:rPr>
                  </w:pPr>
                  <w:r>
                    <w:rPr>
                      <w:rFonts w:hint="eastAsia" w:ascii="Times New Roman" w:hAnsi="Times New Roman"/>
                      <w:snapToGrid w:val="0"/>
                      <w:color w:val="auto"/>
                      <w:sz w:val="21"/>
                      <w:szCs w:val="21"/>
                    </w:rPr>
                    <w:t>废气</w:t>
                  </w:r>
                </w:p>
              </w:tc>
              <w:tc>
                <w:tcPr>
                  <w:tcW w:w="1145" w:type="dxa"/>
                  <w:shd w:val="clear" w:color="auto" w:fill="auto"/>
                  <w:vAlign w:val="center"/>
                </w:tcPr>
                <w:p w14:paraId="4A958D9A">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lang w:val="en-US" w:eastAsia="zh-CN"/>
                    </w:rPr>
                    <w:t>二氧化硫</w:t>
                  </w:r>
                </w:p>
              </w:tc>
              <w:tc>
                <w:tcPr>
                  <w:tcW w:w="1145" w:type="dxa"/>
                  <w:shd w:val="clear" w:color="auto" w:fill="auto"/>
                  <w:vAlign w:val="center"/>
                </w:tcPr>
                <w:p w14:paraId="106B0C71">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sz w:val="21"/>
                      <w:szCs w:val="21"/>
                      <w:lang w:val="en-US" w:eastAsia="zh-CN"/>
                    </w:rPr>
                    <w:t>97.04</w:t>
                  </w:r>
                </w:p>
              </w:tc>
              <w:tc>
                <w:tcPr>
                  <w:tcW w:w="1145" w:type="dxa"/>
                  <w:shd w:val="clear" w:color="auto" w:fill="auto"/>
                  <w:vAlign w:val="center"/>
                </w:tcPr>
                <w:p w14:paraId="11A781AC">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0</w:t>
                  </w:r>
                </w:p>
              </w:tc>
              <w:tc>
                <w:tcPr>
                  <w:tcW w:w="1145" w:type="dxa"/>
                  <w:shd w:val="clear" w:color="auto" w:fill="auto"/>
                  <w:vAlign w:val="center"/>
                </w:tcPr>
                <w:p w14:paraId="1C5C6899">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sz w:val="21"/>
                      <w:szCs w:val="21"/>
                    </w:rPr>
                    <w:t>0</w:t>
                  </w:r>
                </w:p>
              </w:tc>
              <w:tc>
                <w:tcPr>
                  <w:tcW w:w="1145" w:type="dxa"/>
                  <w:shd w:val="clear" w:color="auto" w:fill="auto"/>
                  <w:vAlign w:val="center"/>
                </w:tcPr>
                <w:p w14:paraId="709F97EB">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lang w:val="en-US" w:eastAsia="zh-CN"/>
                    </w:rPr>
                    <w:t>97.04</w:t>
                  </w:r>
                </w:p>
              </w:tc>
              <w:tc>
                <w:tcPr>
                  <w:tcW w:w="1145" w:type="dxa"/>
                  <w:shd w:val="clear" w:color="auto" w:fill="auto"/>
                  <w:vAlign w:val="center"/>
                </w:tcPr>
                <w:p w14:paraId="45683C91">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rPr>
                    <w:t>0</w:t>
                  </w:r>
                </w:p>
              </w:tc>
            </w:tr>
            <w:tr w14:paraId="5BB4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145" w:type="dxa"/>
                  <w:vMerge w:val="continue"/>
                  <w:vAlign w:val="center"/>
                </w:tcPr>
                <w:p w14:paraId="553EB90D">
                  <w:pPr>
                    <w:jc w:val="center"/>
                    <w:rPr>
                      <w:rFonts w:hint="default"/>
                      <w:color w:val="auto"/>
                      <w:vertAlign w:val="baseline"/>
                      <w:lang w:val="en-US" w:eastAsia="zh-CN"/>
                    </w:rPr>
                  </w:pPr>
                </w:p>
              </w:tc>
              <w:tc>
                <w:tcPr>
                  <w:tcW w:w="1145" w:type="dxa"/>
                  <w:shd w:val="clear" w:color="auto" w:fill="auto"/>
                  <w:vAlign w:val="center"/>
                </w:tcPr>
                <w:p w14:paraId="777E9C96">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lang w:val="en-US" w:eastAsia="zh-CN"/>
                    </w:rPr>
                    <w:t>氮氧化物</w:t>
                  </w:r>
                </w:p>
              </w:tc>
              <w:tc>
                <w:tcPr>
                  <w:tcW w:w="1145" w:type="dxa"/>
                  <w:shd w:val="clear" w:color="auto" w:fill="auto"/>
                  <w:vAlign w:val="center"/>
                </w:tcPr>
                <w:p w14:paraId="527D57D6">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sz w:val="21"/>
                      <w:szCs w:val="21"/>
                      <w:lang w:val="en-US" w:eastAsia="zh-CN"/>
                    </w:rPr>
                    <w:t>191.53</w:t>
                  </w:r>
                </w:p>
              </w:tc>
              <w:tc>
                <w:tcPr>
                  <w:tcW w:w="1145" w:type="dxa"/>
                  <w:shd w:val="clear" w:color="auto" w:fill="auto"/>
                  <w:vAlign w:val="center"/>
                </w:tcPr>
                <w:p w14:paraId="1BE60FDC">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0</w:t>
                  </w:r>
                </w:p>
              </w:tc>
              <w:tc>
                <w:tcPr>
                  <w:tcW w:w="1145" w:type="dxa"/>
                  <w:shd w:val="clear" w:color="auto" w:fill="auto"/>
                  <w:vAlign w:val="center"/>
                </w:tcPr>
                <w:p w14:paraId="2000EA04">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sz w:val="21"/>
                      <w:szCs w:val="21"/>
                    </w:rPr>
                    <w:t>0</w:t>
                  </w:r>
                </w:p>
              </w:tc>
              <w:tc>
                <w:tcPr>
                  <w:tcW w:w="1145" w:type="dxa"/>
                  <w:shd w:val="clear" w:color="auto" w:fill="auto"/>
                  <w:vAlign w:val="center"/>
                </w:tcPr>
                <w:p w14:paraId="67C28DA6">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lang w:val="en-US" w:eastAsia="zh-CN"/>
                    </w:rPr>
                    <w:t>191.53</w:t>
                  </w:r>
                </w:p>
              </w:tc>
              <w:tc>
                <w:tcPr>
                  <w:tcW w:w="1145" w:type="dxa"/>
                  <w:shd w:val="clear" w:color="auto" w:fill="auto"/>
                  <w:vAlign w:val="center"/>
                </w:tcPr>
                <w:p w14:paraId="055A8CC9">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rPr>
                    <w:t>0</w:t>
                  </w:r>
                </w:p>
              </w:tc>
            </w:tr>
            <w:tr w14:paraId="2D84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145" w:type="dxa"/>
                  <w:vMerge w:val="continue"/>
                  <w:vAlign w:val="center"/>
                </w:tcPr>
                <w:p w14:paraId="5F23CB1C">
                  <w:pPr>
                    <w:jc w:val="center"/>
                    <w:rPr>
                      <w:rFonts w:hint="default"/>
                      <w:color w:val="auto"/>
                      <w:vertAlign w:val="baseline"/>
                      <w:lang w:val="en-US" w:eastAsia="zh-CN"/>
                    </w:rPr>
                  </w:pPr>
                </w:p>
              </w:tc>
              <w:tc>
                <w:tcPr>
                  <w:tcW w:w="1145" w:type="dxa"/>
                  <w:shd w:val="clear" w:color="auto" w:fill="auto"/>
                  <w:vAlign w:val="center"/>
                </w:tcPr>
                <w:p w14:paraId="20694A9D">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lang w:val="en-US" w:eastAsia="zh-CN"/>
                    </w:rPr>
                    <w:t>烟尘</w:t>
                  </w:r>
                </w:p>
              </w:tc>
              <w:tc>
                <w:tcPr>
                  <w:tcW w:w="1145" w:type="dxa"/>
                  <w:shd w:val="clear" w:color="auto" w:fill="auto"/>
                  <w:vAlign w:val="center"/>
                </w:tcPr>
                <w:p w14:paraId="32004504">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sz w:val="21"/>
                      <w:szCs w:val="21"/>
                      <w:lang w:val="en-US" w:eastAsia="zh-CN"/>
                    </w:rPr>
                    <w:t>40.71</w:t>
                  </w:r>
                </w:p>
              </w:tc>
              <w:tc>
                <w:tcPr>
                  <w:tcW w:w="1145" w:type="dxa"/>
                  <w:shd w:val="clear" w:color="auto" w:fill="auto"/>
                  <w:vAlign w:val="center"/>
                </w:tcPr>
                <w:p w14:paraId="44D68E5A">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0</w:t>
                  </w:r>
                </w:p>
              </w:tc>
              <w:tc>
                <w:tcPr>
                  <w:tcW w:w="1145" w:type="dxa"/>
                  <w:shd w:val="clear" w:color="auto" w:fill="auto"/>
                  <w:vAlign w:val="center"/>
                </w:tcPr>
                <w:p w14:paraId="5018C467">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sz w:val="21"/>
                      <w:szCs w:val="21"/>
                    </w:rPr>
                    <w:t>0</w:t>
                  </w:r>
                </w:p>
              </w:tc>
              <w:tc>
                <w:tcPr>
                  <w:tcW w:w="1145" w:type="dxa"/>
                  <w:shd w:val="clear" w:color="auto" w:fill="auto"/>
                  <w:vAlign w:val="center"/>
                </w:tcPr>
                <w:p w14:paraId="6B769CA8">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lang w:val="en-US" w:eastAsia="zh-CN"/>
                    </w:rPr>
                    <w:t>40.71</w:t>
                  </w:r>
                </w:p>
              </w:tc>
              <w:tc>
                <w:tcPr>
                  <w:tcW w:w="1145" w:type="dxa"/>
                  <w:shd w:val="clear" w:color="auto" w:fill="auto"/>
                  <w:vAlign w:val="center"/>
                </w:tcPr>
                <w:p w14:paraId="043402D6">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rPr>
                    <w:t>0</w:t>
                  </w:r>
                </w:p>
              </w:tc>
            </w:tr>
            <w:tr w14:paraId="5D9E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145" w:type="dxa"/>
                  <w:vMerge w:val="continue"/>
                  <w:vAlign w:val="center"/>
                </w:tcPr>
                <w:p w14:paraId="1EB2C6A7">
                  <w:pPr>
                    <w:jc w:val="center"/>
                    <w:rPr>
                      <w:rFonts w:hint="default"/>
                      <w:color w:val="auto"/>
                      <w:vertAlign w:val="baseline"/>
                      <w:lang w:val="en-US" w:eastAsia="zh-CN"/>
                    </w:rPr>
                  </w:pPr>
                </w:p>
              </w:tc>
              <w:tc>
                <w:tcPr>
                  <w:tcW w:w="1145" w:type="dxa"/>
                  <w:shd w:val="clear" w:color="auto" w:fill="auto"/>
                  <w:vAlign w:val="center"/>
                </w:tcPr>
                <w:p w14:paraId="78EB2036">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lang w:val="en-US" w:eastAsia="zh-CN"/>
                    </w:rPr>
                    <w:t>颗粒物</w:t>
                  </w:r>
                </w:p>
              </w:tc>
              <w:tc>
                <w:tcPr>
                  <w:tcW w:w="1145" w:type="dxa"/>
                  <w:shd w:val="clear" w:color="auto" w:fill="auto"/>
                  <w:vAlign w:val="center"/>
                </w:tcPr>
                <w:p w14:paraId="5C783422">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sz w:val="21"/>
                      <w:szCs w:val="21"/>
                      <w:lang w:val="en-US" w:eastAsia="zh-CN"/>
                    </w:rPr>
                    <w:t>16.73</w:t>
                  </w:r>
                </w:p>
              </w:tc>
              <w:tc>
                <w:tcPr>
                  <w:tcW w:w="1145" w:type="dxa"/>
                  <w:shd w:val="clear" w:color="auto" w:fill="auto"/>
                  <w:vAlign w:val="center"/>
                </w:tcPr>
                <w:p w14:paraId="2E91420E">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2.86836</w:t>
                  </w:r>
                </w:p>
              </w:tc>
              <w:tc>
                <w:tcPr>
                  <w:tcW w:w="1145" w:type="dxa"/>
                  <w:shd w:val="clear" w:color="auto" w:fill="auto"/>
                  <w:vAlign w:val="center"/>
                </w:tcPr>
                <w:p w14:paraId="2C632B84">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lang w:val="en-US" w:eastAsia="zh-CN"/>
                    </w:rPr>
                    <w:t>0</w:t>
                  </w:r>
                </w:p>
              </w:tc>
              <w:tc>
                <w:tcPr>
                  <w:tcW w:w="1145" w:type="dxa"/>
                  <w:shd w:val="clear" w:color="auto" w:fill="auto"/>
                  <w:vAlign w:val="center"/>
                </w:tcPr>
                <w:p w14:paraId="0542939C">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19.59836</w:t>
                  </w:r>
                </w:p>
              </w:tc>
              <w:tc>
                <w:tcPr>
                  <w:tcW w:w="1145" w:type="dxa"/>
                  <w:shd w:val="clear" w:color="auto" w:fill="auto"/>
                  <w:vAlign w:val="center"/>
                </w:tcPr>
                <w:p w14:paraId="0A5EED08">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lang w:val="en-US" w:eastAsia="zh-CN"/>
                    </w:rPr>
                    <w:t>+2.86836</w:t>
                  </w:r>
                </w:p>
              </w:tc>
            </w:tr>
            <w:tr w14:paraId="1A65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145" w:type="dxa"/>
                  <w:vAlign w:val="center"/>
                </w:tcPr>
                <w:p w14:paraId="16AAF7B9">
                  <w:pPr>
                    <w:jc w:val="center"/>
                    <w:rPr>
                      <w:rFonts w:hint="default"/>
                      <w:color w:val="auto"/>
                      <w:vertAlign w:val="baseline"/>
                      <w:lang w:val="en-US" w:eastAsia="zh-CN"/>
                    </w:rPr>
                  </w:pPr>
                  <w:r>
                    <w:rPr>
                      <w:rFonts w:hint="eastAsia" w:ascii="Times New Roman" w:hAnsi="Times New Roman"/>
                      <w:snapToGrid w:val="0"/>
                      <w:color w:val="auto"/>
                      <w:sz w:val="21"/>
                      <w:szCs w:val="21"/>
                    </w:rPr>
                    <w:t>废水</w:t>
                  </w:r>
                </w:p>
              </w:tc>
              <w:tc>
                <w:tcPr>
                  <w:tcW w:w="1145" w:type="dxa"/>
                  <w:vAlign w:val="center"/>
                </w:tcPr>
                <w:p w14:paraId="485C712A">
                  <w:pPr>
                    <w:jc w:val="center"/>
                    <w:rPr>
                      <w:rFonts w:hint="default"/>
                      <w:color w:val="auto"/>
                      <w:vertAlign w:val="baseline"/>
                      <w:lang w:val="en-US" w:eastAsia="zh-CN"/>
                    </w:rPr>
                  </w:pPr>
                  <w:r>
                    <w:rPr>
                      <w:rFonts w:hint="eastAsia"/>
                      <w:color w:val="auto"/>
                      <w:vertAlign w:val="baseline"/>
                      <w:lang w:val="en-US" w:eastAsia="zh-CN"/>
                    </w:rPr>
                    <w:t>/</w:t>
                  </w:r>
                </w:p>
              </w:tc>
              <w:tc>
                <w:tcPr>
                  <w:tcW w:w="1145" w:type="dxa"/>
                  <w:vAlign w:val="center"/>
                </w:tcPr>
                <w:p w14:paraId="6A3027DA">
                  <w:pPr>
                    <w:jc w:val="center"/>
                    <w:rPr>
                      <w:rFonts w:hint="default"/>
                      <w:color w:val="auto"/>
                      <w:vertAlign w:val="baseline"/>
                      <w:lang w:val="en-US" w:eastAsia="zh-CN"/>
                    </w:rPr>
                  </w:pPr>
                  <w:r>
                    <w:rPr>
                      <w:rFonts w:hint="eastAsia"/>
                      <w:color w:val="auto"/>
                      <w:vertAlign w:val="baseline"/>
                      <w:lang w:val="en-US" w:eastAsia="zh-CN"/>
                    </w:rPr>
                    <w:t>0</w:t>
                  </w:r>
                </w:p>
              </w:tc>
              <w:tc>
                <w:tcPr>
                  <w:tcW w:w="1145" w:type="dxa"/>
                  <w:vAlign w:val="center"/>
                </w:tcPr>
                <w:p w14:paraId="55601602">
                  <w:pPr>
                    <w:jc w:val="center"/>
                    <w:rPr>
                      <w:rFonts w:hint="default"/>
                      <w:color w:val="auto"/>
                      <w:vertAlign w:val="baseline"/>
                      <w:lang w:val="en-US" w:eastAsia="zh-CN"/>
                    </w:rPr>
                  </w:pPr>
                  <w:r>
                    <w:rPr>
                      <w:rFonts w:hint="eastAsia"/>
                      <w:color w:val="auto"/>
                      <w:vertAlign w:val="baseline"/>
                      <w:lang w:val="en-US" w:eastAsia="zh-CN"/>
                    </w:rPr>
                    <w:t>0</w:t>
                  </w:r>
                </w:p>
              </w:tc>
              <w:tc>
                <w:tcPr>
                  <w:tcW w:w="1145" w:type="dxa"/>
                  <w:vAlign w:val="center"/>
                </w:tcPr>
                <w:p w14:paraId="130EC2D1">
                  <w:pPr>
                    <w:jc w:val="center"/>
                    <w:rPr>
                      <w:rFonts w:hint="default"/>
                      <w:color w:val="auto"/>
                      <w:vertAlign w:val="baseline"/>
                      <w:lang w:val="en-US" w:eastAsia="zh-CN"/>
                    </w:rPr>
                  </w:pPr>
                  <w:r>
                    <w:rPr>
                      <w:rFonts w:hint="eastAsia"/>
                      <w:color w:val="auto"/>
                      <w:vertAlign w:val="baseline"/>
                      <w:lang w:val="en-US" w:eastAsia="zh-CN"/>
                    </w:rPr>
                    <w:t>0</w:t>
                  </w:r>
                </w:p>
              </w:tc>
              <w:tc>
                <w:tcPr>
                  <w:tcW w:w="1145" w:type="dxa"/>
                  <w:vAlign w:val="center"/>
                </w:tcPr>
                <w:p w14:paraId="042A83FE">
                  <w:pPr>
                    <w:jc w:val="center"/>
                    <w:rPr>
                      <w:rFonts w:hint="default"/>
                      <w:color w:val="auto"/>
                      <w:vertAlign w:val="baseline"/>
                      <w:lang w:val="en-US" w:eastAsia="zh-CN"/>
                    </w:rPr>
                  </w:pPr>
                  <w:r>
                    <w:rPr>
                      <w:rFonts w:hint="eastAsia"/>
                      <w:color w:val="auto"/>
                      <w:vertAlign w:val="baseline"/>
                      <w:lang w:val="en-US" w:eastAsia="zh-CN"/>
                    </w:rPr>
                    <w:t>0</w:t>
                  </w:r>
                </w:p>
              </w:tc>
              <w:tc>
                <w:tcPr>
                  <w:tcW w:w="1145" w:type="dxa"/>
                  <w:vAlign w:val="center"/>
                </w:tcPr>
                <w:p w14:paraId="59C0CFDD">
                  <w:pPr>
                    <w:jc w:val="center"/>
                    <w:rPr>
                      <w:rFonts w:hint="default"/>
                      <w:color w:val="auto"/>
                      <w:vertAlign w:val="baseline"/>
                      <w:lang w:val="en-US" w:eastAsia="zh-CN"/>
                    </w:rPr>
                  </w:pPr>
                  <w:r>
                    <w:rPr>
                      <w:rFonts w:hint="eastAsia"/>
                      <w:color w:val="auto"/>
                      <w:vertAlign w:val="baseline"/>
                      <w:lang w:val="en-US" w:eastAsia="zh-CN"/>
                    </w:rPr>
                    <w:t>0</w:t>
                  </w:r>
                </w:p>
              </w:tc>
            </w:tr>
            <w:tr w14:paraId="1C03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45" w:type="dxa"/>
                  <w:vMerge w:val="restart"/>
                  <w:shd w:val="clear" w:color="auto" w:fill="auto"/>
                  <w:vAlign w:val="center"/>
                </w:tcPr>
                <w:p w14:paraId="158CB442">
                  <w:pPr>
                    <w:pStyle w:val="19"/>
                    <w:spacing w:before="0" w:beforeAutospacing="0" w:after="0" w:afterAutospacing="0"/>
                    <w:jc w:val="center"/>
                    <w:outlineLvl w:val="0"/>
                    <w:rPr>
                      <w:rFonts w:ascii="Times New Roman" w:hAnsi="Times New Roman"/>
                      <w:snapToGrid w:val="0"/>
                      <w:color w:val="auto"/>
                      <w:kern w:val="21"/>
                      <w:sz w:val="21"/>
                      <w:szCs w:val="21"/>
                    </w:rPr>
                  </w:pPr>
                  <w:r>
                    <w:rPr>
                      <w:rFonts w:hint="eastAsia" w:ascii="Times New Roman" w:hAnsi="Times New Roman"/>
                      <w:snapToGrid w:val="0"/>
                      <w:color w:val="auto"/>
                      <w:kern w:val="21"/>
                      <w:sz w:val="21"/>
                      <w:szCs w:val="21"/>
                    </w:rPr>
                    <w:t>一般工业</w:t>
                  </w:r>
                </w:p>
                <w:p w14:paraId="3886DD62">
                  <w:pPr>
                    <w:pStyle w:val="19"/>
                    <w:spacing w:before="0" w:beforeAutospacing="0" w:after="0" w:afterAutospacing="0"/>
                    <w:jc w:val="center"/>
                    <w:outlineLvl w:val="0"/>
                    <w:rPr>
                      <w:rFonts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rPr>
                    <w:t>固体废物</w:t>
                  </w:r>
                </w:p>
                <w:p w14:paraId="0A33A7AB">
                  <w:pPr>
                    <w:jc w:val="center"/>
                    <w:rPr>
                      <w:rFonts w:hint="default"/>
                      <w:color w:val="auto"/>
                      <w:vertAlign w:val="baseline"/>
                      <w:lang w:val="en-US" w:eastAsia="zh-CN"/>
                    </w:rPr>
                  </w:pPr>
                </w:p>
              </w:tc>
              <w:tc>
                <w:tcPr>
                  <w:tcW w:w="1145" w:type="dxa"/>
                  <w:shd w:val="clear" w:color="auto" w:fill="auto"/>
                  <w:vAlign w:val="center"/>
                </w:tcPr>
                <w:p w14:paraId="2944979B">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rPr>
                    <w:t>金属杂质</w:t>
                  </w:r>
                </w:p>
              </w:tc>
              <w:tc>
                <w:tcPr>
                  <w:tcW w:w="1145" w:type="dxa"/>
                  <w:shd w:val="clear" w:color="auto" w:fill="auto"/>
                  <w:vAlign w:val="center"/>
                </w:tcPr>
                <w:p w14:paraId="66DE5E2D">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lang w:val="en-US" w:eastAsia="zh-CN"/>
                    </w:rPr>
                    <w:t>0</w:t>
                  </w:r>
                </w:p>
              </w:tc>
              <w:tc>
                <w:tcPr>
                  <w:tcW w:w="1145" w:type="dxa"/>
                  <w:shd w:val="clear" w:color="auto" w:fill="auto"/>
                  <w:vAlign w:val="center"/>
                </w:tcPr>
                <w:p w14:paraId="0920879F">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rPr>
                    <w:t>45.636</w:t>
                  </w:r>
                </w:p>
              </w:tc>
              <w:tc>
                <w:tcPr>
                  <w:tcW w:w="1145" w:type="dxa"/>
                  <w:shd w:val="clear" w:color="auto" w:fill="auto"/>
                  <w:vAlign w:val="center"/>
                </w:tcPr>
                <w:p w14:paraId="52201D6E">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0</w:t>
                  </w:r>
                </w:p>
              </w:tc>
              <w:tc>
                <w:tcPr>
                  <w:tcW w:w="1145" w:type="dxa"/>
                  <w:shd w:val="clear" w:color="auto" w:fill="auto"/>
                  <w:vAlign w:val="center"/>
                </w:tcPr>
                <w:p w14:paraId="7CE75A7E">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rPr>
                    <w:t>45.636</w:t>
                  </w:r>
                </w:p>
              </w:tc>
              <w:tc>
                <w:tcPr>
                  <w:tcW w:w="1145" w:type="dxa"/>
                  <w:shd w:val="clear" w:color="auto" w:fill="auto"/>
                  <w:vAlign w:val="center"/>
                </w:tcPr>
                <w:p w14:paraId="5B122149">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rPr>
                    <w:t>+45.636</w:t>
                  </w:r>
                </w:p>
              </w:tc>
            </w:tr>
            <w:tr w14:paraId="0E11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145" w:type="dxa"/>
                  <w:vMerge w:val="continue"/>
                  <w:vAlign w:val="center"/>
                </w:tcPr>
                <w:p w14:paraId="1CEA82B3">
                  <w:pPr>
                    <w:jc w:val="center"/>
                    <w:rPr>
                      <w:rFonts w:hint="default"/>
                      <w:color w:val="auto"/>
                      <w:vertAlign w:val="baseline"/>
                      <w:lang w:val="en-US" w:eastAsia="zh-CN"/>
                    </w:rPr>
                  </w:pPr>
                </w:p>
              </w:tc>
              <w:tc>
                <w:tcPr>
                  <w:tcW w:w="1145" w:type="dxa"/>
                  <w:shd w:val="clear" w:color="auto" w:fill="auto"/>
                  <w:vAlign w:val="center"/>
                </w:tcPr>
                <w:p w14:paraId="09DA6625">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rPr>
                    <w:t>生活垃圾</w:t>
                  </w:r>
                </w:p>
              </w:tc>
              <w:tc>
                <w:tcPr>
                  <w:tcW w:w="1145" w:type="dxa"/>
                  <w:shd w:val="clear" w:color="auto" w:fill="auto"/>
                  <w:vAlign w:val="center"/>
                </w:tcPr>
                <w:p w14:paraId="093092E1">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260</w:t>
                  </w:r>
                </w:p>
              </w:tc>
              <w:tc>
                <w:tcPr>
                  <w:tcW w:w="1145" w:type="dxa"/>
                  <w:shd w:val="clear" w:color="auto" w:fill="auto"/>
                  <w:vAlign w:val="center"/>
                </w:tcPr>
                <w:p w14:paraId="3684F81D">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rPr>
                    <w:t>3.33</w:t>
                  </w:r>
                </w:p>
              </w:tc>
              <w:tc>
                <w:tcPr>
                  <w:tcW w:w="1145" w:type="dxa"/>
                  <w:shd w:val="clear" w:color="auto" w:fill="auto"/>
                  <w:vAlign w:val="center"/>
                </w:tcPr>
                <w:p w14:paraId="7CE37F61">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0</w:t>
                  </w:r>
                </w:p>
              </w:tc>
              <w:tc>
                <w:tcPr>
                  <w:tcW w:w="1145" w:type="dxa"/>
                  <w:shd w:val="clear" w:color="auto" w:fill="auto"/>
                  <w:vAlign w:val="center"/>
                </w:tcPr>
                <w:p w14:paraId="3D8CF6E7">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lang w:val="en-US" w:eastAsia="zh-CN"/>
                    </w:rPr>
                    <w:t>26</w:t>
                  </w:r>
                  <w:r>
                    <w:rPr>
                      <w:rFonts w:hint="eastAsia" w:ascii="Times New Roman" w:hAnsi="Times New Roman"/>
                      <w:snapToGrid w:val="0"/>
                      <w:color w:val="auto"/>
                      <w:kern w:val="21"/>
                      <w:sz w:val="21"/>
                      <w:szCs w:val="21"/>
                    </w:rPr>
                    <w:t>3.33</w:t>
                  </w:r>
                </w:p>
              </w:tc>
              <w:tc>
                <w:tcPr>
                  <w:tcW w:w="1145" w:type="dxa"/>
                  <w:shd w:val="clear" w:color="auto" w:fill="auto"/>
                  <w:vAlign w:val="center"/>
                </w:tcPr>
                <w:p w14:paraId="58EBAF72">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rPr>
                    <w:t>+3.33</w:t>
                  </w:r>
                </w:p>
              </w:tc>
            </w:tr>
            <w:tr w14:paraId="08A9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145" w:type="dxa"/>
                  <w:vMerge w:val="continue"/>
                  <w:vAlign w:val="center"/>
                </w:tcPr>
                <w:p w14:paraId="6CC6B2A1">
                  <w:pPr>
                    <w:jc w:val="center"/>
                    <w:rPr>
                      <w:rFonts w:hint="default"/>
                      <w:color w:val="auto"/>
                      <w:vertAlign w:val="baseline"/>
                      <w:lang w:val="en-US" w:eastAsia="zh-CN"/>
                    </w:rPr>
                  </w:pPr>
                </w:p>
              </w:tc>
              <w:tc>
                <w:tcPr>
                  <w:tcW w:w="1145" w:type="dxa"/>
                  <w:shd w:val="clear" w:color="auto" w:fill="auto"/>
                  <w:vAlign w:val="center"/>
                </w:tcPr>
                <w:p w14:paraId="681D4E86">
                  <w:pPr>
                    <w:pStyle w:val="19"/>
                    <w:spacing w:before="0" w:beforeAutospacing="0" w:after="0" w:afterAutospacing="0"/>
                    <w:jc w:val="center"/>
                    <w:outlineLvl w:val="0"/>
                    <w:rPr>
                      <w:rFonts w:hint="default" w:ascii="Times New Roman" w:hAnsi="Times New Roman" w:eastAsia="宋体" w:cs="Times New Roman"/>
                      <w:snapToGrid w:val="0"/>
                      <w:color w:val="auto"/>
                      <w:kern w:val="0"/>
                      <w:sz w:val="21"/>
                      <w:szCs w:val="21"/>
                      <w:lang w:val="en-US" w:eastAsia="zh-CN" w:bidi="ar-SA"/>
                    </w:rPr>
                  </w:pPr>
                  <w:r>
                    <w:rPr>
                      <w:rFonts w:hint="eastAsia" w:ascii="Times New Roman" w:hAnsi="Times New Roman"/>
                      <w:snapToGrid w:val="0"/>
                      <w:color w:val="auto"/>
                      <w:sz w:val="21"/>
                      <w:szCs w:val="21"/>
                      <w:lang w:val="en-US" w:eastAsia="zh-CN"/>
                    </w:rPr>
                    <w:t>沉淀池污泥</w:t>
                  </w:r>
                </w:p>
              </w:tc>
              <w:tc>
                <w:tcPr>
                  <w:tcW w:w="1145" w:type="dxa"/>
                  <w:shd w:val="clear" w:color="auto" w:fill="auto"/>
                  <w:vAlign w:val="center"/>
                </w:tcPr>
                <w:p w14:paraId="3237617A">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0</w:t>
                  </w:r>
                </w:p>
              </w:tc>
              <w:tc>
                <w:tcPr>
                  <w:tcW w:w="1145" w:type="dxa"/>
                  <w:shd w:val="clear" w:color="auto" w:fill="auto"/>
                  <w:vAlign w:val="center"/>
                </w:tcPr>
                <w:p w14:paraId="206BD673">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lang w:val="en-US" w:eastAsia="zh-CN"/>
                    </w:rPr>
                    <w:t>4</w:t>
                  </w:r>
                </w:p>
              </w:tc>
              <w:tc>
                <w:tcPr>
                  <w:tcW w:w="1145" w:type="dxa"/>
                  <w:shd w:val="clear" w:color="auto" w:fill="auto"/>
                  <w:vAlign w:val="center"/>
                </w:tcPr>
                <w:p w14:paraId="22D3E54E">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0</w:t>
                  </w:r>
                </w:p>
              </w:tc>
              <w:tc>
                <w:tcPr>
                  <w:tcW w:w="1145" w:type="dxa"/>
                  <w:shd w:val="clear" w:color="auto" w:fill="auto"/>
                  <w:vAlign w:val="center"/>
                </w:tcPr>
                <w:p w14:paraId="5FB1D6F7">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lang w:val="en-US" w:eastAsia="zh-CN"/>
                    </w:rPr>
                    <w:t>4</w:t>
                  </w:r>
                </w:p>
              </w:tc>
              <w:tc>
                <w:tcPr>
                  <w:tcW w:w="1145" w:type="dxa"/>
                  <w:shd w:val="clear" w:color="auto" w:fill="auto"/>
                  <w:vAlign w:val="center"/>
                </w:tcPr>
                <w:p w14:paraId="34E4B78C">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lang w:val="en-US" w:eastAsia="zh-CN"/>
                    </w:rPr>
                    <w:t>+4</w:t>
                  </w:r>
                </w:p>
              </w:tc>
            </w:tr>
            <w:tr w14:paraId="1631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145" w:type="dxa"/>
                  <w:shd w:val="clear" w:color="auto" w:fill="auto"/>
                  <w:vAlign w:val="center"/>
                </w:tcPr>
                <w:p w14:paraId="42234D07">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rPr>
                    <w:t>危险废物</w:t>
                  </w:r>
                </w:p>
              </w:tc>
              <w:tc>
                <w:tcPr>
                  <w:tcW w:w="1145" w:type="dxa"/>
                  <w:shd w:val="clear" w:color="auto" w:fill="auto"/>
                  <w:vAlign w:val="center"/>
                </w:tcPr>
                <w:p w14:paraId="05437CB7">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rPr>
                    <w:t>废润滑油</w:t>
                  </w:r>
                </w:p>
              </w:tc>
              <w:tc>
                <w:tcPr>
                  <w:tcW w:w="1145" w:type="dxa"/>
                  <w:shd w:val="clear" w:color="auto" w:fill="auto"/>
                  <w:vAlign w:val="center"/>
                </w:tcPr>
                <w:p w14:paraId="227A1AA4">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0</w:t>
                  </w:r>
                </w:p>
              </w:tc>
              <w:tc>
                <w:tcPr>
                  <w:tcW w:w="1145" w:type="dxa"/>
                  <w:shd w:val="clear" w:color="auto" w:fill="auto"/>
                  <w:vAlign w:val="center"/>
                </w:tcPr>
                <w:p w14:paraId="1F89E010">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rPr>
                    <w:t>0.5</w:t>
                  </w:r>
                </w:p>
              </w:tc>
              <w:tc>
                <w:tcPr>
                  <w:tcW w:w="1145" w:type="dxa"/>
                  <w:shd w:val="clear" w:color="auto" w:fill="auto"/>
                  <w:vAlign w:val="center"/>
                </w:tcPr>
                <w:p w14:paraId="3A17EF59">
                  <w:pPr>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snapToGrid w:val="0"/>
                      <w:color w:val="auto"/>
                      <w:kern w:val="21"/>
                      <w:szCs w:val="21"/>
                      <w:lang w:val="en-US" w:eastAsia="zh-CN"/>
                    </w:rPr>
                    <w:t>0</w:t>
                  </w:r>
                </w:p>
              </w:tc>
              <w:tc>
                <w:tcPr>
                  <w:tcW w:w="1145" w:type="dxa"/>
                  <w:shd w:val="clear" w:color="auto" w:fill="auto"/>
                  <w:vAlign w:val="center"/>
                </w:tcPr>
                <w:p w14:paraId="71570399">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rPr>
                    <w:t>0.5</w:t>
                  </w:r>
                </w:p>
              </w:tc>
              <w:tc>
                <w:tcPr>
                  <w:tcW w:w="1145" w:type="dxa"/>
                  <w:shd w:val="clear" w:color="auto" w:fill="auto"/>
                  <w:vAlign w:val="center"/>
                </w:tcPr>
                <w:p w14:paraId="1F754A0B">
                  <w:pPr>
                    <w:pStyle w:val="19"/>
                    <w:spacing w:before="0" w:beforeAutospacing="0" w:after="0" w:afterAutospacing="0"/>
                    <w:jc w:val="center"/>
                    <w:outlineLvl w:val="0"/>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snapToGrid w:val="0"/>
                      <w:color w:val="auto"/>
                      <w:kern w:val="21"/>
                      <w:sz w:val="21"/>
                      <w:szCs w:val="21"/>
                    </w:rPr>
                    <w:t>+0.5</w:t>
                  </w:r>
                </w:p>
              </w:tc>
            </w:tr>
          </w:tbl>
          <w:p w14:paraId="57A1856D">
            <w:pPr>
              <w:rPr>
                <w:rFonts w:hint="default"/>
                <w:lang w:val="en-US" w:eastAsia="zh-CN"/>
              </w:rPr>
            </w:pPr>
          </w:p>
          <w:p w14:paraId="0353E3EA">
            <w:pPr>
              <w:pStyle w:val="1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outlineLvl w:val="0"/>
              <w:rPr>
                <w:rFonts w:hint="eastAsia"/>
                <w:color w:val="000000"/>
                <w:kern w:val="0"/>
                <w:sz w:val="24"/>
                <w:lang w:val="en-US" w:eastAsia="zh-CN" w:bidi="ar"/>
              </w:rPr>
            </w:pPr>
            <w:r>
              <w:rPr>
                <w:rFonts w:hint="eastAsia" w:ascii="Times New Roman" w:hAnsi="Times New Roman"/>
                <w:snapToGrid w:val="0"/>
                <w:szCs w:val="24"/>
                <w:lang w:val="en-US" w:eastAsia="zh-CN"/>
              </w:rPr>
              <w:t>7、</w:t>
            </w:r>
            <w:r>
              <w:rPr>
                <w:rFonts w:hint="eastAsia" w:ascii="Times New Roman" w:hAnsi="Times New Roman"/>
                <w:snapToGrid w:val="0"/>
                <w:szCs w:val="24"/>
              </w:rPr>
              <w:t>环境影响风险分析与评价</w:t>
            </w:r>
          </w:p>
          <w:p w14:paraId="1EE44402">
            <w:pPr>
              <w:pStyle w:val="19"/>
              <w:numPr>
                <w:ilvl w:val="0"/>
                <w:numId w:val="17"/>
              </w:numPr>
              <w:spacing w:before="0" w:beforeAutospacing="0" w:after="0" w:afterAutospacing="0" w:line="360" w:lineRule="auto"/>
              <w:ind w:firstLine="480" w:firstLineChars="200"/>
              <w:outlineLvl w:val="0"/>
              <w:rPr>
                <w:rFonts w:ascii="Times New Roman" w:hAnsi="Times New Roman"/>
                <w:color w:val="000000"/>
                <w:szCs w:val="24"/>
                <w:lang w:bidi="ar"/>
              </w:rPr>
            </w:pPr>
            <w:r>
              <w:rPr>
                <w:rFonts w:hint="eastAsia" w:ascii="Times New Roman" w:hAnsi="Times New Roman"/>
                <w:color w:val="000000"/>
                <w:szCs w:val="24"/>
                <w:lang w:val="en-US" w:eastAsia="zh-CN" w:bidi="ar"/>
              </w:rPr>
              <w:t>环境</w:t>
            </w:r>
            <w:r>
              <w:rPr>
                <w:rFonts w:hint="eastAsia" w:ascii="Times New Roman" w:hAnsi="Times New Roman"/>
                <w:color w:val="000000"/>
                <w:szCs w:val="24"/>
                <w:lang w:bidi="ar"/>
              </w:rPr>
              <w:t>风险识别</w:t>
            </w:r>
          </w:p>
          <w:p w14:paraId="005922B3">
            <w:pPr>
              <w:widowControl/>
              <w:spacing w:line="360" w:lineRule="auto"/>
              <w:ind w:firstLine="480" w:firstLineChars="200"/>
              <w:jc w:val="left"/>
              <w:rPr>
                <w:color w:val="000000"/>
                <w:kern w:val="0"/>
                <w:sz w:val="24"/>
                <w:lang w:bidi="ar"/>
              </w:rPr>
            </w:pPr>
            <w:r>
              <w:rPr>
                <w:rFonts w:hint="eastAsia"/>
                <w:color w:val="000000"/>
                <w:kern w:val="0"/>
                <w:sz w:val="24"/>
                <w:lang w:bidi="ar"/>
              </w:rPr>
              <w:t xml:space="preserve">环境风险识别范围包括生产设施风险识别和生产过程所涉及的物质风险识别。 </w:t>
            </w:r>
          </w:p>
          <w:p w14:paraId="670E99F3">
            <w:pPr>
              <w:widowControl/>
              <w:spacing w:line="360" w:lineRule="auto"/>
              <w:ind w:firstLine="480" w:firstLineChars="200"/>
              <w:jc w:val="left"/>
              <w:rPr>
                <w:color w:val="000000"/>
                <w:kern w:val="0"/>
                <w:sz w:val="24"/>
                <w:lang w:bidi="ar"/>
              </w:rPr>
            </w:pPr>
            <w:r>
              <w:rPr>
                <w:rFonts w:hint="eastAsia"/>
                <w:color w:val="000000"/>
                <w:kern w:val="0"/>
                <w:sz w:val="24"/>
                <w:lang w:bidi="ar"/>
              </w:rPr>
              <w:t>物质风险识别范围：主要原材料及辅助材料、燃料、中间产品、最终产品以及生产过程排放的“三废”污染物等。本项目涉及的危险物质为运营期设备维修废润滑油</w:t>
            </w:r>
            <w:r>
              <w:rPr>
                <w:rFonts w:hint="eastAsia"/>
                <w:color w:val="000000"/>
                <w:kern w:val="0"/>
                <w:sz w:val="24"/>
                <w:lang w:eastAsia="zh-CN" w:bidi="ar"/>
              </w:rPr>
              <w:t>，</w:t>
            </w:r>
            <w:r>
              <w:rPr>
                <w:rFonts w:hint="eastAsia"/>
                <w:color w:val="000000"/>
                <w:kern w:val="0"/>
                <w:sz w:val="24"/>
                <w:lang w:bidi="ar"/>
              </w:rPr>
              <w:t>最大储存量为</w:t>
            </w:r>
            <w:r>
              <w:rPr>
                <w:rFonts w:hint="eastAsia"/>
                <w:color w:val="000000"/>
                <w:kern w:val="0"/>
                <w:sz w:val="24"/>
                <w:lang w:val="en-US" w:eastAsia="zh-CN" w:bidi="ar"/>
              </w:rPr>
              <w:t>0.5t，</w:t>
            </w:r>
            <w:r>
              <w:rPr>
                <w:rFonts w:hint="eastAsia"/>
                <w:color w:val="000000"/>
                <w:kern w:val="0"/>
                <w:sz w:val="24"/>
                <w:lang w:bidi="ar"/>
              </w:rPr>
              <w:t xml:space="preserve"> </w:t>
            </w:r>
            <w:r>
              <w:rPr>
                <w:rFonts w:hint="eastAsia"/>
                <w:color w:val="000000"/>
                <w:kern w:val="0"/>
                <w:sz w:val="24"/>
                <w:lang w:val="en-US" w:eastAsia="zh-CN" w:bidi="ar"/>
              </w:rPr>
              <w:t>Q值为0.002，</w:t>
            </w:r>
            <w:r>
              <w:rPr>
                <w:color w:val="000000"/>
                <w:kern w:val="0"/>
                <w:sz w:val="24"/>
                <w:lang w:bidi="ar"/>
              </w:rPr>
              <w:t xml:space="preserve"> Q 值＜1，因此不</w:t>
            </w:r>
            <w:r>
              <w:rPr>
                <w:rFonts w:hint="eastAsia"/>
                <w:color w:val="000000"/>
                <w:kern w:val="0"/>
                <w:sz w:val="24"/>
                <w:lang w:val="en-US" w:eastAsia="zh-CN" w:bidi="ar"/>
              </w:rPr>
              <w:t>属于</w:t>
            </w:r>
            <w:r>
              <w:rPr>
                <w:color w:val="000000"/>
                <w:kern w:val="0"/>
                <w:sz w:val="24"/>
                <w:lang w:bidi="ar"/>
              </w:rPr>
              <w:t>重大风险源。</w:t>
            </w:r>
          </w:p>
          <w:p w14:paraId="74C9934A">
            <w:pPr>
              <w:pStyle w:val="19"/>
              <w:numPr>
                <w:ilvl w:val="0"/>
                <w:numId w:val="17"/>
              </w:numPr>
              <w:spacing w:before="0" w:beforeAutospacing="0" w:after="0" w:afterAutospacing="0" w:line="360" w:lineRule="auto"/>
              <w:ind w:firstLine="480" w:firstLineChars="200"/>
              <w:outlineLvl w:val="0"/>
              <w:rPr>
                <w:rFonts w:ascii="Times New Roman" w:hAnsi="Times New Roman"/>
                <w:color w:val="000000"/>
                <w:szCs w:val="24"/>
                <w:lang w:bidi="ar"/>
              </w:rPr>
            </w:pPr>
            <w:r>
              <w:rPr>
                <w:rFonts w:ascii="Times New Roman" w:hAnsi="Times New Roman"/>
                <w:color w:val="000000"/>
                <w:szCs w:val="24"/>
                <w:lang w:bidi="ar"/>
              </w:rPr>
              <w:t>风险防范措施及应急要求</w:t>
            </w:r>
          </w:p>
          <w:p w14:paraId="5A583050">
            <w:pPr>
              <w:pStyle w:val="19"/>
              <w:spacing w:before="0" w:beforeAutospacing="0" w:after="0" w:afterAutospacing="0" w:line="360" w:lineRule="auto"/>
              <w:ind w:firstLine="480" w:firstLineChars="200"/>
              <w:outlineLvl w:val="0"/>
              <w:rPr>
                <w:rFonts w:ascii="Times New Roman" w:hAnsi="Times New Roman"/>
                <w:color w:val="000000"/>
                <w:szCs w:val="24"/>
                <w:lang w:bidi="ar"/>
              </w:rPr>
            </w:pPr>
            <w:r>
              <w:rPr>
                <w:rFonts w:ascii="Times New Roman" w:hAnsi="Times New Roman"/>
                <w:color w:val="000000"/>
                <w:szCs w:val="24"/>
                <w:lang w:bidi="ar"/>
              </w:rPr>
              <w:t>仅对可能存在的污染治理设施故障导致环境污染风险提出以下防范措施。</w:t>
            </w:r>
          </w:p>
          <w:p w14:paraId="01AA38AA">
            <w:pPr>
              <w:pStyle w:val="19"/>
              <w:spacing w:before="0" w:beforeAutospacing="0" w:after="0" w:afterAutospacing="0" w:line="360" w:lineRule="auto"/>
              <w:ind w:firstLine="480" w:firstLineChars="200"/>
              <w:outlineLvl w:val="0"/>
              <w:rPr>
                <w:rFonts w:ascii="Times New Roman" w:hAnsi="Times New Roman"/>
                <w:color w:val="000000"/>
                <w:szCs w:val="24"/>
                <w:lang w:bidi="ar"/>
              </w:rPr>
            </w:pPr>
            <w:r>
              <w:rPr>
                <w:rFonts w:ascii="Times New Roman" w:hAnsi="Times New Roman"/>
                <w:color w:val="000000"/>
                <w:szCs w:val="24"/>
                <w:lang w:bidi="ar"/>
              </w:rPr>
              <w:t>①项目运行过程中，安排专员加强对危险废物贮存点及厂房机械的巡检；</w:t>
            </w:r>
          </w:p>
          <w:p w14:paraId="7600B6DC">
            <w:pPr>
              <w:pStyle w:val="19"/>
              <w:spacing w:before="0" w:beforeAutospacing="0" w:after="0" w:afterAutospacing="0" w:line="360" w:lineRule="auto"/>
              <w:ind w:firstLine="480" w:firstLineChars="200"/>
              <w:outlineLvl w:val="0"/>
              <w:rPr>
                <w:rFonts w:ascii="Times New Roman" w:hAnsi="Times New Roman"/>
                <w:color w:val="000000"/>
                <w:szCs w:val="24"/>
                <w:lang w:bidi="ar"/>
              </w:rPr>
            </w:pPr>
            <w:r>
              <w:rPr>
                <w:rFonts w:ascii="Times New Roman" w:hAnsi="Times New Roman"/>
                <w:color w:val="000000"/>
                <w:szCs w:val="24"/>
                <w:lang w:bidi="ar"/>
              </w:rPr>
              <w:t>②危险废物贮存点配备应急物资；</w:t>
            </w:r>
          </w:p>
          <w:p w14:paraId="74EF831C">
            <w:pPr>
              <w:pStyle w:val="19"/>
              <w:spacing w:before="0" w:beforeAutospacing="0" w:after="0" w:afterAutospacing="0" w:line="360" w:lineRule="auto"/>
              <w:ind w:firstLine="480" w:firstLineChars="200"/>
              <w:outlineLvl w:val="0"/>
              <w:rPr>
                <w:rFonts w:ascii="Times New Roman" w:hAnsi="Times New Roman"/>
                <w:color w:val="000000"/>
                <w:szCs w:val="24"/>
                <w:lang w:bidi="ar"/>
              </w:rPr>
            </w:pPr>
            <w:r>
              <w:rPr>
                <w:rFonts w:ascii="Times New Roman" w:hAnsi="Times New Roman"/>
                <w:color w:val="000000"/>
                <w:szCs w:val="24"/>
                <w:lang w:bidi="ar"/>
              </w:rPr>
              <w:t>③所有环保设备经过试运转，并经验收合格后，方可正式运行；</w:t>
            </w:r>
          </w:p>
          <w:p w14:paraId="51FACD09">
            <w:pPr>
              <w:pStyle w:val="19"/>
              <w:spacing w:before="0" w:beforeAutospacing="0" w:after="0" w:afterAutospacing="0" w:line="360" w:lineRule="auto"/>
              <w:ind w:firstLine="480" w:firstLineChars="200"/>
              <w:outlineLvl w:val="0"/>
              <w:rPr>
                <w:rFonts w:ascii="Times New Roman" w:hAnsi="Times New Roman"/>
                <w:color w:val="000000"/>
                <w:szCs w:val="24"/>
                <w:lang w:bidi="ar"/>
              </w:rPr>
            </w:pPr>
            <w:r>
              <w:rPr>
                <w:rFonts w:ascii="Times New Roman" w:hAnsi="Times New Roman"/>
                <w:color w:val="000000"/>
                <w:szCs w:val="24"/>
                <w:lang w:bidi="ar"/>
              </w:rPr>
              <w:t>④定期组织进行安全环境检查工作，建立安全环保检查制度，每月组织检查一次，各部门以自查为主，互查为辅，定期开展环境污染源监测；</w:t>
            </w:r>
          </w:p>
          <w:p w14:paraId="6A7E2AC9">
            <w:pPr>
              <w:pStyle w:val="19"/>
              <w:spacing w:before="0" w:beforeAutospacing="0" w:after="0" w:afterAutospacing="0" w:line="360" w:lineRule="auto"/>
              <w:ind w:firstLine="480" w:firstLineChars="200"/>
              <w:outlineLvl w:val="0"/>
              <w:rPr>
                <w:rFonts w:ascii="Times New Roman" w:hAnsi="Times New Roman"/>
                <w:color w:val="000000"/>
                <w:szCs w:val="24"/>
                <w:lang w:bidi="ar"/>
              </w:rPr>
            </w:pPr>
            <w:r>
              <w:rPr>
                <w:rFonts w:ascii="Times New Roman" w:hAnsi="Times New Roman"/>
                <w:color w:val="000000"/>
                <w:szCs w:val="24"/>
                <w:lang w:bidi="ar"/>
              </w:rPr>
              <w:t>⑤强化安全环保生产教育，企业所有职工必须具备安全环保生产基本知识，加强环境管理。</w:t>
            </w:r>
          </w:p>
          <w:p w14:paraId="561C1EF0">
            <w:pPr>
              <w:pStyle w:val="19"/>
              <w:spacing w:before="0" w:beforeAutospacing="0" w:after="0" w:afterAutospacing="0" w:line="360" w:lineRule="auto"/>
              <w:ind w:firstLine="480" w:firstLineChars="200"/>
              <w:outlineLvl w:val="0"/>
              <w:rPr>
                <w:rFonts w:ascii="Times New Roman" w:hAnsi="Times New Roman"/>
                <w:color w:val="000000"/>
                <w:szCs w:val="24"/>
                <w:lang w:bidi="ar"/>
              </w:rPr>
            </w:pPr>
            <w:r>
              <w:rPr>
                <w:rFonts w:ascii="Times New Roman" w:hAnsi="Times New Roman"/>
                <w:color w:val="000000"/>
                <w:szCs w:val="24"/>
                <w:lang w:bidi="ar"/>
              </w:rPr>
              <w:t xml:space="preserve">⑥建立突发环境事件应急管理机构，加强环境风险防范。 </w:t>
            </w:r>
          </w:p>
          <w:p w14:paraId="7022FD3D">
            <w:pPr>
              <w:pStyle w:val="19"/>
              <w:spacing w:before="0" w:beforeAutospacing="0" w:after="0" w:afterAutospacing="0" w:line="360" w:lineRule="auto"/>
              <w:ind w:firstLine="480" w:firstLineChars="200"/>
              <w:outlineLvl w:val="0"/>
              <w:rPr>
                <w:rFonts w:ascii="Times New Roman" w:hAnsi="Times New Roman"/>
                <w:color w:val="000000"/>
                <w:szCs w:val="24"/>
                <w:lang w:bidi="ar"/>
              </w:rPr>
            </w:pPr>
            <w:r>
              <w:rPr>
                <w:rFonts w:ascii="Times New Roman" w:hAnsi="Times New Roman"/>
                <w:color w:val="000000"/>
                <w:szCs w:val="24"/>
                <w:lang w:bidi="ar"/>
              </w:rPr>
              <w:t>⑦根据管理需要，</w:t>
            </w:r>
            <w:r>
              <w:rPr>
                <w:rFonts w:hint="eastAsia" w:ascii="Times New Roman" w:hAnsi="Times New Roman"/>
                <w:color w:val="000000"/>
                <w:szCs w:val="24"/>
                <w:lang w:val="en-US" w:eastAsia="zh-CN" w:bidi="ar"/>
              </w:rPr>
              <w:t>本</w:t>
            </w:r>
            <w:r>
              <w:rPr>
                <w:rFonts w:hint="eastAsia" w:ascii="Times New Roman" w:hAnsi="Times New Roman"/>
                <w:color w:val="000000"/>
                <w:szCs w:val="24"/>
                <w:lang w:bidi="ar"/>
              </w:rPr>
              <w:t>项目建成后并入</w:t>
            </w:r>
            <w:r>
              <w:rPr>
                <w:rFonts w:hint="eastAsia" w:ascii="Times New Roman" w:hAnsi="Times New Roman"/>
                <w:color w:val="000000"/>
                <w:szCs w:val="24"/>
                <w:lang w:val="en-US" w:eastAsia="zh-CN" w:bidi="ar"/>
              </w:rPr>
              <w:t>新航焦化现有</w:t>
            </w:r>
            <w:r>
              <w:rPr>
                <w:rFonts w:ascii="Times New Roman" w:hAnsi="Times New Roman"/>
                <w:color w:val="000000"/>
                <w:szCs w:val="24"/>
                <w:lang w:bidi="ar"/>
              </w:rPr>
              <w:t xml:space="preserve">突发环境事件应急预案。 </w:t>
            </w:r>
          </w:p>
          <w:p w14:paraId="369C7CEE">
            <w:pPr>
              <w:pStyle w:val="19"/>
              <w:spacing w:before="0" w:beforeAutospacing="0" w:after="0" w:afterAutospacing="0" w:line="360" w:lineRule="auto"/>
              <w:ind w:firstLine="480" w:firstLineChars="200"/>
              <w:outlineLvl w:val="0"/>
              <w:rPr>
                <w:rFonts w:ascii="Times New Roman" w:hAnsi="Times New Roman"/>
                <w:color w:val="000000"/>
                <w:szCs w:val="24"/>
                <w:lang w:bidi="ar"/>
              </w:rPr>
            </w:pPr>
            <w:r>
              <w:rPr>
                <w:rFonts w:ascii="Times New Roman" w:hAnsi="Times New Roman"/>
                <w:color w:val="000000"/>
                <w:szCs w:val="24"/>
                <w:lang w:bidi="ar"/>
              </w:rPr>
              <w:t>建设单位在严格按照有关规范标准的要求对生产设备、危废贮存点等进行监控和管理，并有针对性地提出了防范事故发生的措施、方法以及事故发生状态下的应急预案。认真落实工程拟采用的安全设施措施及本评价所提出风险防范措施，将项目风险事故对周围环境的影响降低到可以接受水平。</w:t>
            </w:r>
          </w:p>
          <w:p w14:paraId="495E4DED">
            <w:pPr>
              <w:pStyle w:val="46"/>
              <w:spacing w:line="360" w:lineRule="auto"/>
              <w:ind w:firstLine="480" w:firstLineChars="200"/>
              <w:jc w:val="left"/>
              <w:rPr>
                <w:rFonts w:ascii="Times New Roman" w:hAnsi="Times New Roman" w:cs="Times New Roman"/>
                <w:color w:val="000000"/>
                <w:kern w:val="0"/>
                <w:sz w:val="24"/>
                <w:szCs w:val="24"/>
                <w:lang w:eastAsia="zh-CN" w:bidi="ar"/>
              </w:rPr>
            </w:pPr>
            <w:r>
              <w:rPr>
                <w:rFonts w:hint="eastAsia" w:ascii="Times New Roman" w:hAnsi="Times New Roman" w:cs="Times New Roman"/>
                <w:color w:val="000000"/>
                <w:kern w:val="0"/>
                <w:sz w:val="24"/>
                <w:szCs w:val="24"/>
                <w:lang w:eastAsia="zh-CN" w:bidi="ar"/>
              </w:rPr>
              <w:t>8、环保投资估算</w:t>
            </w:r>
          </w:p>
          <w:p w14:paraId="4EF1C231">
            <w:pPr>
              <w:pStyle w:val="46"/>
              <w:spacing w:line="360" w:lineRule="auto"/>
              <w:ind w:firstLine="480" w:firstLineChars="200"/>
              <w:jc w:val="left"/>
              <w:rPr>
                <w:rFonts w:ascii="Times New Roman" w:hAnsi="Times New Roman" w:cs="Times New Roman"/>
                <w:color w:val="000000"/>
                <w:kern w:val="0"/>
                <w:sz w:val="24"/>
                <w:szCs w:val="24"/>
                <w:lang w:eastAsia="zh-CN" w:bidi="ar"/>
              </w:rPr>
            </w:pPr>
            <w:r>
              <w:rPr>
                <w:rFonts w:hint="eastAsia" w:ascii="Times New Roman" w:hAnsi="Times New Roman" w:cs="Times New Roman"/>
                <w:color w:val="000000"/>
                <w:kern w:val="0"/>
                <w:sz w:val="24"/>
                <w:szCs w:val="24"/>
                <w:lang w:eastAsia="zh-CN" w:bidi="ar"/>
              </w:rPr>
              <w:t>本项目总投资为28500万元，环保投资约270万元，占总投资的0.95%，环保投资估算见下表。</w:t>
            </w:r>
          </w:p>
          <w:p w14:paraId="42ED08E4">
            <w:pPr>
              <w:pStyle w:val="19"/>
              <w:spacing w:before="0" w:beforeAutospacing="0" w:after="0" w:afterAutospacing="0"/>
              <w:jc w:val="center"/>
              <w:outlineLvl w:val="0"/>
              <w:rPr>
                <w:rFonts w:ascii="Times New Roman" w:hAnsi="Times New Roman"/>
                <w:b/>
                <w:bCs/>
                <w:snapToGrid w:val="0"/>
                <w:szCs w:val="24"/>
              </w:rPr>
            </w:pPr>
            <w:r>
              <w:rPr>
                <w:rFonts w:hint="eastAsia" w:ascii="Times New Roman" w:hAnsi="Times New Roman"/>
                <w:b/>
                <w:bCs/>
                <w:snapToGrid w:val="0"/>
                <w:szCs w:val="24"/>
              </w:rPr>
              <w:t xml:space="preserve">           </w:t>
            </w:r>
            <w:r>
              <w:rPr>
                <w:rFonts w:ascii="Times New Roman" w:hAnsi="Times New Roman"/>
                <w:b/>
                <w:bCs/>
                <w:snapToGrid w:val="0"/>
                <w:szCs w:val="24"/>
              </w:rPr>
              <w:t>表</w:t>
            </w:r>
            <w:r>
              <w:rPr>
                <w:rFonts w:hint="eastAsia" w:ascii="Times New Roman" w:hAnsi="Times New Roman"/>
                <w:b/>
                <w:bCs/>
                <w:snapToGrid w:val="0"/>
                <w:szCs w:val="24"/>
              </w:rPr>
              <w:t>4-1</w:t>
            </w:r>
            <w:r>
              <w:rPr>
                <w:rFonts w:hint="eastAsia" w:ascii="Times New Roman" w:hAnsi="Times New Roman"/>
                <w:b/>
                <w:bCs/>
                <w:snapToGrid w:val="0"/>
                <w:szCs w:val="24"/>
                <w:lang w:val="en-US" w:eastAsia="zh-CN"/>
              </w:rPr>
              <w:t xml:space="preserve">6  </w:t>
            </w:r>
            <w:r>
              <w:rPr>
                <w:rFonts w:ascii="Times New Roman" w:hAnsi="Times New Roman"/>
                <w:b/>
                <w:bCs/>
                <w:snapToGrid w:val="0"/>
                <w:szCs w:val="24"/>
              </w:rPr>
              <w:t xml:space="preserve">  环保投资一览表</w:t>
            </w:r>
            <w:r>
              <w:rPr>
                <w:rFonts w:hint="eastAsia" w:ascii="Times New Roman" w:hAnsi="Times New Roman"/>
                <w:b/>
                <w:bCs/>
                <w:snapToGrid w:val="0"/>
                <w:szCs w:val="24"/>
              </w:rPr>
              <w:t xml:space="preserve">            单位：万元</w:t>
            </w:r>
          </w:p>
          <w:tbl>
            <w:tblPr>
              <w:tblStyle w:val="23"/>
              <w:tblW w:w="8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012"/>
              <w:gridCol w:w="705"/>
              <w:gridCol w:w="1079"/>
              <w:gridCol w:w="4095"/>
              <w:gridCol w:w="714"/>
            </w:tblGrid>
            <w:tr w14:paraId="1019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45" w:type="dxa"/>
                  <w:vAlign w:val="center"/>
                </w:tcPr>
                <w:p w14:paraId="519269EE">
                  <w:pPr>
                    <w:pStyle w:val="19"/>
                    <w:spacing w:before="0" w:beforeAutospacing="0" w:after="0" w:afterAutospacing="0"/>
                    <w:jc w:val="center"/>
                    <w:outlineLvl w:val="0"/>
                    <w:rPr>
                      <w:rFonts w:ascii="Times New Roman" w:hAnsi="Times New Roman"/>
                      <w:snapToGrid w:val="0"/>
                      <w:sz w:val="21"/>
                      <w:szCs w:val="21"/>
                    </w:rPr>
                  </w:pPr>
                  <w:r>
                    <w:rPr>
                      <w:rFonts w:ascii="Times New Roman" w:hAnsi="Times New Roman"/>
                      <w:snapToGrid w:val="0"/>
                      <w:sz w:val="21"/>
                      <w:szCs w:val="21"/>
                    </w:rPr>
                    <w:t>序号</w:t>
                  </w:r>
                </w:p>
              </w:tc>
              <w:tc>
                <w:tcPr>
                  <w:tcW w:w="1012" w:type="dxa"/>
                  <w:vAlign w:val="center"/>
                </w:tcPr>
                <w:p w14:paraId="225E4EFF">
                  <w:pPr>
                    <w:pStyle w:val="19"/>
                    <w:spacing w:before="0" w:beforeAutospacing="0" w:after="0" w:afterAutospacing="0"/>
                    <w:jc w:val="center"/>
                    <w:outlineLvl w:val="0"/>
                    <w:rPr>
                      <w:rFonts w:ascii="Times New Roman" w:hAnsi="Times New Roman"/>
                      <w:snapToGrid w:val="0"/>
                      <w:sz w:val="21"/>
                      <w:szCs w:val="21"/>
                    </w:rPr>
                  </w:pPr>
                  <w:r>
                    <w:rPr>
                      <w:rFonts w:ascii="Times New Roman" w:hAnsi="Times New Roman"/>
                      <w:snapToGrid w:val="0"/>
                      <w:sz w:val="21"/>
                      <w:szCs w:val="21"/>
                    </w:rPr>
                    <w:t>类别</w:t>
                  </w:r>
                </w:p>
              </w:tc>
              <w:tc>
                <w:tcPr>
                  <w:tcW w:w="1784" w:type="dxa"/>
                  <w:gridSpan w:val="2"/>
                  <w:vAlign w:val="center"/>
                </w:tcPr>
                <w:p w14:paraId="23B0FED8">
                  <w:pPr>
                    <w:pStyle w:val="19"/>
                    <w:spacing w:before="0" w:beforeAutospacing="0" w:after="0" w:afterAutospacing="0"/>
                    <w:jc w:val="center"/>
                    <w:outlineLvl w:val="0"/>
                    <w:rPr>
                      <w:rFonts w:ascii="Times New Roman" w:hAnsi="Times New Roman"/>
                      <w:snapToGrid w:val="0"/>
                      <w:sz w:val="21"/>
                      <w:szCs w:val="21"/>
                    </w:rPr>
                  </w:pPr>
                  <w:r>
                    <w:rPr>
                      <w:rFonts w:ascii="Times New Roman" w:hAnsi="Times New Roman"/>
                      <w:snapToGrid w:val="0"/>
                      <w:sz w:val="21"/>
                      <w:szCs w:val="21"/>
                    </w:rPr>
                    <w:t>污染源</w:t>
                  </w:r>
                </w:p>
              </w:tc>
              <w:tc>
                <w:tcPr>
                  <w:tcW w:w="4095" w:type="dxa"/>
                  <w:vAlign w:val="center"/>
                </w:tcPr>
                <w:p w14:paraId="38380AAE">
                  <w:pPr>
                    <w:pStyle w:val="19"/>
                    <w:spacing w:before="0" w:beforeAutospacing="0" w:after="0" w:afterAutospacing="0"/>
                    <w:jc w:val="center"/>
                    <w:outlineLvl w:val="0"/>
                    <w:rPr>
                      <w:rFonts w:ascii="Times New Roman" w:hAnsi="Times New Roman"/>
                      <w:snapToGrid w:val="0"/>
                      <w:sz w:val="21"/>
                      <w:szCs w:val="21"/>
                    </w:rPr>
                  </w:pPr>
                  <w:r>
                    <w:rPr>
                      <w:rFonts w:ascii="Times New Roman" w:hAnsi="Times New Roman"/>
                      <w:snapToGrid w:val="0"/>
                      <w:sz w:val="21"/>
                      <w:szCs w:val="21"/>
                    </w:rPr>
                    <w:t>治理措施</w:t>
                  </w:r>
                </w:p>
              </w:tc>
              <w:tc>
                <w:tcPr>
                  <w:tcW w:w="714" w:type="dxa"/>
                  <w:vAlign w:val="center"/>
                </w:tcPr>
                <w:p w14:paraId="285AE891">
                  <w:pPr>
                    <w:pStyle w:val="19"/>
                    <w:spacing w:before="0" w:beforeAutospacing="0" w:after="0" w:afterAutospacing="0"/>
                    <w:jc w:val="center"/>
                    <w:outlineLvl w:val="0"/>
                    <w:rPr>
                      <w:rFonts w:ascii="Times New Roman" w:hAnsi="Times New Roman"/>
                      <w:snapToGrid w:val="0"/>
                      <w:sz w:val="21"/>
                      <w:szCs w:val="21"/>
                    </w:rPr>
                  </w:pPr>
                  <w:r>
                    <w:rPr>
                      <w:rFonts w:ascii="Times New Roman" w:hAnsi="Times New Roman"/>
                      <w:snapToGrid w:val="0"/>
                      <w:sz w:val="21"/>
                      <w:szCs w:val="21"/>
                    </w:rPr>
                    <w:t>环保</w:t>
                  </w:r>
                </w:p>
                <w:p w14:paraId="69A49DB0">
                  <w:pPr>
                    <w:pStyle w:val="19"/>
                    <w:spacing w:before="0" w:beforeAutospacing="0" w:after="0" w:afterAutospacing="0"/>
                    <w:jc w:val="center"/>
                    <w:outlineLvl w:val="0"/>
                    <w:rPr>
                      <w:rFonts w:ascii="Times New Roman" w:hAnsi="Times New Roman"/>
                      <w:snapToGrid w:val="0"/>
                      <w:sz w:val="21"/>
                      <w:szCs w:val="21"/>
                    </w:rPr>
                  </w:pPr>
                  <w:r>
                    <w:rPr>
                      <w:rFonts w:ascii="Times New Roman" w:hAnsi="Times New Roman"/>
                      <w:snapToGrid w:val="0"/>
                      <w:sz w:val="21"/>
                      <w:szCs w:val="21"/>
                    </w:rPr>
                    <w:t>投资</w:t>
                  </w:r>
                </w:p>
              </w:tc>
            </w:tr>
            <w:tr w14:paraId="2AA6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45" w:type="dxa"/>
                  <w:vMerge w:val="restart"/>
                  <w:vAlign w:val="center"/>
                </w:tcPr>
                <w:p w14:paraId="222C41EC">
                  <w:pPr>
                    <w:pStyle w:val="19"/>
                    <w:spacing w:before="0" w:beforeAutospacing="0" w:after="0" w:afterAutospacing="0"/>
                    <w:jc w:val="center"/>
                    <w:outlineLvl w:val="0"/>
                    <w:rPr>
                      <w:rFonts w:ascii="Times New Roman" w:hAnsi="Times New Roman"/>
                      <w:snapToGrid w:val="0"/>
                      <w:sz w:val="21"/>
                      <w:szCs w:val="21"/>
                    </w:rPr>
                  </w:pPr>
                  <w:r>
                    <w:rPr>
                      <w:rFonts w:ascii="Times New Roman" w:hAnsi="Times New Roman"/>
                      <w:snapToGrid w:val="0"/>
                      <w:sz w:val="21"/>
                      <w:szCs w:val="21"/>
                    </w:rPr>
                    <w:t>1</w:t>
                  </w:r>
                </w:p>
              </w:tc>
              <w:tc>
                <w:tcPr>
                  <w:tcW w:w="1012" w:type="dxa"/>
                  <w:vMerge w:val="restart"/>
                  <w:vAlign w:val="center"/>
                </w:tcPr>
                <w:p w14:paraId="324F9647">
                  <w:pPr>
                    <w:widowControl/>
                    <w:jc w:val="center"/>
                    <w:rPr>
                      <w:snapToGrid w:val="0"/>
                      <w:szCs w:val="21"/>
                    </w:rPr>
                  </w:pPr>
                  <w:r>
                    <w:rPr>
                      <w:color w:val="000000"/>
                      <w:kern w:val="0"/>
                      <w:szCs w:val="21"/>
                      <w:lang w:bidi="ar"/>
                    </w:rPr>
                    <w:t>废气治理措施</w:t>
                  </w:r>
                </w:p>
              </w:tc>
              <w:tc>
                <w:tcPr>
                  <w:tcW w:w="705" w:type="dxa"/>
                  <w:vMerge w:val="restart"/>
                  <w:vAlign w:val="center"/>
                </w:tcPr>
                <w:p w14:paraId="5BD9F02C">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有组织</w:t>
                  </w:r>
                </w:p>
              </w:tc>
              <w:tc>
                <w:tcPr>
                  <w:tcW w:w="1079" w:type="dxa"/>
                  <w:vAlign w:val="center"/>
                </w:tcPr>
                <w:p w14:paraId="288452B9">
                  <w:pPr>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上料粉尘</w:t>
                  </w:r>
                </w:p>
              </w:tc>
              <w:tc>
                <w:tcPr>
                  <w:tcW w:w="4095" w:type="dxa"/>
                  <w:vAlign w:val="center"/>
                </w:tcPr>
                <w:p w14:paraId="6DB8B4C5">
                  <w:pPr>
                    <w:pStyle w:val="19"/>
                    <w:spacing w:before="0" w:beforeAutospacing="0" w:after="0" w:afterAutospacing="0"/>
                    <w:jc w:val="center"/>
                    <w:outlineLvl w:val="0"/>
                    <w:rPr>
                      <w:rFonts w:ascii="Times New Roman" w:hAnsi="Times New Roman"/>
                      <w:snapToGrid w:val="0"/>
                      <w:sz w:val="21"/>
                      <w:szCs w:val="21"/>
                    </w:rPr>
                  </w:pPr>
                  <w:r>
                    <w:rPr>
                      <w:rFonts w:ascii="Times New Roman" w:hAnsi="Times New Roman"/>
                      <w:bCs/>
                      <w:color w:val="000000" w:themeColor="text1"/>
                      <w:sz w:val="21"/>
                      <w:szCs w:val="21"/>
                      <w14:textFill>
                        <w14:solidFill>
                          <w14:schemeClr w14:val="tx1"/>
                        </w14:solidFill>
                      </w14:textFill>
                    </w:rPr>
                    <w:t>焦粉兰炭粉上料时干雾抑尘器喷水抑尘</w:t>
                  </w:r>
                  <w:r>
                    <w:rPr>
                      <w:rFonts w:hint="eastAsia" w:ascii="Times New Roman" w:hAnsi="Times New Roman"/>
                      <w:bCs/>
                      <w:color w:val="000000" w:themeColor="text1"/>
                      <w:sz w:val="21"/>
                      <w:szCs w:val="21"/>
                      <w14:textFill>
                        <w14:solidFill>
                          <w14:schemeClr w14:val="tx1"/>
                        </w14:solidFill>
                      </w14:textFill>
                    </w:rPr>
                    <w:t>+</w:t>
                  </w:r>
                  <w:r>
                    <w:rPr>
                      <w:rFonts w:ascii="Times New Roman" w:hAnsi="Times New Roman"/>
                      <w:bCs/>
                      <w:color w:val="000000" w:themeColor="text1"/>
                      <w:sz w:val="21"/>
                      <w:szCs w:val="21"/>
                      <w14:textFill>
                        <w14:solidFill>
                          <w14:schemeClr w14:val="tx1"/>
                        </w14:solidFill>
                      </w14:textFill>
                    </w:rPr>
                    <w:t>集气罩（90%）收集后经密闭抽尘管道引至1套布袋除尘器（99%）处理后排放</w:t>
                  </w:r>
                  <w:r>
                    <w:rPr>
                      <w:rFonts w:hint="eastAsia" w:ascii="Times New Roman" w:hAnsi="Times New Roman"/>
                      <w:bCs/>
                      <w:color w:val="000000" w:themeColor="text1"/>
                      <w:sz w:val="21"/>
                      <w:szCs w:val="21"/>
                      <w14:textFill>
                        <w14:solidFill>
                          <w14:schemeClr w14:val="tx1"/>
                        </w14:solidFill>
                      </w14:textFill>
                    </w:rPr>
                    <w:t>（DA001）。</w:t>
                  </w:r>
                </w:p>
              </w:tc>
              <w:tc>
                <w:tcPr>
                  <w:tcW w:w="714" w:type="dxa"/>
                  <w:vAlign w:val="center"/>
                </w:tcPr>
                <w:p w14:paraId="55652A5F">
                  <w:pPr>
                    <w:pStyle w:val="19"/>
                    <w:spacing w:before="0" w:beforeAutospacing="0" w:after="0" w:afterAutospacing="0"/>
                    <w:jc w:val="center"/>
                    <w:outlineLvl w:val="0"/>
                    <w:rPr>
                      <w:rFonts w:hint="default" w:ascii="Times New Roman" w:hAnsi="Times New Roman" w:eastAsia="宋体"/>
                      <w:snapToGrid w:val="0"/>
                      <w:sz w:val="21"/>
                      <w:szCs w:val="21"/>
                      <w:lang w:val="en-US" w:eastAsia="zh-CN"/>
                    </w:rPr>
                  </w:pPr>
                  <w:r>
                    <w:rPr>
                      <w:rFonts w:hint="eastAsia" w:ascii="Times New Roman" w:hAnsi="Times New Roman"/>
                      <w:snapToGrid w:val="0"/>
                      <w:sz w:val="21"/>
                      <w:szCs w:val="21"/>
                      <w:lang w:val="en-US" w:eastAsia="zh-CN"/>
                    </w:rPr>
                    <w:t>85</w:t>
                  </w:r>
                </w:p>
              </w:tc>
            </w:tr>
            <w:tr w14:paraId="7BD5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45" w:type="dxa"/>
                  <w:vMerge w:val="continue"/>
                  <w:vAlign w:val="center"/>
                </w:tcPr>
                <w:p w14:paraId="67DA443A">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4307C22A">
                  <w:pPr>
                    <w:widowControl/>
                    <w:jc w:val="center"/>
                    <w:rPr>
                      <w:color w:val="000000"/>
                      <w:kern w:val="0"/>
                      <w:szCs w:val="21"/>
                      <w:lang w:bidi="ar"/>
                    </w:rPr>
                  </w:pPr>
                </w:p>
              </w:tc>
              <w:tc>
                <w:tcPr>
                  <w:tcW w:w="705" w:type="dxa"/>
                  <w:vMerge w:val="continue"/>
                  <w:vAlign w:val="center"/>
                </w:tcPr>
                <w:p w14:paraId="7E7A727B">
                  <w:pPr>
                    <w:pStyle w:val="19"/>
                    <w:spacing w:before="0" w:beforeAutospacing="0" w:after="0" w:afterAutospacing="0"/>
                    <w:jc w:val="center"/>
                    <w:outlineLvl w:val="0"/>
                    <w:rPr>
                      <w:rFonts w:hint="eastAsia" w:ascii="Times New Roman" w:hAnsi="Times New Roman"/>
                      <w:snapToGrid w:val="0"/>
                      <w:sz w:val="21"/>
                      <w:szCs w:val="21"/>
                    </w:rPr>
                  </w:pPr>
                </w:p>
              </w:tc>
              <w:tc>
                <w:tcPr>
                  <w:tcW w:w="1079" w:type="dxa"/>
                  <w:vAlign w:val="center"/>
                </w:tcPr>
                <w:p w14:paraId="2F035D79">
                  <w:pPr>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搅拌粉尘</w:t>
                  </w:r>
                </w:p>
              </w:tc>
              <w:tc>
                <w:tcPr>
                  <w:tcW w:w="4095" w:type="dxa"/>
                  <w:vAlign w:val="center"/>
                </w:tcPr>
                <w:p w14:paraId="736C1C31">
                  <w:pPr>
                    <w:pStyle w:val="19"/>
                    <w:spacing w:before="0" w:beforeAutospacing="0" w:after="0" w:afterAutospacing="0"/>
                    <w:jc w:val="center"/>
                    <w:outlineLvl w:val="0"/>
                    <w:rPr>
                      <w:rFonts w:ascii="Times New Roman" w:hAnsi="Times New Roman"/>
                      <w:bCs/>
                      <w:color w:val="000000" w:themeColor="text1"/>
                      <w:sz w:val="21"/>
                      <w:szCs w:val="21"/>
                      <w14:textFill>
                        <w14:solidFill>
                          <w14:schemeClr w14:val="tx1"/>
                        </w14:solidFill>
                      </w14:textFill>
                    </w:rPr>
                  </w:pPr>
                  <w:r>
                    <w:rPr>
                      <w:rFonts w:hint="eastAsia" w:ascii="Times New Roman" w:hAnsi="Times New Roman"/>
                      <w:bCs/>
                      <w:color w:val="000000" w:themeColor="text1"/>
                      <w:sz w:val="21"/>
                      <w:szCs w:val="21"/>
                      <w14:textFill>
                        <w14:solidFill>
                          <w14:schemeClr w14:val="tx1"/>
                        </w14:solidFill>
                      </w14:textFill>
                    </w:rPr>
                    <w:t>经集气罩（90%）收集后经密闭抽尘管道引布袋除尘器（与烘干尾气处共用共用，效率99%）处理后通过1根</w:t>
                  </w:r>
                  <w:r>
                    <w:rPr>
                      <w:rFonts w:hint="eastAsia" w:ascii="Times New Roman" w:hAnsi="Times New Roman"/>
                      <w:bCs/>
                      <w:color w:val="000000" w:themeColor="text1"/>
                      <w:sz w:val="21"/>
                      <w:szCs w:val="21"/>
                      <w:lang w:val="en-US" w:eastAsia="zh-CN"/>
                      <w14:textFill>
                        <w14:solidFill>
                          <w14:schemeClr w14:val="tx1"/>
                        </w14:solidFill>
                      </w14:textFill>
                    </w:rPr>
                    <w:t>20</w:t>
                  </w:r>
                  <w:r>
                    <w:rPr>
                      <w:rFonts w:hint="eastAsia" w:ascii="Times New Roman" w:hAnsi="Times New Roman"/>
                      <w:bCs/>
                      <w:color w:val="000000" w:themeColor="text1"/>
                      <w:sz w:val="21"/>
                      <w:szCs w:val="21"/>
                      <w14:textFill>
                        <w14:solidFill>
                          <w14:schemeClr w14:val="tx1"/>
                        </w14:solidFill>
                      </w14:textFill>
                    </w:rPr>
                    <w:t>m 高排气筒（DA002）排放；</w:t>
                  </w:r>
                </w:p>
              </w:tc>
              <w:tc>
                <w:tcPr>
                  <w:tcW w:w="714" w:type="dxa"/>
                  <w:vAlign w:val="center"/>
                </w:tcPr>
                <w:p w14:paraId="21F5B84F">
                  <w:pPr>
                    <w:pStyle w:val="19"/>
                    <w:spacing w:before="0" w:beforeAutospacing="0" w:after="0" w:afterAutospacing="0"/>
                    <w:jc w:val="center"/>
                    <w:outlineLvl w:val="0"/>
                    <w:rPr>
                      <w:rFonts w:hint="default" w:ascii="Times New Roman" w:hAnsi="Times New Roman" w:eastAsia="宋体"/>
                      <w:snapToGrid w:val="0"/>
                      <w:sz w:val="21"/>
                      <w:szCs w:val="21"/>
                      <w:lang w:val="en-US" w:eastAsia="zh-CN"/>
                    </w:rPr>
                  </w:pPr>
                  <w:r>
                    <w:rPr>
                      <w:rFonts w:hint="eastAsia" w:ascii="Times New Roman" w:hAnsi="Times New Roman"/>
                      <w:snapToGrid w:val="0"/>
                      <w:sz w:val="21"/>
                      <w:szCs w:val="21"/>
                      <w:lang w:val="en-US" w:eastAsia="zh-CN"/>
                    </w:rPr>
                    <w:t>10</w:t>
                  </w:r>
                </w:p>
              </w:tc>
            </w:tr>
            <w:tr w14:paraId="414F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1B2D829D">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0C1F9D98">
                  <w:pPr>
                    <w:pStyle w:val="19"/>
                    <w:spacing w:before="0" w:beforeAutospacing="0" w:after="0" w:afterAutospacing="0"/>
                    <w:jc w:val="center"/>
                    <w:outlineLvl w:val="0"/>
                    <w:rPr>
                      <w:rFonts w:ascii="Times New Roman" w:hAnsi="Times New Roman"/>
                      <w:snapToGrid w:val="0"/>
                      <w:sz w:val="21"/>
                      <w:szCs w:val="21"/>
                    </w:rPr>
                  </w:pPr>
                </w:p>
              </w:tc>
              <w:tc>
                <w:tcPr>
                  <w:tcW w:w="705" w:type="dxa"/>
                  <w:vMerge w:val="continue"/>
                  <w:vAlign w:val="center"/>
                </w:tcPr>
                <w:p w14:paraId="4CFFD7B3">
                  <w:pPr>
                    <w:pStyle w:val="19"/>
                    <w:spacing w:before="0" w:beforeAutospacing="0" w:after="0" w:afterAutospacing="0"/>
                    <w:jc w:val="center"/>
                    <w:outlineLvl w:val="0"/>
                    <w:rPr>
                      <w:rFonts w:ascii="Times New Roman" w:hAnsi="Times New Roman"/>
                      <w:snapToGrid w:val="0"/>
                      <w:sz w:val="21"/>
                      <w:szCs w:val="21"/>
                    </w:rPr>
                  </w:pPr>
                </w:p>
              </w:tc>
              <w:tc>
                <w:tcPr>
                  <w:tcW w:w="1079" w:type="dxa"/>
                  <w:vAlign w:val="center"/>
                </w:tcPr>
                <w:p w14:paraId="1A9DB2D7">
                  <w:pPr>
                    <w:snapToGrid w:val="0"/>
                    <w:jc w:val="center"/>
                    <w:rPr>
                      <w:bCs/>
                      <w:color w:val="000000" w:themeColor="text1"/>
                      <w:szCs w:val="21"/>
                      <w14:textFill>
                        <w14:solidFill>
                          <w14:schemeClr w14:val="tx1"/>
                        </w14:solidFill>
                      </w14:textFill>
                    </w:rPr>
                  </w:pPr>
                  <w:r>
                    <w:rPr>
                      <w:color w:val="000000"/>
                      <w:kern w:val="0"/>
                      <w:szCs w:val="21"/>
                      <w:lang w:bidi="ar"/>
                    </w:rPr>
                    <w:t>烘干废气</w:t>
                  </w:r>
                </w:p>
              </w:tc>
              <w:tc>
                <w:tcPr>
                  <w:tcW w:w="4095" w:type="dxa"/>
                  <w:vAlign w:val="center"/>
                </w:tcPr>
                <w:p w14:paraId="34CC0027">
                  <w:pPr>
                    <w:pStyle w:val="19"/>
                    <w:spacing w:before="0" w:beforeAutospacing="0" w:after="0" w:afterAutospacing="0"/>
                    <w:jc w:val="center"/>
                    <w:outlineLvl w:val="0"/>
                    <w:rPr>
                      <w:rFonts w:ascii="Times New Roman" w:hAnsi="Times New Roman"/>
                      <w:snapToGrid w:val="0"/>
                      <w:sz w:val="21"/>
                      <w:szCs w:val="21"/>
                    </w:rPr>
                  </w:pPr>
                  <w:r>
                    <w:rPr>
                      <w:rFonts w:ascii="Times New Roman" w:hAnsi="Times New Roman"/>
                      <w:bCs/>
                      <w:color w:val="000000" w:themeColor="text1"/>
                      <w:sz w:val="21"/>
                      <w:szCs w:val="21"/>
                      <w14:textFill>
                        <w14:solidFill>
                          <w14:schemeClr w14:val="tx1"/>
                        </w14:solidFill>
                      </w14:textFill>
                    </w:rPr>
                    <w:t>三条生产线各设1套布袋除尘器，除尘器内除尘灰</w:t>
                  </w:r>
                  <w:r>
                    <w:rPr>
                      <w:rFonts w:ascii="Times New Roman" w:hAnsi="Times New Roman"/>
                      <w:bCs/>
                      <w:color w:val="000000" w:themeColor="text1"/>
                      <w:kern w:val="2"/>
                      <w:sz w:val="21"/>
                      <w:szCs w:val="21"/>
                      <w14:textFill>
                        <w14:solidFill>
                          <w14:schemeClr w14:val="tx1"/>
                        </w14:solidFill>
                      </w14:textFill>
                    </w:rPr>
                    <w:t>定期收集后返回生产工序综合利用，</w:t>
                  </w:r>
                  <w:r>
                    <w:rPr>
                      <w:rFonts w:ascii="Times New Roman" w:hAnsi="Times New Roman"/>
                      <w:bCs/>
                      <w:color w:val="000000" w:themeColor="text1"/>
                      <w:sz w:val="21"/>
                      <w:szCs w:val="21"/>
                      <w14:textFill>
                        <w14:solidFill>
                          <w14:schemeClr w14:val="tx1"/>
                        </w14:solidFill>
                      </w14:textFill>
                    </w:rPr>
                    <w:t>布袋除尘器除尘后由引风机送入1根</w:t>
                  </w:r>
                  <w:r>
                    <w:rPr>
                      <w:rFonts w:hint="eastAsia" w:ascii="Times New Roman" w:hAnsi="Times New Roman"/>
                      <w:bCs/>
                      <w:color w:val="000000" w:themeColor="text1"/>
                      <w:sz w:val="21"/>
                      <w:szCs w:val="21"/>
                      <w:lang w:val="en-US" w:eastAsia="zh-CN"/>
                      <w14:textFill>
                        <w14:solidFill>
                          <w14:schemeClr w14:val="tx1"/>
                        </w14:solidFill>
                      </w14:textFill>
                    </w:rPr>
                    <w:t>20</w:t>
                  </w:r>
                  <w:r>
                    <w:rPr>
                      <w:rFonts w:ascii="Times New Roman" w:hAnsi="Times New Roman"/>
                      <w:bCs/>
                      <w:color w:val="000000" w:themeColor="text1"/>
                      <w:sz w:val="21"/>
                      <w:szCs w:val="21"/>
                      <w14:textFill>
                        <w14:solidFill>
                          <w14:schemeClr w14:val="tx1"/>
                        </w14:solidFill>
                      </w14:textFill>
                    </w:rPr>
                    <w:t>m高排气筒（DA002）达标排放。</w:t>
                  </w:r>
                </w:p>
              </w:tc>
              <w:tc>
                <w:tcPr>
                  <w:tcW w:w="714" w:type="dxa"/>
                  <w:vAlign w:val="center"/>
                </w:tcPr>
                <w:p w14:paraId="61756D31">
                  <w:pPr>
                    <w:pStyle w:val="19"/>
                    <w:spacing w:before="0" w:beforeAutospacing="0" w:after="0" w:afterAutospacing="0"/>
                    <w:jc w:val="center"/>
                    <w:outlineLvl w:val="0"/>
                    <w:rPr>
                      <w:rFonts w:hint="default" w:ascii="Times New Roman" w:hAnsi="Times New Roman" w:eastAsia="宋体"/>
                      <w:snapToGrid w:val="0"/>
                      <w:sz w:val="21"/>
                      <w:szCs w:val="21"/>
                      <w:lang w:val="en-US" w:eastAsia="zh-CN"/>
                    </w:rPr>
                  </w:pPr>
                  <w:r>
                    <w:rPr>
                      <w:rFonts w:hint="eastAsia" w:ascii="Times New Roman" w:hAnsi="Times New Roman"/>
                      <w:snapToGrid w:val="0"/>
                      <w:sz w:val="21"/>
                      <w:szCs w:val="21"/>
                    </w:rPr>
                    <w:t>1</w:t>
                  </w:r>
                  <w:r>
                    <w:rPr>
                      <w:rFonts w:hint="eastAsia" w:ascii="Times New Roman" w:hAnsi="Times New Roman"/>
                      <w:snapToGrid w:val="0"/>
                      <w:sz w:val="21"/>
                      <w:szCs w:val="21"/>
                      <w:lang w:val="en-US" w:eastAsia="zh-CN"/>
                    </w:rPr>
                    <w:t>10</w:t>
                  </w:r>
                </w:p>
              </w:tc>
            </w:tr>
            <w:tr w14:paraId="283C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33FCBCCA">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53C40F1A">
                  <w:pPr>
                    <w:pStyle w:val="19"/>
                    <w:spacing w:before="0" w:beforeAutospacing="0" w:after="0" w:afterAutospacing="0"/>
                    <w:jc w:val="center"/>
                    <w:outlineLvl w:val="0"/>
                    <w:rPr>
                      <w:rFonts w:ascii="Times New Roman" w:hAnsi="Times New Roman"/>
                      <w:snapToGrid w:val="0"/>
                      <w:sz w:val="21"/>
                      <w:szCs w:val="21"/>
                    </w:rPr>
                  </w:pPr>
                </w:p>
              </w:tc>
              <w:tc>
                <w:tcPr>
                  <w:tcW w:w="705" w:type="dxa"/>
                  <w:vMerge w:val="continue"/>
                  <w:vAlign w:val="center"/>
                </w:tcPr>
                <w:p w14:paraId="36A3B35F">
                  <w:pPr>
                    <w:pStyle w:val="19"/>
                    <w:spacing w:before="0" w:beforeAutospacing="0" w:after="0" w:afterAutospacing="0"/>
                    <w:jc w:val="center"/>
                    <w:outlineLvl w:val="0"/>
                    <w:rPr>
                      <w:rFonts w:ascii="Times New Roman" w:hAnsi="Times New Roman"/>
                      <w:snapToGrid w:val="0"/>
                      <w:sz w:val="21"/>
                      <w:szCs w:val="21"/>
                    </w:rPr>
                  </w:pPr>
                </w:p>
              </w:tc>
              <w:tc>
                <w:tcPr>
                  <w:tcW w:w="1079" w:type="dxa"/>
                  <w:vAlign w:val="center"/>
                </w:tcPr>
                <w:p w14:paraId="7E56C0CC">
                  <w:pPr>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筛分粉尘</w:t>
                  </w:r>
                </w:p>
              </w:tc>
              <w:tc>
                <w:tcPr>
                  <w:tcW w:w="4095" w:type="dxa"/>
                  <w:vAlign w:val="center"/>
                </w:tcPr>
                <w:p w14:paraId="519D5E39">
                  <w:pPr>
                    <w:pStyle w:val="19"/>
                    <w:spacing w:before="0" w:beforeAutospacing="0" w:after="0" w:afterAutospacing="0"/>
                    <w:jc w:val="center"/>
                    <w:outlineLvl w:val="0"/>
                    <w:rPr>
                      <w:rFonts w:ascii="Times New Roman" w:hAnsi="Times New Roman"/>
                      <w:snapToGrid w:val="0"/>
                      <w:sz w:val="21"/>
                      <w:szCs w:val="21"/>
                    </w:rPr>
                  </w:pPr>
                  <w:r>
                    <w:rPr>
                      <w:rFonts w:ascii="Times New Roman" w:hAnsi="Times New Roman"/>
                      <w:bCs/>
                      <w:color w:val="000000" w:themeColor="text1"/>
                      <w:sz w:val="21"/>
                      <w:szCs w:val="21"/>
                      <w14:textFill>
                        <w14:solidFill>
                          <w14:schemeClr w14:val="tx1"/>
                        </w14:solidFill>
                      </w14:textFill>
                    </w:rPr>
                    <w:t>经集气罩（90%）收集后经密闭抽尘管道引布袋除尘器（与烘干尾气处共用共用，效率99%）处理后通过1根</w:t>
                  </w:r>
                  <w:r>
                    <w:rPr>
                      <w:rFonts w:hint="eastAsia" w:ascii="Times New Roman" w:hAnsi="Times New Roman"/>
                      <w:bCs/>
                      <w:color w:val="000000" w:themeColor="text1"/>
                      <w:sz w:val="21"/>
                      <w:szCs w:val="21"/>
                      <w:lang w:val="en-US" w:eastAsia="zh-CN"/>
                      <w14:textFill>
                        <w14:solidFill>
                          <w14:schemeClr w14:val="tx1"/>
                        </w14:solidFill>
                      </w14:textFill>
                    </w:rPr>
                    <w:t>20</w:t>
                  </w:r>
                  <w:r>
                    <w:rPr>
                      <w:rFonts w:ascii="Times New Roman" w:hAnsi="Times New Roman"/>
                      <w:bCs/>
                      <w:color w:val="000000" w:themeColor="text1"/>
                      <w:sz w:val="21"/>
                      <w:szCs w:val="21"/>
                      <w14:textFill>
                        <w14:solidFill>
                          <w14:schemeClr w14:val="tx1"/>
                        </w14:solidFill>
                      </w14:textFill>
                    </w:rPr>
                    <w:t>m 高排气筒排放（DA002）</w:t>
                  </w:r>
                </w:p>
              </w:tc>
              <w:tc>
                <w:tcPr>
                  <w:tcW w:w="714" w:type="dxa"/>
                  <w:vAlign w:val="center"/>
                </w:tcPr>
                <w:p w14:paraId="44B6F5FE">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10</w:t>
                  </w:r>
                </w:p>
              </w:tc>
            </w:tr>
            <w:tr w14:paraId="081E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220919FC">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1B9CB8D2">
                  <w:pPr>
                    <w:pStyle w:val="19"/>
                    <w:spacing w:before="0" w:beforeAutospacing="0" w:after="0" w:afterAutospacing="0"/>
                    <w:jc w:val="center"/>
                    <w:outlineLvl w:val="0"/>
                    <w:rPr>
                      <w:rFonts w:ascii="Times New Roman" w:hAnsi="Times New Roman"/>
                      <w:snapToGrid w:val="0"/>
                      <w:sz w:val="21"/>
                      <w:szCs w:val="21"/>
                    </w:rPr>
                  </w:pPr>
                </w:p>
              </w:tc>
              <w:tc>
                <w:tcPr>
                  <w:tcW w:w="705" w:type="dxa"/>
                  <w:vMerge w:val="continue"/>
                  <w:vAlign w:val="center"/>
                </w:tcPr>
                <w:p w14:paraId="57D31E93">
                  <w:pPr>
                    <w:pStyle w:val="19"/>
                    <w:spacing w:before="0" w:beforeAutospacing="0" w:after="0" w:afterAutospacing="0"/>
                    <w:jc w:val="center"/>
                    <w:outlineLvl w:val="0"/>
                    <w:rPr>
                      <w:rFonts w:ascii="Times New Roman" w:hAnsi="Times New Roman"/>
                      <w:snapToGrid w:val="0"/>
                      <w:sz w:val="21"/>
                      <w:szCs w:val="21"/>
                    </w:rPr>
                  </w:pPr>
                </w:p>
              </w:tc>
              <w:tc>
                <w:tcPr>
                  <w:tcW w:w="1079" w:type="dxa"/>
                  <w:vAlign w:val="center"/>
                </w:tcPr>
                <w:p w14:paraId="3333F1E3">
                  <w:pPr>
                    <w:snapToGrid w:val="0"/>
                    <w:jc w:val="center"/>
                    <w:rPr>
                      <w:rFonts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包装粉尘</w:t>
                  </w:r>
                </w:p>
              </w:tc>
              <w:tc>
                <w:tcPr>
                  <w:tcW w:w="4095" w:type="dxa"/>
                  <w:vAlign w:val="center"/>
                </w:tcPr>
                <w:p w14:paraId="062002D5">
                  <w:pPr>
                    <w:pStyle w:val="19"/>
                    <w:spacing w:before="0" w:beforeAutospacing="0" w:after="0" w:afterAutospacing="0"/>
                    <w:jc w:val="center"/>
                    <w:outlineLvl w:val="0"/>
                    <w:rPr>
                      <w:rFonts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ascii="Times New Roman" w:hAnsi="Times New Roman" w:eastAsia="宋体" w:cs="Times New Roman"/>
                      <w:bCs/>
                      <w:color w:val="000000" w:themeColor="text1"/>
                      <w:kern w:val="0"/>
                      <w:sz w:val="21"/>
                      <w:szCs w:val="21"/>
                      <w:lang w:val="en-US" w:eastAsia="zh-CN" w:bidi="ar-SA"/>
                      <w14:textFill>
                        <w14:solidFill>
                          <w14:schemeClr w14:val="tx1"/>
                        </w14:solidFill>
                      </w14:textFill>
                    </w:rPr>
                    <w:t>经集气罩（90%）收集后经密闭抽尘管道引布袋除尘器（与烘干尾气处共用共用，效率99%）处理后通过1根</w:t>
                  </w:r>
                  <w:r>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t>20</w:t>
                  </w:r>
                  <w:r>
                    <w:rPr>
                      <w:rFonts w:ascii="Times New Roman" w:hAnsi="Times New Roman" w:eastAsia="宋体" w:cs="Times New Roman"/>
                      <w:bCs/>
                      <w:color w:val="000000" w:themeColor="text1"/>
                      <w:kern w:val="0"/>
                      <w:sz w:val="21"/>
                      <w:szCs w:val="21"/>
                      <w:lang w:val="en-US" w:eastAsia="zh-CN" w:bidi="ar-SA"/>
                      <w14:textFill>
                        <w14:solidFill>
                          <w14:schemeClr w14:val="tx1"/>
                        </w14:solidFill>
                      </w14:textFill>
                    </w:rPr>
                    <w:t>m 高排气筒排放（DA002）</w:t>
                  </w:r>
                </w:p>
              </w:tc>
              <w:tc>
                <w:tcPr>
                  <w:tcW w:w="714" w:type="dxa"/>
                  <w:vAlign w:val="center"/>
                </w:tcPr>
                <w:p w14:paraId="7ABF67A7">
                  <w:pPr>
                    <w:pStyle w:val="19"/>
                    <w:spacing w:before="0" w:beforeAutospacing="0" w:after="0" w:afterAutospacing="0"/>
                    <w:jc w:val="center"/>
                    <w:outlineLvl w:val="0"/>
                    <w:rPr>
                      <w:rFonts w:hint="default" w:ascii="Times New Roman" w:hAnsi="Times New Roman" w:eastAsia="宋体"/>
                      <w:snapToGrid w:val="0"/>
                      <w:sz w:val="21"/>
                      <w:szCs w:val="21"/>
                      <w:lang w:val="en-US" w:eastAsia="zh-CN"/>
                    </w:rPr>
                  </w:pPr>
                  <w:r>
                    <w:rPr>
                      <w:rFonts w:hint="eastAsia" w:ascii="Times New Roman" w:hAnsi="Times New Roman"/>
                      <w:snapToGrid w:val="0"/>
                      <w:sz w:val="21"/>
                      <w:szCs w:val="21"/>
                      <w:lang w:val="en-US" w:eastAsia="zh-CN"/>
                    </w:rPr>
                    <w:t>10</w:t>
                  </w:r>
                </w:p>
              </w:tc>
            </w:tr>
            <w:tr w14:paraId="5DE5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29DB5595">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734237C2">
                  <w:pPr>
                    <w:pStyle w:val="19"/>
                    <w:spacing w:before="0" w:beforeAutospacing="0" w:after="0" w:afterAutospacing="0"/>
                    <w:jc w:val="center"/>
                    <w:outlineLvl w:val="0"/>
                    <w:rPr>
                      <w:rFonts w:ascii="Times New Roman" w:hAnsi="Times New Roman"/>
                      <w:snapToGrid w:val="0"/>
                      <w:sz w:val="21"/>
                      <w:szCs w:val="21"/>
                    </w:rPr>
                  </w:pPr>
                </w:p>
              </w:tc>
              <w:tc>
                <w:tcPr>
                  <w:tcW w:w="705" w:type="dxa"/>
                  <w:vMerge w:val="restart"/>
                  <w:vAlign w:val="center"/>
                </w:tcPr>
                <w:p w14:paraId="1E9E080E">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无组织</w:t>
                  </w:r>
                </w:p>
              </w:tc>
              <w:tc>
                <w:tcPr>
                  <w:tcW w:w="1079" w:type="dxa"/>
                  <w:vAlign w:val="center"/>
                </w:tcPr>
                <w:p w14:paraId="4556B0F7">
                  <w:pPr>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运输扬尘</w:t>
                  </w:r>
                </w:p>
              </w:tc>
              <w:tc>
                <w:tcPr>
                  <w:tcW w:w="4095" w:type="dxa"/>
                  <w:vAlign w:val="center"/>
                </w:tcPr>
                <w:p w14:paraId="0129C60F">
                  <w:pPr>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道路硬化+及时清扫+洒水降尘</w:t>
                  </w:r>
                </w:p>
              </w:tc>
              <w:tc>
                <w:tcPr>
                  <w:tcW w:w="714" w:type="dxa"/>
                  <w:vAlign w:val="center"/>
                </w:tcPr>
                <w:p w14:paraId="5B57BEC7">
                  <w:pPr>
                    <w:pStyle w:val="19"/>
                    <w:spacing w:before="0" w:beforeAutospacing="0" w:after="0" w:afterAutospacing="0"/>
                    <w:jc w:val="center"/>
                    <w:outlineLvl w:val="0"/>
                    <w:rPr>
                      <w:rFonts w:hint="eastAsia" w:ascii="Times New Roman" w:hAnsi="Times New Roman" w:eastAsia="宋体"/>
                      <w:snapToGrid w:val="0"/>
                      <w:sz w:val="21"/>
                      <w:szCs w:val="21"/>
                      <w:lang w:eastAsia="zh-CN"/>
                    </w:rPr>
                  </w:pPr>
                  <w:r>
                    <w:rPr>
                      <w:rFonts w:hint="eastAsia" w:ascii="Times New Roman" w:hAnsi="Times New Roman"/>
                      <w:snapToGrid w:val="0"/>
                      <w:sz w:val="21"/>
                      <w:szCs w:val="21"/>
                      <w:lang w:val="en-US" w:eastAsia="zh-CN"/>
                    </w:rPr>
                    <w:t>7</w:t>
                  </w:r>
                </w:p>
              </w:tc>
            </w:tr>
            <w:tr w14:paraId="7606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7D50F86E">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1738B1EA">
                  <w:pPr>
                    <w:pStyle w:val="19"/>
                    <w:spacing w:before="0" w:beforeAutospacing="0" w:after="0" w:afterAutospacing="0"/>
                    <w:jc w:val="center"/>
                    <w:outlineLvl w:val="0"/>
                    <w:rPr>
                      <w:rFonts w:ascii="Times New Roman" w:hAnsi="Times New Roman"/>
                      <w:snapToGrid w:val="0"/>
                      <w:sz w:val="21"/>
                      <w:szCs w:val="21"/>
                    </w:rPr>
                  </w:pPr>
                </w:p>
              </w:tc>
              <w:tc>
                <w:tcPr>
                  <w:tcW w:w="705" w:type="dxa"/>
                  <w:vMerge w:val="continue"/>
                  <w:vAlign w:val="center"/>
                </w:tcPr>
                <w:p w14:paraId="1F427ADD">
                  <w:pPr>
                    <w:pStyle w:val="19"/>
                    <w:spacing w:before="0" w:beforeAutospacing="0" w:after="0" w:afterAutospacing="0"/>
                    <w:jc w:val="center"/>
                    <w:outlineLvl w:val="0"/>
                    <w:rPr>
                      <w:rFonts w:ascii="Times New Roman" w:hAnsi="Times New Roman"/>
                      <w:snapToGrid w:val="0"/>
                      <w:sz w:val="21"/>
                      <w:szCs w:val="21"/>
                    </w:rPr>
                  </w:pPr>
                </w:p>
              </w:tc>
              <w:tc>
                <w:tcPr>
                  <w:tcW w:w="1079" w:type="dxa"/>
                  <w:vAlign w:val="center"/>
                </w:tcPr>
                <w:p w14:paraId="2C68875B">
                  <w:pPr>
                    <w:snapToGrid w:val="0"/>
                    <w:jc w:val="center"/>
                    <w:rPr>
                      <w:color w:val="000000"/>
                      <w:kern w:val="0"/>
                      <w:szCs w:val="21"/>
                      <w:lang w:bidi="ar"/>
                    </w:rPr>
                  </w:pPr>
                  <w:r>
                    <w:rPr>
                      <w:color w:val="000000"/>
                      <w:kern w:val="0"/>
                      <w:szCs w:val="21"/>
                      <w:lang w:bidi="ar"/>
                    </w:rPr>
                    <w:t>卸料粉尘</w:t>
                  </w:r>
                </w:p>
              </w:tc>
              <w:tc>
                <w:tcPr>
                  <w:tcW w:w="4095" w:type="dxa"/>
                  <w:vAlign w:val="center"/>
                </w:tcPr>
                <w:p w14:paraId="288CBBF2">
                  <w:pPr>
                    <w:snapToGrid w:val="0"/>
                    <w:jc w:val="center"/>
                    <w:rPr>
                      <w:rFonts w:hint="default"/>
                      <w:bCs/>
                      <w:color w:val="000000" w:themeColor="text1"/>
                      <w:szCs w:val="21"/>
                      <w:lang w:val="en-US"/>
                      <w14:textFill>
                        <w14:solidFill>
                          <w14:schemeClr w14:val="tx1"/>
                        </w14:solidFill>
                      </w14:textFill>
                    </w:rPr>
                  </w:pPr>
                  <w:r>
                    <w:rPr>
                      <w:rFonts w:hint="eastAsia"/>
                      <w:bCs/>
                      <w:color w:val="000000" w:themeColor="text1"/>
                      <w:szCs w:val="21"/>
                      <w14:textFill>
                        <w14:solidFill>
                          <w14:schemeClr w14:val="tx1"/>
                        </w14:solidFill>
                      </w14:textFill>
                    </w:rPr>
                    <w:t>采取封闭厂房措施、气力输送除灰系统和负压吸排罐车</w:t>
                  </w:r>
                </w:p>
              </w:tc>
              <w:tc>
                <w:tcPr>
                  <w:tcW w:w="714" w:type="dxa"/>
                  <w:vAlign w:val="center"/>
                </w:tcPr>
                <w:p w14:paraId="65406500">
                  <w:pPr>
                    <w:pStyle w:val="19"/>
                    <w:spacing w:before="0" w:beforeAutospacing="0" w:after="0" w:afterAutospacing="0"/>
                    <w:jc w:val="center"/>
                    <w:outlineLvl w:val="0"/>
                    <w:rPr>
                      <w:rFonts w:hint="default" w:ascii="Times New Roman" w:hAnsi="Times New Roman" w:eastAsia="宋体"/>
                      <w:snapToGrid w:val="0"/>
                      <w:sz w:val="21"/>
                      <w:szCs w:val="21"/>
                      <w:lang w:val="en-US" w:eastAsia="zh-CN"/>
                    </w:rPr>
                  </w:pPr>
                  <w:r>
                    <w:rPr>
                      <w:rFonts w:hint="eastAsia" w:ascii="Times New Roman" w:hAnsi="Times New Roman"/>
                      <w:snapToGrid w:val="0"/>
                      <w:sz w:val="21"/>
                      <w:szCs w:val="21"/>
                      <w:lang w:val="en-US" w:eastAsia="zh-CN"/>
                    </w:rPr>
                    <w:t>12</w:t>
                  </w:r>
                </w:p>
              </w:tc>
            </w:tr>
            <w:tr w14:paraId="1F3C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350173BC">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14F32ECC">
                  <w:pPr>
                    <w:pStyle w:val="19"/>
                    <w:spacing w:before="0" w:beforeAutospacing="0" w:after="0" w:afterAutospacing="0"/>
                    <w:jc w:val="center"/>
                    <w:outlineLvl w:val="0"/>
                    <w:rPr>
                      <w:rFonts w:ascii="Times New Roman" w:hAnsi="Times New Roman"/>
                      <w:snapToGrid w:val="0"/>
                      <w:sz w:val="21"/>
                      <w:szCs w:val="21"/>
                    </w:rPr>
                  </w:pPr>
                </w:p>
              </w:tc>
              <w:tc>
                <w:tcPr>
                  <w:tcW w:w="705" w:type="dxa"/>
                  <w:vMerge w:val="continue"/>
                  <w:vAlign w:val="center"/>
                </w:tcPr>
                <w:p w14:paraId="449078C3">
                  <w:pPr>
                    <w:pStyle w:val="19"/>
                    <w:spacing w:before="0" w:beforeAutospacing="0" w:after="0" w:afterAutospacing="0"/>
                    <w:jc w:val="center"/>
                    <w:outlineLvl w:val="0"/>
                    <w:rPr>
                      <w:rFonts w:ascii="Times New Roman" w:hAnsi="Times New Roman"/>
                      <w:snapToGrid w:val="0"/>
                      <w:sz w:val="21"/>
                      <w:szCs w:val="21"/>
                    </w:rPr>
                  </w:pPr>
                </w:p>
              </w:tc>
              <w:tc>
                <w:tcPr>
                  <w:tcW w:w="1079" w:type="dxa"/>
                  <w:shd w:val="clear" w:color="auto" w:fill="auto"/>
                  <w:vAlign w:val="center"/>
                </w:tcPr>
                <w:p w14:paraId="5F5DCBF9">
                  <w:pPr>
                    <w:widowControl/>
                    <w:jc w:val="center"/>
                    <w:rPr>
                      <w:rFonts w:hint="eastAsia" w:ascii="Times New Roman" w:hAnsi="Times New Roman" w:eastAsia="宋体" w:cs="Times New Roman"/>
                      <w:color w:val="000000"/>
                      <w:kern w:val="0"/>
                      <w:sz w:val="21"/>
                      <w:szCs w:val="21"/>
                      <w:lang w:val="en-US" w:eastAsia="zh-CN" w:bidi="ar"/>
                    </w:rPr>
                  </w:pPr>
                  <w:r>
                    <w:rPr>
                      <w:rFonts w:hint="eastAsia"/>
                      <w:color w:val="000000"/>
                      <w:kern w:val="0"/>
                      <w:szCs w:val="21"/>
                      <w:lang w:val="en-US" w:eastAsia="zh-CN" w:bidi="ar"/>
                    </w:rPr>
                    <w:t>堆存粉尘</w:t>
                  </w:r>
                </w:p>
              </w:tc>
              <w:tc>
                <w:tcPr>
                  <w:tcW w:w="4095" w:type="dxa"/>
                  <w:vAlign w:val="center"/>
                </w:tcPr>
                <w:p w14:paraId="3AC1D4F1">
                  <w:pPr>
                    <w:snapToGrid w:val="0"/>
                    <w:jc w:val="center"/>
                    <w:rPr>
                      <w:rFonts w:hint="eastAsia" w:eastAsia="宋体"/>
                      <w:bCs/>
                      <w:color w:val="000000" w:themeColor="text1"/>
                      <w:szCs w:val="21"/>
                      <w:lang w:eastAsia="zh-CN"/>
                      <w14:textFill>
                        <w14:solidFill>
                          <w14:schemeClr w14:val="tx1"/>
                        </w14:solidFill>
                      </w14:textFill>
                    </w:rPr>
                  </w:pPr>
                  <w:r>
                    <w:rPr>
                      <w:bCs/>
                      <w:color w:val="000000" w:themeColor="text1"/>
                      <w:szCs w:val="21"/>
                      <w14:textFill>
                        <w14:solidFill>
                          <w14:schemeClr w14:val="tx1"/>
                        </w14:solidFill>
                      </w14:textFill>
                    </w:rPr>
                    <w:t>封闭厂房+干雾抑尘器</w:t>
                  </w:r>
                  <w:r>
                    <w:rPr>
                      <w:rFonts w:hint="eastAsia"/>
                      <w:bCs/>
                      <w:color w:val="000000" w:themeColor="text1"/>
                      <w:szCs w:val="21"/>
                      <w:lang w:eastAsia="zh-CN"/>
                      <w14:textFill>
                        <w14:solidFill>
                          <w14:schemeClr w14:val="tx1"/>
                        </w14:solidFill>
                      </w14:textFill>
                    </w:rPr>
                    <w:t>（</w:t>
                  </w:r>
                  <w:r>
                    <w:rPr>
                      <w:rFonts w:hint="eastAsia"/>
                      <w:bCs/>
                      <w:color w:val="000000" w:themeColor="text1"/>
                      <w:szCs w:val="21"/>
                      <w:lang w:val="en-US" w:eastAsia="zh-CN"/>
                      <w14:textFill>
                        <w14:solidFill>
                          <w14:schemeClr w14:val="tx1"/>
                        </w14:solidFill>
                      </w14:textFill>
                    </w:rPr>
                    <w:t>与卸料粉尘共用</w:t>
                  </w:r>
                  <w:r>
                    <w:rPr>
                      <w:rFonts w:hint="eastAsia"/>
                      <w:bCs/>
                      <w:color w:val="000000" w:themeColor="text1"/>
                      <w:szCs w:val="21"/>
                      <w:lang w:eastAsia="zh-CN"/>
                      <w14:textFill>
                        <w14:solidFill>
                          <w14:schemeClr w14:val="tx1"/>
                        </w14:solidFill>
                      </w14:textFill>
                    </w:rPr>
                    <w:t>）</w:t>
                  </w:r>
                </w:p>
              </w:tc>
              <w:tc>
                <w:tcPr>
                  <w:tcW w:w="714" w:type="dxa"/>
                  <w:vAlign w:val="center"/>
                </w:tcPr>
                <w:p w14:paraId="1637C28E">
                  <w:pPr>
                    <w:pStyle w:val="19"/>
                    <w:spacing w:before="0" w:beforeAutospacing="0" w:after="0" w:afterAutospacing="0"/>
                    <w:jc w:val="center"/>
                    <w:outlineLvl w:val="0"/>
                    <w:rPr>
                      <w:rFonts w:hint="default" w:ascii="Times New Roman" w:hAnsi="Times New Roman"/>
                      <w:snapToGrid w:val="0"/>
                      <w:sz w:val="21"/>
                      <w:szCs w:val="21"/>
                      <w:lang w:val="en-US" w:eastAsia="zh-CN"/>
                    </w:rPr>
                  </w:pPr>
                  <w:r>
                    <w:rPr>
                      <w:rFonts w:hint="eastAsia" w:ascii="Times New Roman" w:hAnsi="Times New Roman"/>
                      <w:snapToGrid w:val="0"/>
                      <w:sz w:val="21"/>
                      <w:szCs w:val="21"/>
                      <w:lang w:val="en-US" w:eastAsia="zh-CN"/>
                    </w:rPr>
                    <w:t>1</w:t>
                  </w:r>
                </w:p>
              </w:tc>
            </w:tr>
            <w:tr w14:paraId="24C6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6603D111">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68E8242B">
                  <w:pPr>
                    <w:pStyle w:val="19"/>
                    <w:spacing w:before="0" w:beforeAutospacing="0" w:after="0" w:afterAutospacing="0"/>
                    <w:jc w:val="center"/>
                    <w:outlineLvl w:val="0"/>
                    <w:rPr>
                      <w:rFonts w:ascii="Times New Roman" w:hAnsi="Times New Roman"/>
                      <w:snapToGrid w:val="0"/>
                      <w:sz w:val="21"/>
                      <w:szCs w:val="21"/>
                    </w:rPr>
                  </w:pPr>
                </w:p>
              </w:tc>
              <w:tc>
                <w:tcPr>
                  <w:tcW w:w="705" w:type="dxa"/>
                  <w:vMerge w:val="continue"/>
                  <w:vAlign w:val="center"/>
                </w:tcPr>
                <w:p w14:paraId="5A691103">
                  <w:pPr>
                    <w:pStyle w:val="19"/>
                    <w:spacing w:before="0" w:beforeAutospacing="0" w:after="0" w:afterAutospacing="0"/>
                    <w:jc w:val="center"/>
                    <w:outlineLvl w:val="0"/>
                    <w:rPr>
                      <w:rFonts w:ascii="Times New Roman" w:hAnsi="Times New Roman"/>
                      <w:snapToGrid w:val="0"/>
                      <w:sz w:val="21"/>
                      <w:szCs w:val="21"/>
                    </w:rPr>
                  </w:pPr>
                </w:p>
              </w:tc>
              <w:tc>
                <w:tcPr>
                  <w:tcW w:w="1079" w:type="dxa"/>
                  <w:shd w:val="clear" w:color="auto" w:fill="auto"/>
                  <w:vAlign w:val="center"/>
                </w:tcPr>
                <w:p w14:paraId="274E9E63">
                  <w:pPr>
                    <w:widowControl/>
                    <w:jc w:val="center"/>
                    <w:rPr>
                      <w:rFonts w:hint="eastAsia" w:ascii="Times New Roman" w:hAnsi="Times New Roman" w:eastAsia="宋体" w:cs="Times New Roman"/>
                      <w:color w:val="000000"/>
                      <w:kern w:val="0"/>
                      <w:sz w:val="21"/>
                      <w:szCs w:val="21"/>
                      <w:lang w:val="en-US" w:eastAsia="zh-CN" w:bidi="ar"/>
                    </w:rPr>
                  </w:pPr>
                  <w:r>
                    <w:rPr>
                      <w:rFonts w:hint="eastAsia"/>
                      <w:color w:val="000000"/>
                      <w:kern w:val="0"/>
                      <w:szCs w:val="21"/>
                      <w:lang w:val="en-US" w:eastAsia="zh-CN" w:bidi="ar"/>
                    </w:rPr>
                    <w:t>筒仓粉尘</w:t>
                  </w:r>
                </w:p>
              </w:tc>
              <w:tc>
                <w:tcPr>
                  <w:tcW w:w="4095" w:type="dxa"/>
                  <w:vAlign w:val="center"/>
                </w:tcPr>
                <w:p w14:paraId="24CC4997">
                  <w:pPr>
                    <w:snapToGrid w:val="0"/>
                    <w:jc w:val="center"/>
                    <w:rPr>
                      <w:bCs/>
                      <w:color w:val="000000" w:themeColor="text1"/>
                      <w:szCs w:val="21"/>
                      <w14:textFill>
                        <w14:solidFill>
                          <w14:schemeClr w14:val="tx1"/>
                        </w14:solidFill>
                      </w14:textFill>
                    </w:rPr>
                  </w:pPr>
                  <w:r>
                    <w:rPr>
                      <w:rFonts w:hint="default"/>
                      <w:bCs/>
                      <w:color w:val="000000" w:themeColor="text1"/>
                      <w:szCs w:val="21"/>
                      <w:lang w:val="en-US" w:eastAsia="zh-CN"/>
                      <w14:textFill>
                        <w14:solidFill>
                          <w14:schemeClr w14:val="tx1"/>
                        </w14:solidFill>
                      </w14:textFill>
                    </w:rPr>
                    <w:t>仓</w:t>
                  </w:r>
                  <w:r>
                    <w:rPr>
                      <w:rFonts w:hint="default"/>
                      <w:bCs/>
                      <w:color w:val="000000" w:themeColor="text1"/>
                      <w:szCs w:val="21"/>
                      <w14:textFill>
                        <w14:solidFill>
                          <w14:schemeClr w14:val="tx1"/>
                        </w14:solidFill>
                      </w14:textFill>
                    </w:rPr>
                    <w:t>顶</w:t>
                  </w:r>
                  <w:r>
                    <w:rPr>
                      <w:rFonts w:hint="eastAsia"/>
                      <w:bCs/>
                      <w:color w:val="000000" w:themeColor="text1"/>
                      <w:szCs w:val="21"/>
                      <w:lang w:val="en-US" w:eastAsia="zh-CN"/>
                      <w14:textFill>
                        <w14:solidFill>
                          <w14:schemeClr w14:val="tx1"/>
                        </w14:solidFill>
                      </w14:textFill>
                    </w:rPr>
                    <w:t>设置</w:t>
                  </w:r>
                  <w:r>
                    <w:rPr>
                      <w:rFonts w:hint="default"/>
                      <w:bCs/>
                      <w:color w:val="000000" w:themeColor="text1"/>
                      <w:szCs w:val="21"/>
                      <w14:textFill>
                        <w14:solidFill>
                          <w14:schemeClr w14:val="tx1"/>
                        </w14:solidFill>
                      </w14:textFill>
                    </w:rPr>
                    <w:t>布袋除尘器</w:t>
                  </w:r>
                  <w:r>
                    <w:rPr>
                      <w:rFonts w:hint="default"/>
                      <w:bCs/>
                      <w:color w:val="000000" w:themeColor="text1"/>
                      <w:szCs w:val="21"/>
                      <w:lang w:eastAsia="zh-CN"/>
                      <w14:textFill>
                        <w14:solidFill>
                          <w14:schemeClr w14:val="tx1"/>
                        </w14:solidFill>
                      </w14:textFill>
                    </w:rPr>
                    <w:t>，</w:t>
                  </w:r>
                  <w:r>
                    <w:rPr>
                      <w:bCs/>
                      <w:color w:val="000000" w:themeColor="text1"/>
                      <w:szCs w:val="21"/>
                      <w14:textFill>
                        <w14:solidFill>
                          <w14:schemeClr w14:val="tx1"/>
                        </w14:solidFill>
                      </w14:textFill>
                    </w:rPr>
                    <w:t>车间内无组织</w:t>
                  </w:r>
                  <w:r>
                    <w:rPr>
                      <w:rFonts w:hint="eastAsia"/>
                      <w:bCs/>
                      <w:color w:val="000000" w:themeColor="text1"/>
                      <w:szCs w:val="21"/>
                      <w:lang w:val="en-US" w:eastAsia="zh-CN"/>
                      <w14:textFill>
                        <w14:solidFill>
                          <w14:schemeClr w14:val="tx1"/>
                        </w14:solidFill>
                      </w14:textFill>
                    </w:rPr>
                    <w:t>排放。</w:t>
                  </w:r>
                </w:p>
              </w:tc>
              <w:tc>
                <w:tcPr>
                  <w:tcW w:w="714" w:type="dxa"/>
                  <w:vAlign w:val="center"/>
                </w:tcPr>
                <w:p w14:paraId="2344D549">
                  <w:pPr>
                    <w:pStyle w:val="19"/>
                    <w:spacing w:before="0" w:beforeAutospacing="0" w:after="0" w:afterAutospacing="0"/>
                    <w:jc w:val="center"/>
                    <w:outlineLvl w:val="0"/>
                    <w:rPr>
                      <w:rFonts w:hint="default" w:ascii="Times New Roman" w:hAnsi="Times New Roman"/>
                      <w:snapToGrid w:val="0"/>
                      <w:sz w:val="21"/>
                      <w:szCs w:val="21"/>
                      <w:lang w:val="en-US" w:eastAsia="zh-CN"/>
                    </w:rPr>
                  </w:pPr>
                  <w:r>
                    <w:rPr>
                      <w:rFonts w:hint="eastAsia" w:ascii="Times New Roman" w:hAnsi="Times New Roman"/>
                      <w:snapToGrid w:val="0"/>
                      <w:sz w:val="21"/>
                      <w:szCs w:val="21"/>
                      <w:lang w:val="en-US" w:eastAsia="zh-CN"/>
                    </w:rPr>
                    <w:t>8</w:t>
                  </w:r>
                </w:p>
              </w:tc>
            </w:tr>
            <w:tr w14:paraId="29B6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36C69288">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0F90ECA1">
                  <w:pPr>
                    <w:pStyle w:val="19"/>
                    <w:spacing w:before="0" w:beforeAutospacing="0" w:after="0" w:afterAutospacing="0"/>
                    <w:jc w:val="center"/>
                    <w:outlineLvl w:val="0"/>
                    <w:rPr>
                      <w:rFonts w:ascii="Times New Roman" w:hAnsi="Times New Roman"/>
                      <w:snapToGrid w:val="0"/>
                      <w:sz w:val="21"/>
                      <w:szCs w:val="21"/>
                    </w:rPr>
                  </w:pPr>
                </w:p>
              </w:tc>
              <w:tc>
                <w:tcPr>
                  <w:tcW w:w="705" w:type="dxa"/>
                  <w:vMerge w:val="continue"/>
                  <w:vAlign w:val="center"/>
                </w:tcPr>
                <w:p w14:paraId="1ED0A141">
                  <w:pPr>
                    <w:pStyle w:val="19"/>
                    <w:spacing w:before="0" w:beforeAutospacing="0" w:after="0" w:afterAutospacing="0"/>
                    <w:jc w:val="center"/>
                    <w:outlineLvl w:val="0"/>
                    <w:rPr>
                      <w:rFonts w:ascii="Times New Roman" w:hAnsi="Times New Roman"/>
                      <w:snapToGrid w:val="0"/>
                      <w:sz w:val="21"/>
                      <w:szCs w:val="21"/>
                    </w:rPr>
                  </w:pPr>
                </w:p>
              </w:tc>
              <w:tc>
                <w:tcPr>
                  <w:tcW w:w="1079" w:type="dxa"/>
                  <w:shd w:val="clear" w:color="auto" w:fill="auto"/>
                  <w:vAlign w:val="center"/>
                </w:tcPr>
                <w:p w14:paraId="58BF01A6">
                  <w:pPr>
                    <w:widowControl/>
                    <w:jc w:val="center"/>
                    <w:rPr>
                      <w:rFonts w:hint="default"/>
                      <w:color w:val="000000"/>
                      <w:kern w:val="0"/>
                      <w:szCs w:val="21"/>
                      <w:lang w:val="en-US" w:eastAsia="zh-CN" w:bidi="ar"/>
                    </w:rPr>
                  </w:pPr>
                  <w:r>
                    <w:rPr>
                      <w:rFonts w:hint="eastAsia"/>
                      <w:color w:val="000000"/>
                      <w:kern w:val="0"/>
                      <w:szCs w:val="21"/>
                      <w:lang w:val="en-US" w:eastAsia="zh-CN" w:bidi="ar"/>
                    </w:rPr>
                    <w:t>未被收集的粉尘</w:t>
                  </w:r>
                </w:p>
              </w:tc>
              <w:tc>
                <w:tcPr>
                  <w:tcW w:w="4095" w:type="dxa"/>
                  <w:vAlign w:val="center"/>
                </w:tcPr>
                <w:p w14:paraId="2CF565C3">
                  <w:pPr>
                    <w:snapToGrid w:val="0"/>
                    <w:jc w:val="center"/>
                    <w:rPr>
                      <w:rFonts w:hint="default"/>
                      <w:bCs/>
                      <w:color w:val="000000" w:themeColor="text1"/>
                      <w:szCs w:val="21"/>
                      <w:lang w:val="en-US" w:eastAsia="zh-CN"/>
                      <w14:textFill>
                        <w14:solidFill>
                          <w14:schemeClr w14:val="tx1"/>
                        </w14:solidFill>
                      </w14:textFill>
                    </w:rPr>
                  </w:pPr>
                  <w:r>
                    <w:rPr>
                      <w:rFonts w:hint="eastAsia"/>
                      <w:bCs/>
                      <w:szCs w:val="21"/>
                      <w:lang w:val="en-US" w:eastAsia="zh-CN"/>
                    </w:rPr>
                    <w:t>洒水抑尘+</w:t>
                  </w:r>
                  <w:r>
                    <w:rPr>
                      <w:rFonts w:hint="eastAsia"/>
                      <w:bCs/>
                      <w:szCs w:val="21"/>
                    </w:rPr>
                    <w:t>封闭厂房</w:t>
                  </w:r>
                </w:p>
              </w:tc>
              <w:tc>
                <w:tcPr>
                  <w:tcW w:w="714" w:type="dxa"/>
                  <w:vAlign w:val="center"/>
                </w:tcPr>
                <w:p w14:paraId="252F0701">
                  <w:pPr>
                    <w:pStyle w:val="19"/>
                    <w:spacing w:before="0" w:beforeAutospacing="0" w:after="0" w:afterAutospacing="0"/>
                    <w:jc w:val="center"/>
                    <w:outlineLvl w:val="0"/>
                    <w:rPr>
                      <w:rFonts w:hint="default" w:ascii="Times New Roman" w:hAnsi="Times New Roman"/>
                      <w:snapToGrid w:val="0"/>
                      <w:sz w:val="21"/>
                      <w:szCs w:val="21"/>
                      <w:lang w:val="en-US" w:eastAsia="zh-CN"/>
                    </w:rPr>
                  </w:pPr>
                  <w:r>
                    <w:rPr>
                      <w:rFonts w:hint="eastAsia" w:ascii="Times New Roman" w:hAnsi="Times New Roman"/>
                      <w:snapToGrid w:val="0"/>
                      <w:sz w:val="21"/>
                      <w:szCs w:val="21"/>
                      <w:lang w:val="en-US" w:eastAsia="zh-CN"/>
                    </w:rPr>
                    <w:t>1</w:t>
                  </w:r>
                </w:p>
              </w:tc>
            </w:tr>
            <w:tr w14:paraId="0194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45" w:type="dxa"/>
                  <w:vMerge w:val="restart"/>
                  <w:vAlign w:val="center"/>
                </w:tcPr>
                <w:p w14:paraId="198FEFA9">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2</w:t>
                  </w:r>
                </w:p>
              </w:tc>
              <w:tc>
                <w:tcPr>
                  <w:tcW w:w="1012" w:type="dxa"/>
                  <w:vMerge w:val="restart"/>
                  <w:vAlign w:val="center"/>
                </w:tcPr>
                <w:p w14:paraId="5BCB2827">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废水治理措施</w:t>
                  </w:r>
                </w:p>
              </w:tc>
              <w:tc>
                <w:tcPr>
                  <w:tcW w:w="1784" w:type="dxa"/>
                  <w:gridSpan w:val="2"/>
                  <w:vAlign w:val="center"/>
                </w:tcPr>
                <w:p w14:paraId="2DDACF59">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车辆冲洗</w:t>
                  </w:r>
                </w:p>
              </w:tc>
              <w:tc>
                <w:tcPr>
                  <w:tcW w:w="4095" w:type="dxa"/>
                  <w:vAlign w:val="center"/>
                </w:tcPr>
                <w:p w14:paraId="34D97937">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一座沉淀池（12m</w:t>
                  </w:r>
                  <w:r>
                    <w:rPr>
                      <w:rFonts w:hint="eastAsia" w:ascii="Times New Roman" w:hAnsi="Times New Roman"/>
                      <w:snapToGrid w:val="0"/>
                      <w:sz w:val="21"/>
                      <w:szCs w:val="21"/>
                      <w:vertAlign w:val="superscript"/>
                    </w:rPr>
                    <w:t>3</w:t>
                  </w:r>
                  <w:r>
                    <w:rPr>
                      <w:rFonts w:hint="eastAsia" w:ascii="Times New Roman" w:hAnsi="Times New Roman"/>
                      <w:snapToGrid w:val="0"/>
                      <w:sz w:val="21"/>
                      <w:szCs w:val="21"/>
                    </w:rPr>
                    <w:t>）</w:t>
                  </w:r>
                </w:p>
              </w:tc>
              <w:tc>
                <w:tcPr>
                  <w:tcW w:w="714" w:type="dxa"/>
                  <w:vAlign w:val="center"/>
                </w:tcPr>
                <w:p w14:paraId="5DD68845">
                  <w:pPr>
                    <w:pStyle w:val="19"/>
                    <w:spacing w:before="0" w:beforeAutospacing="0" w:after="0" w:afterAutospacing="0"/>
                    <w:jc w:val="center"/>
                    <w:outlineLvl w:val="0"/>
                    <w:rPr>
                      <w:rFonts w:hint="eastAsia" w:ascii="Times New Roman" w:hAnsi="Times New Roman" w:eastAsia="宋体"/>
                      <w:snapToGrid w:val="0"/>
                      <w:sz w:val="21"/>
                      <w:szCs w:val="21"/>
                      <w:lang w:eastAsia="zh-CN"/>
                    </w:rPr>
                  </w:pPr>
                  <w:r>
                    <w:rPr>
                      <w:rFonts w:hint="eastAsia" w:ascii="Times New Roman" w:hAnsi="Times New Roman"/>
                      <w:snapToGrid w:val="0"/>
                      <w:sz w:val="21"/>
                      <w:szCs w:val="21"/>
                      <w:lang w:val="en-US" w:eastAsia="zh-CN"/>
                    </w:rPr>
                    <w:t>3</w:t>
                  </w:r>
                </w:p>
              </w:tc>
            </w:tr>
            <w:tr w14:paraId="5533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5DAEA71E">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56809CF0">
                  <w:pPr>
                    <w:pStyle w:val="19"/>
                    <w:spacing w:before="0" w:beforeAutospacing="0" w:after="0" w:afterAutospacing="0"/>
                    <w:jc w:val="center"/>
                    <w:outlineLvl w:val="0"/>
                    <w:rPr>
                      <w:rFonts w:ascii="Times New Roman" w:hAnsi="Times New Roman"/>
                      <w:snapToGrid w:val="0"/>
                      <w:sz w:val="21"/>
                      <w:szCs w:val="21"/>
                    </w:rPr>
                  </w:pPr>
                </w:p>
              </w:tc>
              <w:tc>
                <w:tcPr>
                  <w:tcW w:w="1784" w:type="dxa"/>
                  <w:gridSpan w:val="2"/>
                  <w:vAlign w:val="center"/>
                </w:tcPr>
                <w:p w14:paraId="48A8E6F9">
                  <w:pPr>
                    <w:widowControl/>
                    <w:jc w:val="center"/>
                    <w:textAlignment w:val="center"/>
                    <w:rPr>
                      <w:szCs w:val="21"/>
                    </w:rPr>
                  </w:pPr>
                  <w:r>
                    <w:rPr>
                      <w:rFonts w:hint="eastAsia"/>
                      <w:szCs w:val="21"/>
                    </w:rPr>
                    <w:t>生活</w:t>
                  </w:r>
                </w:p>
                <w:p w14:paraId="52FB8C6F">
                  <w:pPr>
                    <w:pStyle w:val="19"/>
                    <w:spacing w:before="0" w:beforeAutospacing="0" w:after="0" w:afterAutospacing="0"/>
                    <w:jc w:val="center"/>
                    <w:outlineLvl w:val="0"/>
                    <w:rPr>
                      <w:rFonts w:ascii="Times New Roman" w:hAnsi="Times New Roman"/>
                      <w:snapToGrid w:val="0"/>
                      <w:sz w:val="21"/>
                      <w:szCs w:val="21"/>
                    </w:rPr>
                  </w:pPr>
                  <w:r>
                    <w:rPr>
                      <w:rFonts w:hint="eastAsia"/>
                      <w:sz w:val="21"/>
                      <w:szCs w:val="21"/>
                    </w:rPr>
                    <w:t>污水</w:t>
                  </w:r>
                </w:p>
              </w:tc>
              <w:tc>
                <w:tcPr>
                  <w:tcW w:w="4095" w:type="dxa"/>
                  <w:vAlign w:val="center"/>
                </w:tcPr>
                <w:p w14:paraId="5BA6B0AE">
                  <w:pPr>
                    <w:pStyle w:val="19"/>
                    <w:spacing w:before="0" w:beforeAutospacing="0" w:after="0" w:afterAutospacing="0"/>
                    <w:jc w:val="center"/>
                    <w:outlineLvl w:val="0"/>
                    <w:rPr>
                      <w:rFonts w:ascii="Times New Roman" w:hAnsi="Times New Roman"/>
                      <w:snapToGrid w:val="0"/>
                      <w:sz w:val="21"/>
                      <w:szCs w:val="21"/>
                    </w:rPr>
                  </w:pPr>
                  <w:r>
                    <w:rPr>
                      <w:rFonts w:hint="eastAsia"/>
                      <w:sz w:val="21"/>
                      <w:szCs w:val="21"/>
                    </w:rPr>
                    <w:t>生活污水排入新航焦化现有生化污水处理站，出水送至污水深度处理系统进行深度处理后回用厂区。</w:t>
                  </w:r>
                </w:p>
              </w:tc>
              <w:tc>
                <w:tcPr>
                  <w:tcW w:w="714" w:type="dxa"/>
                  <w:vAlign w:val="center"/>
                </w:tcPr>
                <w:p w14:paraId="50A2CA75">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w:t>
                  </w:r>
                </w:p>
              </w:tc>
            </w:tr>
            <w:tr w14:paraId="58F8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445" w:type="dxa"/>
                  <w:vAlign w:val="center"/>
                </w:tcPr>
                <w:p w14:paraId="4C6A9F4E">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3</w:t>
                  </w:r>
                </w:p>
              </w:tc>
              <w:tc>
                <w:tcPr>
                  <w:tcW w:w="1012" w:type="dxa"/>
                  <w:vAlign w:val="center"/>
                </w:tcPr>
                <w:p w14:paraId="05985378">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噪声治理措施</w:t>
                  </w:r>
                </w:p>
              </w:tc>
              <w:tc>
                <w:tcPr>
                  <w:tcW w:w="1784" w:type="dxa"/>
                  <w:gridSpan w:val="2"/>
                  <w:vAlign w:val="center"/>
                </w:tcPr>
                <w:p w14:paraId="786935F8">
                  <w:pPr>
                    <w:widowControl/>
                    <w:jc w:val="center"/>
                    <w:rPr>
                      <w:color w:val="000000"/>
                      <w:kern w:val="0"/>
                      <w:szCs w:val="21"/>
                      <w:lang w:bidi="ar"/>
                    </w:rPr>
                  </w:pPr>
                  <w:r>
                    <w:rPr>
                      <w:rFonts w:hint="eastAsia"/>
                      <w:color w:val="000000"/>
                      <w:kern w:val="0"/>
                      <w:szCs w:val="21"/>
                      <w:lang w:bidi="ar"/>
                    </w:rPr>
                    <w:t>机械设备</w:t>
                  </w:r>
                </w:p>
              </w:tc>
              <w:tc>
                <w:tcPr>
                  <w:tcW w:w="4095" w:type="dxa"/>
                  <w:vAlign w:val="center"/>
                </w:tcPr>
                <w:p w14:paraId="1417FC52">
                  <w:pPr>
                    <w:widowControl/>
                    <w:jc w:val="center"/>
                    <w:rPr>
                      <w:color w:val="000000"/>
                      <w:kern w:val="0"/>
                      <w:szCs w:val="21"/>
                      <w:lang w:bidi="ar"/>
                    </w:rPr>
                  </w:pPr>
                  <w:r>
                    <w:rPr>
                      <w:rFonts w:hint="eastAsia"/>
                      <w:color w:val="000000"/>
                      <w:kern w:val="0"/>
                      <w:szCs w:val="21"/>
                      <w:lang w:bidi="ar"/>
                    </w:rPr>
                    <w:t>选用低噪声设备，设置减震垫，墙体隔声。</w:t>
                  </w:r>
                </w:p>
              </w:tc>
              <w:tc>
                <w:tcPr>
                  <w:tcW w:w="714" w:type="dxa"/>
                  <w:vAlign w:val="center"/>
                </w:tcPr>
                <w:p w14:paraId="105C5561">
                  <w:pPr>
                    <w:pStyle w:val="19"/>
                    <w:spacing w:before="0" w:beforeAutospacing="0" w:after="0" w:afterAutospacing="0"/>
                    <w:jc w:val="center"/>
                    <w:outlineLvl w:val="0"/>
                    <w:rPr>
                      <w:rFonts w:hint="eastAsia" w:ascii="Times New Roman" w:hAnsi="Times New Roman" w:eastAsia="宋体"/>
                      <w:snapToGrid w:val="0"/>
                      <w:sz w:val="21"/>
                      <w:szCs w:val="21"/>
                      <w:lang w:eastAsia="zh-CN"/>
                    </w:rPr>
                  </w:pPr>
                  <w:r>
                    <w:rPr>
                      <w:rFonts w:hint="eastAsia" w:ascii="Times New Roman" w:hAnsi="Times New Roman"/>
                      <w:snapToGrid w:val="0"/>
                      <w:sz w:val="21"/>
                      <w:szCs w:val="21"/>
                      <w:lang w:val="en-US" w:eastAsia="zh-CN"/>
                    </w:rPr>
                    <w:t>1</w:t>
                  </w:r>
                </w:p>
              </w:tc>
            </w:tr>
            <w:tr w14:paraId="7770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restart"/>
                  <w:vAlign w:val="center"/>
                </w:tcPr>
                <w:p w14:paraId="4DB819A4">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4</w:t>
                  </w:r>
                </w:p>
              </w:tc>
              <w:tc>
                <w:tcPr>
                  <w:tcW w:w="1012" w:type="dxa"/>
                  <w:vMerge w:val="restart"/>
                  <w:vAlign w:val="center"/>
                </w:tcPr>
                <w:p w14:paraId="133E0879">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固废治理措施</w:t>
                  </w:r>
                </w:p>
              </w:tc>
              <w:tc>
                <w:tcPr>
                  <w:tcW w:w="705" w:type="dxa"/>
                  <w:vMerge w:val="restart"/>
                  <w:vAlign w:val="center"/>
                </w:tcPr>
                <w:p w14:paraId="5CE9DF2B">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一般固废</w:t>
                  </w:r>
                </w:p>
              </w:tc>
              <w:tc>
                <w:tcPr>
                  <w:tcW w:w="1079" w:type="dxa"/>
                  <w:vAlign w:val="center"/>
                </w:tcPr>
                <w:p w14:paraId="6491F768">
                  <w:pPr>
                    <w:widowControl/>
                    <w:jc w:val="center"/>
                    <w:textAlignment w:val="center"/>
                    <w:rPr>
                      <w:kern w:val="0"/>
                      <w:szCs w:val="21"/>
                      <w:lang w:bidi="ar"/>
                    </w:rPr>
                  </w:pPr>
                  <w:r>
                    <w:rPr>
                      <w:rFonts w:hint="eastAsia"/>
                      <w:kern w:val="0"/>
                      <w:szCs w:val="21"/>
                      <w:lang w:bidi="ar"/>
                    </w:rPr>
                    <w:t>金属杂质</w:t>
                  </w:r>
                </w:p>
              </w:tc>
              <w:tc>
                <w:tcPr>
                  <w:tcW w:w="4095" w:type="dxa"/>
                  <w:vAlign w:val="center"/>
                </w:tcPr>
                <w:p w14:paraId="01ED13C0">
                  <w:pPr>
                    <w:widowControl/>
                    <w:jc w:val="center"/>
                    <w:textAlignment w:val="center"/>
                    <w:rPr>
                      <w:kern w:val="0"/>
                      <w:szCs w:val="21"/>
                      <w:lang w:bidi="ar"/>
                    </w:rPr>
                  </w:pPr>
                  <w:r>
                    <w:rPr>
                      <w:rFonts w:hint="eastAsia"/>
                    </w:rPr>
                    <w:t>收集在型焦生产车间内，</w:t>
                  </w:r>
                  <w:r>
                    <w:rPr>
                      <w:rFonts w:hint="eastAsia"/>
                      <w:lang w:val="en-US" w:eastAsia="zh-CN"/>
                    </w:rPr>
                    <w:t>外售处理</w:t>
                  </w:r>
                  <w:r>
                    <w:rPr>
                      <w:rFonts w:hint="eastAsia"/>
                    </w:rPr>
                    <w:t>。</w:t>
                  </w:r>
                </w:p>
              </w:tc>
              <w:tc>
                <w:tcPr>
                  <w:tcW w:w="714" w:type="dxa"/>
                  <w:vAlign w:val="center"/>
                </w:tcPr>
                <w:p w14:paraId="06741D74">
                  <w:pPr>
                    <w:pStyle w:val="19"/>
                    <w:spacing w:before="0" w:beforeAutospacing="0" w:after="0" w:afterAutospacing="0"/>
                    <w:jc w:val="center"/>
                    <w:outlineLvl w:val="0"/>
                    <w:rPr>
                      <w:rFonts w:hint="eastAsia" w:ascii="Times New Roman" w:hAnsi="Times New Roman" w:eastAsia="宋体"/>
                      <w:snapToGrid w:val="0"/>
                      <w:sz w:val="21"/>
                      <w:szCs w:val="21"/>
                      <w:lang w:eastAsia="zh-CN"/>
                    </w:rPr>
                  </w:pPr>
                  <w:r>
                    <w:rPr>
                      <w:rFonts w:hint="eastAsia" w:ascii="Times New Roman" w:hAnsi="Times New Roman"/>
                      <w:snapToGrid w:val="0"/>
                      <w:sz w:val="21"/>
                      <w:szCs w:val="21"/>
                      <w:lang w:val="en-US" w:eastAsia="zh-CN"/>
                    </w:rPr>
                    <w:t>/</w:t>
                  </w:r>
                </w:p>
              </w:tc>
            </w:tr>
            <w:tr w14:paraId="7BAF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58D3E6AC">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78839671">
                  <w:pPr>
                    <w:pStyle w:val="19"/>
                    <w:spacing w:before="0" w:beforeAutospacing="0" w:after="0" w:afterAutospacing="0"/>
                    <w:jc w:val="center"/>
                    <w:outlineLvl w:val="0"/>
                    <w:rPr>
                      <w:rFonts w:ascii="Times New Roman" w:hAnsi="Times New Roman"/>
                      <w:snapToGrid w:val="0"/>
                      <w:sz w:val="21"/>
                      <w:szCs w:val="21"/>
                    </w:rPr>
                  </w:pPr>
                </w:p>
              </w:tc>
              <w:tc>
                <w:tcPr>
                  <w:tcW w:w="705" w:type="dxa"/>
                  <w:vMerge w:val="continue"/>
                  <w:vAlign w:val="center"/>
                </w:tcPr>
                <w:p w14:paraId="552B7305">
                  <w:pPr>
                    <w:pStyle w:val="19"/>
                    <w:spacing w:before="0" w:beforeAutospacing="0" w:after="0" w:afterAutospacing="0"/>
                    <w:jc w:val="center"/>
                    <w:outlineLvl w:val="0"/>
                    <w:rPr>
                      <w:rFonts w:ascii="Times New Roman" w:hAnsi="Times New Roman"/>
                      <w:snapToGrid w:val="0"/>
                      <w:sz w:val="21"/>
                      <w:szCs w:val="21"/>
                    </w:rPr>
                  </w:pPr>
                </w:p>
              </w:tc>
              <w:tc>
                <w:tcPr>
                  <w:tcW w:w="1079" w:type="dxa"/>
                  <w:vAlign w:val="center"/>
                </w:tcPr>
                <w:p w14:paraId="36C9E93D">
                  <w:pPr>
                    <w:widowControl/>
                    <w:jc w:val="center"/>
                    <w:textAlignment w:val="center"/>
                    <w:rPr>
                      <w:kern w:val="0"/>
                      <w:szCs w:val="21"/>
                      <w:lang w:bidi="ar"/>
                    </w:rPr>
                  </w:pPr>
                  <w:r>
                    <w:rPr>
                      <w:rFonts w:hint="eastAsia"/>
                      <w:kern w:val="0"/>
                      <w:szCs w:val="21"/>
                      <w:lang w:bidi="ar"/>
                    </w:rPr>
                    <w:t>除尘灰</w:t>
                  </w:r>
                </w:p>
              </w:tc>
              <w:tc>
                <w:tcPr>
                  <w:tcW w:w="4095" w:type="dxa"/>
                  <w:vAlign w:val="center"/>
                </w:tcPr>
                <w:p w14:paraId="5267654B">
                  <w:pPr>
                    <w:widowControl/>
                    <w:jc w:val="center"/>
                    <w:textAlignment w:val="center"/>
                    <w:rPr>
                      <w:kern w:val="0"/>
                      <w:szCs w:val="21"/>
                      <w:lang w:bidi="ar"/>
                    </w:rPr>
                  </w:pPr>
                  <w:r>
                    <w:rPr>
                      <w:bCs/>
                      <w:color w:val="000000" w:themeColor="text1"/>
                      <w:szCs w:val="21"/>
                      <w14:textFill>
                        <w14:solidFill>
                          <w14:schemeClr w14:val="tx1"/>
                        </w14:solidFill>
                      </w14:textFill>
                    </w:rPr>
                    <w:t>定期收集后返回生产工序综合利用</w:t>
                  </w:r>
                  <w:r>
                    <w:rPr>
                      <w:rFonts w:hint="eastAsia"/>
                      <w:bCs/>
                      <w:color w:val="000000" w:themeColor="text1"/>
                      <w:szCs w:val="21"/>
                      <w14:textFill>
                        <w14:solidFill>
                          <w14:schemeClr w14:val="tx1"/>
                        </w14:solidFill>
                      </w14:textFill>
                    </w:rPr>
                    <w:t>。</w:t>
                  </w:r>
                </w:p>
              </w:tc>
              <w:tc>
                <w:tcPr>
                  <w:tcW w:w="714" w:type="dxa"/>
                  <w:vAlign w:val="center"/>
                </w:tcPr>
                <w:p w14:paraId="1ACB185F">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w:t>
                  </w:r>
                </w:p>
              </w:tc>
            </w:tr>
            <w:tr w14:paraId="6297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5993D754">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15F1B61C">
                  <w:pPr>
                    <w:pStyle w:val="19"/>
                    <w:spacing w:before="0" w:beforeAutospacing="0" w:after="0" w:afterAutospacing="0"/>
                    <w:jc w:val="center"/>
                    <w:outlineLvl w:val="0"/>
                    <w:rPr>
                      <w:rFonts w:ascii="Times New Roman" w:hAnsi="Times New Roman"/>
                      <w:snapToGrid w:val="0"/>
                      <w:sz w:val="21"/>
                      <w:szCs w:val="21"/>
                    </w:rPr>
                  </w:pPr>
                </w:p>
              </w:tc>
              <w:tc>
                <w:tcPr>
                  <w:tcW w:w="705" w:type="dxa"/>
                  <w:vMerge w:val="continue"/>
                  <w:vAlign w:val="center"/>
                </w:tcPr>
                <w:p w14:paraId="306AF06B">
                  <w:pPr>
                    <w:pStyle w:val="19"/>
                    <w:spacing w:before="0" w:beforeAutospacing="0" w:after="0" w:afterAutospacing="0"/>
                    <w:jc w:val="center"/>
                    <w:outlineLvl w:val="0"/>
                    <w:rPr>
                      <w:rFonts w:ascii="Times New Roman" w:hAnsi="Times New Roman"/>
                      <w:snapToGrid w:val="0"/>
                      <w:sz w:val="21"/>
                      <w:szCs w:val="21"/>
                    </w:rPr>
                  </w:pPr>
                </w:p>
              </w:tc>
              <w:tc>
                <w:tcPr>
                  <w:tcW w:w="1079" w:type="dxa"/>
                  <w:vAlign w:val="center"/>
                </w:tcPr>
                <w:p w14:paraId="6866F33A">
                  <w:pPr>
                    <w:widowControl/>
                    <w:jc w:val="center"/>
                    <w:textAlignment w:val="center"/>
                    <w:rPr>
                      <w:rFonts w:hint="default" w:eastAsia="宋体"/>
                      <w:kern w:val="0"/>
                      <w:szCs w:val="21"/>
                      <w:lang w:val="en-US" w:eastAsia="zh-CN" w:bidi="ar"/>
                    </w:rPr>
                  </w:pPr>
                  <w:r>
                    <w:rPr>
                      <w:rFonts w:hint="eastAsia"/>
                      <w:kern w:val="0"/>
                      <w:szCs w:val="21"/>
                      <w:lang w:val="en-US" w:eastAsia="zh-CN" w:bidi="ar"/>
                    </w:rPr>
                    <w:t>沉淀池污泥</w:t>
                  </w:r>
                </w:p>
              </w:tc>
              <w:tc>
                <w:tcPr>
                  <w:tcW w:w="4095" w:type="dxa"/>
                  <w:vAlign w:val="center"/>
                </w:tcPr>
                <w:p w14:paraId="1031EE9B">
                  <w:pPr>
                    <w:widowControl/>
                    <w:jc w:val="center"/>
                    <w:textAlignment w:val="center"/>
                    <w:rPr>
                      <w:bCs/>
                      <w:color w:val="000000" w:themeColor="text1"/>
                      <w:szCs w:val="21"/>
                      <w14:textFill>
                        <w14:solidFill>
                          <w14:schemeClr w14:val="tx1"/>
                        </w14:solidFill>
                      </w14:textFill>
                    </w:rPr>
                  </w:pPr>
                  <w:r>
                    <w:rPr>
                      <w:rFonts w:hint="eastAsia" w:ascii="Times New Roman" w:hAnsi="Times New Roman"/>
                      <w:snapToGrid w:val="0"/>
                      <w:sz w:val="21"/>
                      <w:szCs w:val="21"/>
                    </w:rPr>
                    <w:t>收集在</w:t>
                  </w:r>
                  <w:r>
                    <w:rPr>
                      <w:rFonts w:hint="eastAsia" w:ascii="Times New Roman" w:hAnsi="Times New Roman"/>
                      <w:snapToGrid w:val="0"/>
                      <w:sz w:val="21"/>
                      <w:szCs w:val="21"/>
                      <w:lang w:val="en-US" w:eastAsia="zh-CN"/>
                    </w:rPr>
                    <w:t>原料仓库划分区域</w:t>
                  </w:r>
                  <w:r>
                    <w:rPr>
                      <w:rFonts w:hint="eastAsia" w:ascii="Times New Roman" w:hAnsi="Times New Roman"/>
                      <w:snapToGrid w:val="0"/>
                      <w:sz w:val="21"/>
                      <w:szCs w:val="21"/>
                    </w:rPr>
                    <w:t>，</w:t>
                  </w:r>
                  <w:r>
                    <w:rPr>
                      <w:rFonts w:hint="eastAsia" w:ascii="Times New Roman" w:hAnsi="Times New Roman" w:eastAsia="宋体" w:cs="Times New Roman"/>
                      <w:bCs/>
                      <w:kern w:val="2"/>
                      <w:sz w:val="21"/>
                      <w:szCs w:val="21"/>
                    </w:rPr>
                    <w:t>委托有资质的一般工业固废处置单位规范处置。</w:t>
                  </w:r>
                </w:p>
              </w:tc>
              <w:tc>
                <w:tcPr>
                  <w:tcW w:w="714" w:type="dxa"/>
                  <w:vAlign w:val="center"/>
                </w:tcPr>
                <w:p w14:paraId="624370BF">
                  <w:pPr>
                    <w:pStyle w:val="19"/>
                    <w:spacing w:before="0" w:beforeAutospacing="0" w:after="0" w:afterAutospacing="0"/>
                    <w:jc w:val="center"/>
                    <w:outlineLvl w:val="0"/>
                    <w:rPr>
                      <w:rFonts w:hint="eastAsia" w:ascii="Times New Roman" w:hAnsi="Times New Roman" w:eastAsia="宋体"/>
                      <w:snapToGrid w:val="0"/>
                      <w:sz w:val="21"/>
                      <w:szCs w:val="21"/>
                      <w:lang w:val="en-US" w:eastAsia="zh-CN"/>
                    </w:rPr>
                  </w:pPr>
                  <w:r>
                    <w:rPr>
                      <w:rFonts w:hint="eastAsia" w:ascii="Times New Roman" w:hAnsi="Times New Roman"/>
                      <w:snapToGrid w:val="0"/>
                      <w:sz w:val="21"/>
                      <w:szCs w:val="21"/>
                      <w:lang w:val="en-US" w:eastAsia="zh-CN"/>
                    </w:rPr>
                    <w:t>1</w:t>
                  </w:r>
                </w:p>
              </w:tc>
            </w:tr>
            <w:tr w14:paraId="3387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45" w:type="dxa"/>
                  <w:vMerge w:val="continue"/>
                  <w:vAlign w:val="center"/>
                </w:tcPr>
                <w:p w14:paraId="63EBFB04">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04179877">
                  <w:pPr>
                    <w:pStyle w:val="19"/>
                    <w:spacing w:before="0" w:beforeAutospacing="0" w:after="0" w:afterAutospacing="0"/>
                    <w:jc w:val="center"/>
                    <w:outlineLvl w:val="0"/>
                    <w:rPr>
                      <w:rFonts w:ascii="Times New Roman" w:hAnsi="Times New Roman"/>
                      <w:snapToGrid w:val="0"/>
                      <w:sz w:val="21"/>
                      <w:szCs w:val="21"/>
                    </w:rPr>
                  </w:pPr>
                </w:p>
              </w:tc>
              <w:tc>
                <w:tcPr>
                  <w:tcW w:w="705" w:type="dxa"/>
                  <w:vMerge w:val="continue"/>
                  <w:vAlign w:val="center"/>
                </w:tcPr>
                <w:p w14:paraId="1FD994B1">
                  <w:pPr>
                    <w:pStyle w:val="19"/>
                    <w:spacing w:before="0" w:beforeAutospacing="0" w:after="0" w:afterAutospacing="0"/>
                    <w:jc w:val="center"/>
                    <w:outlineLvl w:val="0"/>
                    <w:rPr>
                      <w:rFonts w:ascii="Times New Roman" w:hAnsi="Times New Roman"/>
                      <w:snapToGrid w:val="0"/>
                      <w:sz w:val="21"/>
                      <w:szCs w:val="21"/>
                    </w:rPr>
                  </w:pPr>
                </w:p>
              </w:tc>
              <w:tc>
                <w:tcPr>
                  <w:tcW w:w="1079" w:type="dxa"/>
                  <w:vAlign w:val="center"/>
                </w:tcPr>
                <w:p w14:paraId="66B2AAB1">
                  <w:pPr>
                    <w:widowControl/>
                    <w:jc w:val="center"/>
                    <w:textAlignment w:val="center"/>
                    <w:rPr>
                      <w:kern w:val="0"/>
                      <w:szCs w:val="21"/>
                      <w:lang w:bidi="ar"/>
                    </w:rPr>
                  </w:pPr>
                  <w:r>
                    <w:rPr>
                      <w:rFonts w:hint="eastAsia"/>
                      <w:kern w:val="0"/>
                      <w:szCs w:val="21"/>
                      <w:lang w:bidi="ar"/>
                    </w:rPr>
                    <w:t>生活垃圾</w:t>
                  </w:r>
                </w:p>
              </w:tc>
              <w:tc>
                <w:tcPr>
                  <w:tcW w:w="4095" w:type="dxa"/>
                  <w:vAlign w:val="center"/>
                </w:tcPr>
                <w:p w14:paraId="1E662257">
                  <w:pPr>
                    <w:widowControl/>
                    <w:jc w:val="center"/>
                    <w:textAlignment w:val="center"/>
                    <w:rPr>
                      <w:kern w:val="0"/>
                      <w:szCs w:val="21"/>
                      <w:lang w:bidi="ar"/>
                    </w:rPr>
                  </w:pPr>
                  <w:r>
                    <w:rPr>
                      <w:bCs/>
                      <w:color w:val="000000" w:themeColor="text1"/>
                      <w:szCs w:val="21"/>
                      <w14:textFill>
                        <w14:solidFill>
                          <w14:schemeClr w14:val="tx1"/>
                        </w14:solidFill>
                      </w14:textFill>
                    </w:rPr>
                    <w:t>依托</w:t>
                  </w:r>
                  <w:r>
                    <w:rPr>
                      <w:rFonts w:hint="eastAsia"/>
                      <w:bCs/>
                      <w:color w:val="000000" w:themeColor="text1"/>
                      <w:szCs w:val="21"/>
                      <w14:textFill>
                        <w14:solidFill>
                          <w14:schemeClr w14:val="tx1"/>
                        </w14:solidFill>
                      </w14:textFill>
                    </w:rPr>
                    <w:t>新航焦化</w:t>
                  </w:r>
                  <w:r>
                    <w:rPr>
                      <w:bCs/>
                      <w:color w:val="000000" w:themeColor="text1"/>
                      <w:szCs w:val="21"/>
                      <w14:textFill>
                        <w14:solidFill>
                          <w14:schemeClr w14:val="tx1"/>
                        </w14:solidFill>
                      </w14:textFill>
                    </w:rPr>
                    <w:t>办公生活区收集设施集中收集，生活垃圾由园区环卫部门统一处理。</w:t>
                  </w:r>
                </w:p>
              </w:tc>
              <w:tc>
                <w:tcPr>
                  <w:tcW w:w="714" w:type="dxa"/>
                  <w:vAlign w:val="center"/>
                </w:tcPr>
                <w:p w14:paraId="031A2C41">
                  <w:pPr>
                    <w:pStyle w:val="19"/>
                    <w:spacing w:before="0" w:beforeAutospacing="0" w:after="0" w:afterAutospacing="0"/>
                    <w:jc w:val="center"/>
                    <w:outlineLvl w:val="0"/>
                    <w:rPr>
                      <w:rFonts w:hint="eastAsia" w:ascii="Times New Roman" w:hAnsi="Times New Roman"/>
                      <w:snapToGrid w:val="0"/>
                      <w:sz w:val="21"/>
                      <w:szCs w:val="21"/>
                      <w:lang w:val="en-US" w:eastAsia="zh-CN"/>
                    </w:rPr>
                  </w:pPr>
                  <w:r>
                    <w:rPr>
                      <w:rFonts w:hint="eastAsia" w:ascii="Times New Roman" w:hAnsi="Times New Roman"/>
                      <w:snapToGrid w:val="0"/>
                      <w:sz w:val="21"/>
                      <w:szCs w:val="21"/>
                      <w:lang w:val="en-US" w:eastAsia="zh-CN"/>
                    </w:rPr>
                    <w:t>/</w:t>
                  </w:r>
                </w:p>
              </w:tc>
            </w:tr>
            <w:tr w14:paraId="025A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445" w:type="dxa"/>
                  <w:vMerge w:val="continue"/>
                  <w:vAlign w:val="center"/>
                </w:tcPr>
                <w:p w14:paraId="2E067ED4">
                  <w:pPr>
                    <w:pStyle w:val="19"/>
                    <w:spacing w:before="0" w:beforeAutospacing="0" w:after="0" w:afterAutospacing="0"/>
                    <w:jc w:val="center"/>
                    <w:outlineLvl w:val="0"/>
                    <w:rPr>
                      <w:rFonts w:ascii="Times New Roman" w:hAnsi="Times New Roman"/>
                      <w:snapToGrid w:val="0"/>
                      <w:sz w:val="21"/>
                      <w:szCs w:val="21"/>
                    </w:rPr>
                  </w:pPr>
                </w:p>
              </w:tc>
              <w:tc>
                <w:tcPr>
                  <w:tcW w:w="1012" w:type="dxa"/>
                  <w:vMerge w:val="continue"/>
                  <w:vAlign w:val="center"/>
                </w:tcPr>
                <w:p w14:paraId="4F746C4D">
                  <w:pPr>
                    <w:pStyle w:val="19"/>
                    <w:spacing w:before="0" w:beforeAutospacing="0" w:after="0" w:afterAutospacing="0"/>
                    <w:jc w:val="center"/>
                    <w:outlineLvl w:val="0"/>
                    <w:rPr>
                      <w:rFonts w:ascii="Times New Roman" w:hAnsi="Times New Roman"/>
                      <w:snapToGrid w:val="0"/>
                      <w:sz w:val="21"/>
                      <w:szCs w:val="21"/>
                    </w:rPr>
                  </w:pPr>
                </w:p>
              </w:tc>
              <w:tc>
                <w:tcPr>
                  <w:tcW w:w="705" w:type="dxa"/>
                  <w:vAlign w:val="center"/>
                </w:tcPr>
                <w:p w14:paraId="0DDDACB2">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危险废物</w:t>
                  </w:r>
                </w:p>
              </w:tc>
              <w:tc>
                <w:tcPr>
                  <w:tcW w:w="1079" w:type="dxa"/>
                  <w:vAlign w:val="center"/>
                </w:tcPr>
                <w:p w14:paraId="7D387F6D">
                  <w:pPr>
                    <w:widowControl/>
                    <w:jc w:val="center"/>
                    <w:textAlignment w:val="center"/>
                    <w:rPr>
                      <w:kern w:val="0"/>
                      <w:szCs w:val="21"/>
                      <w:lang w:bidi="ar"/>
                    </w:rPr>
                  </w:pPr>
                  <w:r>
                    <w:rPr>
                      <w:rFonts w:hint="eastAsia"/>
                      <w:kern w:val="0"/>
                      <w:szCs w:val="21"/>
                      <w:lang w:bidi="ar"/>
                    </w:rPr>
                    <w:t>废润滑油</w:t>
                  </w:r>
                </w:p>
              </w:tc>
              <w:tc>
                <w:tcPr>
                  <w:tcW w:w="4095" w:type="dxa"/>
                  <w:vAlign w:val="center"/>
                </w:tcPr>
                <w:p w14:paraId="51A28283">
                  <w:pPr>
                    <w:widowControl/>
                    <w:jc w:val="center"/>
                    <w:textAlignment w:val="center"/>
                    <w:rPr>
                      <w:kern w:val="0"/>
                      <w:szCs w:val="21"/>
                      <w:lang w:bidi="ar"/>
                    </w:rPr>
                  </w:pPr>
                  <w:r>
                    <w:rPr>
                      <w:bCs/>
                      <w:color w:val="000000" w:themeColor="text1"/>
                      <w:szCs w:val="21"/>
                      <w14:textFill>
                        <w14:solidFill>
                          <w14:schemeClr w14:val="tx1"/>
                        </w14:solidFill>
                      </w14:textFill>
                    </w:rPr>
                    <w:t>依托暂存新航焦化厂内现有危废暂存库内，定期委托资质单位处理。</w:t>
                  </w:r>
                </w:p>
              </w:tc>
              <w:tc>
                <w:tcPr>
                  <w:tcW w:w="714" w:type="dxa"/>
                  <w:vAlign w:val="center"/>
                </w:tcPr>
                <w:p w14:paraId="5BFE1D7E">
                  <w:pPr>
                    <w:pStyle w:val="19"/>
                    <w:spacing w:before="0" w:beforeAutospacing="0" w:after="0" w:afterAutospacing="0"/>
                    <w:jc w:val="center"/>
                    <w:outlineLvl w:val="0"/>
                    <w:rPr>
                      <w:rFonts w:hint="eastAsia" w:ascii="Times New Roman" w:hAnsi="Times New Roman"/>
                      <w:snapToGrid w:val="0"/>
                      <w:sz w:val="21"/>
                      <w:szCs w:val="21"/>
                      <w:lang w:val="en-US" w:eastAsia="zh-CN"/>
                    </w:rPr>
                  </w:pPr>
                  <w:r>
                    <w:rPr>
                      <w:rFonts w:hint="eastAsia" w:ascii="Times New Roman" w:hAnsi="Times New Roman"/>
                      <w:snapToGrid w:val="0"/>
                      <w:sz w:val="21"/>
                      <w:szCs w:val="21"/>
                      <w:lang w:val="en-US" w:eastAsia="zh-CN"/>
                    </w:rPr>
                    <w:t>1</w:t>
                  </w:r>
                </w:p>
              </w:tc>
            </w:tr>
            <w:tr w14:paraId="7A5D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445" w:type="dxa"/>
                  <w:vAlign w:val="center"/>
                </w:tcPr>
                <w:p w14:paraId="292BCA95">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5</w:t>
                  </w:r>
                </w:p>
              </w:tc>
              <w:tc>
                <w:tcPr>
                  <w:tcW w:w="1012" w:type="dxa"/>
                  <w:vAlign w:val="center"/>
                </w:tcPr>
                <w:p w14:paraId="3B9190A1">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防渗</w:t>
                  </w:r>
                </w:p>
                <w:p w14:paraId="20133EBE">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措施</w:t>
                  </w:r>
                </w:p>
              </w:tc>
              <w:tc>
                <w:tcPr>
                  <w:tcW w:w="1784" w:type="dxa"/>
                  <w:gridSpan w:val="2"/>
                  <w:vAlign w:val="center"/>
                </w:tcPr>
                <w:p w14:paraId="07F2C388">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防渗</w:t>
                  </w:r>
                </w:p>
              </w:tc>
              <w:tc>
                <w:tcPr>
                  <w:tcW w:w="4095" w:type="dxa"/>
                  <w:vAlign w:val="center"/>
                </w:tcPr>
                <w:p w14:paraId="17D43CE8">
                  <w:pPr>
                    <w:widowControl/>
                    <w:jc w:val="center"/>
                    <w:textAlignment w:val="center"/>
                    <w:rPr>
                      <w:rFonts w:hint="eastAsia" w:eastAsia="宋体"/>
                      <w:snapToGrid w:val="0"/>
                      <w:szCs w:val="21"/>
                      <w:lang w:eastAsia="zh-CN"/>
                    </w:rPr>
                  </w:pPr>
                  <w:r>
                    <w:rPr>
                      <w:szCs w:val="21"/>
                    </w:rPr>
                    <w:t>型焦生产车间</w:t>
                  </w:r>
                  <w:r>
                    <w:rPr>
                      <w:rFonts w:hint="eastAsia"/>
                      <w:szCs w:val="21"/>
                    </w:rPr>
                    <w:t>、</w:t>
                  </w:r>
                  <w:r>
                    <w:rPr>
                      <w:szCs w:val="21"/>
                    </w:rPr>
                    <w:t>原料仓库</w:t>
                  </w:r>
                  <w:r>
                    <w:rPr>
                      <w:rFonts w:hint="eastAsia"/>
                      <w:szCs w:val="21"/>
                    </w:rPr>
                    <w:t>、</w:t>
                  </w:r>
                  <w:r>
                    <w:rPr>
                      <w:szCs w:val="21"/>
                    </w:rPr>
                    <w:t>成品仓库</w:t>
                  </w:r>
                  <w:r>
                    <w:rPr>
                      <w:rFonts w:hint="eastAsia"/>
                      <w:szCs w:val="21"/>
                      <w:lang w:eastAsia="zh-CN"/>
                    </w:rPr>
                    <w:t>、</w:t>
                  </w:r>
                  <w:r>
                    <w:rPr>
                      <w:rFonts w:hint="eastAsia"/>
                      <w:kern w:val="0"/>
                      <w:szCs w:val="21"/>
                      <w:lang w:bidi="ar"/>
                    </w:rPr>
                    <w:t>沉淀池</w:t>
                  </w:r>
                  <w:r>
                    <w:rPr>
                      <w:rFonts w:hint="eastAsia"/>
                      <w:szCs w:val="21"/>
                    </w:rPr>
                    <w:t>为一般防渗区</w:t>
                  </w:r>
                  <w:r>
                    <w:rPr>
                      <w:rFonts w:hint="eastAsia"/>
                      <w:szCs w:val="21"/>
                      <w:lang w:eastAsia="zh-CN"/>
                    </w:rPr>
                    <w:t>。</w:t>
                  </w:r>
                </w:p>
              </w:tc>
              <w:tc>
                <w:tcPr>
                  <w:tcW w:w="714" w:type="dxa"/>
                  <w:vAlign w:val="center"/>
                </w:tcPr>
                <w:p w14:paraId="5831E16D">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10</w:t>
                  </w:r>
                </w:p>
              </w:tc>
            </w:tr>
            <w:tr w14:paraId="5B86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7336" w:type="dxa"/>
                  <w:gridSpan w:val="5"/>
                  <w:vAlign w:val="center"/>
                </w:tcPr>
                <w:p w14:paraId="27CB156D">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合计：</w:t>
                  </w:r>
                </w:p>
              </w:tc>
              <w:tc>
                <w:tcPr>
                  <w:tcW w:w="714" w:type="dxa"/>
                  <w:vAlign w:val="center"/>
                </w:tcPr>
                <w:p w14:paraId="5903F1F1">
                  <w:pPr>
                    <w:pStyle w:val="19"/>
                    <w:spacing w:before="0" w:beforeAutospacing="0" w:after="0" w:afterAutospacing="0"/>
                    <w:jc w:val="center"/>
                    <w:outlineLvl w:val="0"/>
                    <w:rPr>
                      <w:rFonts w:hint="default" w:ascii="Times New Roman" w:hAnsi="Times New Roman" w:eastAsia="宋体"/>
                      <w:snapToGrid w:val="0"/>
                      <w:sz w:val="21"/>
                      <w:szCs w:val="21"/>
                      <w:lang w:val="en-US" w:eastAsia="zh-CN"/>
                    </w:rPr>
                  </w:pPr>
                  <w:r>
                    <w:rPr>
                      <w:rFonts w:hint="eastAsia" w:ascii="Times New Roman" w:hAnsi="Times New Roman"/>
                      <w:snapToGrid w:val="0"/>
                      <w:sz w:val="21"/>
                      <w:szCs w:val="21"/>
                      <w:lang w:val="en-US" w:eastAsia="zh-CN"/>
                    </w:rPr>
                    <w:t>270</w:t>
                  </w:r>
                </w:p>
              </w:tc>
            </w:tr>
          </w:tbl>
          <w:p w14:paraId="5CE83811">
            <w:pPr>
              <w:pStyle w:val="19"/>
              <w:spacing w:before="0" w:beforeAutospacing="0" w:after="0" w:afterAutospacing="0" w:line="360" w:lineRule="auto"/>
              <w:ind w:firstLine="480" w:firstLineChars="200"/>
              <w:jc w:val="both"/>
              <w:outlineLvl w:val="0"/>
              <w:rPr>
                <w:rFonts w:hint="eastAsia" w:ascii="Times New Roman" w:hAnsi="Times New Roman"/>
                <w:kern w:val="2"/>
                <w:szCs w:val="24"/>
              </w:rPr>
            </w:pPr>
          </w:p>
          <w:p w14:paraId="6E788AD1">
            <w:pPr>
              <w:pStyle w:val="19"/>
              <w:spacing w:before="0" w:beforeAutospacing="0" w:after="0" w:afterAutospacing="0" w:line="360" w:lineRule="auto"/>
              <w:ind w:firstLine="480" w:firstLineChars="200"/>
              <w:jc w:val="both"/>
              <w:outlineLvl w:val="0"/>
              <w:rPr>
                <w:rFonts w:hint="eastAsia" w:ascii="Times New Roman" w:hAnsi="Times New Roman"/>
                <w:kern w:val="2"/>
                <w:szCs w:val="24"/>
              </w:rPr>
            </w:pPr>
          </w:p>
          <w:p w14:paraId="2E072924">
            <w:pPr>
              <w:pStyle w:val="19"/>
              <w:spacing w:before="0" w:beforeAutospacing="0" w:after="0" w:afterAutospacing="0" w:line="360" w:lineRule="auto"/>
              <w:ind w:firstLine="480" w:firstLineChars="200"/>
              <w:jc w:val="both"/>
              <w:outlineLvl w:val="0"/>
              <w:rPr>
                <w:rFonts w:hint="eastAsia" w:ascii="Times New Roman" w:hAnsi="Times New Roman"/>
                <w:kern w:val="2"/>
                <w:szCs w:val="24"/>
              </w:rPr>
            </w:pPr>
          </w:p>
          <w:p w14:paraId="4A5A2EC2">
            <w:pPr>
              <w:pStyle w:val="19"/>
              <w:spacing w:before="0" w:beforeAutospacing="0" w:after="0" w:afterAutospacing="0" w:line="360" w:lineRule="auto"/>
              <w:ind w:firstLine="480" w:firstLineChars="200"/>
              <w:jc w:val="both"/>
              <w:outlineLvl w:val="0"/>
              <w:rPr>
                <w:rFonts w:hint="eastAsia" w:ascii="Times New Roman" w:hAnsi="Times New Roman"/>
                <w:kern w:val="2"/>
                <w:szCs w:val="24"/>
              </w:rPr>
            </w:pPr>
          </w:p>
          <w:p w14:paraId="1AC43760">
            <w:pPr>
              <w:pStyle w:val="19"/>
              <w:spacing w:before="0" w:beforeAutospacing="0" w:after="0" w:afterAutospacing="0" w:line="360" w:lineRule="auto"/>
              <w:ind w:firstLine="480" w:firstLineChars="200"/>
              <w:jc w:val="both"/>
              <w:outlineLvl w:val="0"/>
              <w:rPr>
                <w:rFonts w:hint="eastAsia" w:ascii="Times New Roman" w:hAnsi="Times New Roman"/>
                <w:kern w:val="2"/>
                <w:szCs w:val="24"/>
              </w:rPr>
            </w:pPr>
          </w:p>
          <w:p w14:paraId="05359DC2">
            <w:pPr>
              <w:pStyle w:val="19"/>
              <w:spacing w:before="0" w:beforeAutospacing="0" w:after="0" w:afterAutospacing="0" w:line="360" w:lineRule="auto"/>
              <w:jc w:val="both"/>
              <w:outlineLvl w:val="0"/>
              <w:rPr>
                <w:rFonts w:hint="eastAsia" w:ascii="Times New Roman" w:hAnsi="Times New Roman"/>
                <w:kern w:val="2"/>
                <w:szCs w:val="24"/>
              </w:rPr>
            </w:pPr>
          </w:p>
        </w:tc>
      </w:tr>
    </w:tbl>
    <w:p w14:paraId="442997C2">
      <w:pPr>
        <w:pStyle w:val="19"/>
        <w:spacing w:before="0" w:beforeAutospacing="0" w:after="0" w:afterAutospacing="0"/>
        <w:jc w:val="center"/>
        <w:outlineLvl w:val="0"/>
        <w:rPr>
          <w:rFonts w:hint="eastAsia" w:ascii="Times New Roman" w:hAnsi="Times New Roman"/>
          <w:b/>
          <w:bCs/>
          <w:snapToGrid w:val="0"/>
          <w:sz w:val="30"/>
          <w:szCs w:val="30"/>
        </w:rPr>
        <w:sectPr>
          <w:footerReference r:id="rId7" w:type="default"/>
          <w:pgSz w:w="11906" w:h="16838"/>
          <w:pgMar w:top="1701" w:right="1531" w:bottom="1701" w:left="1531" w:header="851" w:footer="851" w:gutter="0"/>
          <w:cols w:space="720" w:num="1"/>
          <w:docGrid w:linePitch="312" w:charSpace="0"/>
        </w:sectPr>
      </w:pPr>
      <w:bookmarkStart w:id="9" w:name="_Toc1047"/>
    </w:p>
    <w:p w14:paraId="3921F9D7">
      <w:pPr>
        <w:pStyle w:val="19"/>
        <w:spacing w:before="0" w:beforeAutospacing="0" w:after="0" w:afterAutospacing="0"/>
        <w:jc w:val="center"/>
        <w:outlineLvl w:val="0"/>
        <w:rPr>
          <w:rFonts w:ascii="Times New Roman" w:hAnsi="Times New Roman"/>
          <w:snapToGrid w:val="0"/>
          <w:sz w:val="30"/>
          <w:szCs w:val="30"/>
        </w:rPr>
      </w:pPr>
      <w:r>
        <w:rPr>
          <w:rFonts w:hint="eastAsia" w:ascii="Times New Roman" w:hAnsi="Times New Roman"/>
          <w:b/>
          <w:bCs/>
          <w:snapToGrid w:val="0"/>
          <w:sz w:val="30"/>
          <w:szCs w:val="30"/>
        </w:rPr>
        <w:t>五、</w:t>
      </w:r>
      <w:bookmarkStart w:id="10" w:name="_Hlk54167917"/>
      <w:r>
        <w:rPr>
          <w:rFonts w:hint="eastAsia" w:ascii="Times New Roman" w:hAnsi="Times New Roman"/>
          <w:b/>
          <w:bCs/>
          <w:snapToGrid w:val="0"/>
          <w:sz w:val="30"/>
          <w:szCs w:val="30"/>
        </w:rPr>
        <w:t>环境保护措施监督检查清单</w:t>
      </w:r>
      <w:bookmarkEnd w:id="9"/>
      <w:bookmarkEnd w:id="10"/>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1550"/>
        <w:gridCol w:w="955"/>
        <w:gridCol w:w="2745"/>
        <w:gridCol w:w="2086"/>
      </w:tblGrid>
      <w:tr w14:paraId="0114D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25" w:type="dxa"/>
            <w:tcBorders>
              <w:tl2br w:val="single" w:color="auto" w:sz="4" w:space="0"/>
            </w:tcBorders>
          </w:tcPr>
          <w:p w14:paraId="677A7A6E">
            <w:pPr>
              <w:adjustRightInd w:val="0"/>
              <w:snapToGrid w:val="0"/>
              <w:ind w:firstLine="840"/>
              <w:rPr>
                <w:rFonts w:hint="eastAsia" w:ascii="宋体" w:hAnsi="宋体" w:cs="宋体"/>
                <w:szCs w:val="21"/>
              </w:rPr>
            </w:pPr>
            <w:r>
              <w:rPr>
                <w:rFonts w:hint="eastAsia" w:ascii="宋体" w:hAnsi="宋体" w:cs="宋体"/>
                <w:szCs w:val="21"/>
              </w:rPr>
              <w:t>内容</w:t>
            </w:r>
          </w:p>
          <w:p w14:paraId="60B7B92F">
            <w:pPr>
              <w:adjustRightInd w:val="0"/>
              <w:snapToGrid w:val="0"/>
              <w:rPr>
                <w:rFonts w:hint="eastAsia" w:ascii="宋体" w:hAnsi="宋体" w:cs="宋体"/>
                <w:szCs w:val="21"/>
              </w:rPr>
            </w:pPr>
            <w:r>
              <w:rPr>
                <w:rFonts w:hint="eastAsia" w:ascii="宋体" w:hAnsi="宋体" w:cs="宋体"/>
                <w:szCs w:val="21"/>
              </w:rPr>
              <w:t>要素</w:t>
            </w:r>
          </w:p>
        </w:tc>
        <w:tc>
          <w:tcPr>
            <w:tcW w:w="1550" w:type="dxa"/>
            <w:vAlign w:val="center"/>
          </w:tcPr>
          <w:p w14:paraId="03481725">
            <w:pPr>
              <w:adjustRightInd w:val="0"/>
              <w:snapToGrid w:val="0"/>
              <w:jc w:val="center"/>
              <w:rPr>
                <w:rFonts w:hint="eastAsia" w:ascii="宋体" w:hAnsi="宋体" w:cs="宋体"/>
                <w:szCs w:val="21"/>
              </w:rPr>
            </w:pPr>
            <w:r>
              <w:rPr>
                <w:rFonts w:hint="eastAsia" w:ascii="宋体" w:hAnsi="宋体" w:cs="宋体"/>
                <w:szCs w:val="21"/>
              </w:rPr>
              <w:t>排放口(编号、名称)/污染源</w:t>
            </w:r>
          </w:p>
        </w:tc>
        <w:tc>
          <w:tcPr>
            <w:tcW w:w="955" w:type="dxa"/>
            <w:vAlign w:val="center"/>
          </w:tcPr>
          <w:p w14:paraId="7FAC9C76">
            <w:pPr>
              <w:adjustRightInd w:val="0"/>
              <w:snapToGrid w:val="0"/>
              <w:jc w:val="center"/>
              <w:rPr>
                <w:rFonts w:hint="eastAsia" w:ascii="宋体" w:hAnsi="宋体" w:cs="宋体"/>
                <w:szCs w:val="21"/>
              </w:rPr>
            </w:pPr>
            <w:r>
              <w:rPr>
                <w:rFonts w:hint="eastAsia" w:ascii="宋体" w:hAnsi="宋体" w:cs="宋体"/>
                <w:szCs w:val="21"/>
              </w:rPr>
              <w:t>污染物项目</w:t>
            </w:r>
          </w:p>
        </w:tc>
        <w:tc>
          <w:tcPr>
            <w:tcW w:w="2745" w:type="dxa"/>
            <w:vAlign w:val="center"/>
          </w:tcPr>
          <w:p w14:paraId="1BFB59A7">
            <w:pPr>
              <w:adjustRightInd w:val="0"/>
              <w:snapToGrid w:val="0"/>
              <w:jc w:val="center"/>
              <w:rPr>
                <w:rFonts w:hint="eastAsia" w:ascii="宋体" w:hAnsi="宋体" w:cs="宋体"/>
                <w:szCs w:val="21"/>
              </w:rPr>
            </w:pPr>
            <w:r>
              <w:rPr>
                <w:rFonts w:hint="eastAsia" w:ascii="宋体" w:hAnsi="宋体" w:cs="宋体"/>
                <w:szCs w:val="21"/>
              </w:rPr>
              <w:t>环境保护措施</w:t>
            </w:r>
          </w:p>
        </w:tc>
        <w:tc>
          <w:tcPr>
            <w:tcW w:w="2086" w:type="dxa"/>
            <w:vAlign w:val="center"/>
          </w:tcPr>
          <w:p w14:paraId="14AB0CC0">
            <w:pPr>
              <w:adjustRightInd w:val="0"/>
              <w:snapToGrid w:val="0"/>
              <w:jc w:val="center"/>
              <w:rPr>
                <w:rFonts w:hint="eastAsia" w:ascii="宋体" w:hAnsi="宋体" w:cs="宋体"/>
                <w:szCs w:val="21"/>
              </w:rPr>
            </w:pPr>
            <w:r>
              <w:rPr>
                <w:rFonts w:hint="eastAsia" w:ascii="宋体" w:hAnsi="宋体" w:cs="宋体"/>
                <w:szCs w:val="21"/>
              </w:rPr>
              <w:t>执行标准</w:t>
            </w:r>
          </w:p>
        </w:tc>
      </w:tr>
      <w:tr w14:paraId="263B21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625" w:type="dxa"/>
            <w:vMerge w:val="restart"/>
            <w:vAlign w:val="center"/>
          </w:tcPr>
          <w:p w14:paraId="171F856D">
            <w:pPr>
              <w:adjustRightInd w:val="0"/>
              <w:snapToGrid w:val="0"/>
              <w:jc w:val="center"/>
              <w:rPr>
                <w:rFonts w:hint="eastAsia" w:ascii="宋体" w:hAnsi="宋体" w:cs="宋体"/>
                <w:color w:val="0000FF"/>
                <w:szCs w:val="21"/>
              </w:rPr>
            </w:pPr>
            <w:r>
              <w:rPr>
                <w:rFonts w:hint="eastAsia" w:ascii="宋体" w:hAnsi="宋体" w:cs="宋体"/>
                <w:szCs w:val="21"/>
              </w:rPr>
              <w:t>大气环境</w:t>
            </w:r>
          </w:p>
        </w:tc>
        <w:tc>
          <w:tcPr>
            <w:tcW w:w="1550" w:type="dxa"/>
            <w:vAlign w:val="center"/>
          </w:tcPr>
          <w:p w14:paraId="2F4E68D6">
            <w:pPr>
              <w:adjustRightInd w:val="0"/>
              <w:snapToGrid w:val="0"/>
              <w:jc w:val="center"/>
            </w:pPr>
            <w:r>
              <w:t>上料</w:t>
            </w:r>
          </w:p>
          <w:p w14:paraId="6E18AE99">
            <w:pPr>
              <w:adjustRightInd w:val="0"/>
              <w:snapToGrid w:val="0"/>
              <w:jc w:val="center"/>
            </w:pPr>
            <w:r>
              <w:t>粉尘</w:t>
            </w:r>
            <w:r>
              <w:rPr>
                <w:rFonts w:hint="eastAsia"/>
              </w:rPr>
              <w:t>排气筒（DA001）</w:t>
            </w:r>
          </w:p>
        </w:tc>
        <w:tc>
          <w:tcPr>
            <w:tcW w:w="955" w:type="dxa"/>
            <w:vAlign w:val="center"/>
          </w:tcPr>
          <w:p w14:paraId="43EF0567">
            <w:pPr>
              <w:adjustRightInd w:val="0"/>
              <w:snapToGrid w:val="0"/>
              <w:jc w:val="center"/>
              <w:rPr>
                <w:rFonts w:hint="eastAsia" w:ascii="宋体" w:hAnsi="宋体" w:cs="宋体"/>
                <w:szCs w:val="21"/>
              </w:rPr>
            </w:pPr>
            <w:r>
              <w:rPr>
                <w:rFonts w:hint="eastAsia" w:ascii="宋体" w:hAnsi="宋体" w:cs="宋体"/>
                <w:szCs w:val="21"/>
              </w:rPr>
              <w:t>颗粒物</w:t>
            </w:r>
          </w:p>
        </w:tc>
        <w:tc>
          <w:tcPr>
            <w:tcW w:w="2745" w:type="dxa"/>
            <w:vAlign w:val="center"/>
          </w:tcPr>
          <w:p w14:paraId="43AF0C2C">
            <w:pPr>
              <w:adjustRightInd w:val="0"/>
              <w:snapToGrid w:val="0"/>
              <w:jc w:val="center"/>
              <w:rPr>
                <w:szCs w:val="21"/>
              </w:rPr>
            </w:pPr>
            <w:r>
              <w:rPr>
                <w:szCs w:val="21"/>
              </w:rPr>
              <w:t xml:space="preserve">焦粉兰炭粉上料时干雾抑尘器喷水抑尘+集气罩收集后经密闭抽尘管道引至1套布袋除尘器处理后排放 </w:t>
            </w:r>
          </w:p>
        </w:tc>
        <w:tc>
          <w:tcPr>
            <w:tcW w:w="2086" w:type="dxa"/>
            <w:vMerge w:val="restart"/>
            <w:vAlign w:val="center"/>
          </w:tcPr>
          <w:p w14:paraId="2D72BFF7">
            <w:pPr>
              <w:adjustRightInd w:val="0"/>
              <w:snapToGrid w:val="0"/>
              <w:jc w:val="center"/>
              <w:rPr>
                <w:color w:val="0000FF"/>
                <w:szCs w:val="21"/>
              </w:rPr>
            </w:pPr>
            <w:r>
              <w:rPr>
                <w:rFonts w:hint="eastAsia"/>
                <w:szCs w:val="21"/>
              </w:rPr>
              <w:t>执行《大气污染物综合排放标准》（GB16297-1996）表2新污染源大气污染物排放限值中二级标准要求</w:t>
            </w:r>
          </w:p>
        </w:tc>
      </w:tr>
      <w:tr w14:paraId="70B6E1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25" w:type="dxa"/>
            <w:vMerge w:val="continue"/>
            <w:vAlign w:val="center"/>
          </w:tcPr>
          <w:p w14:paraId="457768C5">
            <w:pPr>
              <w:adjustRightInd w:val="0"/>
              <w:snapToGrid w:val="0"/>
              <w:jc w:val="center"/>
              <w:rPr>
                <w:rFonts w:hint="eastAsia" w:ascii="宋体" w:hAnsi="宋体" w:cs="宋体"/>
                <w:color w:val="0000FF"/>
                <w:szCs w:val="21"/>
              </w:rPr>
            </w:pPr>
          </w:p>
        </w:tc>
        <w:tc>
          <w:tcPr>
            <w:tcW w:w="1550" w:type="dxa"/>
            <w:vMerge w:val="restart"/>
            <w:vAlign w:val="center"/>
          </w:tcPr>
          <w:p w14:paraId="02BB8703">
            <w:pPr>
              <w:adjustRightInd w:val="0"/>
              <w:snapToGrid w:val="0"/>
              <w:jc w:val="center"/>
            </w:pPr>
            <w:r>
              <w:rPr>
                <w:rFonts w:hint="eastAsia"/>
                <w:lang w:val="en-US" w:eastAsia="zh-CN"/>
              </w:rPr>
              <w:t>搅拌粉尘、</w:t>
            </w:r>
            <w:r>
              <w:rPr>
                <w:rFonts w:hint="eastAsia"/>
              </w:rPr>
              <w:t>烘干废气、筛分粉尘</w:t>
            </w:r>
            <w:r>
              <w:rPr>
                <w:rFonts w:hint="eastAsia"/>
                <w:lang w:eastAsia="zh-CN"/>
              </w:rPr>
              <w:t>、</w:t>
            </w:r>
            <w:r>
              <w:rPr>
                <w:rFonts w:hint="eastAsia"/>
                <w:lang w:val="en-US" w:eastAsia="zh-CN"/>
              </w:rPr>
              <w:t>包装粉尘</w:t>
            </w:r>
            <w:r>
              <w:rPr>
                <w:rFonts w:hint="eastAsia"/>
              </w:rPr>
              <w:t>共用排气筒（DA002）</w:t>
            </w:r>
          </w:p>
        </w:tc>
        <w:tc>
          <w:tcPr>
            <w:tcW w:w="955" w:type="dxa"/>
            <w:vMerge w:val="restart"/>
            <w:vAlign w:val="center"/>
          </w:tcPr>
          <w:p w14:paraId="5869B367">
            <w:pPr>
              <w:adjustRightInd w:val="0"/>
              <w:snapToGrid w:val="0"/>
              <w:jc w:val="center"/>
              <w:rPr>
                <w:rFonts w:hint="eastAsia" w:ascii="宋体" w:hAnsi="宋体" w:cs="宋体"/>
                <w:szCs w:val="21"/>
              </w:rPr>
            </w:pPr>
            <w:r>
              <w:rPr>
                <w:rFonts w:hint="eastAsia" w:ascii="宋体" w:hAnsi="宋体" w:cs="宋体"/>
                <w:szCs w:val="21"/>
              </w:rPr>
              <w:t>颗粒物</w:t>
            </w:r>
          </w:p>
        </w:tc>
        <w:tc>
          <w:tcPr>
            <w:tcW w:w="2745" w:type="dxa"/>
            <w:vAlign w:val="center"/>
          </w:tcPr>
          <w:p w14:paraId="44EF384F">
            <w:pPr>
              <w:adjustRightInd w:val="0"/>
              <w:snapToGrid w:val="0"/>
              <w:jc w:val="center"/>
              <w:rPr>
                <w:rFonts w:hint="default" w:eastAsia="宋体"/>
                <w:szCs w:val="21"/>
                <w:lang w:val="en-US" w:eastAsia="zh-CN"/>
              </w:rPr>
            </w:pPr>
            <w:r>
              <w:rPr>
                <w:rFonts w:hint="eastAsia"/>
                <w:szCs w:val="21"/>
                <w:lang w:val="en-US" w:eastAsia="zh-CN"/>
              </w:rPr>
              <w:t>搅拌粉尘：</w:t>
            </w:r>
            <w:r>
              <w:rPr>
                <w:szCs w:val="21"/>
              </w:rPr>
              <w:t>经集气罩收集后经密闭抽尘管道引布袋除尘器处理后通过1根</w:t>
            </w:r>
            <w:r>
              <w:rPr>
                <w:rFonts w:hint="eastAsia"/>
                <w:szCs w:val="21"/>
                <w:lang w:val="en-US" w:eastAsia="zh-CN"/>
              </w:rPr>
              <w:t>20</w:t>
            </w:r>
            <w:r>
              <w:rPr>
                <w:szCs w:val="21"/>
              </w:rPr>
              <w:t>m高排气筒排放</w:t>
            </w:r>
          </w:p>
        </w:tc>
        <w:tc>
          <w:tcPr>
            <w:tcW w:w="2086" w:type="dxa"/>
            <w:vMerge w:val="continue"/>
            <w:vAlign w:val="center"/>
          </w:tcPr>
          <w:p w14:paraId="5AE1269D">
            <w:pPr>
              <w:adjustRightInd w:val="0"/>
              <w:snapToGrid w:val="0"/>
              <w:jc w:val="center"/>
              <w:rPr>
                <w:color w:val="0000FF"/>
                <w:szCs w:val="21"/>
              </w:rPr>
            </w:pPr>
          </w:p>
        </w:tc>
      </w:tr>
      <w:tr w14:paraId="780B35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25" w:type="dxa"/>
            <w:vMerge w:val="continue"/>
            <w:vAlign w:val="center"/>
          </w:tcPr>
          <w:p w14:paraId="02ED1F0D">
            <w:pPr>
              <w:adjustRightInd w:val="0"/>
              <w:snapToGrid w:val="0"/>
              <w:jc w:val="center"/>
              <w:rPr>
                <w:rFonts w:hint="eastAsia" w:ascii="宋体" w:hAnsi="宋体" w:cs="宋体"/>
                <w:color w:val="0000FF"/>
                <w:szCs w:val="21"/>
              </w:rPr>
            </w:pPr>
          </w:p>
        </w:tc>
        <w:tc>
          <w:tcPr>
            <w:tcW w:w="1550" w:type="dxa"/>
            <w:vMerge w:val="continue"/>
            <w:vAlign w:val="center"/>
          </w:tcPr>
          <w:p w14:paraId="10FB2336">
            <w:pPr>
              <w:adjustRightInd w:val="0"/>
              <w:snapToGrid w:val="0"/>
              <w:jc w:val="center"/>
            </w:pPr>
          </w:p>
        </w:tc>
        <w:tc>
          <w:tcPr>
            <w:tcW w:w="955" w:type="dxa"/>
            <w:vMerge w:val="continue"/>
            <w:vAlign w:val="center"/>
          </w:tcPr>
          <w:p w14:paraId="0D8299B3">
            <w:pPr>
              <w:adjustRightInd w:val="0"/>
              <w:snapToGrid w:val="0"/>
              <w:jc w:val="center"/>
              <w:rPr>
                <w:rFonts w:hint="eastAsia" w:ascii="宋体" w:hAnsi="宋体" w:cs="宋体"/>
                <w:szCs w:val="21"/>
              </w:rPr>
            </w:pPr>
          </w:p>
        </w:tc>
        <w:tc>
          <w:tcPr>
            <w:tcW w:w="2745" w:type="dxa"/>
            <w:vAlign w:val="center"/>
          </w:tcPr>
          <w:p w14:paraId="664F1BA7">
            <w:pPr>
              <w:adjustRightInd w:val="0"/>
              <w:snapToGrid w:val="0"/>
              <w:jc w:val="center"/>
              <w:rPr>
                <w:szCs w:val="21"/>
              </w:rPr>
            </w:pPr>
            <w:r>
              <w:rPr>
                <w:szCs w:val="21"/>
              </w:rPr>
              <w:t>烘干废气：三条生产线各设1套布袋除尘器，除尘器内除尘灰定期收集后返回生产工序综合利用，布袋除尘器除尘后由引风机送入1根</w:t>
            </w:r>
            <w:r>
              <w:rPr>
                <w:rFonts w:hint="eastAsia"/>
                <w:szCs w:val="21"/>
                <w:lang w:val="en-US" w:eastAsia="zh-CN"/>
              </w:rPr>
              <w:t>20</w:t>
            </w:r>
            <w:r>
              <w:rPr>
                <w:szCs w:val="21"/>
              </w:rPr>
              <w:t>m高排气筒达标排放。</w:t>
            </w:r>
          </w:p>
        </w:tc>
        <w:tc>
          <w:tcPr>
            <w:tcW w:w="2086" w:type="dxa"/>
            <w:vMerge w:val="continue"/>
            <w:vAlign w:val="center"/>
          </w:tcPr>
          <w:p w14:paraId="03E4B548">
            <w:pPr>
              <w:adjustRightInd w:val="0"/>
              <w:snapToGrid w:val="0"/>
              <w:jc w:val="center"/>
              <w:rPr>
                <w:color w:val="0000FF"/>
                <w:szCs w:val="21"/>
              </w:rPr>
            </w:pPr>
          </w:p>
        </w:tc>
      </w:tr>
      <w:tr w14:paraId="71D462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25" w:type="dxa"/>
            <w:vMerge w:val="continue"/>
            <w:vAlign w:val="center"/>
          </w:tcPr>
          <w:p w14:paraId="61212D86">
            <w:pPr>
              <w:pStyle w:val="46"/>
              <w:spacing w:before="32" w:line="251" w:lineRule="auto"/>
              <w:ind w:right="159"/>
              <w:jc w:val="center"/>
              <w:rPr>
                <w:rFonts w:hint="eastAsia"/>
                <w:lang w:eastAsia="zh-CN"/>
              </w:rPr>
            </w:pPr>
          </w:p>
        </w:tc>
        <w:tc>
          <w:tcPr>
            <w:tcW w:w="1550" w:type="dxa"/>
            <w:vMerge w:val="continue"/>
            <w:vAlign w:val="center"/>
          </w:tcPr>
          <w:p w14:paraId="50DC58E7">
            <w:pPr>
              <w:pStyle w:val="46"/>
              <w:spacing w:before="32" w:line="251" w:lineRule="auto"/>
              <w:ind w:right="159"/>
              <w:jc w:val="center"/>
              <w:rPr>
                <w:rFonts w:hint="eastAsia"/>
                <w:lang w:eastAsia="zh-CN"/>
              </w:rPr>
            </w:pPr>
          </w:p>
        </w:tc>
        <w:tc>
          <w:tcPr>
            <w:tcW w:w="955" w:type="dxa"/>
            <w:vMerge w:val="continue"/>
            <w:vAlign w:val="center"/>
          </w:tcPr>
          <w:p w14:paraId="304B6CFC">
            <w:pPr>
              <w:pStyle w:val="46"/>
              <w:spacing w:before="32" w:line="251" w:lineRule="auto"/>
              <w:ind w:right="159"/>
              <w:jc w:val="center"/>
              <w:rPr>
                <w:rFonts w:hint="eastAsia"/>
                <w:lang w:eastAsia="zh-CN"/>
              </w:rPr>
            </w:pPr>
          </w:p>
        </w:tc>
        <w:tc>
          <w:tcPr>
            <w:tcW w:w="2745" w:type="dxa"/>
            <w:vAlign w:val="center"/>
          </w:tcPr>
          <w:p w14:paraId="58A0DBEF">
            <w:pPr>
              <w:adjustRightInd w:val="0"/>
              <w:snapToGrid w:val="0"/>
              <w:jc w:val="center"/>
              <w:rPr>
                <w:szCs w:val="21"/>
              </w:rPr>
            </w:pPr>
            <w:r>
              <w:rPr>
                <w:szCs w:val="21"/>
              </w:rPr>
              <w:t>筛分粉尘：经集气罩收集后经密闭抽尘管道引布袋除尘器处理后通过1根</w:t>
            </w:r>
            <w:r>
              <w:rPr>
                <w:rFonts w:hint="eastAsia"/>
                <w:szCs w:val="21"/>
                <w:lang w:val="en-US" w:eastAsia="zh-CN"/>
              </w:rPr>
              <w:t>20</w:t>
            </w:r>
            <w:r>
              <w:rPr>
                <w:szCs w:val="21"/>
              </w:rPr>
              <w:t>m高排气筒排放</w:t>
            </w:r>
          </w:p>
        </w:tc>
        <w:tc>
          <w:tcPr>
            <w:tcW w:w="2086" w:type="dxa"/>
            <w:vMerge w:val="continue"/>
            <w:vAlign w:val="center"/>
          </w:tcPr>
          <w:p w14:paraId="2E22383E">
            <w:pPr>
              <w:pStyle w:val="46"/>
              <w:spacing w:before="32" w:line="251" w:lineRule="auto"/>
              <w:ind w:right="159"/>
              <w:jc w:val="center"/>
              <w:rPr>
                <w:rFonts w:ascii="Times New Roman" w:hAnsi="Times New Roman" w:cs="Times New Roman"/>
                <w:color w:val="0000FF"/>
                <w:sz w:val="21"/>
                <w:szCs w:val="21"/>
                <w:lang w:eastAsia="zh-CN"/>
              </w:rPr>
            </w:pPr>
          </w:p>
        </w:tc>
      </w:tr>
      <w:tr w14:paraId="1DD5EE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25" w:type="dxa"/>
            <w:vMerge w:val="continue"/>
            <w:vAlign w:val="center"/>
          </w:tcPr>
          <w:p w14:paraId="56A973B2">
            <w:pPr>
              <w:pStyle w:val="46"/>
              <w:spacing w:before="32" w:line="251" w:lineRule="auto"/>
              <w:ind w:right="159"/>
              <w:jc w:val="center"/>
              <w:rPr>
                <w:rFonts w:hint="eastAsia"/>
                <w:lang w:eastAsia="zh-CN"/>
              </w:rPr>
            </w:pPr>
          </w:p>
        </w:tc>
        <w:tc>
          <w:tcPr>
            <w:tcW w:w="1550" w:type="dxa"/>
            <w:vMerge w:val="continue"/>
            <w:vAlign w:val="center"/>
          </w:tcPr>
          <w:p w14:paraId="57C3E6FB">
            <w:pPr>
              <w:pStyle w:val="46"/>
              <w:spacing w:before="32" w:line="251" w:lineRule="auto"/>
              <w:ind w:right="159"/>
              <w:jc w:val="center"/>
              <w:rPr>
                <w:rFonts w:hint="eastAsia"/>
                <w:lang w:eastAsia="zh-CN"/>
              </w:rPr>
            </w:pPr>
          </w:p>
        </w:tc>
        <w:tc>
          <w:tcPr>
            <w:tcW w:w="955" w:type="dxa"/>
            <w:vMerge w:val="continue"/>
            <w:vAlign w:val="center"/>
          </w:tcPr>
          <w:p w14:paraId="5FAFA714">
            <w:pPr>
              <w:pStyle w:val="46"/>
              <w:spacing w:before="32" w:line="251" w:lineRule="auto"/>
              <w:ind w:right="159"/>
              <w:jc w:val="center"/>
              <w:rPr>
                <w:rFonts w:hint="eastAsia"/>
                <w:lang w:eastAsia="zh-CN"/>
              </w:rPr>
            </w:pPr>
          </w:p>
        </w:tc>
        <w:tc>
          <w:tcPr>
            <w:tcW w:w="2745" w:type="dxa"/>
            <w:vAlign w:val="center"/>
          </w:tcPr>
          <w:p w14:paraId="71E16950">
            <w:pPr>
              <w:adjustRightInd w:val="0"/>
              <w:snapToGrid w:val="0"/>
              <w:jc w:val="center"/>
              <w:rPr>
                <w:szCs w:val="21"/>
              </w:rPr>
            </w:pPr>
            <w:r>
              <w:rPr>
                <w:rFonts w:hint="eastAsia"/>
                <w:szCs w:val="21"/>
                <w:lang w:val="en-US" w:eastAsia="zh-CN"/>
              </w:rPr>
              <w:t>包装</w:t>
            </w:r>
            <w:r>
              <w:rPr>
                <w:szCs w:val="21"/>
              </w:rPr>
              <w:t>粉尘：经集气罩收集后经密闭抽尘管道引布袋除尘器处理后通过1根</w:t>
            </w:r>
            <w:r>
              <w:rPr>
                <w:rFonts w:hint="eastAsia"/>
                <w:szCs w:val="21"/>
                <w:lang w:val="en-US" w:eastAsia="zh-CN"/>
              </w:rPr>
              <w:t>20</w:t>
            </w:r>
            <w:r>
              <w:rPr>
                <w:szCs w:val="21"/>
              </w:rPr>
              <w:t>m高排气筒排放</w:t>
            </w:r>
          </w:p>
        </w:tc>
        <w:tc>
          <w:tcPr>
            <w:tcW w:w="2086" w:type="dxa"/>
            <w:vMerge w:val="continue"/>
            <w:vAlign w:val="center"/>
          </w:tcPr>
          <w:p w14:paraId="40DCEFFC">
            <w:pPr>
              <w:pStyle w:val="46"/>
              <w:spacing w:before="32" w:line="251" w:lineRule="auto"/>
              <w:ind w:right="159"/>
              <w:jc w:val="center"/>
              <w:rPr>
                <w:rFonts w:ascii="Times New Roman" w:hAnsi="Times New Roman" w:cs="Times New Roman"/>
                <w:color w:val="0000FF"/>
                <w:sz w:val="21"/>
                <w:szCs w:val="21"/>
                <w:lang w:eastAsia="zh-CN"/>
              </w:rPr>
            </w:pPr>
          </w:p>
        </w:tc>
      </w:tr>
      <w:tr w14:paraId="3CDAC7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25" w:type="dxa"/>
            <w:vMerge w:val="continue"/>
            <w:vAlign w:val="center"/>
          </w:tcPr>
          <w:p w14:paraId="4242F205">
            <w:pPr>
              <w:adjustRightInd w:val="0"/>
              <w:snapToGrid w:val="0"/>
              <w:jc w:val="center"/>
              <w:rPr>
                <w:color w:val="0000FF"/>
              </w:rPr>
            </w:pPr>
          </w:p>
        </w:tc>
        <w:tc>
          <w:tcPr>
            <w:tcW w:w="1550" w:type="dxa"/>
            <w:vAlign w:val="center"/>
          </w:tcPr>
          <w:p w14:paraId="3A593838">
            <w:pPr>
              <w:adjustRightInd w:val="0"/>
              <w:snapToGrid w:val="0"/>
              <w:jc w:val="center"/>
            </w:pPr>
            <w:r>
              <w:rPr>
                <w:rFonts w:hint="eastAsia"/>
              </w:rPr>
              <w:t>运输扬尘</w:t>
            </w:r>
          </w:p>
        </w:tc>
        <w:tc>
          <w:tcPr>
            <w:tcW w:w="955" w:type="dxa"/>
            <w:vAlign w:val="center"/>
          </w:tcPr>
          <w:p w14:paraId="0BCE8C4C">
            <w:pPr>
              <w:adjustRightInd w:val="0"/>
              <w:snapToGrid w:val="0"/>
              <w:jc w:val="center"/>
              <w:rPr>
                <w:rFonts w:hint="eastAsia" w:ascii="宋体" w:hAnsi="宋体" w:cs="宋体"/>
                <w:szCs w:val="21"/>
              </w:rPr>
            </w:pPr>
            <w:r>
              <w:rPr>
                <w:rFonts w:hint="eastAsia" w:ascii="宋体" w:hAnsi="宋体" w:cs="宋体"/>
                <w:szCs w:val="21"/>
              </w:rPr>
              <w:t>颗粒物</w:t>
            </w:r>
          </w:p>
        </w:tc>
        <w:tc>
          <w:tcPr>
            <w:tcW w:w="2745" w:type="dxa"/>
            <w:vAlign w:val="center"/>
          </w:tcPr>
          <w:p w14:paraId="0DE8EBD2">
            <w:pPr>
              <w:adjustRightInd w:val="0"/>
              <w:snapToGrid w:val="0"/>
              <w:jc w:val="center"/>
              <w:rPr>
                <w:rFonts w:hint="eastAsia" w:ascii="宋体" w:hAnsi="宋体" w:cs="宋体"/>
                <w:szCs w:val="21"/>
              </w:rPr>
            </w:pPr>
            <w:r>
              <w:rPr>
                <w:rFonts w:hint="eastAsia" w:ascii="宋体" w:hAnsi="宋体" w:cs="宋体"/>
                <w:szCs w:val="21"/>
              </w:rPr>
              <w:t>降低行驶速度、厂区洒水，路面定期清扫等方式降低无组织粉尘</w:t>
            </w:r>
          </w:p>
        </w:tc>
        <w:tc>
          <w:tcPr>
            <w:tcW w:w="2086" w:type="dxa"/>
            <w:vMerge w:val="restart"/>
            <w:vAlign w:val="center"/>
          </w:tcPr>
          <w:p w14:paraId="3BAB9136">
            <w:pPr>
              <w:adjustRightInd w:val="0"/>
              <w:snapToGrid w:val="0"/>
              <w:jc w:val="center"/>
              <w:rPr>
                <w:szCs w:val="21"/>
              </w:rPr>
            </w:pPr>
            <w:r>
              <w:rPr>
                <w:szCs w:val="21"/>
              </w:rPr>
              <w:t xml:space="preserve">无组织颗粒物执行《大气污染物综合排放标准》（GB16297-1996） </w:t>
            </w:r>
          </w:p>
          <w:p w14:paraId="3FEE87C1">
            <w:pPr>
              <w:adjustRightInd w:val="0"/>
              <w:snapToGrid w:val="0"/>
              <w:jc w:val="center"/>
              <w:rPr>
                <w:rFonts w:hint="eastAsia" w:ascii="宋体" w:hAnsi="宋体" w:cs="宋体"/>
                <w:color w:val="0000FF"/>
                <w:szCs w:val="21"/>
              </w:rPr>
            </w:pPr>
            <w:r>
              <w:rPr>
                <w:szCs w:val="21"/>
              </w:rPr>
              <w:t>表2新污染源大气污染物排放限值中无组织排放监控浓度要求</w:t>
            </w:r>
          </w:p>
        </w:tc>
      </w:tr>
      <w:tr w14:paraId="5B5E7C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25" w:type="dxa"/>
            <w:vMerge w:val="continue"/>
            <w:vAlign w:val="center"/>
          </w:tcPr>
          <w:p w14:paraId="301F02DE">
            <w:pPr>
              <w:adjustRightInd w:val="0"/>
              <w:snapToGrid w:val="0"/>
              <w:jc w:val="center"/>
              <w:rPr>
                <w:color w:val="0000FF"/>
              </w:rPr>
            </w:pPr>
          </w:p>
        </w:tc>
        <w:tc>
          <w:tcPr>
            <w:tcW w:w="1550" w:type="dxa"/>
            <w:vAlign w:val="center"/>
          </w:tcPr>
          <w:p w14:paraId="30BDCE73">
            <w:pPr>
              <w:adjustRightInd w:val="0"/>
              <w:snapToGrid w:val="0"/>
              <w:jc w:val="center"/>
            </w:pPr>
            <w:r>
              <w:rPr>
                <w:color w:val="000000"/>
                <w:kern w:val="0"/>
                <w:szCs w:val="21"/>
                <w:lang w:bidi="ar"/>
              </w:rPr>
              <w:t>卸料粉尘</w:t>
            </w:r>
          </w:p>
        </w:tc>
        <w:tc>
          <w:tcPr>
            <w:tcW w:w="955" w:type="dxa"/>
            <w:vAlign w:val="center"/>
          </w:tcPr>
          <w:p w14:paraId="7CA5D669">
            <w:pPr>
              <w:adjustRightInd w:val="0"/>
              <w:snapToGrid w:val="0"/>
              <w:jc w:val="center"/>
              <w:rPr>
                <w:rFonts w:hint="eastAsia" w:ascii="宋体" w:hAnsi="宋体" w:cs="宋体"/>
                <w:szCs w:val="21"/>
              </w:rPr>
            </w:pPr>
            <w:r>
              <w:rPr>
                <w:rFonts w:hint="eastAsia" w:ascii="宋体" w:hAnsi="宋体" w:cs="宋体"/>
                <w:szCs w:val="21"/>
              </w:rPr>
              <w:t>颗粒物</w:t>
            </w:r>
          </w:p>
        </w:tc>
        <w:tc>
          <w:tcPr>
            <w:tcW w:w="2745" w:type="dxa"/>
            <w:vAlign w:val="center"/>
          </w:tcPr>
          <w:p w14:paraId="011F62AC">
            <w:pPr>
              <w:adjustRightInd w:val="0"/>
              <w:snapToGrid w:val="0"/>
              <w:jc w:val="center"/>
              <w:rPr>
                <w:rFonts w:hint="eastAsia" w:ascii="宋体" w:hAnsi="宋体" w:cs="宋体"/>
                <w:szCs w:val="21"/>
              </w:rPr>
            </w:pPr>
            <w:r>
              <w:rPr>
                <w:bCs/>
                <w:color w:val="000000" w:themeColor="text1"/>
                <w:szCs w:val="21"/>
                <w14:textFill>
                  <w14:solidFill>
                    <w14:schemeClr w14:val="tx1"/>
                  </w14:solidFill>
                </w14:textFill>
              </w:rPr>
              <w:t>封闭厂房</w:t>
            </w:r>
            <w:r>
              <w:rPr>
                <w:rFonts w:hint="eastAsia"/>
                <w:bCs/>
                <w:color w:val="000000" w:themeColor="text1"/>
                <w:szCs w:val="21"/>
                <w14:textFill>
                  <w14:solidFill>
                    <w14:schemeClr w14:val="tx1"/>
                  </w14:solidFill>
                </w14:textFill>
              </w:rPr>
              <w:t>，气力输送除灰系统和负压吸排罐车</w:t>
            </w:r>
          </w:p>
        </w:tc>
        <w:tc>
          <w:tcPr>
            <w:tcW w:w="2086" w:type="dxa"/>
            <w:vMerge w:val="continue"/>
            <w:vAlign w:val="center"/>
          </w:tcPr>
          <w:p w14:paraId="2C1922F3">
            <w:pPr>
              <w:adjustRightInd w:val="0"/>
              <w:snapToGrid w:val="0"/>
              <w:jc w:val="center"/>
              <w:rPr>
                <w:szCs w:val="21"/>
              </w:rPr>
            </w:pPr>
          </w:p>
        </w:tc>
      </w:tr>
      <w:tr w14:paraId="7280B9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25" w:type="dxa"/>
            <w:vMerge w:val="continue"/>
            <w:vAlign w:val="center"/>
          </w:tcPr>
          <w:p w14:paraId="56A3301B">
            <w:pPr>
              <w:adjustRightInd w:val="0"/>
              <w:snapToGrid w:val="0"/>
              <w:jc w:val="center"/>
              <w:rPr>
                <w:color w:val="0000FF"/>
              </w:rPr>
            </w:pPr>
          </w:p>
        </w:tc>
        <w:tc>
          <w:tcPr>
            <w:tcW w:w="1550" w:type="dxa"/>
            <w:shd w:val="clear" w:color="auto" w:fill="auto"/>
            <w:vAlign w:val="center"/>
          </w:tcPr>
          <w:p w14:paraId="4C75CA64">
            <w:pPr>
              <w:widowControl/>
              <w:jc w:val="center"/>
              <w:rPr>
                <w:rFonts w:hint="eastAsia" w:ascii="Times New Roman" w:hAnsi="Times New Roman" w:eastAsia="宋体" w:cs="Times New Roman"/>
                <w:color w:val="000000"/>
                <w:kern w:val="0"/>
                <w:sz w:val="21"/>
                <w:szCs w:val="21"/>
                <w:lang w:val="en-US" w:eastAsia="zh-CN" w:bidi="ar"/>
              </w:rPr>
            </w:pPr>
            <w:r>
              <w:rPr>
                <w:rFonts w:hint="eastAsia"/>
                <w:color w:val="000000"/>
                <w:kern w:val="0"/>
                <w:szCs w:val="21"/>
                <w:lang w:val="en-US" w:eastAsia="zh-CN" w:bidi="ar"/>
              </w:rPr>
              <w:t>堆存粉尘</w:t>
            </w:r>
          </w:p>
        </w:tc>
        <w:tc>
          <w:tcPr>
            <w:tcW w:w="955" w:type="dxa"/>
            <w:shd w:val="clear" w:color="auto" w:fill="auto"/>
            <w:vAlign w:val="center"/>
          </w:tcPr>
          <w:p w14:paraId="7F9B7F01">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cs="宋体"/>
                <w:szCs w:val="21"/>
              </w:rPr>
              <w:t>颗粒物</w:t>
            </w:r>
          </w:p>
        </w:tc>
        <w:tc>
          <w:tcPr>
            <w:tcW w:w="2745" w:type="dxa"/>
            <w:shd w:val="clear" w:color="auto" w:fill="auto"/>
            <w:vAlign w:val="center"/>
          </w:tcPr>
          <w:p w14:paraId="532584AA">
            <w:pPr>
              <w:snapToGrid w:val="0"/>
              <w:jc w:val="center"/>
              <w:rPr>
                <w:rFonts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bCs/>
                <w:color w:val="000000" w:themeColor="text1"/>
                <w:szCs w:val="21"/>
                <w14:textFill>
                  <w14:solidFill>
                    <w14:schemeClr w14:val="tx1"/>
                  </w14:solidFill>
                </w14:textFill>
              </w:rPr>
              <w:t>封闭厂房+干雾抑尘器</w:t>
            </w:r>
          </w:p>
        </w:tc>
        <w:tc>
          <w:tcPr>
            <w:tcW w:w="2086" w:type="dxa"/>
            <w:vMerge w:val="continue"/>
            <w:vAlign w:val="center"/>
          </w:tcPr>
          <w:p w14:paraId="0B12C12B">
            <w:pPr>
              <w:adjustRightInd w:val="0"/>
              <w:snapToGrid w:val="0"/>
              <w:jc w:val="center"/>
              <w:rPr>
                <w:szCs w:val="21"/>
              </w:rPr>
            </w:pPr>
          </w:p>
        </w:tc>
      </w:tr>
      <w:tr w14:paraId="5661B0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25" w:type="dxa"/>
            <w:vMerge w:val="continue"/>
            <w:vAlign w:val="center"/>
          </w:tcPr>
          <w:p w14:paraId="04817B7B">
            <w:pPr>
              <w:adjustRightInd w:val="0"/>
              <w:snapToGrid w:val="0"/>
              <w:jc w:val="center"/>
              <w:rPr>
                <w:color w:val="0000FF"/>
              </w:rPr>
            </w:pPr>
          </w:p>
        </w:tc>
        <w:tc>
          <w:tcPr>
            <w:tcW w:w="1550" w:type="dxa"/>
            <w:shd w:val="clear" w:color="auto" w:fill="auto"/>
            <w:vAlign w:val="center"/>
          </w:tcPr>
          <w:p w14:paraId="7BD733D2">
            <w:pPr>
              <w:widowControl/>
              <w:jc w:val="center"/>
              <w:rPr>
                <w:rFonts w:hint="eastAsia" w:ascii="Times New Roman" w:hAnsi="Times New Roman" w:eastAsia="宋体" w:cs="Times New Roman"/>
                <w:color w:val="000000"/>
                <w:kern w:val="0"/>
                <w:sz w:val="21"/>
                <w:szCs w:val="21"/>
                <w:lang w:val="en-US" w:eastAsia="zh-CN" w:bidi="ar"/>
              </w:rPr>
            </w:pPr>
            <w:r>
              <w:rPr>
                <w:rFonts w:hint="eastAsia"/>
                <w:color w:val="000000"/>
                <w:kern w:val="0"/>
                <w:szCs w:val="21"/>
                <w:lang w:val="en-US" w:eastAsia="zh-CN" w:bidi="ar"/>
              </w:rPr>
              <w:t>筒仓粉尘</w:t>
            </w:r>
          </w:p>
        </w:tc>
        <w:tc>
          <w:tcPr>
            <w:tcW w:w="955" w:type="dxa"/>
            <w:shd w:val="clear" w:color="auto" w:fill="auto"/>
            <w:vAlign w:val="center"/>
          </w:tcPr>
          <w:p w14:paraId="36236378">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cs="宋体"/>
                <w:szCs w:val="21"/>
              </w:rPr>
              <w:t>颗粒物</w:t>
            </w:r>
          </w:p>
        </w:tc>
        <w:tc>
          <w:tcPr>
            <w:tcW w:w="2745" w:type="dxa"/>
            <w:shd w:val="clear" w:color="auto" w:fill="auto"/>
            <w:vAlign w:val="center"/>
          </w:tcPr>
          <w:p w14:paraId="551E2EA9">
            <w:pPr>
              <w:snapToGrid w:val="0"/>
              <w:jc w:val="center"/>
              <w:rPr>
                <w:rFonts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bCs/>
                <w:color w:val="000000" w:themeColor="text1"/>
                <w:szCs w:val="21"/>
                <w:lang w:val="en-US" w:eastAsia="zh-CN"/>
                <w14:textFill>
                  <w14:solidFill>
                    <w14:schemeClr w14:val="tx1"/>
                  </w14:solidFill>
                </w14:textFill>
              </w:rPr>
              <w:t>仓</w:t>
            </w:r>
            <w:r>
              <w:rPr>
                <w:rFonts w:hint="default"/>
                <w:bCs/>
                <w:color w:val="000000" w:themeColor="text1"/>
                <w:szCs w:val="21"/>
                <w14:textFill>
                  <w14:solidFill>
                    <w14:schemeClr w14:val="tx1"/>
                  </w14:solidFill>
                </w14:textFill>
              </w:rPr>
              <w:t>顶</w:t>
            </w:r>
            <w:r>
              <w:rPr>
                <w:rFonts w:hint="eastAsia"/>
                <w:bCs/>
                <w:color w:val="000000" w:themeColor="text1"/>
                <w:szCs w:val="21"/>
                <w:lang w:val="en-US" w:eastAsia="zh-CN"/>
                <w14:textFill>
                  <w14:solidFill>
                    <w14:schemeClr w14:val="tx1"/>
                  </w14:solidFill>
                </w14:textFill>
              </w:rPr>
              <w:t>设置</w:t>
            </w:r>
            <w:r>
              <w:rPr>
                <w:rFonts w:hint="default"/>
                <w:bCs/>
                <w:color w:val="000000" w:themeColor="text1"/>
                <w:szCs w:val="21"/>
                <w14:textFill>
                  <w14:solidFill>
                    <w14:schemeClr w14:val="tx1"/>
                  </w14:solidFill>
                </w14:textFill>
              </w:rPr>
              <w:t>布袋除尘器</w:t>
            </w:r>
            <w:r>
              <w:rPr>
                <w:rFonts w:hint="default"/>
                <w:bCs/>
                <w:color w:val="000000" w:themeColor="text1"/>
                <w:szCs w:val="21"/>
                <w:lang w:eastAsia="zh-CN"/>
                <w14:textFill>
                  <w14:solidFill>
                    <w14:schemeClr w14:val="tx1"/>
                  </w14:solidFill>
                </w14:textFill>
              </w:rPr>
              <w:t>，</w:t>
            </w:r>
            <w:r>
              <w:rPr>
                <w:bCs/>
                <w:color w:val="000000" w:themeColor="text1"/>
                <w:szCs w:val="21"/>
                <w14:textFill>
                  <w14:solidFill>
                    <w14:schemeClr w14:val="tx1"/>
                  </w14:solidFill>
                </w14:textFill>
              </w:rPr>
              <w:t>车间内无组织</w:t>
            </w:r>
            <w:r>
              <w:rPr>
                <w:rFonts w:hint="eastAsia"/>
                <w:bCs/>
                <w:color w:val="000000" w:themeColor="text1"/>
                <w:szCs w:val="21"/>
                <w:lang w:val="en-US" w:eastAsia="zh-CN"/>
                <w14:textFill>
                  <w14:solidFill>
                    <w14:schemeClr w14:val="tx1"/>
                  </w14:solidFill>
                </w14:textFill>
              </w:rPr>
              <w:t>排放。</w:t>
            </w:r>
          </w:p>
        </w:tc>
        <w:tc>
          <w:tcPr>
            <w:tcW w:w="2086" w:type="dxa"/>
            <w:vMerge w:val="continue"/>
            <w:vAlign w:val="center"/>
          </w:tcPr>
          <w:p w14:paraId="233B9701">
            <w:pPr>
              <w:adjustRightInd w:val="0"/>
              <w:snapToGrid w:val="0"/>
              <w:jc w:val="center"/>
              <w:rPr>
                <w:szCs w:val="21"/>
              </w:rPr>
            </w:pPr>
          </w:p>
        </w:tc>
      </w:tr>
      <w:tr w14:paraId="27085D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625" w:type="dxa"/>
            <w:vMerge w:val="continue"/>
            <w:vAlign w:val="center"/>
          </w:tcPr>
          <w:p w14:paraId="1ABD5D76">
            <w:pPr>
              <w:adjustRightInd w:val="0"/>
              <w:snapToGrid w:val="0"/>
              <w:jc w:val="center"/>
              <w:rPr>
                <w:color w:val="0000FF"/>
              </w:rPr>
            </w:pPr>
          </w:p>
        </w:tc>
        <w:tc>
          <w:tcPr>
            <w:tcW w:w="1550" w:type="dxa"/>
            <w:vAlign w:val="center"/>
          </w:tcPr>
          <w:p w14:paraId="1DA93D9E">
            <w:pPr>
              <w:adjustRightInd w:val="0"/>
              <w:snapToGrid w:val="0"/>
              <w:jc w:val="center"/>
              <w:rPr>
                <w:rFonts w:hint="eastAsia"/>
              </w:rPr>
            </w:pPr>
            <w:r>
              <w:rPr>
                <w:rFonts w:hint="eastAsia"/>
              </w:rPr>
              <w:t>未被收集</w:t>
            </w:r>
          </w:p>
          <w:p w14:paraId="5B5CB425">
            <w:pPr>
              <w:adjustRightInd w:val="0"/>
              <w:snapToGrid w:val="0"/>
              <w:jc w:val="center"/>
            </w:pPr>
            <w:r>
              <w:rPr>
                <w:rFonts w:hint="eastAsia"/>
              </w:rPr>
              <w:t>的粉尘</w:t>
            </w:r>
          </w:p>
        </w:tc>
        <w:tc>
          <w:tcPr>
            <w:tcW w:w="955" w:type="dxa"/>
            <w:vAlign w:val="center"/>
          </w:tcPr>
          <w:p w14:paraId="0E77C47D">
            <w:pPr>
              <w:adjustRightInd w:val="0"/>
              <w:snapToGrid w:val="0"/>
              <w:jc w:val="center"/>
              <w:rPr>
                <w:rFonts w:hint="eastAsia" w:ascii="宋体" w:hAnsi="宋体" w:cs="宋体"/>
                <w:szCs w:val="21"/>
              </w:rPr>
            </w:pPr>
            <w:r>
              <w:rPr>
                <w:rFonts w:hint="eastAsia" w:ascii="宋体" w:hAnsi="宋体" w:cs="宋体"/>
                <w:szCs w:val="21"/>
              </w:rPr>
              <w:t>颗粒物</w:t>
            </w:r>
          </w:p>
        </w:tc>
        <w:tc>
          <w:tcPr>
            <w:tcW w:w="2745" w:type="dxa"/>
            <w:vAlign w:val="center"/>
          </w:tcPr>
          <w:p w14:paraId="23B9A91B">
            <w:pPr>
              <w:adjustRightInd w:val="0"/>
              <w:snapToGrid w:val="0"/>
              <w:jc w:val="center"/>
              <w:rPr>
                <w:rFonts w:hint="eastAsia" w:ascii="宋体" w:hAnsi="宋体" w:cs="宋体"/>
                <w:szCs w:val="21"/>
              </w:rPr>
            </w:pPr>
            <w:r>
              <w:rPr>
                <w:rFonts w:hint="eastAsia" w:ascii="宋体" w:hAnsi="宋体" w:cs="宋体"/>
                <w:szCs w:val="21"/>
              </w:rPr>
              <w:t>原料仓库</w:t>
            </w:r>
            <w:r>
              <w:rPr>
                <w:bCs/>
                <w:color w:val="000000" w:themeColor="text1"/>
                <w:szCs w:val="21"/>
                <w14:textFill>
                  <w14:solidFill>
                    <w14:schemeClr w14:val="tx1"/>
                  </w14:solidFill>
                </w14:textFill>
              </w:rPr>
              <w:t>干雾抑尘器</w:t>
            </w:r>
            <w:r>
              <w:rPr>
                <w:rFonts w:hint="eastAsia"/>
                <w:bCs/>
                <w:szCs w:val="21"/>
                <w:lang w:val="en-US" w:eastAsia="zh-CN"/>
              </w:rPr>
              <w:t>洒水抑尘+</w:t>
            </w:r>
            <w:r>
              <w:rPr>
                <w:rFonts w:hint="eastAsia"/>
                <w:bCs/>
                <w:szCs w:val="21"/>
              </w:rPr>
              <w:t>封闭厂房</w:t>
            </w:r>
            <w:r>
              <w:rPr>
                <w:rFonts w:hint="eastAsia" w:ascii="宋体" w:hAnsi="宋体" w:cs="宋体"/>
                <w:szCs w:val="21"/>
                <w:lang w:eastAsia="zh-CN"/>
              </w:rPr>
              <w:t>；</w:t>
            </w:r>
            <w:r>
              <w:rPr>
                <w:rFonts w:hint="eastAsia" w:ascii="宋体" w:hAnsi="宋体" w:cs="宋体"/>
                <w:szCs w:val="21"/>
                <w:lang w:val="en-US" w:eastAsia="zh-CN"/>
              </w:rPr>
              <w:t>型焦</w:t>
            </w:r>
            <w:r>
              <w:rPr>
                <w:rFonts w:hint="eastAsia" w:ascii="宋体" w:hAnsi="宋体" w:cs="宋体"/>
                <w:szCs w:val="21"/>
              </w:rPr>
              <w:t>生产车间</w:t>
            </w:r>
            <w:r>
              <w:rPr>
                <w:rFonts w:hint="eastAsia"/>
                <w:bCs/>
                <w:szCs w:val="21"/>
                <w:lang w:val="en-US" w:eastAsia="zh-CN"/>
              </w:rPr>
              <w:t>洒水抑尘+</w:t>
            </w:r>
            <w:r>
              <w:rPr>
                <w:rFonts w:hint="eastAsia"/>
                <w:bCs/>
                <w:szCs w:val="21"/>
              </w:rPr>
              <w:t>封闭厂房</w:t>
            </w:r>
          </w:p>
        </w:tc>
        <w:tc>
          <w:tcPr>
            <w:tcW w:w="2086" w:type="dxa"/>
            <w:vMerge w:val="continue"/>
            <w:vAlign w:val="center"/>
          </w:tcPr>
          <w:p w14:paraId="24994568">
            <w:pPr>
              <w:adjustRightInd w:val="0"/>
              <w:snapToGrid w:val="0"/>
              <w:jc w:val="center"/>
              <w:rPr>
                <w:rFonts w:hint="eastAsia" w:ascii="宋体" w:hAnsi="宋体" w:cs="宋体"/>
                <w:color w:val="0000FF"/>
                <w:szCs w:val="21"/>
              </w:rPr>
            </w:pPr>
          </w:p>
        </w:tc>
      </w:tr>
      <w:tr w14:paraId="0B433E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25" w:type="dxa"/>
            <w:vAlign w:val="center"/>
          </w:tcPr>
          <w:p w14:paraId="06E5C2DE">
            <w:pPr>
              <w:adjustRightInd w:val="0"/>
              <w:snapToGrid w:val="0"/>
              <w:jc w:val="center"/>
              <w:rPr>
                <w:rFonts w:hint="eastAsia" w:ascii="宋体" w:hAnsi="宋体" w:cs="宋体"/>
                <w:szCs w:val="21"/>
              </w:rPr>
            </w:pPr>
            <w:r>
              <w:rPr>
                <w:rFonts w:hint="eastAsia" w:ascii="宋体" w:hAnsi="宋体" w:cs="宋体"/>
                <w:szCs w:val="21"/>
              </w:rPr>
              <w:t>地表水环境</w:t>
            </w:r>
          </w:p>
        </w:tc>
        <w:tc>
          <w:tcPr>
            <w:tcW w:w="1550" w:type="dxa"/>
            <w:vAlign w:val="center"/>
          </w:tcPr>
          <w:p w14:paraId="377172A6">
            <w:pPr>
              <w:adjustRightInd w:val="0"/>
              <w:snapToGrid w:val="0"/>
              <w:jc w:val="center"/>
              <w:rPr>
                <w:rFonts w:hint="eastAsia" w:ascii="宋体" w:hAnsi="宋体" w:cs="宋体"/>
                <w:szCs w:val="21"/>
              </w:rPr>
            </w:pPr>
            <w:r>
              <w:rPr>
                <w:rFonts w:hint="eastAsia" w:ascii="宋体" w:hAnsi="宋体" w:cs="宋体"/>
                <w:szCs w:val="21"/>
              </w:rPr>
              <w:t>/</w:t>
            </w:r>
          </w:p>
        </w:tc>
        <w:tc>
          <w:tcPr>
            <w:tcW w:w="955" w:type="dxa"/>
            <w:vAlign w:val="center"/>
          </w:tcPr>
          <w:p w14:paraId="16482665">
            <w:pPr>
              <w:adjustRightInd w:val="0"/>
              <w:snapToGrid w:val="0"/>
              <w:jc w:val="center"/>
              <w:rPr>
                <w:rFonts w:hint="eastAsia" w:ascii="宋体" w:hAnsi="宋体" w:cs="宋体"/>
                <w:szCs w:val="21"/>
              </w:rPr>
            </w:pPr>
            <w:r>
              <w:rPr>
                <w:rFonts w:hint="eastAsia" w:ascii="宋体" w:hAnsi="宋体" w:cs="宋体"/>
                <w:szCs w:val="21"/>
              </w:rPr>
              <w:t>/</w:t>
            </w:r>
          </w:p>
        </w:tc>
        <w:tc>
          <w:tcPr>
            <w:tcW w:w="2745" w:type="dxa"/>
            <w:vAlign w:val="center"/>
          </w:tcPr>
          <w:p w14:paraId="68F5AD3B">
            <w:pPr>
              <w:adjustRightInd w:val="0"/>
              <w:snapToGrid w:val="0"/>
              <w:jc w:val="center"/>
              <w:rPr>
                <w:rFonts w:hint="eastAsia" w:ascii="宋体" w:hAnsi="宋体" w:cs="宋体"/>
                <w:szCs w:val="21"/>
              </w:rPr>
            </w:pPr>
            <w:r>
              <w:rPr>
                <w:rFonts w:hint="eastAsia" w:ascii="宋体" w:hAnsi="宋体" w:cs="宋体"/>
                <w:szCs w:val="21"/>
              </w:rPr>
              <w:t>/</w:t>
            </w:r>
          </w:p>
        </w:tc>
        <w:tc>
          <w:tcPr>
            <w:tcW w:w="2086" w:type="dxa"/>
            <w:vAlign w:val="center"/>
          </w:tcPr>
          <w:p w14:paraId="3403A7A5">
            <w:pPr>
              <w:adjustRightInd w:val="0"/>
              <w:snapToGrid w:val="0"/>
              <w:jc w:val="center"/>
              <w:rPr>
                <w:rFonts w:hint="eastAsia" w:ascii="宋体" w:hAnsi="宋体" w:cs="宋体"/>
                <w:szCs w:val="21"/>
              </w:rPr>
            </w:pPr>
            <w:r>
              <w:rPr>
                <w:rFonts w:hint="eastAsia" w:ascii="宋体" w:hAnsi="宋体" w:cs="宋体"/>
                <w:szCs w:val="21"/>
              </w:rPr>
              <w:t>/</w:t>
            </w:r>
          </w:p>
        </w:tc>
      </w:tr>
      <w:tr w14:paraId="6D2D52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25" w:type="dxa"/>
            <w:vAlign w:val="center"/>
          </w:tcPr>
          <w:p w14:paraId="2DBDF0FA">
            <w:pPr>
              <w:adjustRightInd w:val="0"/>
              <w:snapToGrid w:val="0"/>
              <w:jc w:val="center"/>
              <w:rPr>
                <w:rFonts w:hint="eastAsia" w:ascii="宋体" w:hAnsi="宋体" w:cs="宋体"/>
                <w:szCs w:val="21"/>
              </w:rPr>
            </w:pPr>
            <w:r>
              <w:rPr>
                <w:rFonts w:hint="eastAsia" w:ascii="宋体" w:hAnsi="宋体" w:cs="宋体"/>
                <w:szCs w:val="21"/>
              </w:rPr>
              <w:t>声环境</w:t>
            </w:r>
          </w:p>
        </w:tc>
        <w:tc>
          <w:tcPr>
            <w:tcW w:w="1550" w:type="dxa"/>
            <w:vAlign w:val="center"/>
          </w:tcPr>
          <w:p w14:paraId="6AD26E73">
            <w:pPr>
              <w:adjustRightInd w:val="0"/>
              <w:snapToGrid w:val="0"/>
              <w:jc w:val="center"/>
              <w:rPr>
                <w:szCs w:val="21"/>
              </w:rPr>
            </w:pPr>
            <w:r>
              <w:rPr>
                <w:rFonts w:hint="eastAsia"/>
                <w:szCs w:val="21"/>
              </w:rPr>
              <w:t>设备噪声</w:t>
            </w:r>
          </w:p>
        </w:tc>
        <w:tc>
          <w:tcPr>
            <w:tcW w:w="955" w:type="dxa"/>
            <w:vAlign w:val="center"/>
          </w:tcPr>
          <w:p w14:paraId="25E4247F">
            <w:pPr>
              <w:adjustRightInd w:val="0"/>
              <w:snapToGrid w:val="0"/>
              <w:jc w:val="center"/>
              <w:rPr>
                <w:szCs w:val="21"/>
                <w:lang w:eastAsia="en-US"/>
              </w:rPr>
            </w:pPr>
            <w:r>
              <w:rPr>
                <w:szCs w:val="21"/>
              </w:rPr>
              <w:t>等效A声级</w:t>
            </w:r>
          </w:p>
        </w:tc>
        <w:tc>
          <w:tcPr>
            <w:tcW w:w="2745" w:type="dxa"/>
            <w:vAlign w:val="center"/>
          </w:tcPr>
          <w:p w14:paraId="3C58D336">
            <w:pPr>
              <w:adjustRightInd w:val="0"/>
              <w:snapToGrid w:val="0"/>
              <w:jc w:val="center"/>
              <w:rPr>
                <w:szCs w:val="21"/>
              </w:rPr>
            </w:pPr>
            <w:r>
              <w:rPr>
                <w:rFonts w:hint="eastAsia"/>
                <w:szCs w:val="21"/>
              </w:rPr>
              <w:t>选用低噪声设备，采取减振、隔声等措施</w:t>
            </w:r>
          </w:p>
        </w:tc>
        <w:tc>
          <w:tcPr>
            <w:tcW w:w="2086" w:type="dxa"/>
            <w:vAlign w:val="center"/>
          </w:tcPr>
          <w:p w14:paraId="36AB8580">
            <w:pPr>
              <w:adjustRightInd w:val="0"/>
              <w:snapToGrid w:val="0"/>
              <w:jc w:val="center"/>
              <w:rPr>
                <w:szCs w:val="21"/>
              </w:rPr>
            </w:pPr>
            <w:r>
              <w:rPr>
                <w:szCs w:val="21"/>
              </w:rPr>
              <w:t>《工业企业厂界环境噪声排放标准》（GB12348-2008）中的3类标准</w:t>
            </w:r>
          </w:p>
        </w:tc>
      </w:tr>
      <w:tr w14:paraId="165E4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25" w:type="dxa"/>
            <w:vAlign w:val="center"/>
          </w:tcPr>
          <w:p w14:paraId="7ED1FB65">
            <w:pPr>
              <w:adjustRightInd w:val="0"/>
              <w:snapToGrid w:val="0"/>
              <w:jc w:val="center"/>
              <w:rPr>
                <w:rFonts w:hint="eastAsia" w:ascii="宋体" w:hAnsi="宋体" w:cs="宋体"/>
                <w:szCs w:val="21"/>
              </w:rPr>
            </w:pPr>
            <w:r>
              <w:rPr>
                <w:rFonts w:hint="eastAsia" w:ascii="宋体" w:hAnsi="宋体" w:cs="宋体"/>
                <w:szCs w:val="21"/>
              </w:rPr>
              <w:t>电磁辐射</w:t>
            </w:r>
          </w:p>
        </w:tc>
        <w:tc>
          <w:tcPr>
            <w:tcW w:w="1550" w:type="dxa"/>
            <w:vAlign w:val="center"/>
          </w:tcPr>
          <w:p w14:paraId="58A65A96">
            <w:pPr>
              <w:adjustRightInd w:val="0"/>
              <w:snapToGrid w:val="0"/>
              <w:jc w:val="center"/>
              <w:rPr>
                <w:rFonts w:hint="eastAsia" w:ascii="宋体" w:hAnsi="宋体" w:cs="宋体"/>
                <w:szCs w:val="21"/>
              </w:rPr>
            </w:pPr>
            <w:r>
              <w:rPr>
                <w:rFonts w:hint="eastAsia" w:ascii="宋体" w:hAnsi="宋体" w:cs="宋体"/>
                <w:szCs w:val="21"/>
              </w:rPr>
              <w:t>/</w:t>
            </w:r>
          </w:p>
        </w:tc>
        <w:tc>
          <w:tcPr>
            <w:tcW w:w="955" w:type="dxa"/>
            <w:vAlign w:val="center"/>
          </w:tcPr>
          <w:p w14:paraId="00EE00F1">
            <w:pPr>
              <w:adjustRightInd w:val="0"/>
              <w:snapToGrid w:val="0"/>
              <w:jc w:val="center"/>
              <w:rPr>
                <w:rFonts w:hint="eastAsia" w:ascii="宋体" w:hAnsi="宋体" w:cs="宋体"/>
                <w:szCs w:val="21"/>
              </w:rPr>
            </w:pPr>
            <w:r>
              <w:rPr>
                <w:rFonts w:hint="eastAsia" w:ascii="宋体" w:hAnsi="宋体" w:cs="宋体"/>
                <w:szCs w:val="21"/>
              </w:rPr>
              <w:t>/</w:t>
            </w:r>
          </w:p>
        </w:tc>
        <w:tc>
          <w:tcPr>
            <w:tcW w:w="2745" w:type="dxa"/>
            <w:vAlign w:val="center"/>
          </w:tcPr>
          <w:p w14:paraId="45A6C5DD">
            <w:pPr>
              <w:adjustRightInd w:val="0"/>
              <w:snapToGrid w:val="0"/>
              <w:jc w:val="center"/>
              <w:rPr>
                <w:rFonts w:hint="eastAsia" w:ascii="宋体" w:hAnsi="宋体" w:cs="宋体"/>
                <w:szCs w:val="21"/>
              </w:rPr>
            </w:pPr>
            <w:r>
              <w:rPr>
                <w:rFonts w:hint="eastAsia" w:ascii="宋体" w:hAnsi="宋体" w:cs="宋体"/>
                <w:szCs w:val="21"/>
              </w:rPr>
              <w:t>/</w:t>
            </w:r>
          </w:p>
        </w:tc>
        <w:tc>
          <w:tcPr>
            <w:tcW w:w="2086" w:type="dxa"/>
            <w:vAlign w:val="center"/>
          </w:tcPr>
          <w:p w14:paraId="2A017E7D">
            <w:pPr>
              <w:adjustRightInd w:val="0"/>
              <w:snapToGrid w:val="0"/>
              <w:jc w:val="center"/>
              <w:rPr>
                <w:rFonts w:hint="eastAsia" w:ascii="宋体" w:hAnsi="宋体" w:cs="宋体"/>
                <w:szCs w:val="21"/>
              </w:rPr>
            </w:pPr>
            <w:r>
              <w:rPr>
                <w:rFonts w:hint="eastAsia" w:ascii="宋体" w:hAnsi="宋体" w:cs="宋体"/>
                <w:szCs w:val="21"/>
              </w:rPr>
              <w:t>/</w:t>
            </w:r>
          </w:p>
        </w:tc>
      </w:tr>
      <w:tr w14:paraId="42A492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1625" w:type="dxa"/>
            <w:vAlign w:val="center"/>
          </w:tcPr>
          <w:p w14:paraId="38CEE6BD">
            <w:pPr>
              <w:adjustRightInd w:val="0"/>
              <w:snapToGrid w:val="0"/>
              <w:jc w:val="center"/>
              <w:rPr>
                <w:rFonts w:hint="eastAsia" w:ascii="宋体" w:hAnsi="宋体" w:cs="宋体"/>
                <w:szCs w:val="21"/>
              </w:rPr>
            </w:pPr>
            <w:r>
              <w:rPr>
                <w:rFonts w:hint="eastAsia" w:ascii="宋体" w:hAnsi="宋体" w:cs="宋体"/>
                <w:szCs w:val="21"/>
              </w:rPr>
              <w:t>固体废物</w:t>
            </w:r>
          </w:p>
        </w:tc>
        <w:tc>
          <w:tcPr>
            <w:tcW w:w="7336" w:type="dxa"/>
            <w:gridSpan w:val="4"/>
            <w:vAlign w:val="center"/>
          </w:tcPr>
          <w:p w14:paraId="7476B5B3">
            <w:pPr>
              <w:adjustRightInd w:val="0"/>
              <w:snapToGrid w:val="0"/>
              <w:jc w:val="left"/>
              <w:rPr>
                <w:rFonts w:hint="eastAsia" w:ascii="宋体" w:hAnsi="宋体" w:cs="宋体"/>
                <w:szCs w:val="21"/>
              </w:rPr>
            </w:pPr>
            <w:r>
              <w:rPr>
                <w:rFonts w:hint="eastAsia" w:ascii="宋体" w:hAnsi="宋体" w:cs="宋体"/>
                <w:szCs w:val="21"/>
              </w:rPr>
              <w:t>①本项目废润滑油经收集至新航焦化危废暂存库暂存，</w:t>
            </w:r>
            <w:r>
              <w:rPr>
                <w:bCs/>
                <w:color w:val="000000" w:themeColor="text1"/>
                <w:szCs w:val="21"/>
                <w14:textFill>
                  <w14:solidFill>
                    <w14:schemeClr w14:val="tx1"/>
                  </w14:solidFill>
                </w14:textFill>
              </w:rPr>
              <w:t>定期委托资质单位处理</w:t>
            </w:r>
            <w:r>
              <w:rPr>
                <w:rFonts w:hint="eastAsia" w:ascii="宋体" w:hAnsi="宋体" w:cs="宋体"/>
                <w:szCs w:val="21"/>
              </w:rPr>
              <w:t>。</w:t>
            </w:r>
          </w:p>
          <w:p w14:paraId="09259A74">
            <w:pPr>
              <w:adjustRightInd w:val="0"/>
              <w:snapToGrid w:val="0"/>
              <w:jc w:val="left"/>
              <w:rPr>
                <w:rFonts w:hint="eastAsia" w:ascii="宋体" w:hAnsi="宋体" w:cs="宋体"/>
                <w:szCs w:val="21"/>
              </w:rPr>
            </w:pPr>
            <w:r>
              <w:rPr>
                <w:rFonts w:hint="eastAsia" w:ascii="宋体" w:hAnsi="宋体" w:cs="宋体"/>
                <w:szCs w:val="21"/>
              </w:rPr>
              <w:t>②生活垃圾依托办公生活区收集设施集中收集，由园区环卫部门统一处理。</w:t>
            </w:r>
          </w:p>
          <w:p w14:paraId="3DF1BBA4">
            <w:pPr>
              <w:adjustRightInd w:val="0"/>
              <w:snapToGrid w:val="0"/>
              <w:jc w:val="left"/>
              <w:rPr>
                <w:rFonts w:hint="eastAsia" w:ascii="宋体" w:hAnsi="宋体" w:cs="宋体"/>
                <w:szCs w:val="21"/>
              </w:rPr>
            </w:pPr>
            <w:r>
              <w:rPr>
                <w:rFonts w:hint="eastAsia" w:ascii="宋体" w:hAnsi="宋体" w:cs="宋体"/>
                <w:szCs w:val="21"/>
              </w:rPr>
              <w:t>③除尘灰</w:t>
            </w:r>
            <w:r>
              <w:rPr>
                <w:bCs/>
                <w:color w:val="000000" w:themeColor="text1"/>
                <w:szCs w:val="21"/>
                <w14:textFill>
                  <w14:solidFill>
                    <w14:schemeClr w14:val="tx1"/>
                  </w14:solidFill>
                </w14:textFill>
              </w:rPr>
              <w:t>定期收集后返回生产工序综合利用</w:t>
            </w:r>
            <w:r>
              <w:rPr>
                <w:rFonts w:hint="eastAsia"/>
                <w:bCs/>
                <w:color w:val="000000" w:themeColor="text1"/>
                <w:szCs w:val="21"/>
                <w14:textFill>
                  <w14:solidFill>
                    <w14:schemeClr w14:val="tx1"/>
                  </w14:solidFill>
                </w14:textFill>
              </w:rPr>
              <w:t>。</w:t>
            </w:r>
          </w:p>
          <w:p w14:paraId="02A30286">
            <w:pPr>
              <w:adjustRightInd w:val="0"/>
              <w:snapToGrid w:val="0"/>
              <w:jc w:val="left"/>
              <w:rPr>
                <w:rFonts w:hint="eastAsia" w:ascii="宋体" w:hAnsi="宋体" w:cs="宋体"/>
                <w:szCs w:val="21"/>
              </w:rPr>
            </w:pPr>
            <w:r>
              <w:rPr>
                <w:rFonts w:hint="eastAsia" w:ascii="宋体" w:hAnsi="宋体" w:cs="宋体"/>
                <w:szCs w:val="21"/>
                <w:lang w:val="en-US" w:eastAsia="zh-CN"/>
              </w:rPr>
              <w:t>④</w:t>
            </w:r>
            <w:r>
              <w:rPr>
                <w:rFonts w:hint="eastAsia" w:ascii="宋体" w:hAnsi="宋体" w:cs="宋体"/>
                <w:szCs w:val="21"/>
              </w:rPr>
              <w:t>金属杂质</w:t>
            </w:r>
            <w:r>
              <w:rPr>
                <w:rFonts w:hint="eastAsia"/>
              </w:rPr>
              <w:t>收集在型焦生产车间内，</w:t>
            </w:r>
            <w:r>
              <w:rPr>
                <w:rFonts w:hint="eastAsia"/>
                <w:lang w:val="en-US" w:eastAsia="zh-CN"/>
              </w:rPr>
              <w:t>外售处理</w:t>
            </w:r>
            <w:r>
              <w:rPr>
                <w:rFonts w:hint="eastAsia" w:ascii="宋体" w:hAnsi="宋体" w:cs="宋体"/>
                <w:szCs w:val="21"/>
              </w:rPr>
              <w:t>。</w:t>
            </w:r>
          </w:p>
          <w:p w14:paraId="7624A1C7">
            <w:pPr>
              <w:adjustRightInd w:val="0"/>
              <w:snapToGrid w:val="0"/>
              <w:jc w:val="left"/>
              <w:rPr>
                <w:rFonts w:hint="eastAsia" w:ascii="宋体" w:hAnsi="宋体" w:eastAsia="宋体" w:cs="宋体"/>
                <w:szCs w:val="21"/>
                <w:lang w:val="en-US" w:eastAsia="zh-CN"/>
              </w:rPr>
            </w:pPr>
            <w:r>
              <w:rPr>
                <w:rFonts w:hint="eastAsia" w:ascii="宋体" w:hAnsi="宋体" w:cs="宋体"/>
                <w:szCs w:val="21"/>
                <w:lang w:val="en-US" w:eastAsia="zh-CN"/>
              </w:rPr>
              <w:t>⑤</w:t>
            </w:r>
            <w:r>
              <w:rPr>
                <w:rFonts w:hint="eastAsia"/>
                <w:kern w:val="0"/>
                <w:szCs w:val="21"/>
                <w:lang w:val="en-US" w:eastAsia="zh-CN" w:bidi="ar"/>
              </w:rPr>
              <w:t>沉淀池污泥</w:t>
            </w:r>
            <w:r>
              <w:rPr>
                <w:rFonts w:hint="eastAsia" w:ascii="宋体" w:hAnsi="宋体" w:cs="宋体"/>
                <w:szCs w:val="21"/>
                <w:lang w:val="en-US" w:eastAsia="zh-CN"/>
              </w:rPr>
              <w:t>收集在原料仓库划分区域，委托有资质的一般工业固废处置单位规范处置。</w:t>
            </w:r>
          </w:p>
        </w:tc>
      </w:tr>
      <w:tr w14:paraId="04064A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1625" w:type="dxa"/>
            <w:vAlign w:val="center"/>
          </w:tcPr>
          <w:p w14:paraId="3EA30D5E">
            <w:pPr>
              <w:adjustRightInd w:val="0"/>
              <w:snapToGrid w:val="0"/>
              <w:jc w:val="center"/>
              <w:rPr>
                <w:rFonts w:hint="eastAsia" w:ascii="宋体" w:hAnsi="宋体" w:cs="宋体"/>
                <w:szCs w:val="21"/>
              </w:rPr>
            </w:pPr>
            <w:r>
              <w:rPr>
                <w:rFonts w:hint="eastAsia" w:ascii="宋体" w:hAnsi="宋体" w:cs="宋体"/>
                <w:szCs w:val="21"/>
              </w:rPr>
              <w:t>土壤及地下水污染防治措施</w:t>
            </w:r>
          </w:p>
        </w:tc>
        <w:tc>
          <w:tcPr>
            <w:tcW w:w="7336" w:type="dxa"/>
            <w:gridSpan w:val="4"/>
            <w:vAlign w:val="center"/>
          </w:tcPr>
          <w:p w14:paraId="54182249">
            <w:pPr>
              <w:keepNext w:val="0"/>
              <w:keepLines w:val="0"/>
              <w:widowControl/>
              <w:suppressLineNumbers w:val="0"/>
              <w:jc w:val="left"/>
              <w:rPr>
                <w:color w:val="auto"/>
                <w:sz w:val="21"/>
                <w:szCs w:val="21"/>
              </w:rPr>
            </w:pPr>
            <w:r>
              <w:rPr>
                <w:color w:val="auto"/>
                <w:sz w:val="21"/>
                <w:szCs w:val="21"/>
              </w:rPr>
              <w:t>重点防渗区：</w:t>
            </w:r>
            <w:r>
              <w:rPr>
                <w:rFonts w:hint="eastAsia"/>
                <w:color w:val="auto"/>
                <w:sz w:val="21"/>
                <w:szCs w:val="21"/>
                <w:lang w:val="en-US" w:eastAsia="zh-CN"/>
              </w:rPr>
              <w:t>依托</w:t>
            </w:r>
            <w:r>
              <w:rPr>
                <w:rFonts w:hint="eastAsia" w:ascii="宋体" w:hAnsi="宋体" w:eastAsia="宋体" w:cs="宋体"/>
                <w:color w:val="auto"/>
                <w:kern w:val="0"/>
                <w:sz w:val="21"/>
                <w:szCs w:val="21"/>
                <w:lang w:val="en-US" w:eastAsia="zh-CN" w:bidi="ar"/>
              </w:rPr>
              <w:t>新航焦化危废暂存间</w:t>
            </w:r>
            <w:r>
              <w:rPr>
                <w:rFonts w:hint="eastAsia" w:ascii="宋体" w:hAnsi="宋体" w:cs="宋体"/>
                <w:color w:val="auto"/>
                <w:kern w:val="0"/>
                <w:sz w:val="21"/>
                <w:szCs w:val="21"/>
                <w:lang w:val="en-US" w:eastAsia="zh-CN" w:bidi="ar"/>
              </w:rPr>
              <w:t>，</w:t>
            </w:r>
            <w:r>
              <w:rPr>
                <w:rFonts w:hint="eastAsia" w:ascii="Times New Roman" w:hAnsi="Times New Roman" w:cs="Times New Roman"/>
                <w:color w:val="auto"/>
                <w:sz w:val="21"/>
                <w:szCs w:val="21"/>
                <w:lang w:val="en-US" w:eastAsia="zh-CN"/>
              </w:rPr>
              <w:t>防渗</w:t>
            </w:r>
            <w:r>
              <w:rPr>
                <w:rFonts w:hint="default" w:ascii="Times New Roman" w:hAnsi="Times New Roman" w:eastAsia="宋体" w:cs="Times New Roman"/>
                <w:color w:val="auto"/>
                <w:kern w:val="0"/>
                <w:sz w:val="21"/>
                <w:szCs w:val="21"/>
                <w:lang w:val="en-US" w:eastAsia="zh-CN" w:bidi="ar"/>
              </w:rPr>
              <w:t>系数</w:t>
            </w:r>
            <w:r>
              <w:rPr>
                <w:rFonts w:hint="default" w:ascii="Times New Roman" w:hAnsi="Times New Roman" w:cs="Times New Roman"/>
                <w:color w:val="auto"/>
                <w:sz w:val="21"/>
                <w:szCs w:val="21"/>
              </w:rPr>
              <w:t>≤1.0</w:t>
            </w:r>
            <w:r>
              <w:rPr>
                <w:rFonts w:hint="default" w:ascii="Times New Roman" w:hAnsi="Times New Roman" w:cs="Times New Roman"/>
                <w:color w:val="auto"/>
                <w:sz w:val="21"/>
                <w:szCs w:val="21"/>
                <w:vertAlign w:val="superscript"/>
              </w:rPr>
              <w:t>-10</w:t>
            </w:r>
            <w:r>
              <w:rPr>
                <w:rFonts w:hint="default" w:ascii="Times New Roman" w:hAnsi="Times New Roman" w:cs="Times New Roman"/>
                <w:color w:val="auto"/>
                <w:sz w:val="21"/>
                <w:szCs w:val="21"/>
              </w:rPr>
              <w:t>cm/s</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依托</w:t>
            </w:r>
            <w:r>
              <w:rPr>
                <w:rFonts w:hint="default" w:ascii="Times New Roman" w:hAnsi="Times New Roman" w:eastAsia="宋体" w:cs="Times New Roman"/>
                <w:color w:val="auto"/>
                <w:kern w:val="0"/>
                <w:sz w:val="21"/>
                <w:szCs w:val="21"/>
                <w:lang w:val="en-US" w:eastAsia="zh-CN" w:bidi="ar"/>
              </w:rPr>
              <w:t>生化污水处理站</w:t>
            </w:r>
            <w:r>
              <w:rPr>
                <w:rFonts w:hint="default" w:ascii="Times New Roman" w:hAnsi="Times New Roman" w:cs="Times New Roman"/>
                <w:color w:val="auto"/>
                <w:kern w:val="0"/>
                <w:sz w:val="21"/>
                <w:szCs w:val="21"/>
                <w:lang w:val="en-US" w:eastAsia="zh-CN" w:bidi="ar"/>
              </w:rPr>
              <w:t>，</w:t>
            </w:r>
            <w:r>
              <w:rPr>
                <w:rFonts w:hint="eastAsia" w:ascii="Times New Roman" w:hAnsi="Times New Roman" w:cs="Times New Roman"/>
                <w:color w:val="auto"/>
                <w:kern w:val="0"/>
                <w:sz w:val="21"/>
                <w:szCs w:val="21"/>
                <w:lang w:val="en-US" w:eastAsia="zh-CN" w:bidi="ar"/>
              </w:rPr>
              <w:t>防渗</w:t>
            </w:r>
            <w:r>
              <w:rPr>
                <w:rFonts w:hint="default" w:ascii="Times New Roman" w:hAnsi="Times New Roman" w:eastAsia="宋体" w:cs="Times New Roman"/>
                <w:color w:val="auto"/>
                <w:kern w:val="0"/>
                <w:sz w:val="21"/>
                <w:szCs w:val="21"/>
                <w:lang w:val="en-US" w:eastAsia="zh-CN" w:bidi="ar"/>
              </w:rPr>
              <w:t>系数</w:t>
            </w:r>
            <w:r>
              <w:rPr>
                <w:rFonts w:hint="default" w:ascii="Times New Roman" w:hAnsi="Times New Roman"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10</w:t>
            </w:r>
            <w:r>
              <w:rPr>
                <w:rFonts w:hint="default" w:ascii="Times New Roman" w:hAnsi="Times New Roman" w:eastAsia="宋体" w:cs="Times New Roman"/>
                <w:color w:val="auto"/>
                <w:kern w:val="0"/>
                <w:sz w:val="21"/>
                <w:szCs w:val="21"/>
                <w:vertAlign w:val="superscript"/>
                <w:lang w:val="en-US" w:eastAsia="zh-CN" w:bidi="ar"/>
              </w:rPr>
              <w:t>-7</w:t>
            </w:r>
            <w:r>
              <w:rPr>
                <w:rFonts w:hint="default" w:ascii="Times New Roman" w:hAnsi="Times New Roman" w:eastAsia="宋体" w:cs="Times New Roman"/>
                <w:color w:val="auto"/>
                <w:kern w:val="0"/>
                <w:sz w:val="21"/>
                <w:szCs w:val="21"/>
                <w:lang w:val="en-US" w:eastAsia="zh-CN" w:bidi="ar"/>
              </w:rPr>
              <w:t>cm/s。</w:t>
            </w:r>
          </w:p>
          <w:p w14:paraId="6F346B94">
            <w:pPr>
              <w:adjustRightInd w:val="0"/>
              <w:snapToGrid w:val="0"/>
              <w:jc w:val="left"/>
              <w:rPr>
                <w:color w:val="auto"/>
                <w:sz w:val="21"/>
                <w:szCs w:val="21"/>
              </w:rPr>
            </w:pPr>
            <w:r>
              <w:rPr>
                <w:color w:val="auto"/>
                <w:sz w:val="21"/>
                <w:szCs w:val="21"/>
              </w:rPr>
              <w:t>一般防渗区：</w:t>
            </w:r>
            <w:r>
              <w:rPr>
                <w:rFonts w:hint="eastAsia"/>
                <w:color w:val="auto"/>
                <w:sz w:val="21"/>
                <w:szCs w:val="21"/>
                <w:lang w:val="en-US" w:eastAsia="zh-CN"/>
              </w:rPr>
              <w:t>依托新航焦化事故池，</w:t>
            </w:r>
            <w:r>
              <w:rPr>
                <w:rFonts w:hint="eastAsia" w:ascii="Times New Roman" w:hAnsi="Times New Roman" w:cs="Times New Roman"/>
                <w:color w:val="auto"/>
                <w:kern w:val="0"/>
                <w:sz w:val="21"/>
                <w:szCs w:val="21"/>
                <w:lang w:val="en-US" w:eastAsia="zh-CN" w:bidi="ar"/>
              </w:rPr>
              <w:t>防渗</w:t>
            </w:r>
            <w:r>
              <w:rPr>
                <w:rFonts w:hint="eastAsia"/>
                <w:color w:val="auto"/>
                <w:kern w:val="0"/>
                <w:sz w:val="21"/>
                <w:szCs w:val="21"/>
                <w:lang w:bidi="ar"/>
              </w:rPr>
              <w:t>系数≤10</w:t>
            </w:r>
            <w:r>
              <w:rPr>
                <w:rFonts w:hint="eastAsia"/>
                <w:color w:val="auto"/>
                <w:kern w:val="0"/>
                <w:sz w:val="21"/>
                <w:szCs w:val="21"/>
                <w:vertAlign w:val="superscript"/>
                <w:lang w:val="en-US" w:eastAsia="zh-CN" w:bidi="ar"/>
              </w:rPr>
              <w:t>-</w:t>
            </w:r>
            <w:r>
              <w:rPr>
                <w:rFonts w:hint="eastAsia"/>
                <w:color w:val="auto"/>
                <w:kern w:val="0"/>
                <w:sz w:val="21"/>
                <w:szCs w:val="21"/>
                <w:vertAlign w:val="superscript"/>
                <w:lang w:bidi="ar"/>
              </w:rPr>
              <w:t>7</w:t>
            </w:r>
            <w:r>
              <w:rPr>
                <w:rFonts w:hint="eastAsia"/>
                <w:color w:val="auto"/>
                <w:kern w:val="0"/>
                <w:sz w:val="21"/>
                <w:szCs w:val="21"/>
                <w:lang w:bidi="ar"/>
              </w:rPr>
              <w:t>cm/s</w:t>
            </w:r>
            <w:r>
              <w:rPr>
                <w:rFonts w:hint="eastAsia"/>
                <w:color w:val="auto"/>
                <w:kern w:val="0"/>
                <w:sz w:val="21"/>
                <w:szCs w:val="21"/>
                <w:lang w:eastAsia="zh-CN" w:bidi="ar"/>
              </w:rPr>
              <w:t>；</w:t>
            </w:r>
            <w:r>
              <w:rPr>
                <w:rFonts w:hint="eastAsia"/>
                <w:color w:val="auto"/>
                <w:sz w:val="21"/>
                <w:szCs w:val="21"/>
                <w:lang w:val="en-US" w:eastAsia="zh-CN"/>
              </w:rPr>
              <w:t>新建</w:t>
            </w:r>
            <w:r>
              <w:rPr>
                <w:color w:val="auto"/>
                <w:sz w:val="21"/>
                <w:szCs w:val="21"/>
              </w:rPr>
              <w:t>型焦生产车间</w:t>
            </w:r>
            <w:r>
              <w:rPr>
                <w:rFonts w:hint="eastAsia"/>
                <w:color w:val="auto"/>
                <w:sz w:val="21"/>
                <w:szCs w:val="21"/>
              </w:rPr>
              <w:t>、</w:t>
            </w:r>
            <w:r>
              <w:rPr>
                <w:color w:val="auto"/>
                <w:sz w:val="21"/>
                <w:szCs w:val="21"/>
              </w:rPr>
              <w:t>原料仓库</w:t>
            </w:r>
            <w:r>
              <w:rPr>
                <w:rFonts w:hint="eastAsia"/>
                <w:color w:val="auto"/>
                <w:sz w:val="21"/>
                <w:szCs w:val="21"/>
              </w:rPr>
              <w:t>、</w:t>
            </w:r>
            <w:r>
              <w:rPr>
                <w:color w:val="auto"/>
                <w:sz w:val="21"/>
                <w:szCs w:val="21"/>
              </w:rPr>
              <w:t>成品仓库</w:t>
            </w:r>
            <w:r>
              <w:rPr>
                <w:rFonts w:hint="eastAsia"/>
                <w:color w:val="auto"/>
                <w:sz w:val="21"/>
                <w:szCs w:val="21"/>
                <w:lang w:eastAsia="zh-CN"/>
              </w:rPr>
              <w:t>、</w:t>
            </w:r>
            <w:r>
              <w:rPr>
                <w:rFonts w:hint="eastAsia"/>
                <w:color w:val="auto"/>
                <w:sz w:val="21"/>
                <w:szCs w:val="21"/>
                <w:lang w:val="en-US" w:eastAsia="zh-CN"/>
              </w:rPr>
              <w:t>沉淀池</w:t>
            </w:r>
            <w:r>
              <w:rPr>
                <w:rFonts w:hint="eastAsia"/>
                <w:color w:val="auto"/>
                <w:sz w:val="21"/>
                <w:szCs w:val="21"/>
              </w:rPr>
              <w:t>为一般防渗区，等效黏土防渗层Mb≥1.5m，</w:t>
            </w:r>
            <w:r>
              <w:rPr>
                <w:rFonts w:hint="eastAsia" w:ascii="Times New Roman" w:hAnsi="Times New Roman" w:cs="Times New Roman"/>
                <w:color w:val="auto"/>
                <w:kern w:val="0"/>
                <w:sz w:val="21"/>
                <w:szCs w:val="21"/>
                <w:lang w:val="en-US" w:eastAsia="zh-CN" w:bidi="ar"/>
              </w:rPr>
              <w:t>防渗</w:t>
            </w:r>
            <w:r>
              <w:rPr>
                <w:color w:val="auto"/>
                <w:sz w:val="21"/>
                <w:szCs w:val="21"/>
              </w:rPr>
              <w:t>系数≤1.0×10</w:t>
            </w:r>
            <w:r>
              <w:rPr>
                <w:color w:val="auto"/>
                <w:sz w:val="21"/>
                <w:szCs w:val="21"/>
                <w:vertAlign w:val="superscript"/>
              </w:rPr>
              <w:t>-7</w:t>
            </w:r>
            <w:r>
              <w:rPr>
                <w:color w:val="auto"/>
                <w:sz w:val="21"/>
                <w:szCs w:val="21"/>
              </w:rPr>
              <w:t>cm/s。</w:t>
            </w:r>
          </w:p>
          <w:p w14:paraId="2F9008D6">
            <w:pPr>
              <w:keepNext w:val="0"/>
              <w:keepLines w:val="0"/>
              <w:widowControl/>
              <w:suppressLineNumbers w:val="0"/>
              <w:jc w:val="left"/>
              <w:rPr>
                <w:rFonts w:hint="eastAsia"/>
                <w:color w:val="auto"/>
                <w:szCs w:val="21"/>
              </w:rPr>
            </w:pPr>
            <w:r>
              <w:rPr>
                <w:color w:val="auto"/>
                <w:sz w:val="21"/>
                <w:szCs w:val="21"/>
              </w:rPr>
              <w:t>简单防渗区：办公楼、宿舍、食堂均依托新航焦化现有设置</w:t>
            </w:r>
            <w:r>
              <w:rPr>
                <w:rFonts w:hint="eastAsia"/>
                <w:color w:val="auto"/>
                <w:sz w:val="21"/>
                <w:szCs w:val="21"/>
                <w:lang w:eastAsia="zh-CN"/>
              </w:rPr>
              <w:t>，</w:t>
            </w:r>
            <w:r>
              <w:rPr>
                <w:rFonts w:hint="eastAsia"/>
                <w:color w:val="auto"/>
                <w:sz w:val="21"/>
                <w:szCs w:val="21"/>
                <w:lang w:val="en-US" w:eastAsia="zh-CN"/>
              </w:rPr>
              <w:t>采用</w:t>
            </w:r>
            <w:r>
              <w:rPr>
                <w:rFonts w:hint="eastAsia" w:ascii="宋体" w:hAnsi="宋体" w:eastAsia="宋体" w:cs="宋体"/>
                <w:color w:val="auto"/>
                <w:kern w:val="0"/>
                <w:sz w:val="21"/>
                <w:szCs w:val="21"/>
                <w:lang w:val="en-US" w:eastAsia="zh-CN" w:bidi="ar"/>
              </w:rPr>
              <w:t>地面采用水退砂浆地面；</w:t>
            </w:r>
            <w:r>
              <w:rPr>
                <w:color w:val="auto"/>
                <w:sz w:val="21"/>
                <w:szCs w:val="21"/>
              </w:rPr>
              <w:t>型焦变电所</w:t>
            </w:r>
            <w:r>
              <w:rPr>
                <w:rFonts w:hint="eastAsia"/>
                <w:color w:val="auto"/>
                <w:sz w:val="21"/>
                <w:szCs w:val="21"/>
              </w:rPr>
              <w:t>、</w:t>
            </w:r>
            <w:r>
              <w:rPr>
                <w:color w:val="auto"/>
                <w:sz w:val="21"/>
                <w:szCs w:val="21"/>
              </w:rPr>
              <w:t>型焦控制室</w:t>
            </w:r>
            <w:r>
              <w:rPr>
                <w:rFonts w:hint="eastAsia"/>
                <w:color w:val="auto"/>
                <w:sz w:val="21"/>
                <w:szCs w:val="21"/>
              </w:rPr>
              <w:t>、</w:t>
            </w:r>
            <w:r>
              <w:rPr>
                <w:color w:val="auto"/>
                <w:sz w:val="21"/>
                <w:szCs w:val="21"/>
              </w:rPr>
              <w:t>型焦化验室</w:t>
            </w:r>
            <w:r>
              <w:rPr>
                <w:rFonts w:hint="eastAsia"/>
                <w:color w:val="auto"/>
                <w:sz w:val="21"/>
                <w:szCs w:val="21"/>
              </w:rPr>
              <w:t>为新建</w:t>
            </w:r>
            <w:r>
              <w:rPr>
                <w:rFonts w:hint="eastAsia"/>
                <w:color w:val="auto"/>
                <w:sz w:val="21"/>
                <w:szCs w:val="21"/>
                <w:lang w:eastAsia="zh-CN"/>
              </w:rPr>
              <w:t>，</w:t>
            </w:r>
            <w:r>
              <w:rPr>
                <w:color w:val="auto"/>
                <w:sz w:val="21"/>
                <w:szCs w:val="21"/>
              </w:rPr>
              <w:t>防渗措施为</w:t>
            </w:r>
            <w:r>
              <w:rPr>
                <w:rFonts w:hint="eastAsia"/>
                <w:color w:val="auto"/>
                <w:sz w:val="21"/>
                <w:szCs w:val="21"/>
                <w:lang w:val="en-US" w:eastAsia="zh-CN"/>
              </w:rPr>
              <w:t>一般</w:t>
            </w:r>
            <w:r>
              <w:rPr>
                <w:color w:val="auto"/>
                <w:sz w:val="21"/>
                <w:szCs w:val="21"/>
              </w:rPr>
              <w:t>地面硬化</w:t>
            </w:r>
            <w:r>
              <w:rPr>
                <w:rFonts w:hint="eastAsia"/>
                <w:color w:val="auto"/>
                <w:sz w:val="21"/>
                <w:szCs w:val="21"/>
              </w:rPr>
              <w:t>。</w:t>
            </w:r>
          </w:p>
        </w:tc>
      </w:tr>
      <w:tr w14:paraId="1008FB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5" w:type="dxa"/>
            <w:vAlign w:val="center"/>
          </w:tcPr>
          <w:p w14:paraId="0061E6E2">
            <w:pPr>
              <w:adjustRightInd w:val="0"/>
              <w:snapToGrid w:val="0"/>
              <w:jc w:val="center"/>
              <w:rPr>
                <w:rFonts w:hint="eastAsia" w:ascii="宋体" w:hAnsi="宋体" w:cs="宋体"/>
                <w:szCs w:val="21"/>
              </w:rPr>
            </w:pPr>
            <w:r>
              <w:rPr>
                <w:rFonts w:hint="eastAsia" w:ascii="宋体" w:hAnsi="宋体" w:cs="宋体"/>
                <w:szCs w:val="21"/>
              </w:rPr>
              <w:t>生态保护措施</w:t>
            </w:r>
          </w:p>
        </w:tc>
        <w:tc>
          <w:tcPr>
            <w:tcW w:w="7336" w:type="dxa"/>
            <w:gridSpan w:val="4"/>
            <w:vAlign w:val="center"/>
          </w:tcPr>
          <w:p w14:paraId="46E310D1">
            <w:pPr>
              <w:adjustRightInd w:val="0"/>
              <w:snapToGrid w:val="0"/>
              <w:jc w:val="center"/>
              <w:rPr>
                <w:rFonts w:hint="eastAsia" w:ascii="宋体" w:hAnsi="宋体" w:cs="宋体"/>
                <w:szCs w:val="21"/>
              </w:rPr>
            </w:pPr>
            <w:r>
              <w:rPr>
                <w:rFonts w:hint="eastAsia" w:ascii="宋体" w:hAnsi="宋体" w:cs="宋体"/>
                <w:szCs w:val="21"/>
              </w:rPr>
              <w:t>/</w:t>
            </w:r>
          </w:p>
        </w:tc>
      </w:tr>
      <w:tr w14:paraId="15F38B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625" w:type="dxa"/>
            <w:vAlign w:val="center"/>
          </w:tcPr>
          <w:p w14:paraId="43B52E01">
            <w:pPr>
              <w:adjustRightInd w:val="0"/>
              <w:snapToGrid w:val="0"/>
              <w:jc w:val="center"/>
              <w:rPr>
                <w:rFonts w:hint="eastAsia" w:ascii="宋体" w:hAnsi="宋体" w:cs="宋体"/>
                <w:szCs w:val="21"/>
              </w:rPr>
            </w:pPr>
            <w:r>
              <w:rPr>
                <w:rFonts w:hint="eastAsia" w:ascii="宋体" w:hAnsi="宋体" w:cs="宋体"/>
                <w:szCs w:val="21"/>
              </w:rPr>
              <w:t>环境风险</w:t>
            </w:r>
          </w:p>
          <w:p w14:paraId="18B2A8B8">
            <w:pPr>
              <w:adjustRightInd w:val="0"/>
              <w:snapToGrid w:val="0"/>
              <w:jc w:val="center"/>
              <w:rPr>
                <w:rFonts w:hint="eastAsia" w:ascii="宋体" w:hAnsi="宋体" w:cs="宋体"/>
                <w:szCs w:val="21"/>
              </w:rPr>
            </w:pPr>
            <w:r>
              <w:rPr>
                <w:rFonts w:hint="eastAsia" w:ascii="宋体" w:hAnsi="宋体" w:cs="宋体"/>
                <w:szCs w:val="21"/>
              </w:rPr>
              <w:t>防范措施</w:t>
            </w:r>
          </w:p>
        </w:tc>
        <w:tc>
          <w:tcPr>
            <w:tcW w:w="7336" w:type="dxa"/>
            <w:gridSpan w:val="4"/>
            <w:vAlign w:val="center"/>
          </w:tcPr>
          <w:p w14:paraId="18FF51D8">
            <w:pPr>
              <w:adjustRightInd w:val="0"/>
              <w:snapToGrid w:val="0"/>
              <w:jc w:val="center"/>
              <w:rPr>
                <w:rFonts w:hint="eastAsia" w:ascii="宋体" w:hAnsi="宋体" w:cs="宋体"/>
                <w:szCs w:val="21"/>
              </w:rPr>
            </w:pPr>
            <w:r>
              <w:rPr>
                <w:rFonts w:hint="eastAsia" w:ascii="宋体" w:hAnsi="宋体" w:cs="宋体"/>
                <w:szCs w:val="21"/>
              </w:rPr>
              <w:t>本工程设备检修所用废润滑油依托新航焦化厂区现有危废暂存间储存。</w:t>
            </w:r>
          </w:p>
        </w:tc>
      </w:tr>
      <w:tr w14:paraId="57BDF7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625" w:type="dxa"/>
            <w:vAlign w:val="center"/>
          </w:tcPr>
          <w:p w14:paraId="3B37061E">
            <w:pPr>
              <w:adjustRightInd w:val="0"/>
              <w:snapToGrid w:val="0"/>
              <w:jc w:val="center"/>
              <w:rPr>
                <w:rFonts w:hint="eastAsia" w:ascii="宋体" w:hAnsi="宋体" w:cs="宋体"/>
                <w:szCs w:val="21"/>
              </w:rPr>
            </w:pPr>
            <w:r>
              <w:rPr>
                <w:rFonts w:hint="eastAsia" w:ascii="宋体" w:hAnsi="宋体" w:cs="宋体"/>
                <w:szCs w:val="21"/>
              </w:rPr>
              <w:t>其他环境</w:t>
            </w:r>
          </w:p>
          <w:p w14:paraId="48F28CBB">
            <w:pPr>
              <w:adjustRightInd w:val="0"/>
              <w:snapToGrid w:val="0"/>
              <w:jc w:val="center"/>
              <w:rPr>
                <w:rFonts w:hint="eastAsia" w:ascii="宋体" w:hAnsi="宋体" w:cs="宋体"/>
                <w:szCs w:val="21"/>
              </w:rPr>
            </w:pPr>
            <w:r>
              <w:rPr>
                <w:rFonts w:hint="eastAsia" w:ascii="宋体" w:hAnsi="宋体" w:cs="宋体"/>
                <w:szCs w:val="21"/>
              </w:rPr>
              <w:t>管理要求</w:t>
            </w:r>
          </w:p>
        </w:tc>
        <w:tc>
          <w:tcPr>
            <w:tcW w:w="7336" w:type="dxa"/>
            <w:gridSpan w:val="4"/>
            <w:vAlign w:val="center"/>
          </w:tcPr>
          <w:p w14:paraId="1C0DC7FD">
            <w:pPr>
              <w:adjustRightInd w:val="0"/>
              <w:snapToGrid w:val="0"/>
              <w:jc w:val="center"/>
              <w:rPr>
                <w:rFonts w:hint="eastAsia" w:ascii="宋体" w:hAnsi="宋体" w:cs="宋体"/>
                <w:szCs w:val="21"/>
              </w:rPr>
            </w:pPr>
            <w:r>
              <w:rPr>
                <w:rFonts w:hint="eastAsia" w:ascii="宋体" w:hAnsi="宋体" w:cs="宋体"/>
                <w:szCs w:val="21"/>
              </w:rPr>
              <w:t>/</w:t>
            </w:r>
          </w:p>
        </w:tc>
      </w:tr>
    </w:tbl>
    <w:p w14:paraId="2DCD9584">
      <w:pPr>
        <w:pStyle w:val="19"/>
        <w:spacing w:before="0" w:beforeAutospacing="0" w:after="0" w:afterAutospacing="0"/>
        <w:jc w:val="center"/>
        <w:outlineLvl w:val="0"/>
        <w:rPr>
          <w:rFonts w:ascii="Times New Roman" w:hAnsi="Times New Roman"/>
          <w:snapToGrid w:val="0"/>
          <w:sz w:val="30"/>
          <w:szCs w:val="30"/>
        </w:rPr>
      </w:pPr>
      <w:r>
        <w:rPr>
          <w:snapToGrid w:val="0"/>
        </w:rPr>
        <w:br w:type="page"/>
      </w:r>
      <w:bookmarkStart w:id="11" w:name="_Toc9948"/>
      <w:r>
        <w:rPr>
          <w:rFonts w:hint="eastAsia" w:ascii="Times New Roman" w:hAnsi="Times New Roman"/>
          <w:b/>
          <w:bCs/>
          <w:snapToGrid w:val="0"/>
          <w:sz w:val="30"/>
          <w:szCs w:val="30"/>
        </w:rPr>
        <w:t>六、结论</w:t>
      </w:r>
      <w:bookmarkEnd w:id="11"/>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324066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42EDA785">
            <w:pPr>
              <w:spacing w:before="120" w:beforeLines="50" w:line="360" w:lineRule="auto"/>
              <w:ind w:firstLine="480" w:firstLineChars="200"/>
              <w:rPr>
                <w:rFonts w:ascii="宋体" w:cs="宋体"/>
                <w:sz w:val="24"/>
              </w:rPr>
            </w:pPr>
            <w:r>
              <w:rPr>
                <w:sz w:val="24"/>
              </w:rPr>
              <w:t>综上所述，项目建设符合国家和地方的相关政策，符合</w:t>
            </w:r>
            <w:r>
              <w:rPr>
                <w:rFonts w:hint="eastAsia"/>
                <w:sz w:val="24"/>
              </w:rPr>
              <w:t>生态环境分区管控</w:t>
            </w:r>
            <w:r>
              <w:rPr>
                <w:sz w:val="24"/>
              </w:rPr>
              <w:t>意见，在各项污染防治措施落实后，污染物均能达标排放。因此，本项目符合环境保护要求，从环境保护角度来看，项目建设环境影响可行。</w:t>
            </w:r>
          </w:p>
        </w:tc>
      </w:tr>
    </w:tbl>
    <w:p w14:paraId="6BA8CD0F">
      <w:pPr>
        <w:rPr>
          <w:rFonts w:ascii="宋体"/>
        </w:rPr>
        <w:sectPr>
          <w:pgSz w:w="11906" w:h="16838"/>
          <w:pgMar w:top="1701" w:right="1531" w:bottom="1701" w:left="1531" w:header="851" w:footer="851" w:gutter="0"/>
          <w:cols w:space="720" w:num="1"/>
          <w:docGrid w:linePitch="312" w:charSpace="0"/>
        </w:sectPr>
      </w:pPr>
    </w:p>
    <w:p w14:paraId="45CF97C2">
      <w:pPr>
        <w:pStyle w:val="19"/>
        <w:spacing w:before="0" w:beforeAutospacing="0" w:after="0" w:afterAutospacing="0"/>
        <w:jc w:val="center"/>
        <w:outlineLvl w:val="0"/>
        <w:rPr>
          <w:rFonts w:ascii="Times New Roman" w:hAnsi="Times New Roman"/>
          <w:b/>
          <w:bCs/>
          <w:snapToGrid w:val="0"/>
          <w:sz w:val="30"/>
          <w:szCs w:val="30"/>
        </w:rPr>
      </w:pPr>
      <w:bookmarkStart w:id="12" w:name="_Toc27710"/>
      <w:r>
        <w:rPr>
          <w:rFonts w:hint="eastAsia" w:ascii="Times New Roman" w:hAnsi="Times New Roman"/>
          <w:b/>
          <w:bCs/>
          <w:snapToGrid w:val="0"/>
          <w:sz w:val="30"/>
          <w:szCs w:val="30"/>
        </w:rPr>
        <w:t>建设项目污染物排放量汇总表</w:t>
      </w:r>
      <w:bookmarkEnd w:id="12"/>
    </w:p>
    <w:tbl>
      <w:tblPr>
        <w:tblStyle w:val="22"/>
        <w:tblW w:w="1323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1342"/>
        <w:gridCol w:w="1611"/>
        <w:gridCol w:w="1208"/>
        <w:gridCol w:w="1611"/>
        <w:gridCol w:w="1477"/>
        <w:gridCol w:w="1526"/>
        <w:gridCol w:w="1752"/>
        <w:gridCol w:w="1205"/>
      </w:tblGrid>
      <w:tr w14:paraId="29AC16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7" w:hRule="atLeast"/>
        </w:trPr>
        <w:tc>
          <w:tcPr>
            <w:tcW w:w="1504" w:type="dxa"/>
            <w:tcBorders>
              <w:tl2br w:val="single" w:color="auto" w:sz="4" w:space="0"/>
            </w:tcBorders>
            <w:tcMar>
              <w:left w:w="28" w:type="dxa"/>
              <w:right w:w="28" w:type="dxa"/>
            </w:tcMar>
            <w:vAlign w:val="center"/>
          </w:tcPr>
          <w:p w14:paraId="47FDC91D">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项目</w:t>
            </w:r>
          </w:p>
          <w:p w14:paraId="6E193CFE">
            <w:pPr>
              <w:pStyle w:val="19"/>
              <w:spacing w:before="0" w:beforeAutospacing="0" w:after="0" w:afterAutospacing="0"/>
              <w:jc w:val="center"/>
              <w:outlineLvl w:val="0"/>
              <w:rPr>
                <w:rFonts w:ascii="Times New Roman" w:hAnsi="Times New Roman"/>
                <w:snapToGrid w:val="0"/>
                <w:color w:val="000000"/>
                <w:kern w:val="21"/>
                <w:sz w:val="21"/>
                <w:szCs w:val="21"/>
              </w:rPr>
            </w:pPr>
          </w:p>
          <w:p w14:paraId="5945C5D9">
            <w:pPr>
              <w:pStyle w:val="19"/>
              <w:spacing w:before="0" w:beforeAutospacing="0" w:after="0" w:afterAutospacing="0"/>
              <w:jc w:val="center"/>
              <w:outlineLvl w:val="0"/>
              <w:rPr>
                <w:rFonts w:ascii="Times New Roman" w:hAnsi="Times New Roman"/>
                <w:snapToGrid w:val="0"/>
                <w:color w:val="000000"/>
                <w:kern w:val="21"/>
                <w:sz w:val="21"/>
                <w:szCs w:val="21"/>
              </w:rPr>
            </w:pPr>
          </w:p>
          <w:p w14:paraId="64C3ED1F">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分类</w:t>
            </w:r>
          </w:p>
        </w:tc>
        <w:tc>
          <w:tcPr>
            <w:tcW w:w="1342" w:type="dxa"/>
            <w:tcMar>
              <w:left w:w="28" w:type="dxa"/>
              <w:right w:w="28" w:type="dxa"/>
            </w:tcMar>
            <w:vAlign w:val="center"/>
          </w:tcPr>
          <w:p w14:paraId="4B6CAF8E">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污染物名称</w:t>
            </w:r>
          </w:p>
        </w:tc>
        <w:tc>
          <w:tcPr>
            <w:tcW w:w="1611" w:type="dxa"/>
            <w:tcMar>
              <w:left w:w="28" w:type="dxa"/>
              <w:right w:w="28" w:type="dxa"/>
            </w:tcMar>
            <w:vAlign w:val="center"/>
          </w:tcPr>
          <w:p w14:paraId="2397A6A4">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现有工程</w:t>
            </w:r>
          </w:p>
          <w:p w14:paraId="0BE0A312">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排放量（固体废物产生量）</w:t>
            </w:r>
            <w:r>
              <w:rPr>
                <w:rFonts w:hint="eastAsia" w:ascii="Times New Roman" w:hAnsi="Times New Roman"/>
                <w:snapToGrid w:val="0"/>
                <w:color w:val="000000"/>
                <w:kern w:val="21"/>
                <w:sz w:val="21"/>
                <w:szCs w:val="21"/>
              </w:rPr>
              <w:fldChar w:fldCharType="begin"/>
            </w:r>
            <w:r>
              <w:rPr>
                <w:rFonts w:hint="eastAsia" w:ascii="Times New Roman" w:hAnsi="Times New Roman"/>
                <w:snapToGrid w:val="0"/>
                <w:color w:val="000000"/>
                <w:kern w:val="21"/>
                <w:sz w:val="21"/>
                <w:szCs w:val="21"/>
              </w:rPr>
              <w:instrText xml:space="preserve"> = 1 \* GB3 \* MERGEFORMAT </w:instrText>
            </w:r>
            <w:r>
              <w:rPr>
                <w:rFonts w:hint="eastAsia" w:ascii="Times New Roman" w:hAnsi="Times New Roman"/>
                <w:snapToGrid w:val="0"/>
                <w:color w:val="000000"/>
                <w:kern w:val="21"/>
                <w:sz w:val="21"/>
                <w:szCs w:val="21"/>
              </w:rPr>
              <w:fldChar w:fldCharType="separate"/>
            </w:r>
            <w:r>
              <w:rPr>
                <w:rFonts w:hint="eastAsia" w:ascii="Times New Roman" w:hAnsi="Times New Roman"/>
                <w:snapToGrid w:val="0"/>
                <w:color w:val="000000"/>
                <w:kern w:val="21"/>
                <w:sz w:val="21"/>
                <w:szCs w:val="21"/>
              </w:rPr>
              <w:t>①</w:t>
            </w:r>
            <w:r>
              <w:rPr>
                <w:rFonts w:hint="eastAsia" w:ascii="Times New Roman" w:hAnsi="Times New Roman"/>
                <w:snapToGrid w:val="0"/>
                <w:color w:val="000000"/>
                <w:kern w:val="21"/>
                <w:sz w:val="21"/>
                <w:szCs w:val="21"/>
              </w:rPr>
              <w:fldChar w:fldCharType="end"/>
            </w:r>
          </w:p>
        </w:tc>
        <w:tc>
          <w:tcPr>
            <w:tcW w:w="1208" w:type="dxa"/>
            <w:tcMar>
              <w:left w:w="28" w:type="dxa"/>
              <w:right w:w="28" w:type="dxa"/>
            </w:tcMar>
            <w:vAlign w:val="center"/>
          </w:tcPr>
          <w:p w14:paraId="43DC9393">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现有工程</w:t>
            </w:r>
          </w:p>
          <w:p w14:paraId="0016446D">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许可排放量</w:t>
            </w:r>
          </w:p>
          <w:p w14:paraId="714BAACA">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fldChar w:fldCharType="begin"/>
            </w:r>
            <w:r>
              <w:rPr>
                <w:rFonts w:hint="eastAsia" w:ascii="Times New Roman" w:hAnsi="Times New Roman"/>
                <w:snapToGrid w:val="0"/>
                <w:color w:val="000000"/>
                <w:kern w:val="21"/>
                <w:sz w:val="21"/>
                <w:szCs w:val="21"/>
              </w:rPr>
              <w:instrText xml:space="preserve"> = 2 \* GB3 \* MERGEFORMAT </w:instrText>
            </w:r>
            <w:r>
              <w:rPr>
                <w:rFonts w:hint="eastAsia" w:ascii="Times New Roman" w:hAnsi="Times New Roman"/>
                <w:snapToGrid w:val="0"/>
                <w:color w:val="000000"/>
                <w:kern w:val="21"/>
                <w:sz w:val="21"/>
                <w:szCs w:val="21"/>
              </w:rPr>
              <w:fldChar w:fldCharType="separate"/>
            </w:r>
            <w:r>
              <w:rPr>
                <w:rFonts w:hint="eastAsia" w:ascii="Times New Roman" w:hAnsi="Times New Roman"/>
                <w:snapToGrid w:val="0"/>
                <w:color w:val="000000"/>
                <w:kern w:val="21"/>
                <w:sz w:val="21"/>
                <w:szCs w:val="21"/>
              </w:rPr>
              <w:t>②</w:t>
            </w:r>
            <w:r>
              <w:rPr>
                <w:rFonts w:hint="eastAsia" w:ascii="Times New Roman" w:hAnsi="Times New Roman"/>
                <w:snapToGrid w:val="0"/>
                <w:color w:val="000000"/>
                <w:kern w:val="21"/>
                <w:sz w:val="21"/>
                <w:szCs w:val="21"/>
              </w:rPr>
              <w:fldChar w:fldCharType="end"/>
            </w:r>
          </w:p>
        </w:tc>
        <w:tc>
          <w:tcPr>
            <w:tcW w:w="1611" w:type="dxa"/>
            <w:tcMar>
              <w:left w:w="28" w:type="dxa"/>
              <w:right w:w="28" w:type="dxa"/>
            </w:tcMar>
            <w:vAlign w:val="center"/>
          </w:tcPr>
          <w:p w14:paraId="7EE3F321">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在建工程</w:t>
            </w:r>
          </w:p>
          <w:p w14:paraId="09F32843">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排放量（固体废物产生量）</w:t>
            </w:r>
            <w:r>
              <w:rPr>
                <w:rFonts w:hint="eastAsia" w:ascii="Times New Roman" w:hAnsi="Times New Roman"/>
                <w:snapToGrid w:val="0"/>
                <w:color w:val="000000"/>
                <w:kern w:val="21"/>
                <w:sz w:val="21"/>
                <w:szCs w:val="21"/>
              </w:rPr>
              <w:fldChar w:fldCharType="begin"/>
            </w:r>
            <w:r>
              <w:rPr>
                <w:rFonts w:hint="eastAsia" w:ascii="Times New Roman" w:hAnsi="Times New Roman"/>
                <w:snapToGrid w:val="0"/>
                <w:color w:val="000000"/>
                <w:kern w:val="21"/>
                <w:sz w:val="21"/>
                <w:szCs w:val="21"/>
              </w:rPr>
              <w:instrText xml:space="preserve"> = 3 \* GB3 \* MERGEFORMAT </w:instrText>
            </w:r>
            <w:r>
              <w:rPr>
                <w:rFonts w:hint="eastAsia" w:ascii="Times New Roman" w:hAnsi="Times New Roman"/>
                <w:snapToGrid w:val="0"/>
                <w:color w:val="000000"/>
                <w:kern w:val="21"/>
                <w:sz w:val="21"/>
                <w:szCs w:val="21"/>
              </w:rPr>
              <w:fldChar w:fldCharType="separate"/>
            </w:r>
            <w:r>
              <w:rPr>
                <w:rFonts w:hint="eastAsia" w:ascii="Times New Roman" w:hAnsi="Times New Roman"/>
                <w:snapToGrid w:val="0"/>
                <w:color w:val="000000"/>
                <w:kern w:val="21"/>
                <w:sz w:val="21"/>
                <w:szCs w:val="21"/>
              </w:rPr>
              <w:t>③</w:t>
            </w:r>
            <w:r>
              <w:rPr>
                <w:rFonts w:hint="eastAsia" w:ascii="Times New Roman" w:hAnsi="Times New Roman"/>
                <w:snapToGrid w:val="0"/>
                <w:color w:val="000000"/>
                <w:kern w:val="21"/>
                <w:sz w:val="21"/>
                <w:szCs w:val="21"/>
              </w:rPr>
              <w:fldChar w:fldCharType="end"/>
            </w:r>
          </w:p>
        </w:tc>
        <w:tc>
          <w:tcPr>
            <w:tcW w:w="1477" w:type="dxa"/>
            <w:tcMar>
              <w:left w:w="28" w:type="dxa"/>
              <w:right w:w="28" w:type="dxa"/>
            </w:tcMar>
            <w:vAlign w:val="center"/>
          </w:tcPr>
          <w:p w14:paraId="505C3BC6">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本项目</w:t>
            </w:r>
          </w:p>
          <w:p w14:paraId="7D6E05ED">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排放量（固体废物产生量）</w:t>
            </w:r>
            <w:r>
              <w:rPr>
                <w:rFonts w:hint="eastAsia" w:ascii="Times New Roman" w:hAnsi="Times New Roman"/>
                <w:snapToGrid w:val="0"/>
                <w:color w:val="000000"/>
                <w:kern w:val="21"/>
                <w:sz w:val="21"/>
                <w:szCs w:val="21"/>
              </w:rPr>
              <w:fldChar w:fldCharType="begin"/>
            </w:r>
            <w:r>
              <w:rPr>
                <w:rFonts w:hint="eastAsia" w:ascii="Times New Roman" w:hAnsi="Times New Roman"/>
                <w:snapToGrid w:val="0"/>
                <w:color w:val="000000"/>
                <w:kern w:val="21"/>
                <w:sz w:val="21"/>
                <w:szCs w:val="21"/>
              </w:rPr>
              <w:instrText xml:space="preserve"> = 4 \* GB3 \* MERGEFORMAT </w:instrText>
            </w:r>
            <w:r>
              <w:rPr>
                <w:rFonts w:hint="eastAsia" w:ascii="Times New Roman" w:hAnsi="Times New Roman"/>
                <w:snapToGrid w:val="0"/>
                <w:color w:val="000000"/>
                <w:kern w:val="21"/>
                <w:sz w:val="21"/>
                <w:szCs w:val="21"/>
              </w:rPr>
              <w:fldChar w:fldCharType="separate"/>
            </w:r>
            <w:r>
              <w:rPr>
                <w:rFonts w:hint="eastAsia" w:ascii="Times New Roman" w:hAnsi="Times New Roman"/>
                <w:snapToGrid w:val="0"/>
                <w:color w:val="000000"/>
                <w:kern w:val="21"/>
                <w:sz w:val="21"/>
                <w:szCs w:val="21"/>
              </w:rPr>
              <w:t>④</w:t>
            </w:r>
            <w:r>
              <w:rPr>
                <w:rFonts w:hint="eastAsia" w:ascii="Times New Roman" w:hAnsi="Times New Roman"/>
                <w:snapToGrid w:val="0"/>
                <w:color w:val="000000"/>
                <w:kern w:val="21"/>
                <w:sz w:val="21"/>
                <w:szCs w:val="21"/>
              </w:rPr>
              <w:fldChar w:fldCharType="end"/>
            </w:r>
          </w:p>
        </w:tc>
        <w:tc>
          <w:tcPr>
            <w:tcW w:w="1526" w:type="dxa"/>
            <w:tcMar>
              <w:left w:w="28" w:type="dxa"/>
              <w:right w:w="28" w:type="dxa"/>
            </w:tcMar>
            <w:vAlign w:val="center"/>
          </w:tcPr>
          <w:p w14:paraId="00E63DA0">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以新带老削减量</w:t>
            </w:r>
          </w:p>
          <w:p w14:paraId="1BD6E597">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（新建项目不填）</w:t>
            </w:r>
            <w:r>
              <w:rPr>
                <w:rFonts w:hint="eastAsia" w:ascii="Times New Roman" w:hAnsi="Times New Roman"/>
                <w:snapToGrid w:val="0"/>
                <w:color w:val="000000"/>
                <w:kern w:val="21"/>
                <w:sz w:val="21"/>
                <w:szCs w:val="21"/>
              </w:rPr>
              <w:fldChar w:fldCharType="begin"/>
            </w:r>
            <w:r>
              <w:rPr>
                <w:rFonts w:hint="eastAsia" w:ascii="Times New Roman" w:hAnsi="Times New Roman"/>
                <w:snapToGrid w:val="0"/>
                <w:color w:val="000000"/>
                <w:kern w:val="21"/>
                <w:sz w:val="21"/>
                <w:szCs w:val="21"/>
              </w:rPr>
              <w:instrText xml:space="preserve"> = 5 \* GB3 \* MERGEFORMAT </w:instrText>
            </w:r>
            <w:r>
              <w:rPr>
                <w:rFonts w:hint="eastAsia" w:ascii="Times New Roman" w:hAnsi="Times New Roman"/>
                <w:snapToGrid w:val="0"/>
                <w:color w:val="000000"/>
                <w:kern w:val="21"/>
                <w:sz w:val="21"/>
                <w:szCs w:val="21"/>
              </w:rPr>
              <w:fldChar w:fldCharType="separate"/>
            </w:r>
            <w:r>
              <w:rPr>
                <w:rFonts w:hint="eastAsia" w:ascii="Times New Roman" w:hAnsi="Times New Roman"/>
                <w:snapToGrid w:val="0"/>
                <w:color w:val="000000"/>
                <w:kern w:val="21"/>
                <w:sz w:val="21"/>
                <w:szCs w:val="21"/>
              </w:rPr>
              <w:t>⑤</w:t>
            </w:r>
            <w:r>
              <w:rPr>
                <w:rFonts w:hint="eastAsia" w:ascii="Times New Roman" w:hAnsi="Times New Roman"/>
                <w:snapToGrid w:val="0"/>
                <w:color w:val="000000"/>
                <w:kern w:val="21"/>
                <w:sz w:val="21"/>
                <w:szCs w:val="21"/>
              </w:rPr>
              <w:fldChar w:fldCharType="end"/>
            </w:r>
          </w:p>
        </w:tc>
        <w:tc>
          <w:tcPr>
            <w:tcW w:w="1752" w:type="dxa"/>
            <w:tcMar>
              <w:left w:w="28" w:type="dxa"/>
              <w:right w:w="28" w:type="dxa"/>
            </w:tcMar>
            <w:vAlign w:val="center"/>
          </w:tcPr>
          <w:p w14:paraId="1E3289C1">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本项目建成后</w:t>
            </w:r>
          </w:p>
          <w:p w14:paraId="13DB836D">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全厂排放量（固体废物产生量）</w:t>
            </w:r>
            <w:r>
              <w:rPr>
                <w:rFonts w:hint="eastAsia" w:ascii="Times New Roman" w:hAnsi="Times New Roman"/>
                <w:snapToGrid w:val="0"/>
                <w:color w:val="000000"/>
                <w:kern w:val="21"/>
                <w:sz w:val="21"/>
                <w:szCs w:val="21"/>
              </w:rPr>
              <w:fldChar w:fldCharType="begin"/>
            </w:r>
            <w:r>
              <w:rPr>
                <w:rFonts w:hint="eastAsia" w:ascii="Times New Roman" w:hAnsi="Times New Roman"/>
                <w:snapToGrid w:val="0"/>
                <w:color w:val="000000"/>
                <w:kern w:val="21"/>
                <w:sz w:val="21"/>
                <w:szCs w:val="21"/>
              </w:rPr>
              <w:instrText xml:space="preserve"> = 6 \* GB3 \* MERGEFORMAT </w:instrText>
            </w:r>
            <w:r>
              <w:rPr>
                <w:rFonts w:hint="eastAsia" w:ascii="Times New Roman" w:hAnsi="Times New Roman"/>
                <w:snapToGrid w:val="0"/>
                <w:color w:val="000000"/>
                <w:kern w:val="21"/>
                <w:sz w:val="21"/>
                <w:szCs w:val="21"/>
              </w:rPr>
              <w:fldChar w:fldCharType="separate"/>
            </w:r>
            <w:r>
              <w:rPr>
                <w:rFonts w:hint="eastAsia" w:ascii="Times New Roman" w:hAnsi="Times New Roman"/>
                <w:snapToGrid w:val="0"/>
                <w:color w:val="000000"/>
                <w:kern w:val="21"/>
                <w:sz w:val="21"/>
                <w:szCs w:val="21"/>
              </w:rPr>
              <w:t>⑥</w:t>
            </w:r>
            <w:r>
              <w:rPr>
                <w:rFonts w:hint="eastAsia" w:ascii="Times New Roman" w:hAnsi="Times New Roman"/>
                <w:snapToGrid w:val="0"/>
                <w:color w:val="000000"/>
                <w:kern w:val="21"/>
                <w:sz w:val="21"/>
                <w:szCs w:val="21"/>
              </w:rPr>
              <w:fldChar w:fldCharType="end"/>
            </w:r>
          </w:p>
        </w:tc>
        <w:tc>
          <w:tcPr>
            <w:tcW w:w="1205" w:type="dxa"/>
            <w:tcMar>
              <w:left w:w="28" w:type="dxa"/>
              <w:right w:w="28" w:type="dxa"/>
            </w:tcMar>
            <w:vAlign w:val="center"/>
          </w:tcPr>
          <w:p w14:paraId="674DA14F">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变化量</w:t>
            </w:r>
          </w:p>
          <w:p w14:paraId="28323871">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fldChar w:fldCharType="begin"/>
            </w:r>
            <w:r>
              <w:rPr>
                <w:rFonts w:hint="eastAsia" w:ascii="Times New Roman" w:hAnsi="Times New Roman"/>
                <w:snapToGrid w:val="0"/>
                <w:color w:val="000000"/>
                <w:kern w:val="21"/>
                <w:sz w:val="21"/>
                <w:szCs w:val="21"/>
              </w:rPr>
              <w:instrText xml:space="preserve"> = 7 \* GB3 \* MERGEFORMAT </w:instrText>
            </w:r>
            <w:r>
              <w:rPr>
                <w:rFonts w:hint="eastAsia" w:ascii="Times New Roman" w:hAnsi="Times New Roman"/>
                <w:snapToGrid w:val="0"/>
                <w:color w:val="000000"/>
                <w:kern w:val="21"/>
                <w:sz w:val="21"/>
                <w:szCs w:val="21"/>
              </w:rPr>
              <w:fldChar w:fldCharType="separate"/>
            </w:r>
            <w:r>
              <w:rPr>
                <w:rFonts w:hint="eastAsia" w:ascii="Times New Roman" w:hAnsi="Times New Roman"/>
                <w:snapToGrid w:val="0"/>
                <w:color w:val="000000"/>
                <w:kern w:val="21"/>
                <w:sz w:val="21"/>
                <w:szCs w:val="21"/>
              </w:rPr>
              <w:t>⑦</w:t>
            </w:r>
            <w:r>
              <w:rPr>
                <w:rFonts w:hint="eastAsia" w:ascii="Times New Roman" w:hAnsi="Times New Roman"/>
                <w:snapToGrid w:val="0"/>
                <w:color w:val="000000"/>
                <w:kern w:val="21"/>
                <w:sz w:val="21"/>
                <w:szCs w:val="21"/>
              </w:rPr>
              <w:fldChar w:fldCharType="end"/>
            </w:r>
          </w:p>
        </w:tc>
      </w:tr>
      <w:tr w14:paraId="2D985C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504" w:type="dxa"/>
            <w:vMerge w:val="restart"/>
            <w:vAlign w:val="center"/>
          </w:tcPr>
          <w:p w14:paraId="5C58E023">
            <w:pPr>
              <w:pStyle w:val="19"/>
              <w:spacing w:before="0" w:beforeAutospacing="0" w:after="0" w:afterAutospacing="0"/>
              <w:jc w:val="center"/>
              <w:outlineLvl w:val="0"/>
              <w:rPr>
                <w:rFonts w:hint="default" w:ascii="Times New Roman" w:hAnsi="Times New Roman"/>
                <w:snapToGrid w:val="0"/>
                <w:color w:val="000000"/>
                <w:kern w:val="21"/>
                <w:sz w:val="21"/>
                <w:szCs w:val="21"/>
                <w:lang w:val="en-US" w:eastAsia="zh-CN"/>
              </w:rPr>
            </w:pPr>
            <w:r>
              <w:rPr>
                <w:rFonts w:hint="eastAsia" w:ascii="Times New Roman" w:hAnsi="Times New Roman"/>
                <w:snapToGrid w:val="0"/>
                <w:color w:val="000000"/>
                <w:kern w:val="21"/>
                <w:sz w:val="21"/>
                <w:szCs w:val="21"/>
                <w:lang w:val="en-US" w:eastAsia="zh-CN"/>
              </w:rPr>
              <w:t>废气</w:t>
            </w:r>
          </w:p>
        </w:tc>
        <w:tc>
          <w:tcPr>
            <w:tcW w:w="1342" w:type="dxa"/>
            <w:shd w:val="clear" w:color="auto" w:fill="auto"/>
            <w:vAlign w:val="center"/>
          </w:tcPr>
          <w:p w14:paraId="78A64586">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sz w:val="21"/>
                <w:szCs w:val="21"/>
                <w:lang w:val="en-US" w:eastAsia="zh-CN"/>
              </w:rPr>
              <w:t>二氧化硫</w:t>
            </w:r>
          </w:p>
        </w:tc>
        <w:tc>
          <w:tcPr>
            <w:tcW w:w="1611" w:type="dxa"/>
            <w:shd w:val="clear" w:color="auto" w:fill="auto"/>
            <w:vAlign w:val="center"/>
          </w:tcPr>
          <w:p w14:paraId="68DCF2D0">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sz w:val="21"/>
                <w:szCs w:val="21"/>
                <w:lang w:val="en-US" w:eastAsia="zh-CN"/>
              </w:rPr>
              <w:t>97.04</w:t>
            </w:r>
            <w:r>
              <w:rPr>
                <w:rFonts w:hint="eastAsia" w:ascii="Times New Roman" w:hAnsi="Times New Roman"/>
                <w:snapToGrid w:val="0"/>
                <w:color w:val="000000"/>
                <w:kern w:val="21"/>
                <w:sz w:val="21"/>
                <w:szCs w:val="21"/>
              </w:rPr>
              <w:t>t/a</w:t>
            </w:r>
          </w:p>
        </w:tc>
        <w:tc>
          <w:tcPr>
            <w:tcW w:w="1208" w:type="dxa"/>
            <w:shd w:val="clear" w:color="auto" w:fill="auto"/>
            <w:vAlign w:val="center"/>
          </w:tcPr>
          <w:p w14:paraId="09052794">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611" w:type="dxa"/>
            <w:shd w:val="clear" w:color="auto" w:fill="auto"/>
            <w:vAlign w:val="center"/>
          </w:tcPr>
          <w:p w14:paraId="7482CD08">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477" w:type="dxa"/>
            <w:shd w:val="clear" w:color="auto" w:fill="auto"/>
            <w:vAlign w:val="center"/>
          </w:tcPr>
          <w:p w14:paraId="32B56734">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lang w:val="en-US" w:eastAsia="zh-CN"/>
              </w:rPr>
              <w:t>0</w:t>
            </w:r>
          </w:p>
        </w:tc>
        <w:tc>
          <w:tcPr>
            <w:tcW w:w="1526" w:type="dxa"/>
            <w:shd w:val="clear" w:color="auto" w:fill="auto"/>
            <w:vAlign w:val="center"/>
          </w:tcPr>
          <w:p w14:paraId="55F45629">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sz w:val="21"/>
                <w:szCs w:val="21"/>
              </w:rPr>
              <w:t>0</w:t>
            </w:r>
          </w:p>
        </w:tc>
        <w:tc>
          <w:tcPr>
            <w:tcW w:w="1752" w:type="dxa"/>
            <w:shd w:val="clear" w:color="auto" w:fill="auto"/>
            <w:vAlign w:val="center"/>
          </w:tcPr>
          <w:p w14:paraId="3D841848">
            <w:pPr>
              <w:pStyle w:val="19"/>
              <w:spacing w:before="0" w:beforeAutospacing="0" w:after="0" w:afterAutospacing="0"/>
              <w:jc w:val="center"/>
              <w:outlineLvl w:val="0"/>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snapToGrid w:val="0"/>
                <w:sz w:val="21"/>
                <w:szCs w:val="21"/>
                <w:lang w:val="en-US" w:eastAsia="zh-CN"/>
              </w:rPr>
              <w:t>97.04</w:t>
            </w:r>
            <w:r>
              <w:rPr>
                <w:rFonts w:hint="eastAsia" w:ascii="Times New Roman" w:hAnsi="Times New Roman"/>
                <w:snapToGrid w:val="0"/>
                <w:color w:val="000000"/>
                <w:kern w:val="21"/>
                <w:sz w:val="21"/>
                <w:szCs w:val="21"/>
              </w:rPr>
              <w:t>t/a</w:t>
            </w:r>
          </w:p>
        </w:tc>
        <w:tc>
          <w:tcPr>
            <w:tcW w:w="1205" w:type="dxa"/>
            <w:shd w:val="clear" w:color="auto" w:fill="auto"/>
            <w:vAlign w:val="center"/>
          </w:tcPr>
          <w:p w14:paraId="06D51B85">
            <w:pPr>
              <w:pStyle w:val="19"/>
              <w:spacing w:before="0" w:beforeAutospacing="0" w:after="0" w:afterAutospacing="0"/>
              <w:jc w:val="center"/>
              <w:outlineLvl w:val="0"/>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snapToGrid w:val="0"/>
                <w:sz w:val="21"/>
                <w:szCs w:val="21"/>
              </w:rPr>
              <w:t>0</w:t>
            </w:r>
          </w:p>
        </w:tc>
      </w:tr>
      <w:tr w14:paraId="357E26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504" w:type="dxa"/>
            <w:vMerge w:val="continue"/>
            <w:vAlign w:val="center"/>
          </w:tcPr>
          <w:p w14:paraId="64E17E7D">
            <w:pPr>
              <w:pStyle w:val="19"/>
              <w:spacing w:before="0" w:beforeAutospacing="0" w:after="0" w:afterAutospacing="0"/>
              <w:jc w:val="center"/>
              <w:outlineLvl w:val="0"/>
              <w:rPr>
                <w:rFonts w:hint="eastAsia" w:ascii="Times New Roman" w:hAnsi="Times New Roman"/>
                <w:snapToGrid w:val="0"/>
                <w:color w:val="000000"/>
                <w:kern w:val="21"/>
                <w:sz w:val="21"/>
                <w:szCs w:val="21"/>
                <w:lang w:val="en-US" w:eastAsia="zh-CN"/>
              </w:rPr>
            </w:pPr>
          </w:p>
        </w:tc>
        <w:tc>
          <w:tcPr>
            <w:tcW w:w="1342" w:type="dxa"/>
            <w:shd w:val="clear" w:color="auto" w:fill="auto"/>
            <w:vAlign w:val="center"/>
          </w:tcPr>
          <w:p w14:paraId="5E24DB55">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sz w:val="21"/>
                <w:szCs w:val="21"/>
                <w:lang w:val="en-US" w:eastAsia="zh-CN"/>
              </w:rPr>
              <w:t>氮氧化物</w:t>
            </w:r>
          </w:p>
        </w:tc>
        <w:tc>
          <w:tcPr>
            <w:tcW w:w="1611" w:type="dxa"/>
            <w:shd w:val="clear" w:color="auto" w:fill="auto"/>
            <w:vAlign w:val="center"/>
          </w:tcPr>
          <w:p w14:paraId="2F526C36">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sz w:val="21"/>
                <w:szCs w:val="21"/>
                <w:lang w:val="en-US" w:eastAsia="zh-CN"/>
              </w:rPr>
              <w:t>191.53</w:t>
            </w:r>
            <w:r>
              <w:rPr>
                <w:rFonts w:hint="eastAsia" w:ascii="Times New Roman" w:hAnsi="Times New Roman"/>
                <w:snapToGrid w:val="0"/>
                <w:color w:val="000000"/>
                <w:kern w:val="21"/>
                <w:sz w:val="21"/>
                <w:szCs w:val="21"/>
              </w:rPr>
              <w:t>t/a</w:t>
            </w:r>
          </w:p>
        </w:tc>
        <w:tc>
          <w:tcPr>
            <w:tcW w:w="1208" w:type="dxa"/>
            <w:shd w:val="clear" w:color="auto" w:fill="auto"/>
            <w:vAlign w:val="center"/>
          </w:tcPr>
          <w:p w14:paraId="7B0FEA55">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611" w:type="dxa"/>
            <w:shd w:val="clear" w:color="auto" w:fill="auto"/>
            <w:vAlign w:val="center"/>
          </w:tcPr>
          <w:p w14:paraId="539E3681">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477" w:type="dxa"/>
            <w:shd w:val="clear" w:color="auto" w:fill="auto"/>
            <w:vAlign w:val="center"/>
          </w:tcPr>
          <w:p w14:paraId="6F385E37">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lang w:val="en-US" w:eastAsia="zh-CN"/>
              </w:rPr>
              <w:t>0</w:t>
            </w:r>
          </w:p>
        </w:tc>
        <w:tc>
          <w:tcPr>
            <w:tcW w:w="1526" w:type="dxa"/>
            <w:shd w:val="clear" w:color="auto" w:fill="auto"/>
            <w:vAlign w:val="center"/>
          </w:tcPr>
          <w:p w14:paraId="379FE90A">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sz w:val="21"/>
                <w:szCs w:val="21"/>
              </w:rPr>
              <w:t>0</w:t>
            </w:r>
          </w:p>
        </w:tc>
        <w:tc>
          <w:tcPr>
            <w:tcW w:w="1752" w:type="dxa"/>
            <w:shd w:val="clear" w:color="auto" w:fill="auto"/>
            <w:vAlign w:val="center"/>
          </w:tcPr>
          <w:p w14:paraId="56891955">
            <w:pPr>
              <w:pStyle w:val="19"/>
              <w:spacing w:before="0" w:beforeAutospacing="0" w:after="0" w:afterAutospacing="0"/>
              <w:jc w:val="center"/>
              <w:outlineLvl w:val="0"/>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snapToGrid w:val="0"/>
                <w:sz w:val="21"/>
                <w:szCs w:val="21"/>
                <w:lang w:val="en-US" w:eastAsia="zh-CN"/>
              </w:rPr>
              <w:t>191.53</w:t>
            </w:r>
            <w:r>
              <w:rPr>
                <w:rFonts w:hint="eastAsia" w:ascii="Times New Roman" w:hAnsi="Times New Roman"/>
                <w:snapToGrid w:val="0"/>
                <w:color w:val="000000"/>
                <w:kern w:val="21"/>
                <w:sz w:val="21"/>
                <w:szCs w:val="21"/>
              </w:rPr>
              <w:t>t/a</w:t>
            </w:r>
          </w:p>
        </w:tc>
        <w:tc>
          <w:tcPr>
            <w:tcW w:w="1205" w:type="dxa"/>
            <w:shd w:val="clear" w:color="auto" w:fill="auto"/>
            <w:vAlign w:val="center"/>
          </w:tcPr>
          <w:p w14:paraId="4615B833">
            <w:pPr>
              <w:pStyle w:val="19"/>
              <w:spacing w:before="0" w:beforeAutospacing="0" w:after="0" w:afterAutospacing="0"/>
              <w:jc w:val="center"/>
              <w:outlineLvl w:val="0"/>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snapToGrid w:val="0"/>
                <w:sz w:val="21"/>
                <w:szCs w:val="21"/>
              </w:rPr>
              <w:t>0</w:t>
            </w:r>
          </w:p>
        </w:tc>
      </w:tr>
      <w:tr w14:paraId="040EA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504" w:type="dxa"/>
            <w:vMerge w:val="continue"/>
            <w:vAlign w:val="center"/>
          </w:tcPr>
          <w:p w14:paraId="03A98C08">
            <w:pPr>
              <w:pStyle w:val="19"/>
              <w:spacing w:before="0" w:beforeAutospacing="0" w:after="0" w:afterAutospacing="0"/>
              <w:jc w:val="center"/>
              <w:outlineLvl w:val="0"/>
              <w:rPr>
                <w:rFonts w:hint="eastAsia" w:ascii="Times New Roman" w:hAnsi="Times New Roman"/>
                <w:snapToGrid w:val="0"/>
                <w:color w:val="000000"/>
                <w:kern w:val="21"/>
                <w:sz w:val="21"/>
                <w:szCs w:val="21"/>
                <w:lang w:val="en-US" w:eastAsia="zh-CN"/>
              </w:rPr>
            </w:pPr>
          </w:p>
        </w:tc>
        <w:tc>
          <w:tcPr>
            <w:tcW w:w="1342" w:type="dxa"/>
            <w:shd w:val="clear" w:color="auto" w:fill="auto"/>
            <w:vAlign w:val="center"/>
          </w:tcPr>
          <w:p w14:paraId="1E365596">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sz w:val="21"/>
                <w:szCs w:val="21"/>
                <w:lang w:val="en-US" w:eastAsia="zh-CN"/>
              </w:rPr>
              <w:t>烟尘</w:t>
            </w:r>
          </w:p>
        </w:tc>
        <w:tc>
          <w:tcPr>
            <w:tcW w:w="1611" w:type="dxa"/>
            <w:shd w:val="clear" w:color="auto" w:fill="auto"/>
            <w:vAlign w:val="center"/>
          </w:tcPr>
          <w:p w14:paraId="286AC543">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sz w:val="21"/>
                <w:szCs w:val="21"/>
                <w:lang w:val="en-US" w:eastAsia="zh-CN"/>
              </w:rPr>
              <w:t>40.71</w:t>
            </w:r>
            <w:r>
              <w:rPr>
                <w:rFonts w:hint="eastAsia" w:ascii="Times New Roman" w:hAnsi="Times New Roman"/>
                <w:snapToGrid w:val="0"/>
                <w:color w:val="000000"/>
                <w:kern w:val="21"/>
                <w:sz w:val="21"/>
                <w:szCs w:val="21"/>
              </w:rPr>
              <w:t>t/a</w:t>
            </w:r>
          </w:p>
        </w:tc>
        <w:tc>
          <w:tcPr>
            <w:tcW w:w="1208" w:type="dxa"/>
            <w:shd w:val="clear" w:color="auto" w:fill="auto"/>
            <w:vAlign w:val="center"/>
          </w:tcPr>
          <w:p w14:paraId="00367E46">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611" w:type="dxa"/>
            <w:shd w:val="clear" w:color="auto" w:fill="auto"/>
            <w:vAlign w:val="center"/>
          </w:tcPr>
          <w:p w14:paraId="592A25E3">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477" w:type="dxa"/>
            <w:shd w:val="clear" w:color="auto" w:fill="auto"/>
            <w:vAlign w:val="center"/>
          </w:tcPr>
          <w:p w14:paraId="6565BD6D">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lang w:val="en-US" w:eastAsia="zh-CN"/>
              </w:rPr>
              <w:t>0</w:t>
            </w:r>
          </w:p>
        </w:tc>
        <w:tc>
          <w:tcPr>
            <w:tcW w:w="1526" w:type="dxa"/>
            <w:shd w:val="clear" w:color="auto" w:fill="auto"/>
            <w:vAlign w:val="center"/>
          </w:tcPr>
          <w:p w14:paraId="79FCE065">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sz w:val="21"/>
                <w:szCs w:val="21"/>
              </w:rPr>
              <w:t>0</w:t>
            </w:r>
          </w:p>
        </w:tc>
        <w:tc>
          <w:tcPr>
            <w:tcW w:w="1752" w:type="dxa"/>
            <w:shd w:val="clear" w:color="auto" w:fill="auto"/>
            <w:vAlign w:val="center"/>
          </w:tcPr>
          <w:p w14:paraId="1BAD10D1">
            <w:pPr>
              <w:pStyle w:val="19"/>
              <w:spacing w:before="0" w:beforeAutospacing="0" w:after="0" w:afterAutospacing="0"/>
              <w:jc w:val="center"/>
              <w:outlineLvl w:val="0"/>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snapToGrid w:val="0"/>
                <w:sz w:val="21"/>
                <w:szCs w:val="21"/>
                <w:lang w:val="en-US" w:eastAsia="zh-CN"/>
              </w:rPr>
              <w:t>40.71</w:t>
            </w:r>
            <w:r>
              <w:rPr>
                <w:rFonts w:hint="eastAsia" w:ascii="Times New Roman" w:hAnsi="Times New Roman"/>
                <w:snapToGrid w:val="0"/>
                <w:color w:val="000000"/>
                <w:kern w:val="21"/>
                <w:sz w:val="21"/>
                <w:szCs w:val="21"/>
              </w:rPr>
              <w:t>t/a</w:t>
            </w:r>
          </w:p>
        </w:tc>
        <w:tc>
          <w:tcPr>
            <w:tcW w:w="1205" w:type="dxa"/>
            <w:shd w:val="clear" w:color="auto" w:fill="auto"/>
            <w:vAlign w:val="center"/>
          </w:tcPr>
          <w:p w14:paraId="1880256C">
            <w:pPr>
              <w:pStyle w:val="19"/>
              <w:spacing w:before="0" w:beforeAutospacing="0" w:after="0" w:afterAutospacing="0"/>
              <w:jc w:val="center"/>
              <w:outlineLvl w:val="0"/>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snapToGrid w:val="0"/>
                <w:sz w:val="21"/>
                <w:szCs w:val="21"/>
              </w:rPr>
              <w:t>0</w:t>
            </w:r>
          </w:p>
        </w:tc>
      </w:tr>
      <w:tr w14:paraId="66E1EB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504" w:type="dxa"/>
            <w:vMerge w:val="continue"/>
            <w:vAlign w:val="center"/>
          </w:tcPr>
          <w:p w14:paraId="2A37038B">
            <w:pPr>
              <w:pStyle w:val="19"/>
              <w:spacing w:before="0" w:beforeAutospacing="0" w:after="0" w:afterAutospacing="0"/>
              <w:jc w:val="center"/>
              <w:outlineLvl w:val="0"/>
              <w:rPr>
                <w:rFonts w:hint="eastAsia" w:ascii="Times New Roman" w:hAnsi="Times New Roman"/>
                <w:snapToGrid w:val="0"/>
                <w:color w:val="000000"/>
                <w:kern w:val="21"/>
                <w:sz w:val="21"/>
                <w:szCs w:val="21"/>
                <w:lang w:val="en-US" w:eastAsia="zh-CN"/>
              </w:rPr>
            </w:pPr>
          </w:p>
        </w:tc>
        <w:tc>
          <w:tcPr>
            <w:tcW w:w="1342" w:type="dxa"/>
            <w:shd w:val="clear" w:color="auto" w:fill="auto"/>
            <w:vAlign w:val="center"/>
          </w:tcPr>
          <w:p w14:paraId="3BD595AB">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sz w:val="21"/>
                <w:szCs w:val="21"/>
                <w:lang w:val="en-US" w:eastAsia="zh-CN"/>
              </w:rPr>
              <w:t>颗粒物</w:t>
            </w:r>
          </w:p>
        </w:tc>
        <w:tc>
          <w:tcPr>
            <w:tcW w:w="1611" w:type="dxa"/>
            <w:shd w:val="clear" w:color="auto" w:fill="auto"/>
            <w:vAlign w:val="center"/>
          </w:tcPr>
          <w:p w14:paraId="33860E59">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sz w:val="21"/>
                <w:szCs w:val="21"/>
                <w:lang w:val="en-US" w:eastAsia="zh-CN"/>
              </w:rPr>
              <w:t>16.73</w:t>
            </w:r>
            <w:r>
              <w:rPr>
                <w:rFonts w:hint="eastAsia" w:ascii="Times New Roman" w:hAnsi="Times New Roman"/>
                <w:snapToGrid w:val="0"/>
                <w:color w:val="000000"/>
                <w:kern w:val="21"/>
                <w:sz w:val="21"/>
                <w:szCs w:val="21"/>
              </w:rPr>
              <w:t>t/a</w:t>
            </w:r>
          </w:p>
        </w:tc>
        <w:tc>
          <w:tcPr>
            <w:tcW w:w="1208" w:type="dxa"/>
            <w:shd w:val="clear" w:color="auto" w:fill="auto"/>
            <w:vAlign w:val="center"/>
          </w:tcPr>
          <w:p w14:paraId="3BEF4010">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c>
          <w:tcPr>
            <w:tcW w:w="1611" w:type="dxa"/>
            <w:shd w:val="clear" w:color="auto" w:fill="auto"/>
            <w:vAlign w:val="center"/>
          </w:tcPr>
          <w:p w14:paraId="4FF6099E">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c>
          <w:tcPr>
            <w:tcW w:w="1477" w:type="dxa"/>
            <w:vAlign w:val="center"/>
          </w:tcPr>
          <w:p w14:paraId="1E1FD92D">
            <w:pPr>
              <w:jc w:val="center"/>
              <w:outlineLvl w:val="0"/>
              <w:rPr>
                <w:rFonts w:hint="default"/>
                <w:snapToGrid w:val="0"/>
                <w:color w:val="000000"/>
                <w:kern w:val="21"/>
                <w:szCs w:val="21"/>
                <w:lang w:val="en-US" w:eastAsia="zh-CN"/>
              </w:rPr>
            </w:pPr>
            <w:r>
              <w:rPr>
                <w:rFonts w:hint="eastAsia"/>
                <w:snapToGrid w:val="0"/>
                <w:color w:val="000000"/>
                <w:kern w:val="21"/>
                <w:szCs w:val="21"/>
                <w:lang w:val="en-US" w:eastAsia="zh-CN"/>
              </w:rPr>
              <w:t>2.86836</w:t>
            </w:r>
            <w:r>
              <w:rPr>
                <w:rFonts w:hint="eastAsia" w:ascii="Times New Roman" w:hAnsi="Times New Roman"/>
                <w:snapToGrid w:val="0"/>
                <w:color w:val="000000"/>
                <w:kern w:val="21"/>
                <w:sz w:val="21"/>
                <w:szCs w:val="21"/>
              </w:rPr>
              <w:t>t/a</w:t>
            </w:r>
          </w:p>
        </w:tc>
        <w:tc>
          <w:tcPr>
            <w:tcW w:w="1526" w:type="dxa"/>
            <w:shd w:val="clear" w:color="auto" w:fill="auto"/>
            <w:vAlign w:val="center"/>
          </w:tcPr>
          <w:p w14:paraId="01FFB8DB">
            <w:pPr>
              <w:pStyle w:val="19"/>
              <w:spacing w:before="0" w:beforeAutospacing="0" w:after="0" w:afterAutospacing="0"/>
              <w:jc w:val="center"/>
              <w:outlineLvl w:val="0"/>
              <w:rPr>
                <w:rFonts w:hint="eastAsia" w:ascii="Times New Roman" w:hAnsi="Times New Roman" w:eastAsia="宋体"/>
                <w:snapToGrid w:val="0"/>
                <w:color w:val="000000"/>
                <w:kern w:val="21"/>
                <w:sz w:val="21"/>
                <w:szCs w:val="21"/>
                <w:lang w:val="en-US" w:eastAsia="zh-CN"/>
              </w:rPr>
            </w:pPr>
            <w:r>
              <w:rPr>
                <w:rFonts w:hint="eastAsia" w:ascii="Times New Roman" w:hAnsi="Times New Roman"/>
                <w:snapToGrid w:val="0"/>
                <w:color w:val="000000"/>
                <w:kern w:val="21"/>
                <w:sz w:val="21"/>
                <w:szCs w:val="21"/>
                <w:lang w:val="en-US" w:eastAsia="zh-CN"/>
              </w:rPr>
              <w:t>0</w:t>
            </w:r>
          </w:p>
        </w:tc>
        <w:tc>
          <w:tcPr>
            <w:tcW w:w="1752" w:type="dxa"/>
            <w:shd w:val="clear" w:color="auto" w:fill="auto"/>
            <w:vAlign w:val="center"/>
          </w:tcPr>
          <w:p w14:paraId="3C2B3F93">
            <w:pPr>
              <w:jc w:val="center"/>
              <w:outlineLvl w:val="0"/>
              <w:rPr>
                <w:rFonts w:hint="default"/>
                <w:snapToGrid w:val="0"/>
                <w:color w:val="000000"/>
                <w:kern w:val="21"/>
                <w:szCs w:val="21"/>
                <w:lang w:val="en-US" w:eastAsia="zh-CN"/>
              </w:rPr>
            </w:pPr>
            <w:r>
              <w:rPr>
                <w:rFonts w:hint="eastAsia"/>
                <w:snapToGrid w:val="0"/>
                <w:color w:val="000000"/>
                <w:kern w:val="21"/>
                <w:szCs w:val="21"/>
                <w:lang w:val="en-US" w:eastAsia="zh-CN"/>
              </w:rPr>
              <w:t>19.59836</w:t>
            </w:r>
            <w:r>
              <w:rPr>
                <w:rFonts w:hint="eastAsia" w:ascii="Times New Roman" w:hAnsi="Times New Roman"/>
                <w:snapToGrid w:val="0"/>
                <w:color w:val="000000"/>
                <w:kern w:val="21"/>
                <w:sz w:val="21"/>
                <w:szCs w:val="21"/>
              </w:rPr>
              <w:t>t/a</w:t>
            </w:r>
          </w:p>
        </w:tc>
        <w:tc>
          <w:tcPr>
            <w:tcW w:w="1205" w:type="dxa"/>
            <w:shd w:val="clear" w:color="auto" w:fill="auto"/>
            <w:vAlign w:val="center"/>
          </w:tcPr>
          <w:p w14:paraId="1DF88959">
            <w:pPr>
              <w:jc w:val="center"/>
              <w:outlineLvl w:val="0"/>
              <w:rPr>
                <w:rFonts w:hint="eastAsia"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+2.86836t/a</w:t>
            </w:r>
          </w:p>
        </w:tc>
      </w:tr>
      <w:tr w14:paraId="76AFB0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504" w:type="dxa"/>
            <w:vMerge w:val="restart"/>
            <w:vAlign w:val="center"/>
          </w:tcPr>
          <w:p w14:paraId="26C6F14D">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废水</w:t>
            </w:r>
          </w:p>
        </w:tc>
        <w:tc>
          <w:tcPr>
            <w:tcW w:w="1342" w:type="dxa"/>
            <w:vAlign w:val="center"/>
          </w:tcPr>
          <w:p w14:paraId="3923E80C">
            <w:pPr>
              <w:pStyle w:val="19"/>
              <w:spacing w:before="0" w:beforeAutospacing="0" w:after="0" w:afterAutospacing="0"/>
              <w:jc w:val="center"/>
              <w:outlineLvl w:val="0"/>
              <w:rPr>
                <w:rFonts w:ascii="Times New Roman" w:hAnsi="Times New Roman"/>
                <w:snapToGrid w:val="0"/>
                <w:color w:val="000000"/>
                <w:kern w:val="21"/>
                <w:sz w:val="21"/>
                <w:szCs w:val="21"/>
              </w:rPr>
            </w:pPr>
            <w:bookmarkStart w:id="13" w:name="_Toc20600"/>
            <w:r>
              <w:rPr>
                <w:rFonts w:hint="eastAsia" w:ascii="Times New Roman" w:hAnsi="Times New Roman"/>
                <w:snapToGrid w:val="0"/>
                <w:color w:val="000000"/>
                <w:kern w:val="21"/>
                <w:sz w:val="21"/>
                <w:szCs w:val="21"/>
              </w:rPr>
              <w:t>CODcr</w:t>
            </w:r>
            <w:bookmarkEnd w:id="13"/>
          </w:p>
        </w:tc>
        <w:tc>
          <w:tcPr>
            <w:tcW w:w="1611" w:type="dxa"/>
            <w:shd w:val="clear" w:color="auto" w:fill="auto"/>
            <w:vAlign w:val="center"/>
          </w:tcPr>
          <w:p w14:paraId="3189DC5E">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208" w:type="dxa"/>
            <w:shd w:val="clear" w:color="auto" w:fill="auto"/>
            <w:vAlign w:val="center"/>
          </w:tcPr>
          <w:p w14:paraId="10D7CAFB">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611" w:type="dxa"/>
            <w:shd w:val="clear" w:color="auto" w:fill="auto"/>
            <w:vAlign w:val="center"/>
          </w:tcPr>
          <w:p w14:paraId="4192C7F0">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477" w:type="dxa"/>
            <w:vAlign w:val="center"/>
          </w:tcPr>
          <w:p w14:paraId="370D2A57">
            <w:pPr>
              <w:jc w:val="center"/>
              <w:outlineLvl w:val="0"/>
              <w:rPr>
                <w:rFonts w:ascii="Times New Roman" w:hAnsi="Times New Roman"/>
                <w:bCs/>
                <w:sz w:val="21"/>
                <w:szCs w:val="21"/>
              </w:rPr>
            </w:pPr>
            <w:r>
              <w:rPr>
                <w:rFonts w:hint="eastAsia"/>
                <w:snapToGrid w:val="0"/>
                <w:color w:val="000000"/>
                <w:kern w:val="21"/>
                <w:szCs w:val="21"/>
              </w:rPr>
              <w:t>/</w:t>
            </w:r>
          </w:p>
        </w:tc>
        <w:tc>
          <w:tcPr>
            <w:tcW w:w="1526" w:type="dxa"/>
            <w:shd w:val="clear" w:color="auto" w:fill="auto"/>
            <w:vAlign w:val="center"/>
          </w:tcPr>
          <w:p w14:paraId="0F1E1184">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752" w:type="dxa"/>
            <w:vAlign w:val="center"/>
          </w:tcPr>
          <w:p w14:paraId="0F92BA7D">
            <w:pPr>
              <w:jc w:val="center"/>
              <w:outlineLvl w:val="0"/>
              <w:rPr>
                <w:rFonts w:ascii="Times New Roman" w:hAnsi="Times New Roman"/>
                <w:bCs/>
                <w:sz w:val="21"/>
                <w:szCs w:val="21"/>
              </w:rPr>
            </w:pPr>
            <w:r>
              <w:rPr>
                <w:rFonts w:hint="eastAsia"/>
                <w:snapToGrid w:val="0"/>
                <w:color w:val="000000"/>
                <w:kern w:val="21"/>
                <w:szCs w:val="21"/>
              </w:rPr>
              <w:t>/</w:t>
            </w:r>
          </w:p>
        </w:tc>
        <w:tc>
          <w:tcPr>
            <w:tcW w:w="1205" w:type="dxa"/>
            <w:shd w:val="clear" w:color="auto" w:fill="auto"/>
            <w:vAlign w:val="center"/>
          </w:tcPr>
          <w:p w14:paraId="0B091678">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r>
      <w:tr w14:paraId="5443D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504" w:type="dxa"/>
            <w:vMerge w:val="continue"/>
            <w:vAlign w:val="center"/>
          </w:tcPr>
          <w:p w14:paraId="4D21F69D">
            <w:pPr>
              <w:pStyle w:val="19"/>
              <w:spacing w:before="0" w:beforeAutospacing="0" w:after="0" w:afterAutospacing="0"/>
              <w:jc w:val="center"/>
              <w:outlineLvl w:val="0"/>
              <w:rPr>
                <w:rFonts w:ascii="Times New Roman" w:hAnsi="Times New Roman"/>
                <w:snapToGrid w:val="0"/>
                <w:color w:val="000000"/>
                <w:kern w:val="21"/>
                <w:sz w:val="21"/>
                <w:szCs w:val="21"/>
              </w:rPr>
            </w:pPr>
          </w:p>
        </w:tc>
        <w:tc>
          <w:tcPr>
            <w:tcW w:w="1342" w:type="dxa"/>
            <w:vAlign w:val="center"/>
          </w:tcPr>
          <w:p w14:paraId="2AFED282">
            <w:pPr>
              <w:pStyle w:val="19"/>
              <w:spacing w:before="0" w:beforeAutospacing="0" w:after="0" w:afterAutospacing="0"/>
              <w:jc w:val="center"/>
              <w:outlineLvl w:val="0"/>
              <w:rPr>
                <w:rFonts w:ascii="Times New Roman" w:hAnsi="Times New Roman"/>
                <w:snapToGrid w:val="0"/>
                <w:color w:val="000000"/>
                <w:kern w:val="21"/>
                <w:sz w:val="21"/>
                <w:szCs w:val="21"/>
              </w:rPr>
            </w:pPr>
            <w:bookmarkStart w:id="14" w:name="_Toc6923"/>
            <w:r>
              <w:rPr>
                <w:rFonts w:hint="eastAsia" w:ascii="Times New Roman" w:hAnsi="Times New Roman"/>
                <w:snapToGrid w:val="0"/>
                <w:color w:val="000000"/>
                <w:kern w:val="21"/>
                <w:sz w:val="21"/>
                <w:szCs w:val="21"/>
              </w:rPr>
              <w:t>BOD5</w:t>
            </w:r>
            <w:bookmarkEnd w:id="14"/>
          </w:p>
        </w:tc>
        <w:tc>
          <w:tcPr>
            <w:tcW w:w="1611" w:type="dxa"/>
            <w:shd w:val="clear" w:color="auto" w:fill="auto"/>
            <w:vAlign w:val="center"/>
          </w:tcPr>
          <w:p w14:paraId="0CDE872B">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c>
          <w:tcPr>
            <w:tcW w:w="1208" w:type="dxa"/>
            <w:shd w:val="clear" w:color="auto" w:fill="auto"/>
            <w:vAlign w:val="center"/>
          </w:tcPr>
          <w:p w14:paraId="4FF42A1A">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c>
          <w:tcPr>
            <w:tcW w:w="1611" w:type="dxa"/>
            <w:shd w:val="clear" w:color="auto" w:fill="auto"/>
            <w:vAlign w:val="center"/>
          </w:tcPr>
          <w:p w14:paraId="65000B19">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c>
          <w:tcPr>
            <w:tcW w:w="1477" w:type="dxa"/>
            <w:vAlign w:val="center"/>
          </w:tcPr>
          <w:p w14:paraId="4DB6AE40">
            <w:pPr>
              <w:jc w:val="center"/>
              <w:outlineLvl w:val="0"/>
              <w:rPr>
                <w:rFonts w:ascii="Times New Roman" w:hAnsi="Times New Roman"/>
                <w:bCs/>
                <w:sz w:val="21"/>
                <w:szCs w:val="21"/>
              </w:rPr>
            </w:pPr>
            <w:r>
              <w:rPr>
                <w:rFonts w:hint="eastAsia"/>
                <w:snapToGrid w:val="0"/>
                <w:color w:val="000000"/>
                <w:kern w:val="21"/>
                <w:szCs w:val="21"/>
              </w:rPr>
              <w:t>/</w:t>
            </w:r>
          </w:p>
        </w:tc>
        <w:tc>
          <w:tcPr>
            <w:tcW w:w="1526" w:type="dxa"/>
            <w:shd w:val="clear" w:color="auto" w:fill="auto"/>
            <w:vAlign w:val="center"/>
          </w:tcPr>
          <w:p w14:paraId="7447A3DD">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c>
          <w:tcPr>
            <w:tcW w:w="1752" w:type="dxa"/>
            <w:vAlign w:val="center"/>
          </w:tcPr>
          <w:p w14:paraId="7B665496">
            <w:pPr>
              <w:jc w:val="center"/>
              <w:outlineLvl w:val="0"/>
              <w:rPr>
                <w:rFonts w:ascii="Times New Roman" w:hAnsi="Times New Roman"/>
                <w:bCs/>
                <w:sz w:val="21"/>
                <w:szCs w:val="21"/>
              </w:rPr>
            </w:pPr>
            <w:r>
              <w:rPr>
                <w:rFonts w:hint="eastAsia"/>
                <w:snapToGrid w:val="0"/>
                <w:color w:val="000000"/>
                <w:kern w:val="21"/>
                <w:szCs w:val="21"/>
              </w:rPr>
              <w:t>/</w:t>
            </w:r>
          </w:p>
        </w:tc>
        <w:tc>
          <w:tcPr>
            <w:tcW w:w="1205" w:type="dxa"/>
            <w:shd w:val="clear" w:color="auto" w:fill="auto"/>
            <w:vAlign w:val="center"/>
          </w:tcPr>
          <w:p w14:paraId="1FC7EFB6">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r>
      <w:tr w14:paraId="1A7E39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504" w:type="dxa"/>
            <w:vMerge w:val="continue"/>
            <w:vAlign w:val="center"/>
          </w:tcPr>
          <w:p w14:paraId="4AB3165F">
            <w:pPr>
              <w:pStyle w:val="19"/>
              <w:spacing w:before="0" w:beforeAutospacing="0" w:after="0" w:afterAutospacing="0"/>
              <w:jc w:val="center"/>
              <w:outlineLvl w:val="0"/>
              <w:rPr>
                <w:rFonts w:ascii="Times New Roman" w:hAnsi="Times New Roman"/>
                <w:snapToGrid w:val="0"/>
                <w:color w:val="000000"/>
                <w:kern w:val="21"/>
                <w:sz w:val="21"/>
                <w:szCs w:val="21"/>
              </w:rPr>
            </w:pPr>
          </w:p>
        </w:tc>
        <w:tc>
          <w:tcPr>
            <w:tcW w:w="1342" w:type="dxa"/>
            <w:vAlign w:val="center"/>
          </w:tcPr>
          <w:p w14:paraId="536E066A">
            <w:pPr>
              <w:pStyle w:val="19"/>
              <w:spacing w:before="0" w:beforeAutospacing="0" w:after="0" w:afterAutospacing="0"/>
              <w:jc w:val="center"/>
              <w:outlineLvl w:val="0"/>
              <w:rPr>
                <w:rFonts w:ascii="Times New Roman" w:hAnsi="Times New Roman"/>
                <w:snapToGrid w:val="0"/>
                <w:color w:val="000000"/>
                <w:kern w:val="21"/>
                <w:sz w:val="21"/>
                <w:szCs w:val="21"/>
              </w:rPr>
            </w:pPr>
            <w:bookmarkStart w:id="15" w:name="_Toc11443"/>
            <w:r>
              <w:rPr>
                <w:rFonts w:hint="eastAsia" w:ascii="Times New Roman" w:hAnsi="Times New Roman"/>
                <w:snapToGrid w:val="0"/>
                <w:color w:val="000000"/>
                <w:kern w:val="21"/>
                <w:sz w:val="21"/>
                <w:szCs w:val="21"/>
              </w:rPr>
              <w:t>SS</w:t>
            </w:r>
            <w:bookmarkEnd w:id="15"/>
          </w:p>
        </w:tc>
        <w:tc>
          <w:tcPr>
            <w:tcW w:w="1611" w:type="dxa"/>
            <w:shd w:val="clear" w:color="auto" w:fill="auto"/>
            <w:vAlign w:val="center"/>
          </w:tcPr>
          <w:p w14:paraId="3EF8EA6C">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208" w:type="dxa"/>
            <w:shd w:val="clear" w:color="auto" w:fill="auto"/>
            <w:vAlign w:val="center"/>
          </w:tcPr>
          <w:p w14:paraId="6E4609DF">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611" w:type="dxa"/>
            <w:shd w:val="clear" w:color="auto" w:fill="auto"/>
            <w:vAlign w:val="center"/>
          </w:tcPr>
          <w:p w14:paraId="0FF5ABA6">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477" w:type="dxa"/>
            <w:vAlign w:val="center"/>
          </w:tcPr>
          <w:p w14:paraId="5EC6A7B1">
            <w:pPr>
              <w:jc w:val="center"/>
              <w:outlineLvl w:val="0"/>
              <w:rPr>
                <w:rFonts w:ascii="Times New Roman" w:hAnsi="Times New Roman"/>
                <w:bCs/>
                <w:sz w:val="21"/>
                <w:szCs w:val="21"/>
              </w:rPr>
            </w:pPr>
            <w:r>
              <w:rPr>
                <w:rFonts w:hint="eastAsia"/>
                <w:snapToGrid w:val="0"/>
                <w:color w:val="000000"/>
                <w:kern w:val="21"/>
                <w:szCs w:val="21"/>
              </w:rPr>
              <w:t>/</w:t>
            </w:r>
          </w:p>
        </w:tc>
        <w:tc>
          <w:tcPr>
            <w:tcW w:w="1526" w:type="dxa"/>
            <w:shd w:val="clear" w:color="auto" w:fill="auto"/>
            <w:vAlign w:val="center"/>
          </w:tcPr>
          <w:p w14:paraId="061C0779">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752" w:type="dxa"/>
            <w:vAlign w:val="center"/>
          </w:tcPr>
          <w:p w14:paraId="7C575C15">
            <w:pPr>
              <w:jc w:val="center"/>
              <w:outlineLvl w:val="0"/>
              <w:rPr>
                <w:rFonts w:ascii="Times New Roman" w:hAnsi="Times New Roman"/>
                <w:bCs/>
                <w:sz w:val="21"/>
                <w:szCs w:val="21"/>
              </w:rPr>
            </w:pPr>
            <w:r>
              <w:rPr>
                <w:rFonts w:hint="eastAsia"/>
                <w:snapToGrid w:val="0"/>
                <w:color w:val="000000"/>
                <w:kern w:val="21"/>
                <w:szCs w:val="21"/>
              </w:rPr>
              <w:t>/</w:t>
            </w:r>
          </w:p>
        </w:tc>
        <w:tc>
          <w:tcPr>
            <w:tcW w:w="1205" w:type="dxa"/>
            <w:shd w:val="clear" w:color="auto" w:fill="auto"/>
            <w:vAlign w:val="center"/>
          </w:tcPr>
          <w:p w14:paraId="3E749B7F">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r>
      <w:tr w14:paraId="0C4177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504" w:type="dxa"/>
            <w:vMerge w:val="continue"/>
            <w:vAlign w:val="center"/>
          </w:tcPr>
          <w:p w14:paraId="776BAA01">
            <w:pPr>
              <w:pStyle w:val="19"/>
              <w:spacing w:before="0" w:beforeAutospacing="0" w:after="0" w:afterAutospacing="0"/>
              <w:jc w:val="center"/>
              <w:outlineLvl w:val="0"/>
              <w:rPr>
                <w:rFonts w:ascii="Times New Roman" w:hAnsi="Times New Roman"/>
                <w:snapToGrid w:val="0"/>
                <w:color w:val="000000"/>
                <w:kern w:val="21"/>
                <w:sz w:val="21"/>
                <w:szCs w:val="21"/>
              </w:rPr>
            </w:pPr>
          </w:p>
        </w:tc>
        <w:tc>
          <w:tcPr>
            <w:tcW w:w="1342" w:type="dxa"/>
            <w:vAlign w:val="center"/>
          </w:tcPr>
          <w:p w14:paraId="7865E6EA">
            <w:pPr>
              <w:pStyle w:val="19"/>
              <w:spacing w:before="0" w:beforeAutospacing="0" w:after="0" w:afterAutospacing="0"/>
              <w:jc w:val="center"/>
              <w:outlineLvl w:val="0"/>
              <w:rPr>
                <w:rFonts w:ascii="Times New Roman" w:hAnsi="Times New Roman"/>
                <w:snapToGrid w:val="0"/>
                <w:color w:val="000000"/>
                <w:kern w:val="21"/>
                <w:sz w:val="21"/>
                <w:szCs w:val="21"/>
              </w:rPr>
            </w:pPr>
            <w:bookmarkStart w:id="16" w:name="_Toc32328"/>
            <w:r>
              <w:rPr>
                <w:rFonts w:hint="eastAsia" w:ascii="Times New Roman" w:hAnsi="Times New Roman"/>
                <w:snapToGrid w:val="0"/>
                <w:color w:val="000000"/>
                <w:kern w:val="21"/>
                <w:sz w:val="21"/>
                <w:szCs w:val="21"/>
              </w:rPr>
              <w:t>氨氮</w:t>
            </w:r>
            <w:bookmarkEnd w:id="16"/>
          </w:p>
        </w:tc>
        <w:tc>
          <w:tcPr>
            <w:tcW w:w="1611" w:type="dxa"/>
            <w:vAlign w:val="center"/>
          </w:tcPr>
          <w:p w14:paraId="78589744">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w:t>
            </w:r>
          </w:p>
        </w:tc>
        <w:tc>
          <w:tcPr>
            <w:tcW w:w="1208" w:type="dxa"/>
            <w:shd w:val="clear" w:color="auto" w:fill="auto"/>
            <w:vAlign w:val="center"/>
          </w:tcPr>
          <w:p w14:paraId="79AFFA12">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c>
          <w:tcPr>
            <w:tcW w:w="1611" w:type="dxa"/>
            <w:shd w:val="clear" w:color="auto" w:fill="auto"/>
            <w:vAlign w:val="center"/>
          </w:tcPr>
          <w:p w14:paraId="6F1973CE">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c>
          <w:tcPr>
            <w:tcW w:w="1477" w:type="dxa"/>
            <w:vAlign w:val="center"/>
          </w:tcPr>
          <w:p w14:paraId="3E7C9C00">
            <w:pPr>
              <w:jc w:val="center"/>
              <w:outlineLvl w:val="0"/>
              <w:rPr>
                <w:rFonts w:ascii="Times New Roman" w:hAnsi="Times New Roman"/>
                <w:bCs/>
                <w:sz w:val="21"/>
                <w:szCs w:val="21"/>
              </w:rPr>
            </w:pPr>
            <w:r>
              <w:rPr>
                <w:rFonts w:hint="eastAsia"/>
                <w:snapToGrid w:val="0"/>
                <w:color w:val="000000"/>
                <w:kern w:val="21"/>
                <w:szCs w:val="21"/>
              </w:rPr>
              <w:t>/</w:t>
            </w:r>
          </w:p>
        </w:tc>
        <w:tc>
          <w:tcPr>
            <w:tcW w:w="1526" w:type="dxa"/>
            <w:shd w:val="clear" w:color="auto" w:fill="auto"/>
            <w:vAlign w:val="center"/>
          </w:tcPr>
          <w:p w14:paraId="4D7970B5">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c>
          <w:tcPr>
            <w:tcW w:w="1752" w:type="dxa"/>
            <w:vAlign w:val="center"/>
          </w:tcPr>
          <w:p w14:paraId="46E5BF3F">
            <w:pPr>
              <w:jc w:val="center"/>
              <w:outlineLvl w:val="0"/>
              <w:rPr>
                <w:rFonts w:ascii="Times New Roman" w:hAnsi="Times New Roman"/>
                <w:bCs/>
                <w:sz w:val="21"/>
                <w:szCs w:val="21"/>
              </w:rPr>
            </w:pPr>
            <w:r>
              <w:rPr>
                <w:rFonts w:hint="eastAsia"/>
                <w:snapToGrid w:val="0"/>
                <w:color w:val="000000"/>
                <w:kern w:val="21"/>
                <w:szCs w:val="21"/>
              </w:rPr>
              <w:t>/</w:t>
            </w:r>
          </w:p>
        </w:tc>
        <w:tc>
          <w:tcPr>
            <w:tcW w:w="1205" w:type="dxa"/>
            <w:shd w:val="clear" w:color="auto" w:fill="auto"/>
            <w:vAlign w:val="center"/>
          </w:tcPr>
          <w:p w14:paraId="76E6B883">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r>
      <w:tr w14:paraId="5526D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504" w:type="dxa"/>
            <w:vMerge w:val="continue"/>
            <w:vAlign w:val="center"/>
          </w:tcPr>
          <w:p w14:paraId="4696D651">
            <w:pPr>
              <w:pStyle w:val="19"/>
              <w:spacing w:before="0" w:beforeAutospacing="0" w:after="0" w:afterAutospacing="0"/>
              <w:jc w:val="center"/>
              <w:outlineLvl w:val="0"/>
              <w:rPr>
                <w:rFonts w:ascii="Times New Roman" w:hAnsi="Times New Roman"/>
                <w:snapToGrid w:val="0"/>
                <w:color w:val="000000"/>
                <w:kern w:val="21"/>
                <w:sz w:val="21"/>
                <w:szCs w:val="21"/>
              </w:rPr>
            </w:pPr>
          </w:p>
        </w:tc>
        <w:tc>
          <w:tcPr>
            <w:tcW w:w="1342" w:type="dxa"/>
            <w:vAlign w:val="center"/>
          </w:tcPr>
          <w:p w14:paraId="23A8CD2D">
            <w:pPr>
              <w:pStyle w:val="19"/>
              <w:spacing w:before="0" w:beforeAutospacing="0" w:after="0" w:afterAutospacing="0"/>
              <w:jc w:val="center"/>
              <w:outlineLvl w:val="0"/>
              <w:rPr>
                <w:rFonts w:ascii="Times New Roman" w:hAnsi="Times New Roman"/>
                <w:snapToGrid w:val="0"/>
                <w:color w:val="000000"/>
                <w:kern w:val="21"/>
                <w:sz w:val="21"/>
                <w:szCs w:val="21"/>
              </w:rPr>
            </w:pPr>
            <w:bookmarkStart w:id="17" w:name="_Toc14129"/>
            <w:r>
              <w:rPr>
                <w:rFonts w:hint="eastAsia" w:ascii="Times New Roman" w:hAnsi="Times New Roman"/>
                <w:snapToGrid w:val="0"/>
                <w:color w:val="000000"/>
                <w:kern w:val="21"/>
                <w:sz w:val="21"/>
                <w:szCs w:val="21"/>
              </w:rPr>
              <w:t>动植物油</w:t>
            </w:r>
            <w:bookmarkEnd w:id="17"/>
          </w:p>
        </w:tc>
        <w:tc>
          <w:tcPr>
            <w:tcW w:w="1611" w:type="dxa"/>
            <w:vAlign w:val="center"/>
          </w:tcPr>
          <w:p w14:paraId="1DD3F278">
            <w:pPr>
              <w:jc w:val="center"/>
              <w:outlineLvl w:val="0"/>
              <w:rPr>
                <w:snapToGrid w:val="0"/>
                <w:color w:val="000000"/>
                <w:kern w:val="21"/>
                <w:szCs w:val="21"/>
              </w:rPr>
            </w:pPr>
            <w:r>
              <w:rPr>
                <w:rFonts w:hint="eastAsia"/>
                <w:snapToGrid w:val="0"/>
                <w:color w:val="000000"/>
                <w:kern w:val="21"/>
                <w:szCs w:val="21"/>
              </w:rPr>
              <w:t>/</w:t>
            </w:r>
          </w:p>
        </w:tc>
        <w:tc>
          <w:tcPr>
            <w:tcW w:w="1208" w:type="dxa"/>
            <w:shd w:val="clear" w:color="auto" w:fill="auto"/>
            <w:vAlign w:val="center"/>
          </w:tcPr>
          <w:p w14:paraId="6709A522">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611" w:type="dxa"/>
            <w:shd w:val="clear" w:color="auto" w:fill="auto"/>
            <w:vAlign w:val="center"/>
          </w:tcPr>
          <w:p w14:paraId="7810E463">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477" w:type="dxa"/>
            <w:vAlign w:val="center"/>
          </w:tcPr>
          <w:p w14:paraId="3B169E67">
            <w:pPr>
              <w:jc w:val="center"/>
              <w:outlineLvl w:val="0"/>
              <w:rPr>
                <w:rFonts w:ascii="Times New Roman" w:hAnsi="Times New Roman"/>
                <w:bCs/>
                <w:sz w:val="21"/>
                <w:szCs w:val="21"/>
              </w:rPr>
            </w:pPr>
            <w:r>
              <w:rPr>
                <w:rFonts w:hint="eastAsia"/>
                <w:snapToGrid w:val="0"/>
                <w:color w:val="000000"/>
                <w:kern w:val="21"/>
                <w:szCs w:val="21"/>
              </w:rPr>
              <w:t>/</w:t>
            </w:r>
          </w:p>
        </w:tc>
        <w:tc>
          <w:tcPr>
            <w:tcW w:w="1526" w:type="dxa"/>
            <w:shd w:val="clear" w:color="auto" w:fill="auto"/>
            <w:vAlign w:val="center"/>
          </w:tcPr>
          <w:p w14:paraId="6DC7B9BF">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752" w:type="dxa"/>
            <w:vAlign w:val="center"/>
          </w:tcPr>
          <w:p w14:paraId="222DB68C">
            <w:pPr>
              <w:jc w:val="center"/>
              <w:outlineLvl w:val="0"/>
              <w:rPr>
                <w:rFonts w:ascii="Times New Roman" w:hAnsi="Times New Roman"/>
                <w:bCs/>
                <w:sz w:val="21"/>
                <w:szCs w:val="21"/>
              </w:rPr>
            </w:pPr>
            <w:r>
              <w:rPr>
                <w:rFonts w:hint="eastAsia"/>
                <w:snapToGrid w:val="0"/>
                <w:color w:val="000000"/>
                <w:kern w:val="21"/>
                <w:szCs w:val="21"/>
              </w:rPr>
              <w:t>/</w:t>
            </w:r>
          </w:p>
        </w:tc>
        <w:tc>
          <w:tcPr>
            <w:tcW w:w="1205" w:type="dxa"/>
            <w:shd w:val="clear" w:color="auto" w:fill="auto"/>
            <w:vAlign w:val="center"/>
          </w:tcPr>
          <w:p w14:paraId="4EC0CA89">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r>
      <w:tr w14:paraId="5E661D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504" w:type="dxa"/>
            <w:vMerge w:val="restart"/>
            <w:vAlign w:val="center"/>
          </w:tcPr>
          <w:p w14:paraId="4DA08D05">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一般工业</w:t>
            </w:r>
          </w:p>
          <w:p w14:paraId="234EE46A">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固体废物</w:t>
            </w:r>
          </w:p>
        </w:tc>
        <w:tc>
          <w:tcPr>
            <w:tcW w:w="1342" w:type="dxa"/>
            <w:vAlign w:val="center"/>
          </w:tcPr>
          <w:p w14:paraId="249D8A0E">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金属杂质</w:t>
            </w:r>
          </w:p>
        </w:tc>
        <w:tc>
          <w:tcPr>
            <w:tcW w:w="1611" w:type="dxa"/>
            <w:shd w:val="clear" w:color="auto" w:fill="auto"/>
            <w:vAlign w:val="center"/>
          </w:tcPr>
          <w:p w14:paraId="4AC602DE">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lang w:val="en-US" w:eastAsia="zh-CN"/>
              </w:rPr>
              <w:t>0</w:t>
            </w:r>
            <w:r>
              <w:rPr>
                <w:rFonts w:hint="eastAsia" w:ascii="Times New Roman" w:hAnsi="Times New Roman"/>
                <w:snapToGrid w:val="0"/>
                <w:color w:val="000000"/>
                <w:kern w:val="21"/>
                <w:sz w:val="21"/>
                <w:szCs w:val="21"/>
              </w:rPr>
              <w:t>t/a</w:t>
            </w:r>
          </w:p>
        </w:tc>
        <w:tc>
          <w:tcPr>
            <w:tcW w:w="1208" w:type="dxa"/>
            <w:shd w:val="clear" w:color="auto" w:fill="auto"/>
            <w:vAlign w:val="center"/>
          </w:tcPr>
          <w:p w14:paraId="2968D8F0">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c>
          <w:tcPr>
            <w:tcW w:w="1611" w:type="dxa"/>
            <w:shd w:val="clear" w:color="auto" w:fill="auto"/>
            <w:vAlign w:val="center"/>
          </w:tcPr>
          <w:p w14:paraId="3657444F">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w:t>
            </w:r>
          </w:p>
        </w:tc>
        <w:tc>
          <w:tcPr>
            <w:tcW w:w="1477" w:type="dxa"/>
            <w:vAlign w:val="center"/>
          </w:tcPr>
          <w:p w14:paraId="4CE44B5D">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45.636t/a</w:t>
            </w:r>
          </w:p>
        </w:tc>
        <w:tc>
          <w:tcPr>
            <w:tcW w:w="1526" w:type="dxa"/>
            <w:shd w:val="clear" w:color="auto" w:fill="auto"/>
            <w:vAlign w:val="center"/>
          </w:tcPr>
          <w:p w14:paraId="6D2BFF41">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lang w:val="en-US" w:eastAsia="zh-CN"/>
              </w:rPr>
              <w:t>0</w:t>
            </w:r>
            <w:r>
              <w:rPr>
                <w:rFonts w:hint="eastAsia" w:ascii="Times New Roman" w:hAnsi="Times New Roman"/>
                <w:snapToGrid w:val="0"/>
                <w:color w:val="000000"/>
                <w:kern w:val="21"/>
                <w:sz w:val="21"/>
                <w:szCs w:val="21"/>
              </w:rPr>
              <w:t>t/a</w:t>
            </w:r>
          </w:p>
        </w:tc>
        <w:tc>
          <w:tcPr>
            <w:tcW w:w="1752" w:type="dxa"/>
            <w:vAlign w:val="center"/>
          </w:tcPr>
          <w:p w14:paraId="4BEC63F6">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45.636t/a</w:t>
            </w:r>
          </w:p>
        </w:tc>
        <w:tc>
          <w:tcPr>
            <w:tcW w:w="1205" w:type="dxa"/>
            <w:shd w:val="clear" w:color="auto" w:fill="auto"/>
            <w:vAlign w:val="center"/>
          </w:tcPr>
          <w:p w14:paraId="46C3BE3E">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+45.636t/a</w:t>
            </w:r>
          </w:p>
        </w:tc>
      </w:tr>
      <w:tr w14:paraId="5FF3DA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504" w:type="dxa"/>
            <w:vMerge w:val="continue"/>
            <w:vAlign w:val="center"/>
          </w:tcPr>
          <w:p w14:paraId="0E7CFA18">
            <w:pPr>
              <w:pStyle w:val="19"/>
              <w:spacing w:before="0" w:beforeAutospacing="0" w:after="0" w:afterAutospacing="0"/>
              <w:jc w:val="center"/>
              <w:outlineLvl w:val="0"/>
              <w:rPr>
                <w:rFonts w:ascii="Times New Roman" w:hAnsi="Times New Roman"/>
                <w:snapToGrid w:val="0"/>
                <w:color w:val="000000"/>
                <w:kern w:val="21"/>
                <w:sz w:val="21"/>
                <w:szCs w:val="21"/>
              </w:rPr>
            </w:pPr>
          </w:p>
        </w:tc>
        <w:tc>
          <w:tcPr>
            <w:tcW w:w="1342" w:type="dxa"/>
            <w:vAlign w:val="center"/>
          </w:tcPr>
          <w:p w14:paraId="6B931606">
            <w:pPr>
              <w:pStyle w:val="19"/>
              <w:spacing w:before="0" w:beforeAutospacing="0" w:after="0" w:afterAutospacing="0"/>
              <w:jc w:val="center"/>
              <w:outlineLvl w:val="0"/>
              <w:rPr>
                <w:rFonts w:ascii="Times New Roman" w:hAnsi="Times New Roman"/>
                <w:snapToGrid w:val="0"/>
                <w:sz w:val="21"/>
                <w:szCs w:val="21"/>
              </w:rPr>
            </w:pPr>
            <w:r>
              <w:rPr>
                <w:rFonts w:hint="eastAsia" w:ascii="Times New Roman" w:hAnsi="Times New Roman"/>
                <w:snapToGrid w:val="0"/>
                <w:sz w:val="21"/>
                <w:szCs w:val="21"/>
              </w:rPr>
              <w:t>生活垃圾</w:t>
            </w:r>
          </w:p>
        </w:tc>
        <w:tc>
          <w:tcPr>
            <w:tcW w:w="1611" w:type="dxa"/>
            <w:shd w:val="clear" w:color="auto" w:fill="auto"/>
            <w:vAlign w:val="center"/>
          </w:tcPr>
          <w:p w14:paraId="04C0E3F0">
            <w:pPr>
              <w:jc w:val="center"/>
              <w:outlineLvl w:val="0"/>
              <w:rPr>
                <w:rFonts w:hint="default"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lang w:val="en-US" w:eastAsia="zh-CN"/>
              </w:rPr>
              <w:t>260</w:t>
            </w:r>
            <w:r>
              <w:rPr>
                <w:rFonts w:hint="eastAsia" w:ascii="Times New Roman" w:hAnsi="Times New Roman"/>
                <w:snapToGrid w:val="0"/>
                <w:color w:val="000000"/>
                <w:kern w:val="21"/>
                <w:sz w:val="21"/>
                <w:szCs w:val="21"/>
              </w:rPr>
              <w:t>t/a</w:t>
            </w:r>
          </w:p>
        </w:tc>
        <w:tc>
          <w:tcPr>
            <w:tcW w:w="1208" w:type="dxa"/>
            <w:shd w:val="clear" w:color="auto" w:fill="auto"/>
            <w:vAlign w:val="center"/>
          </w:tcPr>
          <w:p w14:paraId="76F5161F">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611" w:type="dxa"/>
            <w:shd w:val="clear" w:color="auto" w:fill="auto"/>
            <w:vAlign w:val="center"/>
          </w:tcPr>
          <w:p w14:paraId="335E9C59">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477" w:type="dxa"/>
            <w:shd w:val="clear" w:color="auto" w:fill="auto"/>
            <w:vAlign w:val="center"/>
          </w:tcPr>
          <w:p w14:paraId="4FA0CA30">
            <w:pPr>
              <w:pStyle w:val="19"/>
              <w:spacing w:before="0" w:beforeAutospacing="0" w:after="0" w:afterAutospacing="0"/>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3.33t/a</w:t>
            </w:r>
          </w:p>
        </w:tc>
        <w:tc>
          <w:tcPr>
            <w:tcW w:w="1526" w:type="dxa"/>
            <w:shd w:val="clear" w:color="auto" w:fill="auto"/>
            <w:vAlign w:val="center"/>
          </w:tcPr>
          <w:p w14:paraId="667974B1">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lang w:val="en-US" w:eastAsia="zh-CN"/>
              </w:rPr>
              <w:t>0</w:t>
            </w:r>
            <w:r>
              <w:rPr>
                <w:rFonts w:hint="eastAsia" w:ascii="Times New Roman" w:hAnsi="Times New Roman"/>
                <w:snapToGrid w:val="0"/>
                <w:color w:val="000000"/>
                <w:kern w:val="21"/>
                <w:sz w:val="21"/>
                <w:szCs w:val="21"/>
              </w:rPr>
              <w:t>t/a</w:t>
            </w:r>
          </w:p>
        </w:tc>
        <w:tc>
          <w:tcPr>
            <w:tcW w:w="1752" w:type="dxa"/>
            <w:shd w:val="clear" w:color="auto" w:fill="auto"/>
            <w:vAlign w:val="center"/>
          </w:tcPr>
          <w:p w14:paraId="5C7EA1A9">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lang w:val="en-US" w:eastAsia="zh-CN"/>
              </w:rPr>
              <w:t>26</w:t>
            </w:r>
            <w:r>
              <w:rPr>
                <w:rFonts w:hint="eastAsia" w:ascii="Times New Roman" w:hAnsi="Times New Roman"/>
                <w:snapToGrid w:val="0"/>
                <w:color w:val="000000"/>
                <w:kern w:val="21"/>
                <w:sz w:val="21"/>
                <w:szCs w:val="21"/>
              </w:rPr>
              <w:t>3.33t/a</w:t>
            </w:r>
          </w:p>
        </w:tc>
        <w:tc>
          <w:tcPr>
            <w:tcW w:w="1205" w:type="dxa"/>
            <w:shd w:val="clear" w:color="auto" w:fill="auto"/>
            <w:vAlign w:val="center"/>
          </w:tcPr>
          <w:p w14:paraId="010CB7CD">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+3.33t/a</w:t>
            </w:r>
          </w:p>
        </w:tc>
      </w:tr>
      <w:tr w14:paraId="78533D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504" w:type="dxa"/>
            <w:vMerge w:val="continue"/>
            <w:vAlign w:val="center"/>
          </w:tcPr>
          <w:p w14:paraId="42D9E5FD">
            <w:pPr>
              <w:pStyle w:val="19"/>
              <w:spacing w:before="0" w:beforeAutospacing="0" w:after="0" w:afterAutospacing="0"/>
              <w:jc w:val="center"/>
              <w:outlineLvl w:val="0"/>
              <w:rPr>
                <w:rFonts w:ascii="Times New Roman" w:hAnsi="Times New Roman"/>
                <w:snapToGrid w:val="0"/>
                <w:color w:val="000000"/>
                <w:kern w:val="21"/>
                <w:sz w:val="21"/>
                <w:szCs w:val="21"/>
              </w:rPr>
            </w:pPr>
          </w:p>
        </w:tc>
        <w:tc>
          <w:tcPr>
            <w:tcW w:w="1342" w:type="dxa"/>
            <w:vAlign w:val="center"/>
          </w:tcPr>
          <w:p w14:paraId="53021D8F">
            <w:pPr>
              <w:pStyle w:val="19"/>
              <w:spacing w:before="0" w:beforeAutospacing="0" w:after="0" w:afterAutospacing="0"/>
              <w:jc w:val="center"/>
              <w:outlineLvl w:val="0"/>
              <w:rPr>
                <w:rFonts w:hint="default" w:ascii="Times New Roman" w:hAnsi="Times New Roman" w:eastAsia="宋体"/>
                <w:snapToGrid w:val="0"/>
                <w:sz w:val="21"/>
                <w:szCs w:val="21"/>
                <w:lang w:val="en-US" w:eastAsia="zh-CN"/>
              </w:rPr>
            </w:pPr>
            <w:r>
              <w:rPr>
                <w:rFonts w:hint="eastAsia" w:ascii="Times New Roman" w:hAnsi="Times New Roman"/>
                <w:snapToGrid w:val="0"/>
                <w:sz w:val="21"/>
                <w:szCs w:val="21"/>
                <w:lang w:val="en-US" w:eastAsia="zh-CN"/>
              </w:rPr>
              <w:t>沉淀池污泥</w:t>
            </w:r>
          </w:p>
        </w:tc>
        <w:tc>
          <w:tcPr>
            <w:tcW w:w="1611" w:type="dxa"/>
            <w:shd w:val="clear" w:color="auto" w:fill="auto"/>
            <w:vAlign w:val="center"/>
          </w:tcPr>
          <w:p w14:paraId="2FC57856">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lang w:val="en-US" w:eastAsia="zh-CN"/>
              </w:rPr>
              <w:t>0</w:t>
            </w:r>
          </w:p>
        </w:tc>
        <w:tc>
          <w:tcPr>
            <w:tcW w:w="1208" w:type="dxa"/>
            <w:shd w:val="clear" w:color="auto" w:fill="auto"/>
            <w:vAlign w:val="center"/>
          </w:tcPr>
          <w:p w14:paraId="29F18AC7">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611" w:type="dxa"/>
            <w:shd w:val="clear" w:color="auto" w:fill="auto"/>
            <w:vAlign w:val="center"/>
          </w:tcPr>
          <w:p w14:paraId="02CBCD80">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477" w:type="dxa"/>
            <w:vAlign w:val="center"/>
          </w:tcPr>
          <w:p w14:paraId="1B1C70EF">
            <w:pPr>
              <w:pStyle w:val="19"/>
              <w:spacing w:before="0" w:beforeAutospacing="0" w:after="0" w:afterAutospacing="0"/>
              <w:jc w:val="center"/>
              <w:outlineLvl w:val="0"/>
              <w:rPr>
                <w:rFonts w:hint="default" w:ascii="Times New Roman" w:hAnsi="Times New Roman" w:eastAsia="宋体"/>
                <w:snapToGrid w:val="0"/>
                <w:color w:val="000000"/>
                <w:kern w:val="21"/>
                <w:sz w:val="21"/>
                <w:szCs w:val="21"/>
                <w:lang w:val="en-US" w:eastAsia="zh-CN"/>
              </w:rPr>
            </w:pPr>
            <w:r>
              <w:rPr>
                <w:rFonts w:hint="eastAsia" w:ascii="Times New Roman" w:hAnsi="Times New Roman"/>
                <w:snapToGrid w:val="0"/>
                <w:color w:val="000000"/>
                <w:kern w:val="21"/>
                <w:sz w:val="21"/>
                <w:szCs w:val="21"/>
                <w:lang w:val="en-US" w:eastAsia="zh-CN"/>
              </w:rPr>
              <w:t>4t/a</w:t>
            </w:r>
          </w:p>
        </w:tc>
        <w:tc>
          <w:tcPr>
            <w:tcW w:w="1526" w:type="dxa"/>
            <w:shd w:val="clear" w:color="auto" w:fill="auto"/>
            <w:vAlign w:val="center"/>
          </w:tcPr>
          <w:p w14:paraId="59E6BDC3">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lang w:val="en-US" w:eastAsia="zh-CN"/>
              </w:rPr>
              <w:t>0</w:t>
            </w:r>
            <w:r>
              <w:rPr>
                <w:rFonts w:hint="eastAsia" w:ascii="Times New Roman" w:hAnsi="Times New Roman"/>
                <w:snapToGrid w:val="0"/>
                <w:color w:val="000000"/>
                <w:kern w:val="21"/>
                <w:sz w:val="21"/>
                <w:szCs w:val="21"/>
              </w:rPr>
              <w:t>t/a</w:t>
            </w:r>
          </w:p>
        </w:tc>
        <w:tc>
          <w:tcPr>
            <w:tcW w:w="1752" w:type="dxa"/>
            <w:vAlign w:val="center"/>
          </w:tcPr>
          <w:p w14:paraId="1800E000">
            <w:pPr>
              <w:pStyle w:val="19"/>
              <w:spacing w:before="0" w:beforeAutospacing="0" w:after="0" w:afterAutospacing="0"/>
              <w:jc w:val="center"/>
              <w:outlineLvl w:val="0"/>
              <w:rPr>
                <w:rFonts w:hint="eastAsia" w:ascii="Times New Roman" w:hAnsi="Times New Roman"/>
                <w:snapToGrid w:val="0"/>
                <w:color w:val="000000"/>
                <w:kern w:val="21"/>
                <w:sz w:val="21"/>
                <w:szCs w:val="21"/>
                <w:lang w:val="en-US" w:eastAsia="zh-CN"/>
              </w:rPr>
            </w:pPr>
            <w:r>
              <w:rPr>
                <w:rFonts w:hint="eastAsia" w:ascii="Times New Roman" w:hAnsi="Times New Roman"/>
                <w:snapToGrid w:val="0"/>
                <w:color w:val="000000"/>
                <w:kern w:val="21"/>
                <w:sz w:val="21"/>
                <w:szCs w:val="21"/>
                <w:lang w:val="en-US" w:eastAsia="zh-CN"/>
              </w:rPr>
              <w:t>4t/a</w:t>
            </w:r>
          </w:p>
        </w:tc>
        <w:tc>
          <w:tcPr>
            <w:tcW w:w="1205" w:type="dxa"/>
            <w:shd w:val="clear" w:color="auto" w:fill="auto"/>
            <w:vAlign w:val="center"/>
          </w:tcPr>
          <w:p w14:paraId="340DEBA4">
            <w:pPr>
              <w:jc w:val="center"/>
              <w:outlineLvl w:val="0"/>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lang w:val="en-US" w:eastAsia="zh-CN"/>
              </w:rPr>
              <w:t>+4</w:t>
            </w:r>
            <w:r>
              <w:rPr>
                <w:rFonts w:hint="eastAsia" w:ascii="Times New Roman" w:hAnsi="Times New Roman"/>
                <w:snapToGrid w:val="0"/>
                <w:color w:val="000000"/>
                <w:kern w:val="21"/>
                <w:sz w:val="21"/>
                <w:szCs w:val="21"/>
              </w:rPr>
              <w:t>t/a</w:t>
            </w:r>
          </w:p>
        </w:tc>
      </w:tr>
      <w:tr w14:paraId="4A3337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504" w:type="dxa"/>
            <w:vAlign w:val="center"/>
          </w:tcPr>
          <w:p w14:paraId="29016032">
            <w:pPr>
              <w:pStyle w:val="19"/>
              <w:spacing w:before="0" w:beforeAutospacing="0" w:after="0" w:afterAutospacing="0"/>
              <w:jc w:val="center"/>
              <w:outlineLvl w:val="0"/>
              <w:rPr>
                <w:rFonts w:ascii="Times New Roman" w:hAnsi="Times New Roman"/>
                <w:snapToGrid w:val="0"/>
                <w:color w:val="000000"/>
                <w:kern w:val="21"/>
                <w:sz w:val="21"/>
                <w:szCs w:val="21"/>
              </w:rPr>
            </w:pPr>
            <w:r>
              <w:rPr>
                <w:rFonts w:hint="eastAsia" w:ascii="Times New Roman" w:hAnsi="Times New Roman"/>
                <w:snapToGrid w:val="0"/>
                <w:color w:val="000000"/>
                <w:kern w:val="21"/>
                <w:sz w:val="21"/>
                <w:szCs w:val="21"/>
              </w:rPr>
              <w:t>危险废物</w:t>
            </w:r>
          </w:p>
        </w:tc>
        <w:tc>
          <w:tcPr>
            <w:tcW w:w="1342" w:type="dxa"/>
            <w:vAlign w:val="center"/>
          </w:tcPr>
          <w:p w14:paraId="34D42EF0">
            <w:pPr>
              <w:pStyle w:val="19"/>
              <w:spacing w:before="0" w:beforeAutospacing="0" w:after="0" w:afterAutospacing="0"/>
              <w:jc w:val="center"/>
              <w:outlineLvl w:val="0"/>
              <w:rPr>
                <w:rFonts w:ascii="Times New Roman" w:hAnsi="Times New Roman"/>
                <w:snapToGrid w:val="0"/>
                <w:color w:val="000000"/>
                <w:kern w:val="21"/>
                <w:sz w:val="21"/>
                <w:szCs w:val="21"/>
              </w:rPr>
            </w:pPr>
            <w:bookmarkStart w:id="18" w:name="_Toc21393"/>
            <w:r>
              <w:rPr>
                <w:rFonts w:hint="eastAsia" w:ascii="Times New Roman" w:hAnsi="Times New Roman"/>
                <w:snapToGrid w:val="0"/>
                <w:color w:val="000000"/>
                <w:kern w:val="21"/>
                <w:sz w:val="21"/>
                <w:szCs w:val="21"/>
              </w:rPr>
              <w:t>废</w:t>
            </w:r>
            <w:bookmarkEnd w:id="18"/>
            <w:r>
              <w:rPr>
                <w:rFonts w:hint="eastAsia" w:ascii="Times New Roman" w:hAnsi="Times New Roman"/>
                <w:snapToGrid w:val="0"/>
                <w:color w:val="000000"/>
                <w:kern w:val="21"/>
                <w:sz w:val="21"/>
                <w:szCs w:val="21"/>
              </w:rPr>
              <w:t>润滑油</w:t>
            </w:r>
          </w:p>
        </w:tc>
        <w:tc>
          <w:tcPr>
            <w:tcW w:w="1611" w:type="dxa"/>
            <w:shd w:val="clear" w:color="auto" w:fill="auto"/>
            <w:vAlign w:val="center"/>
          </w:tcPr>
          <w:p w14:paraId="4B197FAF">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lang w:val="en-US" w:eastAsia="zh-CN"/>
              </w:rPr>
              <w:t>0</w:t>
            </w:r>
            <w:r>
              <w:rPr>
                <w:rFonts w:hint="eastAsia" w:ascii="Times New Roman" w:hAnsi="Times New Roman"/>
                <w:snapToGrid w:val="0"/>
                <w:color w:val="000000"/>
                <w:kern w:val="21"/>
                <w:sz w:val="21"/>
                <w:szCs w:val="21"/>
              </w:rPr>
              <w:t>t/a</w:t>
            </w:r>
          </w:p>
        </w:tc>
        <w:tc>
          <w:tcPr>
            <w:tcW w:w="1208" w:type="dxa"/>
            <w:shd w:val="clear" w:color="auto" w:fill="auto"/>
            <w:vAlign w:val="center"/>
          </w:tcPr>
          <w:p w14:paraId="2C4435E4">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611" w:type="dxa"/>
            <w:shd w:val="clear" w:color="auto" w:fill="auto"/>
            <w:vAlign w:val="center"/>
          </w:tcPr>
          <w:p w14:paraId="4FD43316">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rPr>
              <w:t>/</w:t>
            </w:r>
          </w:p>
        </w:tc>
        <w:tc>
          <w:tcPr>
            <w:tcW w:w="1477" w:type="dxa"/>
            <w:shd w:val="clear" w:color="auto" w:fill="auto"/>
            <w:vAlign w:val="center"/>
          </w:tcPr>
          <w:p w14:paraId="1AB8A2DE">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0.5t/a</w:t>
            </w:r>
          </w:p>
        </w:tc>
        <w:tc>
          <w:tcPr>
            <w:tcW w:w="1526" w:type="dxa"/>
            <w:shd w:val="clear" w:color="auto" w:fill="auto"/>
            <w:vAlign w:val="center"/>
          </w:tcPr>
          <w:p w14:paraId="384CEA40">
            <w:pPr>
              <w:jc w:val="center"/>
              <w:outlineLvl w:val="0"/>
              <w:rPr>
                <w:rFonts w:ascii="Times New Roman" w:hAnsi="Times New Roman" w:eastAsia="宋体" w:cs="Times New Roman"/>
                <w:snapToGrid w:val="0"/>
                <w:color w:val="000000"/>
                <w:kern w:val="21"/>
                <w:sz w:val="21"/>
                <w:szCs w:val="21"/>
                <w:lang w:val="en-US" w:eastAsia="zh-CN" w:bidi="ar-SA"/>
              </w:rPr>
            </w:pPr>
            <w:r>
              <w:rPr>
                <w:rFonts w:hint="eastAsia"/>
                <w:snapToGrid w:val="0"/>
                <w:color w:val="000000"/>
                <w:kern w:val="21"/>
                <w:szCs w:val="21"/>
                <w:lang w:val="en-US" w:eastAsia="zh-CN"/>
              </w:rPr>
              <w:t>0</w:t>
            </w:r>
            <w:r>
              <w:rPr>
                <w:rFonts w:hint="eastAsia" w:ascii="Times New Roman" w:hAnsi="Times New Roman"/>
                <w:snapToGrid w:val="0"/>
                <w:color w:val="000000"/>
                <w:kern w:val="21"/>
                <w:sz w:val="21"/>
                <w:szCs w:val="21"/>
              </w:rPr>
              <w:t>t/a</w:t>
            </w:r>
          </w:p>
        </w:tc>
        <w:tc>
          <w:tcPr>
            <w:tcW w:w="1752" w:type="dxa"/>
            <w:shd w:val="clear" w:color="auto" w:fill="auto"/>
            <w:vAlign w:val="center"/>
          </w:tcPr>
          <w:p w14:paraId="79C37DA7">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0.5t/a</w:t>
            </w:r>
          </w:p>
        </w:tc>
        <w:tc>
          <w:tcPr>
            <w:tcW w:w="1205" w:type="dxa"/>
            <w:shd w:val="clear" w:color="auto" w:fill="auto"/>
            <w:vAlign w:val="center"/>
          </w:tcPr>
          <w:p w14:paraId="5BB858CA">
            <w:pPr>
              <w:pStyle w:val="19"/>
              <w:spacing w:before="0" w:beforeAutospacing="0" w:after="0" w:afterAutospacing="0"/>
              <w:jc w:val="center"/>
              <w:outlineLvl w:val="0"/>
              <w:rPr>
                <w:rFonts w:ascii="Times New Roman" w:hAnsi="Times New Roman" w:eastAsia="宋体" w:cs="Times New Roman"/>
                <w:snapToGrid w:val="0"/>
                <w:color w:val="000000"/>
                <w:kern w:val="21"/>
                <w:sz w:val="21"/>
                <w:szCs w:val="21"/>
                <w:lang w:val="en-US" w:eastAsia="zh-CN" w:bidi="ar-SA"/>
              </w:rPr>
            </w:pPr>
            <w:r>
              <w:rPr>
                <w:rFonts w:hint="eastAsia" w:ascii="Times New Roman" w:hAnsi="Times New Roman"/>
                <w:snapToGrid w:val="0"/>
                <w:color w:val="000000"/>
                <w:kern w:val="21"/>
                <w:sz w:val="21"/>
                <w:szCs w:val="21"/>
              </w:rPr>
              <w:t>+0.5t/a</w:t>
            </w:r>
          </w:p>
        </w:tc>
      </w:tr>
    </w:tbl>
    <w:p w14:paraId="29E87F83">
      <w:pPr>
        <w:pStyle w:val="40"/>
        <w:spacing w:before="192" w:beforeLines="80" w:after="24"/>
        <w:ind w:firstLine="560"/>
        <w:jc w:val="left"/>
        <w:rPr>
          <w:rFonts w:hint="default" w:hAnsi="宋体" w:eastAsia="宋体"/>
          <w:snapToGrid w:val="0"/>
          <w:color w:val="000000"/>
          <w:spacing w:val="-6"/>
          <w:kern w:val="21"/>
          <w:szCs w:val="21"/>
          <w:lang w:val="en-US" w:eastAsia="zh-CN"/>
        </w:rPr>
        <w:sectPr>
          <w:footerReference r:id="rId8" w:type="default"/>
          <w:pgSz w:w="16838" w:h="11906" w:orient="landscape"/>
          <w:pgMar w:top="1134" w:right="1701" w:bottom="1531" w:left="1701" w:header="851" w:footer="851" w:gutter="0"/>
          <w:cols w:space="720" w:num="1"/>
          <w:docGrid w:linePitch="312" w:charSpace="0"/>
        </w:sectPr>
      </w:pPr>
      <w:r>
        <w:rPr>
          <w:rFonts w:hAnsi="宋体"/>
          <w:snapToGrid w:val="0"/>
          <w:color w:val="000000"/>
          <w:kern w:val="21"/>
          <w:szCs w:val="21"/>
        </w:rPr>
        <w:t>注：</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3 \* GB3 \* MERGEFORMAT </w:instrText>
      </w:r>
      <w:r>
        <w:rPr>
          <w:rFonts w:hAnsi="宋体"/>
          <w:snapToGrid w:val="0"/>
          <w:color w:val="000000"/>
          <w:spacing w:val="-6"/>
          <w:kern w:val="21"/>
          <w:szCs w:val="21"/>
        </w:rPr>
        <w:fldChar w:fldCharType="separate"/>
      </w:r>
      <w:r>
        <w:rPr>
          <w:rFonts w:hint="eastAsia" w:hAnsi="宋体"/>
          <w:szCs w:val="21"/>
        </w:rPr>
        <w:t>③</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4 \* GB3 \* MERGEFORMAT </w:instrText>
      </w:r>
      <w:r>
        <w:rPr>
          <w:rFonts w:hAnsi="宋体"/>
          <w:snapToGrid w:val="0"/>
          <w:color w:val="000000"/>
          <w:spacing w:val="-6"/>
          <w:kern w:val="21"/>
          <w:szCs w:val="21"/>
        </w:rPr>
        <w:fldChar w:fldCharType="separate"/>
      </w:r>
      <w:r>
        <w:rPr>
          <w:rFonts w:hint="eastAsia" w:hAnsi="宋体"/>
          <w:szCs w:val="21"/>
        </w:rPr>
        <w:t>④</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5 \* GB3 \* MERGEFORMAT </w:instrText>
      </w:r>
      <w:r>
        <w:rPr>
          <w:rFonts w:hAnsi="宋体"/>
          <w:snapToGrid w:val="0"/>
          <w:color w:val="000000"/>
          <w:spacing w:val="-16"/>
          <w:kern w:val="21"/>
          <w:szCs w:val="21"/>
        </w:rPr>
        <w:fldChar w:fldCharType="separate"/>
      </w:r>
      <w:r>
        <w:rPr>
          <w:rFonts w:hint="eastAsia" w:hAnsi="宋体"/>
          <w:szCs w:val="21"/>
        </w:rPr>
        <w:t>⑤</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7 \* GB3 \* MERGEFORMAT </w:instrText>
      </w:r>
      <w:r>
        <w:rPr>
          <w:rFonts w:hAnsi="宋体"/>
          <w:snapToGrid w:val="0"/>
          <w:color w:val="000000"/>
          <w:spacing w:val="-6"/>
          <w:kern w:val="21"/>
          <w:szCs w:val="21"/>
        </w:rPr>
        <w:fldChar w:fldCharType="separate"/>
      </w:r>
      <w:r>
        <w:rPr>
          <w:rFonts w:hint="eastAsia" w:hAnsi="宋体"/>
          <w:szCs w:val="21"/>
        </w:rPr>
        <w:t>⑦</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r>
        <w:rPr>
          <w:rFonts w:hint="eastAsia" w:hAnsi="宋体"/>
          <w:snapToGrid w:val="0"/>
          <w:color w:val="000000"/>
          <w:spacing w:val="-6"/>
          <w:kern w:val="21"/>
          <w:szCs w:val="21"/>
          <w:lang w:val="en-US" w:eastAsia="zh-CN"/>
        </w:rPr>
        <w:t xml:space="preserve">     </w:t>
      </w:r>
    </w:p>
    <w:p w14:paraId="57708E65">
      <w:pPr>
        <w:pStyle w:val="19"/>
        <w:adjustRightInd w:val="0"/>
        <w:snapToGrid w:val="0"/>
        <w:spacing w:before="0" w:beforeAutospacing="0" w:after="0" w:afterAutospacing="0"/>
        <w:outlineLvl w:val="0"/>
        <w:rPr>
          <w:rFonts w:ascii="Times New Roman" w:hAnsi="Times New Roman"/>
          <w:b/>
          <w:bCs/>
          <w:snapToGrid w:val="0"/>
          <w:sz w:val="28"/>
          <w:szCs w:val="28"/>
        </w:rPr>
      </w:pPr>
      <w:bookmarkStart w:id="19" w:name="_Toc10572"/>
      <w:r>
        <w:rPr>
          <w:rFonts w:hint="eastAsia" w:ascii="Times New Roman" w:hAnsi="Times New Roman"/>
          <w:b/>
          <w:bCs/>
          <w:snapToGrid w:val="0"/>
          <w:sz w:val="28"/>
          <w:szCs w:val="28"/>
        </w:rPr>
        <w:t>附图1 项目地理位置图</w:t>
      </w:r>
      <w:bookmarkEnd w:id="19"/>
      <w:bookmarkStart w:id="20" w:name="_Toc199"/>
    </w:p>
    <w:p w14:paraId="14138F50">
      <w:pPr>
        <w:pStyle w:val="19"/>
        <w:adjustRightInd w:val="0"/>
        <w:snapToGrid w:val="0"/>
        <w:spacing w:before="0" w:beforeAutospacing="0" w:after="0" w:afterAutospacing="0"/>
        <w:outlineLvl w:val="0"/>
        <w:rPr>
          <w:rFonts w:ascii="Times New Roman" w:hAnsi="Times New Roman"/>
          <w:b/>
          <w:bCs/>
          <w:snapToGrid w:val="0"/>
          <w:sz w:val="28"/>
          <w:szCs w:val="28"/>
        </w:rPr>
        <w:sectPr>
          <w:pgSz w:w="16838" w:h="11906" w:orient="landscape"/>
          <w:pgMar w:top="1020" w:right="1701" w:bottom="1531" w:left="1701" w:header="851" w:footer="851" w:gutter="0"/>
          <w:cols w:space="720" w:num="1"/>
          <w:docGrid w:linePitch="312" w:charSpace="0"/>
        </w:sectPr>
      </w:pPr>
      <w:r>
        <w:rPr>
          <w:sz w:val="28"/>
        </w:rPr>
        <mc:AlternateContent>
          <mc:Choice Requires="wps">
            <w:drawing>
              <wp:anchor distT="0" distB="0" distL="114300" distR="114300" simplePos="0" relativeHeight="251660288" behindDoc="0" locked="0" layoutInCell="1" allowOverlap="1">
                <wp:simplePos x="0" y="0"/>
                <wp:positionH relativeFrom="column">
                  <wp:posOffset>2033905</wp:posOffset>
                </wp:positionH>
                <wp:positionV relativeFrom="paragraph">
                  <wp:posOffset>1685290</wp:posOffset>
                </wp:positionV>
                <wp:extent cx="904875" cy="412750"/>
                <wp:effectExtent l="4445" t="5080" r="5080" b="96520"/>
                <wp:wrapNone/>
                <wp:docPr id="2" name="自选图形 3"/>
                <wp:cNvGraphicFramePr/>
                <a:graphic xmlns:a="http://schemas.openxmlformats.org/drawingml/2006/main">
                  <a:graphicData uri="http://schemas.microsoft.com/office/word/2010/wordprocessingShape">
                    <wps:wsp>
                      <wps:cNvSpPr/>
                      <wps:spPr>
                        <a:xfrm>
                          <a:off x="0" y="0"/>
                          <a:ext cx="904875" cy="41275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7BE230C0">
                            <w:pPr>
                              <w:ind w:firstLine="210" w:firstLineChars="100"/>
                            </w:pPr>
                            <w:r>
                              <w:rPr>
                                <w:rFonts w:hint="eastAsia"/>
                              </w:rPr>
                              <w:t>本项目</w:t>
                            </w:r>
                          </w:p>
                        </w:txbxContent>
                      </wps:txbx>
                      <wps:bodyPr vert="horz" wrap="square" anchor="t" anchorCtr="0" upright="1"/>
                    </wps:wsp>
                  </a:graphicData>
                </a:graphic>
              </wp:anchor>
            </w:drawing>
          </mc:Choice>
          <mc:Fallback>
            <w:pict>
              <v:shape id="自选图形 3" o:spid="_x0000_s1026" o:spt="62" type="#_x0000_t62" style="position:absolute;left:0pt;margin-left:160.15pt;margin-top:132.7pt;height:32.5pt;width:71.25pt;z-index:251660288;mso-width-relative:page;mso-height-relative:page;" fillcolor="#FFFFFF" filled="t" stroked="t" coordsize="21600,21600" o:gfxdata="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A17KY/ZAAAACwEAAA8AAAAAAAAAAQAgAAAAIgAAAGRycy9kb3ducmV2LnhtbFBL&#10;AQIUABQAAAAIAIdO4kDpcCI9ZwIAAOgEAAAOAAAAAAAAAAEAIAAAACgBAABkcnMvZTJvRG9jLnht&#10;bFBLBQYAAAAABgAGAFkBAAABBgAAAAA=&#10;" adj="1350,25920,14400">
                <v:fill on="t" focussize="0,0"/>
                <v:stroke color="#000000" joinstyle="miter"/>
                <v:imagedata o:title=""/>
                <o:lock v:ext="edit" aspectratio="f"/>
                <v:textbox>
                  <w:txbxContent>
                    <w:p w14:paraId="7BE230C0">
                      <w:pPr>
                        <w:ind w:firstLine="210" w:firstLineChars="100"/>
                      </w:pPr>
                      <w:r>
                        <w:rPr>
                          <w:rFonts w:hint="eastAsia"/>
                        </w:rPr>
                        <w:t>本项目</w:t>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1839595</wp:posOffset>
                </wp:positionH>
                <wp:positionV relativeFrom="paragraph">
                  <wp:posOffset>2124075</wp:posOffset>
                </wp:positionV>
                <wp:extent cx="190500" cy="198755"/>
                <wp:effectExtent l="13335" t="16510" r="24765" b="13335"/>
                <wp:wrapNone/>
                <wp:docPr id="1" name="自选图形 2"/>
                <wp:cNvGraphicFramePr/>
                <a:graphic xmlns:a="http://schemas.openxmlformats.org/drawingml/2006/main">
                  <a:graphicData uri="http://schemas.microsoft.com/office/word/2010/wordprocessingShape">
                    <wps:wsp>
                      <wps:cNvSpPr/>
                      <wps:spPr>
                        <a:xfrm>
                          <a:off x="0" y="0"/>
                          <a:ext cx="190500" cy="198755"/>
                        </a:xfrm>
                        <a:prstGeom prst="star5">
                          <a:avLst/>
                        </a:prstGeom>
                        <a:solidFill>
                          <a:srgbClr val="FF0000"/>
                        </a:solidFill>
                        <a:ln w="952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shape id="自选图形 2" o:spid="_x0000_s1026" style="position:absolute;left:0pt;margin-left:144.85pt;margin-top:167.25pt;height:15.65pt;width:15pt;z-index:251659264;mso-width-relative:page;mso-height-relative:page;" fillcolor="#FF0000" filled="t" stroked="t" coordsize="190500,198755" o:gfxdata="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H&#10;hAUE2gAAAAsBAAAPAAAAAAAAAAEAIAAAACIAAABkcnMvZG93bnJldi54bWxQSwECFAAUAAAACACH&#10;TuJAimptlCICAABXBAAADgAAAAAAAAABACAAAAApAQAAZHJzL2Uyb0RvYy54bWxQSwUGAAAAAAYA&#10;BgBZAQAAvQUAAAAA&#10;" path="m0,75917l72764,75917,95250,0,117735,75917,190499,75917,131631,122836,154117,198754,95250,151834,36382,198754,58868,122836xe">
                <v:path o:connectlocs="95250,0;0,75917;36382,198754;154117,198754;190499,75917" o:connectangles="247,164,82,82,0"/>
                <v:fill on="t" focussize="0,0"/>
                <v:stroke color="#FF0000" joinstyle="miter"/>
                <v:imagedata o:title=""/>
                <o:lock v:ext="edit" aspectratio="f"/>
              </v:shape>
            </w:pict>
          </mc:Fallback>
        </mc:AlternateContent>
      </w:r>
      <w:r>
        <w:rPr>
          <w:sz w:val="28"/>
        </w:rPr>
        <w:drawing>
          <wp:inline distT="0" distB="0" distL="114300" distR="114300">
            <wp:extent cx="8020050" cy="5671185"/>
            <wp:effectExtent l="0" t="0" r="0" b="5715"/>
            <wp:docPr id="45" name="图片 45" descr="278-279鄂托克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278-279鄂托克旗"/>
                    <pic:cNvPicPr>
                      <a:picLocks noChangeAspect="1"/>
                    </pic:cNvPicPr>
                  </pic:nvPicPr>
                  <pic:blipFill>
                    <a:blip r:embed="rId23"/>
                    <a:stretch>
                      <a:fillRect/>
                    </a:stretch>
                  </pic:blipFill>
                  <pic:spPr>
                    <a:xfrm>
                      <a:off x="0" y="0"/>
                      <a:ext cx="8020050" cy="5671185"/>
                    </a:xfrm>
                    <a:prstGeom prst="rect">
                      <a:avLst/>
                    </a:prstGeom>
                  </pic:spPr>
                </pic:pic>
              </a:graphicData>
            </a:graphic>
          </wp:inline>
        </w:drawing>
      </w:r>
      <w:bookmarkEnd w:id="20"/>
    </w:p>
    <w:p w14:paraId="4D6DA2A3">
      <w:pPr>
        <w:pStyle w:val="19"/>
        <w:adjustRightInd w:val="0"/>
        <w:snapToGrid w:val="0"/>
        <w:spacing w:before="0" w:beforeAutospacing="0" w:after="0" w:afterAutospacing="0"/>
        <w:outlineLvl w:val="0"/>
        <w:rPr>
          <w:rFonts w:ascii="Times New Roman" w:hAnsi="Times New Roman"/>
          <w:b/>
          <w:bCs/>
          <w:snapToGrid w:val="0"/>
          <w:sz w:val="28"/>
          <w:szCs w:val="28"/>
        </w:rPr>
      </w:pPr>
      <w:bookmarkStart w:id="21" w:name="_Toc6704"/>
      <w:r>
        <w:rPr>
          <w:rFonts w:hint="eastAsia" w:ascii="Times New Roman" w:hAnsi="Times New Roman"/>
          <w:b/>
          <w:bCs/>
          <w:snapToGrid w:val="0"/>
          <w:sz w:val="28"/>
          <w:szCs w:val="28"/>
        </w:rPr>
        <w:t>附图2 “三线一单”查询图</w:t>
      </w:r>
      <w:bookmarkEnd w:id="21"/>
    </w:p>
    <w:p w14:paraId="0205385C">
      <w:pPr>
        <w:sectPr>
          <w:footerReference r:id="rId9" w:type="default"/>
          <w:pgSz w:w="16838" w:h="11906" w:orient="landscape"/>
          <w:pgMar w:top="1531" w:right="1701" w:bottom="1531" w:left="1701" w:header="851" w:footer="851" w:gutter="0"/>
          <w:cols w:space="720" w:num="1"/>
          <w:docGrid w:linePitch="312" w:charSpace="0"/>
        </w:sectPr>
      </w:pPr>
      <w:r>
        <w:rPr>
          <w:sz w:val="28"/>
        </w:rPr>
        <mc:AlternateContent>
          <mc:Choice Requires="wps">
            <w:drawing>
              <wp:anchor distT="0" distB="0" distL="114300" distR="114300" simplePos="0" relativeHeight="251661312" behindDoc="0" locked="0" layoutInCell="1" allowOverlap="1">
                <wp:simplePos x="0" y="0"/>
                <wp:positionH relativeFrom="column">
                  <wp:posOffset>3748405</wp:posOffset>
                </wp:positionH>
                <wp:positionV relativeFrom="paragraph">
                  <wp:posOffset>2303145</wp:posOffset>
                </wp:positionV>
                <wp:extent cx="904875" cy="412750"/>
                <wp:effectExtent l="4445" t="5080" r="5080" b="96520"/>
                <wp:wrapNone/>
                <wp:docPr id="3" name="自选图形 5"/>
                <wp:cNvGraphicFramePr/>
                <a:graphic xmlns:a="http://schemas.openxmlformats.org/drawingml/2006/main">
                  <a:graphicData uri="http://schemas.microsoft.com/office/word/2010/wordprocessingShape">
                    <wps:wsp>
                      <wps:cNvSpPr/>
                      <wps:spPr>
                        <a:xfrm>
                          <a:off x="0" y="0"/>
                          <a:ext cx="904875" cy="41275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3E44C7BB">
                            <w:pPr>
                              <w:ind w:firstLine="240" w:firstLineChars="100"/>
                              <w:rPr>
                                <w:sz w:val="24"/>
                              </w:rPr>
                            </w:pPr>
                            <w:r>
                              <w:rPr>
                                <w:rFonts w:hint="eastAsia"/>
                                <w:sz w:val="24"/>
                              </w:rPr>
                              <w:t>本项目</w:t>
                            </w:r>
                          </w:p>
                        </w:txbxContent>
                      </wps:txbx>
                      <wps:bodyPr wrap="square" upright="1"/>
                    </wps:wsp>
                  </a:graphicData>
                </a:graphic>
              </wp:anchor>
            </w:drawing>
          </mc:Choice>
          <mc:Fallback>
            <w:pict>
              <v:shape id="自选图形 5" o:spid="_x0000_s1026" o:spt="62" type="#_x0000_t62" style="position:absolute;left:0pt;margin-left:295.15pt;margin-top:181.35pt;height:32.5pt;width:71.25pt;z-index:251661312;mso-width-relative:page;mso-height-relative:page;" fillcolor="#FFFFFF" filled="t" stroked="t" coordsize="21600,21600" o:gfxdata="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RbkO/aAAAA&#10;CwEAAA8AAAAAAAAAAQAgAAAAIgAAAGRycy9kb3ducmV2LnhtbFBLAQIUABQAAAAIAIdO4kBIZety&#10;VAIAAMMEAAAOAAAAAAAAAAEAIAAAACkBAABkcnMvZTJvRG9jLnhtbFBLBQYAAAAABgAGAFkBAADv&#10;BQAAAAA=&#10;" adj="1350,25920,14400">
                <v:fill on="t" focussize="0,0"/>
                <v:stroke color="#000000" joinstyle="miter"/>
                <v:imagedata o:title=""/>
                <o:lock v:ext="edit" aspectratio="f"/>
                <v:textbox>
                  <w:txbxContent>
                    <w:p w14:paraId="3E44C7BB">
                      <w:pPr>
                        <w:ind w:firstLine="240" w:firstLineChars="100"/>
                        <w:rPr>
                          <w:sz w:val="24"/>
                        </w:rPr>
                      </w:pPr>
                      <w:r>
                        <w:rPr>
                          <w:rFonts w:hint="eastAsia"/>
                          <w:sz w:val="24"/>
                        </w:rPr>
                        <w:t>本项目</w:t>
                      </w:r>
                    </w:p>
                  </w:txbxContent>
                </v:textbox>
              </v:shape>
            </w:pict>
          </mc:Fallback>
        </mc:AlternateContent>
      </w:r>
      <w:r>
        <w:drawing>
          <wp:inline distT="0" distB="0" distL="114300" distR="114300">
            <wp:extent cx="8610600" cy="4841240"/>
            <wp:effectExtent l="0" t="0" r="0" b="16510"/>
            <wp:docPr id="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pic:cNvPicPr>
                      <a:picLocks noChangeAspect="1"/>
                    </pic:cNvPicPr>
                  </pic:nvPicPr>
                  <pic:blipFill>
                    <a:blip r:embed="rId24"/>
                    <a:stretch>
                      <a:fillRect/>
                    </a:stretch>
                  </pic:blipFill>
                  <pic:spPr>
                    <a:xfrm>
                      <a:off x="0" y="0"/>
                      <a:ext cx="8610600" cy="4841240"/>
                    </a:xfrm>
                    <a:prstGeom prst="rect">
                      <a:avLst/>
                    </a:prstGeom>
                    <a:noFill/>
                    <a:ln>
                      <a:noFill/>
                    </a:ln>
                  </pic:spPr>
                </pic:pic>
              </a:graphicData>
            </a:graphic>
          </wp:inline>
        </w:drawing>
      </w:r>
    </w:p>
    <w:p w14:paraId="1D4FDF8A">
      <w:pPr>
        <w:pStyle w:val="19"/>
        <w:adjustRightInd w:val="0"/>
        <w:snapToGrid w:val="0"/>
        <w:spacing w:before="0" w:beforeAutospacing="0" w:after="0" w:afterAutospacing="0"/>
        <w:outlineLvl w:val="0"/>
        <w:rPr>
          <w:rFonts w:hint="eastAsia" w:ascii="Times New Roman" w:hAnsi="Times New Roman"/>
          <w:b/>
          <w:bCs/>
          <w:snapToGrid w:val="0"/>
          <w:sz w:val="28"/>
          <w:szCs w:val="28"/>
        </w:rPr>
      </w:pPr>
      <w:r>
        <w:rPr>
          <w:rFonts w:hint="eastAsia" w:ascii="Times New Roman" w:hAnsi="Times New Roman"/>
          <w:b/>
          <w:bCs/>
          <w:snapToGrid w:val="0"/>
          <w:sz w:val="28"/>
          <w:szCs w:val="28"/>
        </w:rPr>
        <w:t>附图3 本项目在园区规划布局图中的位置</w:t>
      </w:r>
    </w:p>
    <w:p w14:paraId="1C3F7ADE">
      <w:pPr>
        <w:sectPr>
          <w:pgSz w:w="11906" w:h="16838"/>
          <w:pgMar w:top="1417" w:right="1531" w:bottom="1417" w:left="964" w:header="851" w:footer="851" w:gutter="0"/>
          <w:cols w:space="720" w:num="1"/>
          <w:docGrid w:linePitch="312" w:charSpace="0"/>
        </w:sectPr>
      </w:pPr>
      <w:r>
        <mc:AlternateContent>
          <mc:Choice Requires="wps">
            <w:drawing>
              <wp:anchor distT="0" distB="0" distL="114300" distR="114300" simplePos="0" relativeHeight="251674624" behindDoc="0" locked="0" layoutInCell="1" allowOverlap="1">
                <wp:simplePos x="0" y="0"/>
                <wp:positionH relativeFrom="column">
                  <wp:posOffset>5205730</wp:posOffset>
                </wp:positionH>
                <wp:positionV relativeFrom="paragraph">
                  <wp:posOffset>1649095</wp:posOffset>
                </wp:positionV>
                <wp:extent cx="717550" cy="446405"/>
                <wp:effectExtent l="116840" t="12700" r="22860" b="321945"/>
                <wp:wrapNone/>
                <wp:docPr id="78" name="圆角矩形标注 78"/>
                <wp:cNvGraphicFramePr/>
                <a:graphic xmlns:a="http://schemas.openxmlformats.org/drawingml/2006/main">
                  <a:graphicData uri="http://schemas.microsoft.com/office/word/2010/wordprocessingShape">
                    <wps:wsp>
                      <wps:cNvSpPr/>
                      <wps:spPr>
                        <a:xfrm>
                          <a:off x="5649595" y="2838450"/>
                          <a:ext cx="717550" cy="446405"/>
                        </a:xfrm>
                        <a:prstGeom prst="wedgeRoundRectCallout">
                          <a:avLst>
                            <a:gd name="adj1" fmla="val -64556"/>
                            <a:gd name="adj2" fmla="val 116714"/>
                            <a:gd name="adj3" fmla="val 16667"/>
                          </a:avLst>
                        </a:prstGeom>
                        <a:solidFill>
                          <a:schemeClr val="bg1"/>
                        </a:solidFill>
                        <a:ln>
                          <a:solidFill>
                            <a:schemeClr val="tx1"/>
                          </a:solidFill>
                        </a:ln>
                      </wps:spPr>
                      <wps:style>
                        <a:lnRef idx="2">
                          <a:schemeClr val="accent1"/>
                        </a:lnRef>
                        <a:fillRef idx="0">
                          <a:srgbClr val="FFFFFF"/>
                        </a:fillRef>
                        <a:effectRef idx="0">
                          <a:srgbClr val="FFFFFF"/>
                        </a:effectRef>
                        <a:fontRef idx="minor">
                          <a:schemeClr val="tx1"/>
                        </a:fontRef>
                      </wps:style>
                      <wps:txbx>
                        <w:txbxContent>
                          <w:p w14:paraId="2D706675">
                            <w:pPr>
                              <w:jc w:val="center"/>
                            </w:pPr>
                            <w:r>
                              <w:rPr>
                                <w:rFonts w:hint="eastAsia"/>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409.9pt;margin-top:129.85pt;height:35.15pt;width:56.5pt;z-index:251674624;v-text-anchor:middle;mso-width-relative:page;mso-height-relative:page;" fillcolor="#FFFFFF [3212]" filled="t" stroked="t" coordsize="21600,21600" o:gfxdata="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qTQMKNgAAAAL&#10;AQAADwAAAAAAAAABACAAAAAiAAAAZHJzL2Rvd25yZXYueG1sUEsBAhQAFAAAAAgAh07iQOZtH1fH&#10;AgAAiQUAAA4AAAAAAAAAAQAgAAAAJwEAAGRycy9lMm9Eb2MueG1sUEsFBgAAAAAGAAYAWQEAAGAG&#10;AAAAAA==&#10;" adj="-3144,36010,14400">
                <v:fill on="t" focussize="0,0"/>
                <v:stroke weight="2pt" color="#000000 [3213]" joinstyle="round"/>
                <v:imagedata o:title=""/>
                <o:lock v:ext="edit" aspectratio="f"/>
                <v:textbox>
                  <w:txbxContent>
                    <w:p w14:paraId="2D706675">
                      <w:pPr>
                        <w:jc w:val="center"/>
                      </w:pPr>
                      <w:r>
                        <w:rPr>
                          <w:rFonts w:hint="eastAsia"/>
                        </w:rPr>
                        <w:t>本项目</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4999990</wp:posOffset>
                </wp:positionH>
                <wp:positionV relativeFrom="paragraph">
                  <wp:posOffset>2317115</wp:posOffset>
                </wp:positionV>
                <wp:extent cx="146685" cy="146050"/>
                <wp:effectExtent l="12700" t="12700" r="31115" b="12700"/>
                <wp:wrapNone/>
                <wp:docPr id="77" name="五角星 77"/>
                <wp:cNvGraphicFramePr/>
                <a:graphic xmlns:a="http://schemas.openxmlformats.org/drawingml/2006/main">
                  <a:graphicData uri="http://schemas.microsoft.com/office/word/2010/wordprocessingShape">
                    <wps:wsp>
                      <wps:cNvSpPr/>
                      <wps:spPr>
                        <a:xfrm>
                          <a:off x="5671185" y="3482975"/>
                          <a:ext cx="146685" cy="146050"/>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93.7pt;margin-top:182.45pt;height:11.5pt;width:11.55pt;z-index:251673600;v-text-anchor:middle;mso-width-relative:page;mso-height-relative:page;" fillcolor="#FF0000" filled="t" stroked="t" coordsize="146685,146050" o:gfxdata="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3v6S4dwAAAALAQAADwAAAAAAAAABACAAAAAiAAAA&#10;ZHJzL2Rvd25yZXYueG1sUEsBAhQAFAAAAAgAh07iQGrZMWN1AgAA7gQAAA4AAAAAAAAAAQAgAAAA&#10;KwEAAGRycy9lMm9Eb2MueG1sUEsFBgAAAAAGAAYAWQEAABIGAAAAAA==&#10;" path="m0,55785l56028,55786,73342,0,90656,55786,146684,55785,101356,90263,118670,146049,73342,111571,28014,146049,45328,90263xe">
                <v:path o:connectlocs="73342,0;0,55785;28014,146049;118670,146049;146684,55785" o:connectangles="247,164,82,82,0"/>
                <v:fill on="t" focussize="0,0"/>
                <v:stroke weight="2pt" color="#FF0000 [2404]" joinstyle="round"/>
                <v:imagedata o:title=""/>
                <o:lock v:ext="edit" aspectratio="f"/>
              </v:shape>
            </w:pict>
          </mc:Fallback>
        </mc:AlternateContent>
      </w:r>
      <w:r>
        <w:rPr>
          <w:rFonts w:hint="eastAsia"/>
        </w:rPr>
        <w:t xml:space="preserve">       </w:t>
      </w:r>
      <w:r>
        <w:drawing>
          <wp:inline distT="0" distB="0" distL="114300" distR="114300">
            <wp:extent cx="5448300" cy="7629525"/>
            <wp:effectExtent l="0" t="0" r="0" b="9525"/>
            <wp:docPr id="7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2"/>
                    <pic:cNvPicPr>
                      <a:picLocks noChangeAspect="1"/>
                    </pic:cNvPicPr>
                  </pic:nvPicPr>
                  <pic:blipFill>
                    <a:blip r:embed="rId25"/>
                    <a:stretch>
                      <a:fillRect/>
                    </a:stretch>
                  </pic:blipFill>
                  <pic:spPr>
                    <a:xfrm>
                      <a:off x="0" y="0"/>
                      <a:ext cx="5448300" cy="7629525"/>
                    </a:xfrm>
                    <a:prstGeom prst="rect">
                      <a:avLst/>
                    </a:prstGeom>
                    <a:noFill/>
                    <a:ln>
                      <a:noFill/>
                    </a:ln>
                  </pic:spPr>
                </pic:pic>
              </a:graphicData>
            </a:graphic>
          </wp:inline>
        </w:drawing>
      </w:r>
    </w:p>
    <w:p w14:paraId="4A5956F0">
      <w:pPr>
        <w:pStyle w:val="19"/>
        <w:adjustRightInd w:val="0"/>
        <w:snapToGrid w:val="0"/>
        <w:spacing w:before="0" w:beforeAutospacing="0" w:after="0" w:afterAutospacing="0"/>
        <w:outlineLvl w:val="0"/>
        <w:rPr>
          <w:rFonts w:ascii="Times New Roman" w:hAnsi="Times New Roman"/>
          <w:b/>
          <w:bCs/>
          <w:snapToGrid w:val="0"/>
          <w:sz w:val="28"/>
          <w:szCs w:val="28"/>
        </w:rPr>
      </w:pPr>
      <w:bookmarkStart w:id="22" w:name="_Toc2712"/>
      <w:r>
        <w:rPr>
          <w:rFonts w:hint="eastAsia" w:ascii="Times New Roman" w:hAnsi="Times New Roman"/>
          <w:b/>
          <w:bCs/>
          <w:snapToGrid w:val="0"/>
          <w:sz w:val="28"/>
          <w:szCs w:val="28"/>
        </w:rPr>
        <w:t>附图4 厂区平面布置图</w:t>
      </w:r>
      <w:bookmarkEnd w:id="22"/>
    </w:p>
    <w:p w14:paraId="6069092E">
      <w:pPr>
        <w:pStyle w:val="19"/>
        <w:adjustRightInd w:val="0"/>
        <w:snapToGrid w:val="0"/>
        <w:spacing w:before="0" w:beforeAutospacing="0" w:after="0" w:afterAutospacing="0"/>
        <w:rPr>
          <w:rFonts w:ascii="Times New Roman" w:hAnsi="Times New Roman"/>
          <w:b/>
          <w:bCs/>
          <w:snapToGrid w:val="0"/>
          <w:sz w:val="28"/>
          <w:szCs w:val="28"/>
        </w:rPr>
      </w:pPr>
      <w:r>
        <w:drawing>
          <wp:inline distT="0" distB="0" distL="114300" distR="114300">
            <wp:extent cx="8526145" cy="5033010"/>
            <wp:effectExtent l="0" t="0" r="8255" b="15240"/>
            <wp:docPr id="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
                    <pic:cNvPicPr>
                      <a:picLocks noChangeAspect="1"/>
                    </pic:cNvPicPr>
                  </pic:nvPicPr>
                  <pic:blipFill>
                    <a:blip r:embed="rId26"/>
                    <a:stretch>
                      <a:fillRect/>
                    </a:stretch>
                  </pic:blipFill>
                  <pic:spPr>
                    <a:xfrm>
                      <a:off x="0" y="0"/>
                      <a:ext cx="8526145" cy="5033010"/>
                    </a:xfrm>
                    <a:prstGeom prst="rect">
                      <a:avLst/>
                    </a:prstGeom>
                    <a:noFill/>
                    <a:ln>
                      <a:noFill/>
                    </a:ln>
                  </pic:spPr>
                </pic:pic>
              </a:graphicData>
            </a:graphic>
          </wp:inline>
        </w:drawing>
      </w:r>
    </w:p>
    <w:p w14:paraId="38921B4E">
      <w:r>
        <w:rPr>
          <w:rFonts w:hint="eastAsia"/>
        </w:rPr>
        <w:t xml:space="preserve">             </w:t>
      </w:r>
    </w:p>
    <w:p w14:paraId="582E40E6">
      <w:pPr>
        <w:rPr>
          <w:b/>
          <w:bCs/>
          <w:sz w:val="28"/>
          <w:szCs w:val="28"/>
        </w:rPr>
        <w:sectPr>
          <w:pgSz w:w="16838" w:h="11906" w:orient="landscape"/>
          <w:pgMar w:top="1134" w:right="1701" w:bottom="850" w:left="1701" w:header="851" w:footer="851" w:gutter="0"/>
          <w:cols w:space="720" w:num="1"/>
          <w:docGrid w:linePitch="312" w:charSpace="0"/>
        </w:sectPr>
      </w:pPr>
    </w:p>
    <w:p w14:paraId="017C8EED">
      <w:pPr>
        <w:pStyle w:val="3"/>
        <w:rPr>
          <w:rFonts w:eastAsia="宋体"/>
          <w:snapToGrid w:val="0"/>
          <w:color w:val="auto"/>
          <w:kern w:val="0"/>
          <w:sz w:val="28"/>
          <w:szCs w:val="28"/>
        </w:rPr>
      </w:pPr>
      <w:r>
        <w:drawing>
          <wp:anchor distT="0" distB="0" distL="114300" distR="114300" simplePos="0" relativeHeight="251668480" behindDoc="0" locked="0" layoutInCell="1" allowOverlap="1">
            <wp:simplePos x="0" y="0"/>
            <wp:positionH relativeFrom="column">
              <wp:posOffset>1270</wp:posOffset>
            </wp:positionH>
            <wp:positionV relativeFrom="paragraph">
              <wp:posOffset>418465</wp:posOffset>
            </wp:positionV>
            <wp:extent cx="1195070" cy="1169035"/>
            <wp:effectExtent l="0" t="0" r="5080" b="12065"/>
            <wp:wrapNone/>
            <wp:docPr id="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9"/>
                    <pic:cNvPicPr>
                      <a:picLocks noChangeAspect="1"/>
                    </pic:cNvPicPr>
                  </pic:nvPicPr>
                  <pic:blipFill>
                    <a:blip r:embed="rId27"/>
                    <a:stretch>
                      <a:fillRect/>
                    </a:stretch>
                  </pic:blipFill>
                  <pic:spPr>
                    <a:xfrm>
                      <a:off x="0" y="0"/>
                      <a:ext cx="1195070" cy="1169035"/>
                    </a:xfrm>
                    <a:prstGeom prst="rect">
                      <a:avLst/>
                    </a:prstGeom>
                    <a:noFill/>
                    <a:ln>
                      <a:noFill/>
                    </a:ln>
                  </pic:spPr>
                </pic:pic>
              </a:graphicData>
            </a:graphic>
          </wp:anchor>
        </w:drawing>
      </w:r>
      <w:r>
        <w:rPr>
          <w:rFonts w:hint="eastAsia" w:eastAsia="宋体"/>
          <w:snapToGrid w:val="0"/>
          <w:color w:val="auto"/>
          <w:kern w:val="0"/>
          <w:sz w:val="28"/>
          <w:szCs w:val="28"/>
        </w:rPr>
        <w:t>附图5 项目周边四邻情况图</w:t>
      </w:r>
    </w:p>
    <w:p w14:paraId="2283C5A2">
      <w:r>
        <mc:AlternateContent>
          <mc:Choice Requires="wps">
            <w:drawing>
              <wp:anchor distT="0" distB="0" distL="114300" distR="114300" simplePos="0" relativeHeight="251672576" behindDoc="0" locked="0" layoutInCell="1" allowOverlap="1">
                <wp:simplePos x="0" y="0"/>
                <wp:positionH relativeFrom="column">
                  <wp:posOffset>4504690</wp:posOffset>
                </wp:positionH>
                <wp:positionV relativeFrom="paragraph">
                  <wp:posOffset>2397125</wp:posOffset>
                </wp:positionV>
                <wp:extent cx="1276350" cy="704215"/>
                <wp:effectExtent l="4445" t="4445" r="14605" b="15240"/>
                <wp:wrapNone/>
                <wp:docPr id="73" name="文本框 73"/>
                <wp:cNvGraphicFramePr/>
                <a:graphic xmlns:a="http://schemas.openxmlformats.org/drawingml/2006/main">
                  <a:graphicData uri="http://schemas.microsoft.com/office/word/2010/wordprocessingShape">
                    <wps:wsp>
                      <wps:cNvSpPr txBox="1"/>
                      <wps:spPr>
                        <a:xfrm>
                          <a:off x="0" y="0"/>
                          <a:ext cx="1276350" cy="7042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86C0698">
                            <w:r>
                              <w:rPr>
                                <w:rFonts w:hint="eastAsia"/>
                                <w:sz w:val="24"/>
                              </w:rPr>
                              <w:t>东侧：鄂托克旗新航焦化有限公司职工生活区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4.7pt;margin-top:188.75pt;height:55.45pt;width:100.5pt;z-index:251672576;mso-width-relative:page;mso-height-relative:page;" fillcolor="#FFFFFF [3201]" filled="t" stroked="t" coordsize="21600,21600" o:gfxdata="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OCEHTYAAAA&#10;CwEAAA8AAAAAAAAAAQAgAAAAIgAAAGRycy9kb3ducmV2LnhtbFBLAQIUABQAAAAIAIdO4kBuIZZW&#10;VgIAALkEAAAOAAAAAAAAAAEAIAAAACcBAABkcnMvZTJvRG9jLnhtbFBLBQYAAAAABgAGAFkBAADv&#10;BQAAAAA=&#10;">
                <v:fill on="t" focussize="0,0"/>
                <v:stroke weight="0.5pt" color="#000000 [3204]" joinstyle="round"/>
                <v:imagedata o:title=""/>
                <o:lock v:ext="edit" aspectratio="f"/>
                <v:textbox>
                  <w:txbxContent>
                    <w:p w14:paraId="386C0698">
                      <w:r>
                        <w:rPr>
                          <w:rFonts w:hint="eastAsia"/>
                          <w:sz w:val="24"/>
                        </w:rPr>
                        <w:t>东侧：鄂托克旗新航焦化有限公司职工生活区</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695325</wp:posOffset>
                </wp:positionH>
                <wp:positionV relativeFrom="paragraph">
                  <wp:posOffset>1748790</wp:posOffset>
                </wp:positionV>
                <wp:extent cx="923290" cy="361950"/>
                <wp:effectExtent l="4445" t="4445" r="5715" b="14605"/>
                <wp:wrapNone/>
                <wp:docPr id="71" name="文本框 71"/>
                <wp:cNvGraphicFramePr/>
                <a:graphic xmlns:a="http://schemas.openxmlformats.org/drawingml/2006/main">
                  <a:graphicData uri="http://schemas.microsoft.com/office/word/2010/wordprocessingShape">
                    <wps:wsp>
                      <wps:cNvSpPr txBox="1"/>
                      <wps:spPr>
                        <a:xfrm>
                          <a:off x="1974850" y="3147060"/>
                          <a:ext cx="923290" cy="3619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4A46C79">
                            <w:r>
                              <w:rPr>
                                <w:rFonts w:hint="eastAsia"/>
                                <w:sz w:val="24"/>
                              </w:rPr>
                              <w:t>西侧：空地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5pt;margin-top:137.7pt;height:28.5pt;width:72.7pt;z-index:251670528;mso-width-relative:page;mso-height-relative:page;" fillcolor="#FFFFFF [3201]" filled="t" stroked="t" coordsize="21600,21600" o:gfxdata="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Feoo1dgAAAALAQAADwAAAAAAAAABACAAAAAiAAAAZHJzL2Rvd25yZXYueG1sUEsBAhQAFAAA&#10;AAgAh07iQL+ZzbRhAgAAxAQAAA4AAAAAAAAAAQAgAAAAJwEAAGRycy9lMm9Eb2MueG1sUEsFBgAA&#10;AAAGAAYAWQEAAPoFAAAAAA==&#10;">
                <v:fill on="t" focussize="0,0"/>
                <v:stroke weight="0.5pt" color="#000000 [3204]" joinstyle="round"/>
                <v:imagedata o:title=""/>
                <o:lock v:ext="edit" aspectratio="f"/>
                <v:textbox>
                  <w:txbxContent>
                    <w:p w14:paraId="44A46C79">
                      <w:r>
                        <w:rPr>
                          <w:rFonts w:hint="eastAsia"/>
                          <w:sz w:val="24"/>
                        </w:rPr>
                        <w:t>西侧：空地</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2999740</wp:posOffset>
                </wp:positionH>
                <wp:positionV relativeFrom="paragraph">
                  <wp:posOffset>862965</wp:posOffset>
                </wp:positionV>
                <wp:extent cx="1733550" cy="590550"/>
                <wp:effectExtent l="4445" t="5080" r="14605" b="13970"/>
                <wp:wrapNone/>
                <wp:docPr id="70" name="文本框 70"/>
                <wp:cNvGraphicFramePr/>
                <a:graphic xmlns:a="http://schemas.openxmlformats.org/drawingml/2006/main">
                  <a:graphicData uri="http://schemas.microsoft.com/office/word/2010/wordprocessingShape">
                    <wps:wsp>
                      <wps:cNvSpPr txBox="1"/>
                      <wps:spPr>
                        <a:xfrm>
                          <a:off x="4146550" y="2118360"/>
                          <a:ext cx="1733550" cy="5905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8A93FA1">
                            <w:r>
                              <w:rPr>
                                <w:rFonts w:hint="eastAsia"/>
                                <w:sz w:val="24"/>
                              </w:rPr>
                              <w:t>北侧：鄂托克旗新航焦化有限公司焦化厂区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6.2pt;margin-top:67.95pt;height:46.5pt;width:136.5pt;z-index:251669504;mso-width-relative:page;mso-height-relative:page;" fillcolor="#FFFFFF [3201]" filled="t" stroked="t" coordsize="21600,21600" o:gfxdata="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fFwzy2AAAAAsBAAAPAAAAAAAAAAEAIAAAACIAAABkcnMvZG93bnJldi54bWxQSwECFAAUAAAA&#10;CACHTuJA4ydBhWACAADFBAAADgAAAAAAAAABACAAAAAnAQAAZHJzL2Uyb0RvYy54bWxQSwUGAAAA&#10;AAYABgBZAQAA+QUAAAAA&#10;">
                <v:fill on="t" focussize="0,0"/>
                <v:stroke weight="0.5pt" color="#000000 [3204]" joinstyle="round"/>
                <v:imagedata o:title=""/>
                <o:lock v:ext="edit" aspectratio="f"/>
                <v:textbox>
                  <w:txbxContent>
                    <w:p w14:paraId="68A93FA1">
                      <w:r>
                        <w:rPr>
                          <w:rFonts w:hint="eastAsia"/>
                          <w:sz w:val="24"/>
                        </w:rPr>
                        <w:t>北侧：鄂托克旗新航焦化有限公司焦化厂区</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2399665</wp:posOffset>
                </wp:positionH>
                <wp:positionV relativeFrom="paragraph">
                  <wp:posOffset>2748915</wp:posOffset>
                </wp:positionV>
                <wp:extent cx="1266825" cy="543560"/>
                <wp:effectExtent l="4445" t="4445" r="5080" b="23495"/>
                <wp:wrapNone/>
                <wp:docPr id="72" name="文本框 72"/>
                <wp:cNvGraphicFramePr/>
                <a:graphic xmlns:a="http://schemas.openxmlformats.org/drawingml/2006/main">
                  <a:graphicData uri="http://schemas.microsoft.com/office/word/2010/wordprocessingShape">
                    <wps:wsp>
                      <wps:cNvSpPr txBox="1"/>
                      <wps:spPr>
                        <a:xfrm>
                          <a:off x="0" y="0"/>
                          <a:ext cx="1266825" cy="5435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9C1F16">
                            <w:r>
                              <w:rPr>
                                <w:rFonts w:hint="eastAsia"/>
                                <w:sz w:val="24"/>
                              </w:rPr>
                              <w:t>南侧：内蒙古天宝炭素有限公司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95pt;margin-top:216.45pt;height:42.8pt;width:99.75pt;z-index:251671552;mso-width-relative:page;mso-height-relative:page;" fillcolor="#FFFFFF [3201]" filled="t" stroked="t" coordsize="21600,21600" o:gfxdata="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IT&#10;SOTYAAAACwEAAA8AAAAAAAAAAQAgAAAAIgAAAGRycy9kb3ducmV2LnhtbFBLAQIUABQAAAAIAIdO&#10;4kCV4zbnXAIAALkEAAAOAAAAAAAAAAEAIAAAACcBAABkcnMvZTJvRG9jLnhtbFBLBQYAAAAABgAG&#10;AFkBAAD1BQAAAAA=&#10;">
                <v:fill on="t" focussize="0,0"/>
                <v:stroke weight="0.5pt" color="#000000 [3204]" joinstyle="round"/>
                <v:imagedata o:title=""/>
                <o:lock v:ext="edit" aspectratio="f"/>
                <v:textbox>
                  <w:txbxContent>
                    <w:p w14:paraId="179C1F16">
                      <w:r>
                        <w:rPr>
                          <w:rFonts w:hint="eastAsia"/>
                          <w:sz w:val="24"/>
                        </w:rPr>
                        <w:t>南侧：内蒙古天宝炭素有限公司</w:t>
                      </w:r>
                    </w:p>
                  </w:txbxContent>
                </v:textbox>
              </v:shape>
            </w:pict>
          </mc:Fallback>
        </mc:AlternateContent>
      </w:r>
      <w:r>
        <w:drawing>
          <wp:inline distT="0" distB="0" distL="114300" distR="114300">
            <wp:extent cx="8181975" cy="4752975"/>
            <wp:effectExtent l="0" t="0" r="9525" b="9525"/>
            <wp:docPr id="6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8"/>
                    <pic:cNvPicPr>
                      <a:picLocks noChangeAspect="1"/>
                    </pic:cNvPicPr>
                  </pic:nvPicPr>
                  <pic:blipFill>
                    <a:blip r:embed="rId28"/>
                    <a:stretch>
                      <a:fillRect/>
                    </a:stretch>
                  </pic:blipFill>
                  <pic:spPr>
                    <a:xfrm>
                      <a:off x="0" y="0"/>
                      <a:ext cx="8181975" cy="4752975"/>
                    </a:xfrm>
                    <a:prstGeom prst="rect">
                      <a:avLst/>
                    </a:prstGeom>
                    <a:noFill/>
                    <a:ln>
                      <a:noFill/>
                    </a:ln>
                  </pic:spPr>
                </pic:pic>
              </a:graphicData>
            </a:graphic>
          </wp:inline>
        </w:drawing>
      </w:r>
    </w:p>
    <w:p w14:paraId="34419FC9">
      <w:pPr>
        <w:rPr>
          <w:b/>
          <w:bCs/>
          <w:snapToGrid w:val="0"/>
          <w:kern w:val="0"/>
          <w:sz w:val="24"/>
        </w:rPr>
        <w:sectPr>
          <w:pgSz w:w="16838" w:h="11906" w:orient="landscape"/>
          <w:pgMar w:top="1531" w:right="1701" w:bottom="1531" w:left="1701" w:header="851" w:footer="851" w:gutter="0"/>
          <w:cols w:space="720" w:num="1"/>
          <w:docGrid w:linePitch="312" w:charSpace="0"/>
        </w:sectPr>
      </w:pPr>
    </w:p>
    <w:p w14:paraId="10331554">
      <w:pPr>
        <w:pStyle w:val="3"/>
        <w:rPr>
          <w:rFonts w:hint="eastAsia" w:eastAsia="宋体"/>
          <w:snapToGrid w:val="0"/>
          <w:color w:val="auto"/>
          <w:kern w:val="0"/>
          <w:sz w:val="28"/>
          <w:szCs w:val="28"/>
          <w:lang w:val="en-US" w:eastAsia="zh-CN"/>
        </w:rPr>
      </w:pPr>
      <w:r>
        <w:rPr>
          <w:rFonts w:hint="eastAsia" w:eastAsia="宋体"/>
          <w:snapToGrid w:val="0"/>
          <w:color w:val="auto"/>
          <w:kern w:val="0"/>
          <w:sz w:val="28"/>
          <w:szCs w:val="28"/>
        </w:rPr>
        <w:t>附图</w:t>
      </w:r>
      <w:r>
        <w:rPr>
          <w:rFonts w:hint="eastAsia" w:eastAsia="宋体"/>
          <w:snapToGrid w:val="0"/>
          <w:color w:val="auto"/>
          <w:kern w:val="0"/>
          <w:sz w:val="28"/>
          <w:szCs w:val="28"/>
          <w:lang w:val="en-US" w:eastAsia="zh-CN"/>
        </w:rPr>
        <w:t>6</w:t>
      </w:r>
      <w:r>
        <w:rPr>
          <w:rFonts w:hint="eastAsia" w:eastAsia="宋体"/>
          <w:snapToGrid w:val="0"/>
          <w:color w:val="auto"/>
          <w:kern w:val="0"/>
          <w:sz w:val="28"/>
          <w:szCs w:val="28"/>
        </w:rPr>
        <w:t xml:space="preserve"> </w:t>
      </w:r>
      <w:r>
        <w:rPr>
          <w:rFonts w:hint="eastAsia" w:eastAsia="宋体"/>
          <w:snapToGrid w:val="0"/>
          <w:color w:val="auto"/>
          <w:kern w:val="0"/>
          <w:sz w:val="28"/>
          <w:szCs w:val="28"/>
          <w:lang w:val="en-US" w:eastAsia="zh-CN"/>
        </w:rPr>
        <w:t>本项目与依托危废暂存间位置关系图</w:t>
      </w:r>
    </w:p>
    <w:p w14:paraId="33A29418">
      <w:pPr>
        <w:rPr>
          <w:rFonts w:hint="eastAsia" w:eastAsia="宋体"/>
          <w:snapToGrid w:val="0"/>
          <w:color w:val="auto"/>
          <w:kern w:val="0"/>
          <w:sz w:val="28"/>
          <w:szCs w:val="28"/>
          <w:lang w:val="en-US" w:eastAsia="zh-CN"/>
        </w:rPr>
        <w:sectPr>
          <w:pgSz w:w="16838" w:h="11906" w:orient="landscape"/>
          <w:pgMar w:top="1531" w:right="1701" w:bottom="1531" w:left="1701" w:header="851" w:footer="851" w:gutter="0"/>
          <w:cols w:space="720" w:num="1"/>
          <w:docGrid w:linePitch="312" w:charSpace="0"/>
        </w:sectPr>
      </w:pPr>
      <w:r>
        <w:drawing>
          <wp:inline distT="0" distB="0" distL="114300" distR="114300">
            <wp:extent cx="8032115" cy="5106670"/>
            <wp:effectExtent l="0" t="0" r="6985" b="17780"/>
            <wp:docPr id="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
                    <pic:cNvPicPr>
                      <a:picLocks noChangeAspect="1"/>
                    </pic:cNvPicPr>
                  </pic:nvPicPr>
                  <pic:blipFill>
                    <a:blip r:embed="rId29"/>
                    <a:stretch>
                      <a:fillRect/>
                    </a:stretch>
                  </pic:blipFill>
                  <pic:spPr>
                    <a:xfrm>
                      <a:off x="0" y="0"/>
                      <a:ext cx="8032115" cy="5106670"/>
                    </a:xfrm>
                    <a:prstGeom prst="rect">
                      <a:avLst/>
                    </a:prstGeom>
                    <a:noFill/>
                    <a:ln>
                      <a:noFill/>
                    </a:ln>
                  </pic:spPr>
                </pic:pic>
              </a:graphicData>
            </a:graphic>
          </wp:inline>
        </w:drawing>
      </w:r>
    </w:p>
    <w:p w14:paraId="476EE744">
      <w:pPr>
        <w:pStyle w:val="3"/>
        <w:rPr>
          <w:rFonts w:hint="eastAsia" w:eastAsia="宋体"/>
          <w:snapToGrid w:val="0"/>
          <w:color w:val="auto"/>
          <w:kern w:val="0"/>
          <w:sz w:val="28"/>
          <w:szCs w:val="28"/>
          <w:lang w:val="en-US" w:eastAsia="zh-CN"/>
        </w:rPr>
      </w:pPr>
      <w:r>
        <w:rPr>
          <w:rFonts w:hint="eastAsia" w:eastAsia="宋体"/>
          <w:snapToGrid w:val="0"/>
          <w:color w:val="auto"/>
          <w:kern w:val="0"/>
          <w:sz w:val="28"/>
          <w:szCs w:val="28"/>
          <w:lang w:val="en-US" w:eastAsia="zh-CN"/>
        </w:rPr>
        <w:t>附图7 本项目评价范围图</w:t>
      </w:r>
    </w:p>
    <w:p w14:paraId="4847BD23">
      <w:pPr>
        <w:sectPr>
          <w:pgSz w:w="16838" w:h="11906" w:orient="landscape"/>
          <w:pgMar w:top="1531" w:right="1701" w:bottom="1531" w:left="1701" w:header="851" w:footer="851" w:gutter="0"/>
          <w:cols w:space="720" w:num="1"/>
          <w:docGrid w:linePitch="312" w:charSpace="0"/>
        </w:sectPr>
      </w:pPr>
      <w:r>
        <w:drawing>
          <wp:inline distT="0" distB="0" distL="114300" distR="114300">
            <wp:extent cx="7844790" cy="4904105"/>
            <wp:effectExtent l="0" t="0" r="3810" b="10795"/>
            <wp:docPr id="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
                    <pic:cNvPicPr>
                      <a:picLocks noChangeAspect="1"/>
                    </pic:cNvPicPr>
                  </pic:nvPicPr>
                  <pic:blipFill>
                    <a:blip r:embed="rId30"/>
                    <a:stretch>
                      <a:fillRect/>
                    </a:stretch>
                  </pic:blipFill>
                  <pic:spPr>
                    <a:xfrm>
                      <a:off x="0" y="0"/>
                      <a:ext cx="7844790" cy="4904105"/>
                    </a:xfrm>
                    <a:prstGeom prst="rect">
                      <a:avLst/>
                    </a:prstGeom>
                    <a:noFill/>
                    <a:ln>
                      <a:noFill/>
                    </a:ln>
                  </pic:spPr>
                </pic:pic>
              </a:graphicData>
            </a:graphic>
          </wp:inline>
        </w:drawing>
      </w:r>
    </w:p>
    <w:p w14:paraId="29AF3A3C">
      <w:pPr>
        <w:pStyle w:val="3"/>
        <w:rPr>
          <w:rFonts w:hint="eastAsia" w:eastAsia="宋体"/>
          <w:snapToGrid w:val="0"/>
          <w:color w:val="auto"/>
          <w:kern w:val="0"/>
          <w:sz w:val="28"/>
          <w:szCs w:val="28"/>
          <w:lang w:val="en-US" w:eastAsia="zh-CN"/>
        </w:rPr>
      </w:pPr>
      <w:r>
        <w:rPr>
          <w:rFonts w:hint="eastAsia" w:eastAsia="宋体"/>
          <w:snapToGrid w:val="0"/>
          <w:color w:val="auto"/>
          <w:kern w:val="0"/>
          <w:sz w:val="28"/>
          <w:szCs w:val="28"/>
          <w:lang w:val="en-US" w:eastAsia="zh-CN"/>
        </w:rPr>
        <w:t>附图8  本项目与西鄂尔多斯自然保护区位置关系图</w:t>
      </w:r>
    </w:p>
    <w:p w14:paraId="6B645C0A">
      <w:pPr>
        <w:pStyle w:val="2"/>
        <w:rPr>
          <w:rFonts w:hint="default"/>
          <w:lang w:val="en-US" w:eastAsia="zh-CN"/>
        </w:rPr>
        <w:sectPr>
          <w:pgSz w:w="16838" w:h="11906" w:orient="landscape"/>
          <w:pgMar w:top="1191" w:right="1701" w:bottom="1531" w:left="1701" w:header="851" w:footer="851" w:gutter="0"/>
          <w:cols w:space="720" w:num="1"/>
          <w:docGrid w:linePitch="312" w:charSpace="0"/>
        </w:sectPr>
      </w:pPr>
      <w:r>
        <w:rPr>
          <w:rFonts w:hint="default"/>
          <w:lang w:val="en-US" w:eastAsia="zh-CN"/>
        </w:rPr>
        <w:drawing>
          <wp:inline distT="0" distB="0" distL="114300" distR="114300">
            <wp:extent cx="7490460" cy="5300345"/>
            <wp:effectExtent l="0" t="0" r="15240" b="14605"/>
            <wp:docPr id="81" name="图片 81" descr="cef177e4598c7255b392236cc88a3a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cef177e4598c7255b392236cc88a3ab0"/>
                    <pic:cNvPicPr>
                      <a:picLocks noChangeAspect="1"/>
                    </pic:cNvPicPr>
                  </pic:nvPicPr>
                  <pic:blipFill>
                    <a:blip r:embed="rId31"/>
                    <a:stretch>
                      <a:fillRect/>
                    </a:stretch>
                  </pic:blipFill>
                  <pic:spPr>
                    <a:xfrm>
                      <a:off x="0" y="0"/>
                      <a:ext cx="7490460" cy="5300345"/>
                    </a:xfrm>
                    <a:prstGeom prst="rect">
                      <a:avLst/>
                    </a:prstGeom>
                  </pic:spPr>
                </pic:pic>
              </a:graphicData>
            </a:graphic>
          </wp:inline>
        </w:drawing>
      </w:r>
    </w:p>
    <w:p w14:paraId="549BAF62">
      <w:pPr>
        <w:pStyle w:val="19"/>
        <w:adjustRightInd w:val="0"/>
        <w:snapToGrid w:val="0"/>
        <w:spacing w:before="0" w:beforeAutospacing="0" w:after="0" w:afterAutospacing="0"/>
        <w:outlineLvl w:val="0"/>
        <w:rPr>
          <w:rFonts w:hint="eastAsia"/>
        </w:rPr>
      </w:pPr>
      <w:bookmarkStart w:id="23" w:name="_Toc28387"/>
      <w:r>
        <w:rPr>
          <w:rFonts w:hint="eastAsia" w:ascii="Times New Roman" w:hAnsi="Times New Roman"/>
          <w:b/>
          <w:bCs/>
          <w:snapToGrid w:val="0"/>
          <w:sz w:val="28"/>
          <w:szCs w:val="28"/>
        </w:rPr>
        <w:t>附件1 委托书</w:t>
      </w:r>
      <w:bookmarkEnd w:id="23"/>
    </w:p>
    <w:p w14:paraId="73A41E20">
      <w:pPr>
        <w:pStyle w:val="19"/>
        <w:adjustRightInd w:val="0"/>
        <w:snapToGrid w:val="0"/>
        <w:spacing w:before="0" w:beforeAutospacing="0" w:after="0" w:afterAutospacing="0"/>
        <w:outlineLvl w:val="0"/>
        <w:rPr>
          <w:rFonts w:hint="eastAsia"/>
        </w:rPr>
        <w:sectPr>
          <w:footerReference r:id="rId10" w:type="default"/>
          <w:pgSz w:w="11906" w:h="16838"/>
          <w:pgMar w:top="1701" w:right="1531" w:bottom="1701" w:left="1531" w:header="851" w:footer="851" w:gutter="0"/>
          <w:cols w:space="720" w:num="1"/>
          <w:docGrid w:linePitch="312" w:charSpace="0"/>
        </w:sectPr>
      </w:pPr>
      <w:r>
        <w:rPr>
          <w:rFonts w:hint="eastAsia"/>
        </w:rPr>
        <w:drawing>
          <wp:inline distT="0" distB="0" distL="114300" distR="114300">
            <wp:extent cx="5599430" cy="7923530"/>
            <wp:effectExtent l="0" t="0" r="1270" b="1270"/>
            <wp:docPr id="6" name="图片 6" descr="扫描全能王 2026-02-27 14.18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扫描全能王 2026-02-27 14.18_01"/>
                    <pic:cNvPicPr>
                      <a:picLocks noChangeAspect="1"/>
                    </pic:cNvPicPr>
                  </pic:nvPicPr>
                  <pic:blipFill>
                    <a:blip r:embed="rId32"/>
                    <a:stretch>
                      <a:fillRect/>
                    </a:stretch>
                  </pic:blipFill>
                  <pic:spPr>
                    <a:xfrm>
                      <a:off x="0" y="0"/>
                      <a:ext cx="5599430" cy="7923530"/>
                    </a:xfrm>
                    <a:prstGeom prst="rect">
                      <a:avLst/>
                    </a:prstGeom>
                  </pic:spPr>
                </pic:pic>
              </a:graphicData>
            </a:graphic>
          </wp:inline>
        </w:drawing>
      </w:r>
    </w:p>
    <w:p w14:paraId="7A2499C6">
      <w:pPr>
        <w:pStyle w:val="19"/>
        <w:adjustRightInd w:val="0"/>
        <w:snapToGrid w:val="0"/>
        <w:spacing w:before="0" w:beforeAutospacing="0" w:after="0" w:afterAutospacing="0"/>
        <w:outlineLvl w:val="0"/>
        <w:rPr>
          <w:rFonts w:ascii="Times New Roman" w:hAnsi="Times New Roman"/>
          <w:b/>
          <w:bCs/>
          <w:snapToGrid w:val="0"/>
          <w:sz w:val="28"/>
          <w:szCs w:val="28"/>
        </w:rPr>
      </w:pPr>
      <w:bookmarkStart w:id="24" w:name="_Toc7976"/>
      <w:r>
        <w:rPr>
          <w:rFonts w:hint="eastAsia" w:ascii="Times New Roman" w:hAnsi="Times New Roman"/>
          <w:b/>
          <w:bCs/>
          <w:snapToGrid w:val="0"/>
          <w:sz w:val="28"/>
          <w:szCs w:val="28"/>
        </w:rPr>
        <w:t>附件2 立项文件</w:t>
      </w:r>
    </w:p>
    <w:p w14:paraId="692C2D59">
      <w:pPr>
        <w:pStyle w:val="19"/>
        <w:adjustRightInd w:val="0"/>
        <w:snapToGrid w:val="0"/>
        <w:spacing w:before="0" w:beforeAutospacing="0" w:after="0" w:afterAutospacing="0"/>
        <w:outlineLvl w:val="0"/>
        <w:rPr>
          <w:rFonts w:ascii="Times New Roman" w:hAnsi="Times New Roman"/>
          <w:b/>
          <w:bCs/>
          <w:snapToGrid w:val="0"/>
          <w:sz w:val="28"/>
          <w:szCs w:val="28"/>
        </w:rPr>
        <w:sectPr>
          <w:pgSz w:w="11906" w:h="16838"/>
          <w:pgMar w:top="1701" w:right="1531" w:bottom="1701" w:left="1531" w:header="851" w:footer="851" w:gutter="0"/>
          <w:cols w:space="720" w:num="1"/>
          <w:docGrid w:linePitch="312" w:charSpace="0"/>
        </w:sectPr>
      </w:pPr>
      <w:r>
        <w:rPr>
          <w:rFonts w:hint="eastAsia" w:ascii="Times New Roman" w:hAnsi="Times New Roman"/>
          <w:b/>
          <w:bCs/>
          <w:snapToGrid w:val="0"/>
          <w:sz w:val="28"/>
          <w:szCs w:val="28"/>
        </w:rPr>
        <w:drawing>
          <wp:inline distT="0" distB="0" distL="114300" distR="114300">
            <wp:extent cx="5612130" cy="7940675"/>
            <wp:effectExtent l="0" t="0" r="7620" b="3175"/>
            <wp:docPr id="11" name="图片 11" descr="54d3ae0fde7c002b1fa6450d6a0677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54d3ae0fde7c002b1fa6450d6a06774b"/>
                    <pic:cNvPicPr>
                      <a:picLocks noChangeAspect="1"/>
                    </pic:cNvPicPr>
                  </pic:nvPicPr>
                  <pic:blipFill>
                    <a:blip r:embed="rId33"/>
                    <a:stretch>
                      <a:fillRect/>
                    </a:stretch>
                  </pic:blipFill>
                  <pic:spPr>
                    <a:xfrm>
                      <a:off x="0" y="0"/>
                      <a:ext cx="5612130" cy="7940675"/>
                    </a:xfrm>
                    <a:prstGeom prst="rect">
                      <a:avLst/>
                    </a:prstGeom>
                  </pic:spPr>
                </pic:pic>
              </a:graphicData>
            </a:graphic>
          </wp:inline>
        </w:drawing>
      </w:r>
    </w:p>
    <w:p w14:paraId="5ED4A93D">
      <w:pPr>
        <w:pStyle w:val="19"/>
        <w:adjustRightInd w:val="0"/>
        <w:snapToGrid w:val="0"/>
        <w:spacing w:before="0" w:beforeAutospacing="0" w:after="0" w:afterAutospacing="0"/>
        <w:outlineLvl w:val="0"/>
        <w:rPr>
          <w:rFonts w:hint="eastAsia" w:ascii="Times New Roman" w:hAnsi="Times New Roman" w:eastAsia="宋体"/>
          <w:b/>
          <w:bCs/>
          <w:snapToGrid w:val="0"/>
          <w:sz w:val="28"/>
          <w:szCs w:val="28"/>
          <w:lang w:eastAsia="zh-CN"/>
        </w:rPr>
      </w:pPr>
      <w:r>
        <w:rPr>
          <w:rFonts w:hint="eastAsia" w:ascii="Times New Roman" w:hAnsi="Times New Roman"/>
          <w:b/>
          <w:bCs/>
          <w:snapToGrid w:val="0"/>
          <w:sz w:val="28"/>
          <w:szCs w:val="28"/>
        </w:rPr>
        <w:t>附件3 内蒙古蒙西矿业有限公司技改扩建年产100万吨捣固焦项目环境影响报告书的批复</w:t>
      </w:r>
      <w:r>
        <w:rPr>
          <w:rFonts w:hint="eastAsia" w:ascii="Times New Roman" w:hAnsi="Times New Roman" w:eastAsia="宋体"/>
          <w:b/>
          <w:bCs/>
          <w:snapToGrid w:val="0"/>
          <w:sz w:val="28"/>
          <w:szCs w:val="28"/>
          <w:lang w:eastAsia="zh-CN"/>
        </w:rPr>
        <w:drawing>
          <wp:inline distT="0" distB="0" distL="114300" distR="114300">
            <wp:extent cx="5601970" cy="7914005"/>
            <wp:effectExtent l="0" t="0" r="17780" b="10795"/>
            <wp:docPr id="5" name="图片 5" descr="100万吨捣固焦项目环境影响报告书的批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00万吨捣固焦项目环境影响报告书的批复_01"/>
                    <pic:cNvPicPr>
                      <a:picLocks noChangeAspect="1"/>
                    </pic:cNvPicPr>
                  </pic:nvPicPr>
                  <pic:blipFill>
                    <a:blip r:embed="rId34"/>
                    <a:stretch>
                      <a:fillRect/>
                    </a:stretch>
                  </pic:blipFill>
                  <pic:spPr>
                    <a:xfrm>
                      <a:off x="0" y="0"/>
                      <a:ext cx="5601970" cy="7914005"/>
                    </a:xfrm>
                    <a:prstGeom prst="rect">
                      <a:avLst/>
                    </a:prstGeom>
                  </pic:spPr>
                </pic:pic>
              </a:graphicData>
            </a:graphic>
          </wp:inline>
        </w:drawing>
      </w:r>
    </w:p>
    <w:p w14:paraId="1F6D774F">
      <w:pPr>
        <w:pStyle w:val="19"/>
        <w:adjustRightInd w:val="0"/>
        <w:snapToGrid w:val="0"/>
        <w:spacing w:before="0" w:beforeAutospacing="0" w:after="0" w:afterAutospacing="0"/>
        <w:outlineLvl w:val="0"/>
        <w:rPr>
          <w:rFonts w:hint="eastAsia" w:ascii="Times New Roman" w:hAnsi="Times New Roman" w:eastAsia="宋体"/>
          <w:b/>
          <w:bCs/>
          <w:snapToGrid w:val="0"/>
          <w:sz w:val="28"/>
          <w:szCs w:val="28"/>
          <w:lang w:eastAsia="zh-CN"/>
        </w:rPr>
        <w:sectPr>
          <w:pgSz w:w="11906" w:h="16838"/>
          <w:pgMar w:top="1701" w:right="1531" w:bottom="1701" w:left="1531" w:header="851" w:footer="851" w:gutter="0"/>
          <w:cols w:space="720" w:num="1"/>
          <w:docGrid w:linePitch="312" w:charSpace="0"/>
        </w:sectPr>
      </w:pPr>
      <w:r>
        <w:rPr>
          <w:rFonts w:hint="eastAsia" w:ascii="Times New Roman" w:hAnsi="Times New Roman" w:eastAsia="宋体"/>
          <w:b/>
          <w:bCs/>
          <w:snapToGrid w:val="0"/>
          <w:sz w:val="28"/>
          <w:szCs w:val="28"/>
          <w:lang w:eastAsia="zh-CN"/>
        </w:rPr>
        <w:drawing>
          <wp:inline distT="0" distB="0" distL="114300" distR="114300">
            <wp:extent cx="5601970" cy="7914005"/>
            <wp:effectExtent l="0" t="0" r="17780" b="10795"/>
            <wp:docPr id="10" name="图片 10" descr="100万吨捣固焦项目环境影响报告书的批复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00万吨捣固焦项目环境影响报告书的批复_02"/>
                    <pic:cNvPicPr>
                      <a:picLocks noChangeAspect="1"/>
                    </pic:cNvPicPr>
                  </pic:nvPicPr>
                  <pic:blipFill>
                    <a:blip r:embed="rId35"/>
                    <a:stretch>
                      <a:fillRect/>
                    </a:stretch>
                  </pic:blipFill>
                  <pic:spPr>
                    <a:xfrm>
                      <a:off x="0" y="0"/>
                      <a:ext cx="5601970" cy="7914005"/>
                    </a:xfrm>
                    <a:prstGeom prst="rect">
                      <a:avLst/>
                    </a:prstGeom>
                  </pic:spPr>
                </pic:pic>
              </a:graphicData>
            </a:graphic>
          </wp:inline>
        </w:drawing>
      </w:r>
      <w:r>
        <w:rPr>
          <w:rFonts w:hint="eastAsia" w:ascii="Times New Roman" w:hAnsi="Times New Roman" w:eastAsia="宋体"/>
          <w:b/>
          <w:bCs/>
          <w:snapToGrid w:val="0"/>
          <w:sz w:val="28"/>
          <w:szCs w:val="28"/>
          <w:lang w:eastAsia="zh-CN"/>
        </w:rPr>
        <w:drawing>
          <wp:inline distT="0" distB="0" distL="114300" distR="114300">
            <wp:extent cx="5601970" cy="7914005"/>
            <wp:effectExtent l="0" t="0" r="17780" b="10795"/>
            <wp:docPr id="15" name="图片 15" descr="100万吨捣固焦项目环境影响报告书的批复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00万吨捣固焦项目环境影响报告书的批复_03"/>
                    <pic:cNvPicPr>
                      <a:picLocks noChangeAspect="1"/>
                    </pic:cNvPicPr>
                  </pic:nvPicPr>
                  <pic:blipFill>
                    <a:blip r:embed="rId36"/>
                    <a:stretch>
                      <a:fillRect/>
                    </a:stretch>
                  </pic:blipFill>
                  <pic:spPr>
                    <a:xfrm>
                      <a:off x="0" y="0"/>
                      <a:ext cx="5601970" cy="7914005"/>
                    </a:xfrm>
                    <a:prstGeom prst="rect">
                      <a:avLst/>
                    </a:prstGeom>
                  </pic:spPr>
                </pic:pic>
              </a:graphicData>
            </a:graphic>
          </wp:inline>
        </w:drawing>
      </w:r>
      <w:r>
        <w:rPr>
          <w:rFonts w:hint="eastAsia" w:ascii="Times New Roman" w:hAnsi="Times New Roman" w:eastAsia="宋体"/>
          <w:b/>
          <w:bCs/>
          <w:snapToGrid w:val="0"/>
          <w:sz w:val="28"/>
          <w:szCs w:val="28"/>
          <w:lang w:eastAsia="zh-CN"/>
        </w:rPr>
        <w:drawing>
          <wp:inline distT="0" distB="0" distL="114300" distR="114300">
            <wp:extent cx="5601970" cy="7914005"/>
            <wp:effectExtent l="0" t="0" r="17780" b="10795"/>
            <wp:docPr id="16" name="图片 16" descr="100万吨捣固焦项目环境影响报告书的批复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00万吨捣固焦项目环境影响报告书的批复_04"/>
                    <pic:cNvPicPr>
                      <a:picLocks noChangeAspect="1"/>
                    </pic:cNvPicPr>
                  </pic:nvPicPr>
                  <pic:blipFill>
                    <a:blip r:embed="rId37"/>
                    <a:stretch>
                      <a:fillRect/>
                    </a:stretch>
                  </pic:blipFill>
                  <pic:spPr>
                    <a:xfrm>
                      <a:off x="0" y="0"/>
                      <a:ext cx="5601970" cy="7914005"/>
                    </a:xfrm>
                    <a:prstGeom prst="rect">
                      <a:avLst/>
                    </a:prstGeom>
                  </pic:spPr>
                </pic:pic>
              </a:graphicData>
            </a:graphic>
          </wp:inline>
        </w:drawing>
      </w:r>
      <w:r>
        <w:rPr>
          <w:rFonts w:hint="eastAsia" w:ascii="Times New Roman" w:hAnsi="Times New Roman" w:eastAsia="宋体"/>
          <w:b/>
          <w:bCs/>
          <w:snapToGrid w:val="0"/>
          <w:sz w:val="28"/>
          <w:szCs w:val="28"/>
          <w:lang w:eastAsia="zh-CN"/>
        </w:rPr>
        <w:drawing>
          <wp:inline distT="0" distB="0" distL="114300" distR="114300">
            <wp:extent cx="5601970" cy="7914005"/>
            <wp:effectExtent l="0" t="0" r="17780" b="10795"/>
            <wp:docPr id="19" name="图片 19" descr="100万吨捣固焦项目环境影响报告书的批复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00万吨捣固焦项目环境影响报告书的批复_05"/>
                    <pic:cNvPicPr>
                      <a:picLocks noChangeAspect="1"/>
                    </pic:cNvPicPr>
                  </pic:nvPicPr>
                  <pic:blipFill>
                    <a:blip r:embed="rId38"/>
                    <a:stretch>
                      <a:fillRect/>
                    </a:stretch>
                  </pic:blipFill>
                  <pic:spPr>
                    <a:xfrm>
                      <a:off x="0" y="0"/>
                      <a:ext cx="5601970" cy="7914005"/>
                    </a:xfrm>
                    <a:prstGeom prst="rect">
                      <a:avLst/>
                    </a:prstGeom>
                  </pic:spPr>
                </pic:pic>
              </a:graphicData>
            </a:graphic>
          </wp:inline>
        </w:drawing>
      </w:r>
      <w:r>
        <w:rPr>
          <w:rFonts w:hint="eastAsia" w:ascii="Times New Roman" w:hAnsi="Times New Roman" w:eastAsia="宋体"/>
          <w:b/>
          <w:bCs/>
          <w:snapToGrid w:val="0"/>
          <w:sz w:val="28"/>
          <w:szCs w:val="28"/>
          <w:lang w:eastAsia="zh-CN"/>
        </w:rPr>
        <w:drawing>
          <wp:inline distT="0" distB="0" distL="114300" distR="114300">
            <wp:extent cx="5601970" cy="7914005"/>
            <wp:effectExtent l="0" t="0" r="17780" b="10795"/>
            <wp:docPr id="24" name="图片 24" descr="100万吨捣固焦项目环境影响报告书的批复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00万吨捣固焦项目环境影响报告书的批复_06"/>
                    <pic:cNvPicPr>
                      <a:picLocks noChangeAspect="1"/>
                    </pic:cNvPicPr>
                  </pic:nvPicPr>
                  <pic:blipFill>
                    <a:blip r:embed="rId39"/>
                    <a:stretch>
                      <a:fillRect/>
                    </a:stretch>
                  </pic:blipFill>
                  <pic:spPr>
                    <a:xfrm>
                      <a:off x="0" y="0"/>
                      <a:ext cx="5601970" cy="7914005"/>
                    </a:xfrm>
                    <a:prstGeom prst="rect">
                      <a:avLst/>
                    </a:prstGeom>
                  </pic:spPr>
                </pic:pic>
              </a:graphicData>
            </a:graphic>
          </wp:inline>
        </w:drawing>
      </w:r>
    </w:p>
    <w:p w14:paraId="4586C5A0">
      <w:pPr>
        <w:pStyle w:val="19"/>
        <w:adjustRightInd w:val="0"/>
        <w:snapToGrid w:val="0"/>
        <w:spacing w:before="0" w:beforeAutospacing="0" w:after="0" w:afterAutospacing="0"/>
        <w:outlineLvl w:val="0"/>
        <w:rPr>
          <w:rFonts w:ascii="Times New Roman" w:hAnsi="Times New Roman"/>
          <w:b/>
          <w:bCs/>
          <w:snapToGrid w:val="0"/>
          <w:sz w:val="28"/>
          <w:szCs w:val="28"/>
        </w:rPr>
      </w:pPr>
      <w:r>
        <w:rPr>
          <w:rFonts w:hint="eastAsia" w:ascii="Times New Roman" w:hAnsi="Times New Roman"/>
          <w:b/>
          <w:bCs/>
          <w:snapToGrid w:val="0"/>
          <w:sz w:val="28"/>
          <w:szCs w:val="28"/>
        </w:rPr>
        <w:t>附件4 内蒙古蒙西矿业有限公司技改扩建年产100万吨捣固焦项目竣工环境保护验收意见</w:t>
      </w:r>
    </w:p>
    <w:p w14:paraId="5E58603E">
      <w:pPr>
        <w:pStyle w:val="19"/>
        <w:adjustRightInd w:val="0"/>
        <w:snapToGrid w:val="0"/>
        <w:spacing w:before="0" w:beforeAutospacing="0" w:after="0" w:afterAutospacing="0"/>
        <w:rPr>
          <w:rFonts w:ascii="Times New Roman" w:hAnsi="Times New Roman"/>
          <w:b/>
          <w:bCs/>
          <w:snapToGrid w:val="0"/>
          <w:sz w:val="28"/>
          <w:szCs w:val="28"/>
        </w:rPr>
      </w:pPr>
      <w:r>
        <w:rPr>
          <w:rFonts w:ascii="Times New Roman" w:hAnsi="Times New Roman"/>
          <w:b/>
          <w:bCs/>
          <w:snapToGrid w:val="0"/>
          <w:sz w:val="28"/>
          <w:szCs w:val="28"/>
        </w:rPr>
        <w:drawing>
          <wp:inline distT="0" distB="0" distL="114300" distR="114300">
            <wp:extent cx="5559425" cy="7859395"/>
            <wp:effectExtent l="0" t="0" r="3175" b="8255"/>
            <wp:docPr id="27" name="图片 27" descr="内蒙古蒙西矿业有限公司技改扩建年产100万吨捣固焦项目竣工环保验收意见（最终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内蒙古蒙西矿业有限公司技改扩建年产100万吨捣固焦项目竣工环保验收意见（最终版）_01"/>
                    <pic:cNvPicPr>
                      <a:picLocks noChangeAspect="1"/>
                    </pic:cNvPicPr>
                  </pic:nvPicPr>
                  <pic:blipFill>
                    <a:blip r:embed="rId40"/>
                    <a:stretch>
                      <a:fillRect/>
                    </a:stretch>
                  </pic:blipFill>
                  <pic:spPr>
                    <a:xfrm>
                      <a:off x="0" y="0"/>
                      <a:ext cx="5559425" cy="7859395"/>
                    </a:xfrm>
                    <a:prstGeom prst="rect">
                      <a:avLst/>
                    </a:prstGeom>
                  </pic:spPr>
                </pic:pic>
              </a:graphicData>
            </a:graphic>
          </wp:inline>
        </w:drawing>
      </w:r>
    </w:p>
    <w:p w14:paraId="7F71118C">
      <w:pPr>
        <w:pStyle w:val="19"/>
        <w:adjustRightInd w:val="0"/>
        <w:snapToGrid w:val="0"/>
        <w:spacing w:before="0" w:beforeAutospacing="0" w:after="0" w:afterAutospacing="0"/>
        <w:outlineLvl w:val="0"/>
        <w:rPr>
          <w:rFonts w:ascii="Times New Roman" w:hAnsi="Times New Roman"/>
          <w:b/>
          <w:bCs/>
          <w:snapToGrid w:val="0"/>
          <w:sz w:val="28"/>
          <w:szCs w:val="28"/>
        </w:rPr>
        <w:sectPr>
          <w:pgSz w:w="11906" w:h="16838"/>
          <w:pgMar w:top="1701" w:right="1531" w:bottom="1701" w:left="1531" w:header="851" w:footer="851" w:gutter="0"/>
          <w:cols w:space="720" w:num="1"/>
          <w:docGrid w:linePitch="312" w:charSpace="0"/>
        </w:sectPr>
      </w:pPr>
      <w:r>
        <w:rPr>
          <w:rFonts w:ascii="Times New Roman" w:hAnsi="Times New Roman"/>
          <w:b/>
          <w:bCs/>
          <w:snapToGrid w:val="0"/>
          <w:sz w:val="28"/>
          <w:szCs w:val="28"/>
        </w:rPr>
        <w:drawing>
          <wp:inline distT="0" distB="0" distL="114300" distR="114300">
            <wp:extent cx="5611495" cy="7933055"/>
            <wp:effectExtent l="0" t="0" r="8255" b="10795"/>
            <wp:docPr id="28" name="图片 28" descr="内蒙古蒙西矿业有限公司技改扩建年产100万吨捣固焦项目竣工环保验收意见（最终版）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内蒙古蒙西矿业有限公司技改扩建年产100万吨捣固焦项目竣工环保验收意见（最终版）_02"/>
                    <pic:cNvPicPr>
                      <a:picLocks noChangeAspect="1"/>
                    </pic:cNvPicPr>
                  </pic:nvPicPr>
                  <pic:blipFill>
                    <a:blip r:embed="rId41"/>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29" name="图片 29" descr="内蒙古蒙西矿业有限公司技改扩建年产100万吨捣固焦项目竣工环保验收意见（最终版）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内蒙古蒙西矿业有限公司技改扩建年产100万吨捣固焦项目竣工环保验收意见（最终版）_03"/>
                    <pic:cNvPicPr>
                      <a:picLocks noChangeAspect="1"/>
                    </pic:cNvPicPr>
                  </pic:nvPicPr>
                  <pic:blipFill>
                    <a:blip r:embed="rId42">
                      <a:lum bright="-6000"/>
                    </a:blip>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30" name="图片 30" descr="内蒙古蒙西矿业有限公司技改扩建年产100万吨捣固焦项目竣工环保验收意见（最终版）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内蒙古蒙西矿业有限公司技改扩建年产100万吨捣固焦项目竣工环保验收意见（最终版）_03"/>
                    <pic:cNvPicPr>
                      <a:picLocks noChangeAspect="1"/>
                    </pic:cNvPicPr>
                  </pic:nvPicPr>
                  <pic:blipFill>
                    <a:blip r:embed="rId42"/>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31" name="图片 31" descr="内蒙古蒙西矿业有限公司技改扩建年产100万吨捣固焦项目竣工环保验收意见（最终版）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内蒙古蒙西矿业有限公司技改扩建年产100万吨捣固焦项目竣工环保验收意见（最终版）_03"/>
                    <pic:cNvPicPr>
                      <a:picLocks noChangeAspect="1"/>
                    </pic:cNvPicPr>
                  </pic:nvPicPr>
                  <pic:blipFill>
                    <a:blip r:embed="rId42"/>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34" name="图片 34" descr="内蒙古蒙西矿业有限公司技改扩建年产100万吨捣固焦项目竣工环保验收意见（最终版）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内蒙古蒙西矿业有限公司技改扩建年产100万吨捣固焦项目竣工环保验收意见（最终版）_05"/>
                    <pic:cNvPicPr>
                      <a:picLocks noChangeAspect="1"/>
                    </pic:cNvPicPr>
                  </pic:nvPicPr>
                  <pic:blipFill>
                    <a:blip r:embed="rId43"/>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35" name="图片 35" descr="内蒙古蒙西矿业有限公司技改扩建年产100万吨捣固焦项目竣工环保验收意见（最终版）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内蒙古蒙西矿业有限公司技改扩建年产100万吨捣固焦项目竣工环保验收意见（最终版）_06"/>
                    <pic:cNvPicPr>
                      <a:picLocks noChangeAspect="1"/>
                    </pic:cNvPicPr>
                  </pic:nvPicPr>
                  <pic:blipFill>
                    <a:blip r:embed="rId44"/>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36" name="图片 36" descr="内蒙古蒙西矿业有限公司技改扩建年产100万吨捣固焦项目竣工环保验收意见（最终版）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内蒙古蒙西矿业有限公司技改扩建年产100万吨捣固焦项目竣工环保验收意见（最终版）_07"/>
                    <pic:cNvPicPr>
                      <a:picLocks noChangeAspect="1"/>
                    </pic:cNvPicPr>
                  </pic:nvPicPr>
                  <pic:blipFill>
                    <a:blip r:embed="rId45"/>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37" name="图片 37" descr="内蒙古蒙西矿业有限公司技改扩建年产100万吨捣固焦项目竣工环保验收意见（最终版）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内蒙古蒙西矿业有限公司技改扩建年产100万吨捣固焦项目竣工环保验收意见（最终版）_08"/>
                    <pic:cNvPicPr>
                      <a:picLocks noChangeAspect="1"/>
                    </pic:cNvPicPr>
                  </pic:nvPicPr>
                  <pic:blipFill>
                    <a:blip r:embed="rId46"/>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40" name="图片 40" descr="内蒙古蒙西矿业有限公司技改扩建年产100万吨捣固焦项目竣工环保验收意见（最终版）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内蒙古蒙西矿业有限公司技改扩建年产100万吨捣固焦项目竣工环保验收意见（最终版）_09"/>
                    <pic:cNvPicPr>
                      <a:picLocks noChangeAspect="1"/>
                    </pic:cNvPicPr>
                  </pic:nvPicPr>
                  <pic:blipFill>
                    <a:blip r:embed="rId47"/>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42" name="图片 42" descr="内蒙古蒙西矿业有限公司技改扩建年产100万吨捣固焦项目竣工环保验收意见（最终版）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内蒙古蒙西矿业有限公司技改扩建年产100万吨捣固焦项目竣工环保验收意见（最终版）_10"/>
                    <pic:cNvPicPr>
                      <a:picLocks noChangeAspect="1"/>
                    </pic:cNvPicPr>
                  </pic:nvPicPr>
                  <pic:blipFill>
                    <a:blip r:embed="rId48"/>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43" name="图片 43" descr="内蒙古蒙西矿业有限公司技改扩建年产100万吨捣固焦项目竣工环保验收意见（最终版）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内蒙古蒙西矿业有限公司技改扩建年产100万吨捣固焦项目竣工环保验收意见（最终版）_10"/>
                    <pic:cNvPicPr>
                      <a:picLocks noChangeAspect="1"/>
                    </pic:cNvPicPr>
                  </pic:nvPicPr>
                  <pic:blipFill>
                    <a:blip r:embed="rId48"/>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50" name="图片 50" descr="内蒙古蒙西矿业有限公司技改扩建年产100万吨捣固焦项目竣工环保验收意见（最终版）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内蒙古蒙西矿业有限公司技改扩建年产100万吨捣固焦项目竣工环保验收意见（最终版）_12"/>
                    <pic:cNvPicPr>
                      <a:picLocks noChangeAspect="1"/>
                    </pic:cNvPicPr>
                  </pic:nvPicPr>
                  <pic:blipFill>
                    <a:blip r:embed="rId49"/>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51" name="图片 51" descr="内蒙古蒙西矿业有限公司技改扩建年产100万吨捣固焦项目竣工环保验收意见（最终版）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内蒙古蒙西矿业有限公司技改扩建年产100万吨捣固焦项目竣工环保验收意见（最终版）_13"/>
                    <pic:cNvPicPr>
                      <a:picLocks noChangeAspect="1"/>
                    </pic:cNvPicPr>
                  </pic:nvPicPr>
                  <pic:blipFill>
                    <a:blip r:embed="rId50"/>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52" name="图片 52" descr="内蒙古蒙西矿业有限公司技改扩建年产100万吨捣固焦项目竣工环保验收意见（最终版）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内蒙古蒙西矿业有限公司技改扩建年产100万吨捣固焦项目竣工环保验收意见（最终版）_14"/>
                    <pic:cNvPicPr>
                      <a:picLocks noChangeAspect="1"/>
                    </pic:cNvPicPr>
                  </pic:nvPicPr>
                  <pic:blipFill>
                    <a:blip r:embed="rId51"/>
                    <a:stretch>
                      <a:fillRect/>
                    </a:stretch>
                  </pic:blipFill>
                  <pic:spPr>
                    <a:xfrm>
                      <a:off x="0" y="0"/>
                      <a:ext cx="5611495" cy="7933055"/>
                    </a:xfrm>
                    <a:prstGeom prst="rect">
                      <a:avLst/>
                    </a:prstGeom>
                  </pic:spPr>
                </pic:pic>
              </a:graphicData>
            </a:graphic>
          </wp:inline>
        </w:drawing>
      </w:r>
      <w:r>
        <w:rPr>
          <w:rFonts w:ascii="Times New Roman" w:hAnsi="Times New Roman"/>
          <w:b/>
          <w:bCs/>
          <w:snapToGrid w:val="0"/>
          <w:sz w:val="28"/>
          <w:szCs w:val="28"/>
        </w:rPr>
        <w:drawing>
          <wp:inline distT="0" distB="0" distL="114300" distR="114300">
            <wp:extent cx="5611495" cy="7933055"/>
            <wp:effectExtent l="0" t="0" r="8255" b="10795"/>
            <wp:docPr id="53" name="图片 53" descr="内蒙古蒙西矿业有限公司技改扩建年产100万吨捣固焦项目竣工环保验收意见（最终版）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内蒙古蒙西矿业有限公司技改扩建年产100万吨捣固焦项目竣工环保验收意见（最终版）_15"/>
                    <pic:cNvPicPr>
                      <a:picLocks noChangeAspect="1"/>
                    </pic:cNvPicPr>
                  </pic:nvPicPr>
                  <pic:blipFill>
                    <a:blip r:embed="rId52"/>
                    <a:stretch>
                      <a:fillRect/>
                    </a:stretch>
                  </pic:blipFill>
                  <pic:spPr>
                    <a:xfrm>
                      <a:off x="0" y="0"/>
                      <a:ext cx="5611495" cy="7933055"/>
                    </a:xfrm>
                    <a:prstGeom prst="rect">
                      <a:avLst/>
                    </a:prstGeom>
                  </pic:spPr>
                </pic:pic>
              </a:graphicData>
            </a:graphic>
          </wp:inline>
        </w:drawing>
      </w:r>
    </w:p>
    <w:p w14:paraId="2FBB1EB2">
      <w:pPr>
        <w:pStyle w:val="19"/>
        <w:adjustRightInd w:val="0"/>
        <w:snapToGrid w:val="0"/>
        <w:spacing w:before="0" w:beforeAutospacing="0" w:after="0" w:afterAutospacing="0"/>
        <w:rPr>
          <w:rFonts w:ascii="Times New Roman" w:hAnsi="Times New Roman"/>
          <w:b/>
          <w:bCs/>
          <w:snapToGrid w:val="0"/>
          <w:sz w:val="28"/>
          <w:szCs w:val="28"/>
        </w:rPr>
        <w:sectPr>
          <w:pgSz w:w="16838" w:h="11906" w:orient="landscape"/>
          <w:pgMar w:top="1531" w:right="1701" w:bottom="1531" w:left="1701" w:header="851" w:footer="851" w:gutter="0"/>
          <w:cols w:space="720" w:num="1"/>
          <w:docGrid w:linePitch="312" w:charSpace="0"/>
        </w:sectPr>
      </w:pPr>
      <w:r>
        <w:rPr>
          <w:rFonts w:hint="eastAsia" w:ascii="Times New Roman" w:hAnsi="Times New Roman"/>
          <w:b/>
          <w:bCs/>
          <w:snapToGrid w:val="0"/>
          <w:sz w:val="28"/>
          <w:szCs w:val="28"/>
        </w:rPr>
        <w:t xml:space="preserve">     </w:t>
      </w:r>
      <w:r>
        <w:rPr>
          <w:rFonts w:ascii="Times New Roman" w:hAnsi="Times New Roman"/>
          <w:b/>
          <w:bCs/>
          <w:snapToGrid w:val="0"/>
          <w:sz w:val="28"/>
          <w:szCs w:val="28"/>
        </w:rPr>
        <w:drawing>
          <wp:inline distT="0" distB="0" distL="114300" distR="114300">
            <wp:extent cx="7403465" cy="5720715"/>
            <wp:effectExtent l="0" t="0" r="6985" b="13335"/>
            <wp:docPr id="54" name="图片 54" descr="内蒙古蒙西矿业有限公司技改扩建年产100万吨捣固焦项目竣工环保验收意见（最终版）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内蒙古蒙西矿业有限公司技改扩建年产100万吨捣固焦项目竣工环保验收意见（最终版）_16"/>
                    <pic:cNvPicPr>
                      <a:picLocks noChangeAspect="1"/>
                    </pic:cNvPicPr>
                  </pic:nvPicPr>
                  <pic:blipFill>
                    <a:blip r:embed="rId53"/>
                    <a:stretch>
                      <a:fillRect/>
                    </a:stretch>
                  </pic:blipFill>
                  <pic:spPr>
                    <a:xfrm>
                      <a:off x="0" y="0"/>
                      <a:ext cx="7403465" cy="5720715"/>
                    </a:xfrm>
                    <a:prstGeom prst="rect">
                      <a:avLst/>
                    </a:prstGeom>
                  </pic:spPr>
                </pic:pic>
              </a:graphicData>
            </a:graphic>
          </wp:inline>
        </w:drawing>
      </w:r>
    </w:p>
    <w:p w14:paraId="480F4A0A">
      <w:pPr>
        <w:pStyle w:val="19"/>
        <w:adjustRightInd w:val="0"/>
        <w:snapToGrid w:val="0"/>
        <w:spacing w:before="0" w:beforeAutospacing="0" w:after="0" w:afterAutospacing="0"/>
        <w:outlineLvl w:val="0"/>
        <w:rPr>
          <w:rFonts w:hint="eastAsia" w:ascii="Times New Roman" w:hAnsi="Times New Roman"/>
          <w:b/>
          <w:bCs/>
          <w:snapToGrid w:val="0"/>
          <w:sz w:val="28"/>
          <w:szCs w:val="28"/>
        </w:rPr>
      </w:pPr>
      <w:r>
        <w:rPr>
          <w:rFonts w:hint="eastAsia" w:ascii="Times New Roman" w:hAnsi="Times New Roman"/>
          <w:b/>
          <w:bCs/>
          <w:snapToGrid w:val="0"/>
          <w:sz w:val="28"/>
          <w:szCs w:val="28"/>
        </w:rPr>
        <w:t>附件</w:t>
      </w:r>
      <w:r>
        <w:rPr>
          <w:rFonts w:hint="eastAsia" w:ascii="Times New Roman" w:hAnsi="Times New Roman"/>
          <w:b/>
          <w:bCs/>
          <w:snapToGrid w:val="0"/>
          <w:sz w:val="28"/>
          <w:szCs w:val="28"/>
          <w:lang w:val="en-US" w:eastAsia="zh-CN"/>
        </w:rPr>
        <w:t>5</w:t>
      </w:r>
      <w:r>
        <w:rPr>
          <w:rFonts w:hint="eastAsia" w:ascii="Times New Roman" w:hAnsi="Times New Roman"/>
          <w:b/>
          <w:bCs/>
          <w:snapToGrid w:val="0"/>
          <w:sz w:val="28"/>
          <w:szCs w:val="28"/>
        </w:rPr>
        <w:t xml:space="preserve"> 内蒙古蒙西矿业有限公司综合利用甲醇驰放气技改生产5万吨/年合成氨项目环境影响报告书的批复</w:t>
      </w:r>
    </w:p>
    <w:p w14:paraId="3EA50873">
      <w:pPr>
        <w:pStyle w:val="19"/>
        <w:adjustRightInd w:val="0"/>
        <w:snapToGrid w:val="0"/>
        <w:spacing w:before="0" w:beforeAutospacing="0" w:after="0" w:afterAutospacing="0"/>
        <w:outlineLvl w:val="9"/>
        <w:rPr>
          <w:rFonts w:hint="eastAsia" w:ascii="Times New Roman" w:hAnsi="Times New Roman"/>
          <w:b/>
          <w:bCs/>
          <w:snapToGrid w:val="0"/>
          <w:sz w:val="28"/>
          <w:szCs w:val="28"/>
        </w:rPr>
      </w:pPr>
      <w:r>
        <w:rPr>
          <w:rFonts w:hint="eastAsia" w:ascii="Times New Roman" w:hAnsi="Times New Roman" w:eastAsia="宋体"/>
          <w:b/>
          <w:bCs/>
          <w:snapToGrid w:val="0"/>
          <w:sz w:val="28"/>
          <w:szCs w:val="28"/>
          <w:lang w:eastAsia="zh-CN"/>
        </w:rPr>
        <w:drawing>
          <wp:inline distT="0" distB="0" distL="114300" distR="114300">
            <wp:extent cx="5386070" cy="7617460"/>
            <wp:effectExtent l="0" t="0" r="5080" b="2540"/>
            <wp:docPr id="85" name="图片 85" descr="蒙西焦化5万吨环评批复2021.3.1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蒙西焦化5万吨环评批复2021.3.15_01"/>
                    <pic:cNvPicPr>
                      <a:picLocks noChangeAspect="1"/>
                    </pic:cNvPicPr>
                  </pic:nvPicPr>
                  <pic:blipFill>
                    <a:blip r:embed="rId54"/>
                    <a:stretch>
                      <a:fillRect/>
                    </a:stretch>
                  </pic:blipFill>
                  <pic:spPr>
                    <a:xfrm>
                      <a:off x="0" y="0"/>
                      <a:ext cx="5386070" cy="7617460"/>
                    </a:xfrm>
                    <a:prstGeom prst="rect">
                      <a:avLst/>
                    </a:prstGeom>
                  </pic:spPr>
                </pic:pic>
              </a:graphicData>
            </a:graphic>
          </wp:inline>
        </w:drawing>
      </w:r>
    </w:p>
    <w:p w14:paraId="480292A5">
      <w:pPr>
        <w:pStyle w:val="19"/>
        <w:adjustRightInd w:val="0"/>
        <w:snapToGrid w:val="0"/>
        <w:spacing w:before="0" w:beforeAutospacing="0" w:after="0" w:afterAutospacing="0"/>
        <w:outlineLvl w:val="9"/>
        <w:rPr>
          <w:rFonts w:hint="eastAsia" w:ascii="Times New Roman" w:hAnsi="Times New Roman" w:eastAsia="宋体"/>
          <w:b/>
          <w:bCs/>
          <w:snapToGrid w:val="0"/>
          <w:sz w:val="28"/>
          <w:szCs w:val="28"/>
          <w:lang w:eastAsia="zh-CN"/>
        </w:rPr>
      </w:pPr>
      <w:r>
        <w:rPr>
          <w:rFonts w:hint="eastAsia" w:ascii="Times New Roman" w:hAnsi="Times New Roman" w:eastAsia="宋体"/>
          <w:b/>
          <w:bCs/>
          <w:snapToGrid w:val="0"/>
          <w:sz w:val="28"/>
          <w:szCs w:val="28"/>
          <w:lang w:eastAsia="zh-CN"/>
        </w:rPr>
        <w:drawing>
          <wp:inline distT="0" distB="0" distL="114300" distR="114300">
            <wp:extent cx="5593080" cy="7910195"/>
            <wp:effectExtent l="0" t="0" r="7620" b="14605"/>
            <wp:docPr id="75" name="图片 75" descr="蒙西焦化5万吨环评批复2021.3.15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蒙西焦化5万吨环评批复2021.3.15_02"/>
                    <pic:cNvPicPr>
                      <a:picLocks noChangeAspect="1"/>
                    </pic:cNvPicPr>
                  </pic:nvPicPr>
                  <pic:blipFill>
                    <a:blip r:embed="rId55"/>
                    <a:stretch>
                      <a:fillRect/>
                    </a:stretch>
                  </pic:blipFill>
                  <pic:spPr>
                    <a:xfrm>
                      <a:off x="0" y="0"/>
                      <a:ext cx="5593080" cy="7910195"/>
                    </a:xfrm>
                    <a:prstGeom prst="rect">
                      <a:avLst/>
                    </a:prstGeom>
                  </pic:spPr>
                </pic:pic>
              </a:graphicData>
            </a:graphic>
          </wp:inline>
        </w:drawing>
      </w:r>
      <w:r>
        <w:rPr>
          <w:rFonts w:hint="eastAsia" w:ascii="Times New Roman" w:hAnsi="Times New Roman" w:eastAsia="宋体"/>
          <w:b/>
          <w:bCs/>
          <w:snapToGrid w:val="0"/>
          <w:sz w:val="28"/>
          <w:szCs w:val="28"/>
          <w:lang w:eastAsia="zh-CN"/>
        </w:rPr>
        <w:drawing>
          <wp:inline distT="0" distB="0" distL="114300" distR="114300">
            <wp:extent cx="5593080" cy="7910195"/>
            <wp:effectExtent l="0" t="0" r="7620" b="14605"/>
            <wp:docPr id="79" name="图片 79" descr="蒙西焦化5万吨环评批复2021.3.15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蒙西焦化5万吨环评批复2021.3.15_03"/>
                    <pic:cNvPicPr>
                      <a:picLocks noChangeAspect="1"/>
                    </pic:cNvPicPr>
                  </pic:nvPicPr>
                  <pic:blipFill>
                    <a:blip r:embed="rId56"/>
                    <a:stretch>
                      <a:fillRect/>
                    </a:stretch>
                  </pic:blipFill>
                  <pic:spPr>
                    <a:xfrm>
                      <a:off x="0" y="0"/>
                      <a:ext cx="5593080" cy="7910195"/>
                    </a:xfrm>
                    <a:prstGeom prst="rect">
                      <a:avLst/>
                    </a:prstGeom>
                  </pic:spPr>
                </pic:pic>
              </a:graphicData>
            </a:graphic>
          </wp:inline>
        </w:drawing>
      </w:r>
      <w:r>
        <w:rPr>
          <w:rFonts w:hint="eastAsia" w:ascii="Times New Roman" w:hAnsi="Times New Roman" w:eastAsia="宋体"/>
          <w:b/>
          <w:bCs/>
          <w:snapToGrid w:val="0"/>
          <w:sz w:val="28"/>
          <w:szCs w:val="28"/>
          <w:lang w:eastAsia="zh-CN"/>
        </w:rPr>
        <w:drawing>
          <wp:inline distT="0" distB="0" distL="114300" distR="114300">
            <wp:extent cx="5593080" cy="7910195"/>
            <wp:effectExtent l="0" t="0" r="7620" b="14605"/>
            <wp:docPr id="80" name="图片 80" descr="蒙西焦化5万吨环评批复2021.3.15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蒙西焦化5万吨环评批复2021.3.15_04"/>
                    <pic:cNvPicPr>
                      <a:picLocks noChangeAspect="1"/>
                    </pic:cNvPicPr>
                  </pic:nvPicPr>
                  <pic:blipFill>
                    <a:blip r:embed="rId57"/>
                    <a:stretch>
                      <a:fillRect/>
                    </a:stretch>
                  </pic:blipFill>
                  <pic:spPr>
                    <a:xfrm>
                      <a:off x="0" y="0"/>
                      <a:ext cx="5593080" cy="7910195"/>
                    </a:xfrm>
                    <a:prstGeom prst="rect">
                      <a:avLst/>
                    </a:prstGeom>
                  </pic:spPr>
                </pic:pic>
              </a:graphicData>
            </a:graphic>
          </wp:inline>
        </w:drawing>
      </w:r>
    </w:p>
    <w:p w14:paraId="4253F7C8">
      <w:pPr>
        <w:pStyle w:val="19"/>
        <w:adjustRightInd w:val="0"/>
        <w:snapToGrid w:val="0"/>
        <w:spacing w:before="0" w:beforeAutospacing="0" w:after="0" w:afterAutospacing="0"/>
        <w:outlineLvl w:val="9"/>
        <w:rPr>
          <w:rFonts w:hint="eastAsia" w:ascii="Times New Roman" w:hAnsi="Times New Roman"/>
          <w:b/>
          <w:bCs/>
          <w:snapToGrid w:val="0"/>
          <w:sz w:val="28"/>
          <w:szCs w:val="28"/>
        </w:rPr>
      </w:pPr>
    </w:p>
    <w:p w14:paraId="68BFE771">
      <w:pPr>
        <w:pStyle w:val="19"/>
        <w:adjustRightInd w:val="0"/>
        <w:snapToGrid w:val="0"/>
        <w:spacing w:before="0" w:beforeAutospacing="0" w:after="0" w:afterAutospacing="0"/>
        <w:outlineLvl w:val="0"/>
        <w:rPr>
          <w:rFonts w:hint="eastAsia" w:ascii="Times New Roman" w:hAnsi="Times New Roman"/>
          <w:b/>
          <w:bCs/>
          <w:snapToGrid w:val="0"/>
          <w:sz w:val="28"/>
          <w:szCs w:val="28"/>
        </w:rPr>
        <w:sectPr>
          <w:pgSz w:w="11906" w:h="16838"/>
          <w:pgMar w:top="1701" w:right="1531" w:bottom="1701" w:left="1531" w:header="851" w:footer="851" w:gutter="0"/>
          <w:cols w:space="720" w:num="1"/>
          <w:docGrid w:linePitch="312" w:charSpace="0"/>
        </w:sectPr>
      </w:pPr>
    </w:p>
    <w:p w14:paraId="112C3524">
      <w:pPr>
        <w:pStyle w:val="19"/>
        <w:adjustRightInd w:val="0"/>
        <w:snapToGrid w:val="0"/>
        <w:spacing w:before="0" w:beforeAutospacing="0" w:after="0" w:afterAutospacing="0"/>
        <w:outlineLvl w:val="0"/>
        <w:rPr>
          <w:rFonts w:hint="eastAsia" w:ascii="Times New Roman" w:hAnsi="Times New Roman"/>
          <w:b/>
          <w:bCs/>
          <w:snapToGrid w:val="0"/>
          <w:sz w:val="28"/>
          <w:szCs w:val="28"/>
        </w:rPr>
      </w:pPr>
      <w:r>
        <w:rPr>
          <w:rFonts w:hint="eastAsia" w:ascii="Times New Roman" w:hAnsi="Times New Roman"/>
          <w:b/>
          <w:bCs/>
          <w:snapToGrid w:val="0"/>
          <w:sz w:val="28"/>
          <w:szCs w:val="28"/>
        </w:rPr>
        <w:t>附件</w:t>
      </w:r>
      <w:r>
        <w:rPr>
          <w:rFonts w:hint="eastAsia" w:ascii="Times New Roman" w:hAnsi="Times New Roman"/>
          <w:b/>
          <w:bCs/>
          <w:snapToGrid w:val="0"/>
          <w:sz w:val="28"/>
          <w:szCs w:val="28"/>
          <w:lang w:val="en-US" w:eastAsia="zh-CN"/>
        </w:rPr>
        <w:t>6</w:t>
      </w:r>
      <w:r>
        <w:rPr>
          <w:rFonts w:hint="eastAsia" w:ascii="Times New Roman" w:hAnsi="Times New Roman"/>
          <w:b/>
          <w:bCs/>
          <w:snapToGrid w:val="0"/>
          <w:sz w:val="28"/>
          <w:szCs w:val="28"/>
        </w:rPr>
        <w:t xml:space="preserve"> 内蒙古蒙西矿业有限公司综合利用甲醇驰放气技改生产5万吨/年合成氨项目环竣工环境保护验收意见</w:t>
      </w:r>
    </w:p>
    <w:p w14:paraId="1EAD25CF">
      <w:pPr>
        <w:pStyle w:val="19"/>
        <w:adjustRightInd w:val="0"/>
        <w:snapToGrid w:val="0"/>
        <w:spacing w:before="0" w:beforeAutospacing="0" w:after="0" w:afterAutospacing="0"/>
        <w:outlineLvl w:val="9"/>
        <w:rPr>
          <w:rFonts w:hint="eastAsia" w:ascii="Times New Roman" w:hAnsi="Times New Roman"/>
          <w:b/>
          <w:bCs/>
          <w:snapToGrid w:val="0"/>
          <w:sz w:val="28"/>
          <w:szCs w:val="28"/>
        </w:rPr>
      </w:pPr>
      <w:r>
        <w:rPr>
          <w:rFonts w:hint="eastAsia" w:ascii="Times New Roman" w:hAnsi="Times New Roman" w:eastAsia="宋体"/>
          <w:b/>
          <w:bCs/>
          <w:snapToGrid w:val="0"/>
          <w:sz w:val="28"/>
          <w:szCs w:val="28"/>
          <w:lang w:eastAsia="zh-CN"/>
        </w:rPr>
        <w:drawing>
          <wp:inline distT="0" distB="0" distL="114300" distR="114300">
            <wp:extent cx="5388610" cy="7621905"/>
            <wp:effectExtent l="0" t="0" r="2540" b="17145"/>
            <wp:docPr id="86" name="图片 86" descr="合成氨验收意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合成氨验收意见_01"/>
                    <pic:cNvPicPr>
                      <a:picLocks noChangeAspect="1"/>
                    </pic:cNvPicPr>
                  </pic:nvPicPr>
                  <pic:blipFill>
                    <a:blip r:embed="rId58"/>
                    <a:stretch>
                      <a:fillRect/>
                    </a:stretch>
                  </pic:blipFill>
                  <pic:spPr>
                    <a:xfrm>
                      <a:off x="0" y="0"/>
                      <a:ext cx="5388610" cy="7621905"/>
                    </a:xfrm>
                    <a:prstGeom prst="rect">
                      <a:avLst/>
                    </a:prstGeom>
                  </pic:spPr>
                </pic:pic>
              </a:graphicData>
            </a:graphic>
          </wp:inline>
        </w:drawing>
      </w:r>
    </w:p>
    <w:p w14:paraId="6E306A91">
      <w:pPr>
        <w:pStyle w:val="19"/>
        <w:adjustRightInd w:val="0"/>
        <w:snapToGrid w:val="0"/>
        <w:spacing w:before="0" w:beforeAutospacing="0" w:after="0" w:afterAutospacing="0"/>
        <w:outlineLvl w:val="0"/>
        <w:rPr>
          <w:rFonts w:hint="eastAsia" w:ascii="Times New Roman" w:hAnsi="Times New Roman" w:eastAsia="宋体"/>
          <w:b/>
          <w:bCs/>
          <w:snapToGrid w:val="0"/>
          <w:sz w:val="28"/>
          <w:szCs w:val="28"/>
          <w:lang w:eastAsia="zh-CN"/>
        </w:rPr>
        <w:sectPr>
          <w:pgSz w:w="11906" w:h="16838"/>
          <w:pgMar w:top="1701" w:right="1531" w:bottom="1701" w:left="1531" w:header="851" w:footer="851" w:gutter="0"/>
          <w:cols w:space="720" w:num="1"/>
          <w:docGrid w:linePitch="312" w:charSpace="0"/>
        </w:sectPr>
      </w:pPr>
      <w:r>
        <w:rPr>
          <w:rFonts w:hint="eastAsia" w:ascii="Times New Roman" w:hAnsi="Times New Roman" w:eastAsia="宋体"/>
          <w:b/>
          <w:bCs/>
          <w:snapToGrid w:val="0"/>
          <w:sz w:val="28"/>
          <w:szCs w:val="28"/>
          <w:lang w:eastAsia="zh-CN"/>
        </w:rPr>
        <w:drawing>
          <wp:inline distT="0" distB="0" distL="114300" distR="114300">
            <wp:extent cx="5594985" cy="7914005"/>
            <wp:effectExtent l="0" t="0" r="5715" b="10795"/>
            <wp:docPr id="82" name="图片 82" descr="合成氨验收意见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合成氨验收意见_02"/>
                    <pic:cNvPicPr>
                      <a:picLocks noChangeAspect="1"/>
                    </pic:cNvPicPr>
                  </pic:nvPicPr>
                  <pic:blipFill>
                    <a:blip r:embed="rId59"/>
                    <a:stretch>
                      <a:fillRect/>
                    </a:stretch>
                  </pic:blipFill>
                  <pic:spPr>
                    <a:xfrm>
                      <a:off x="0" y="0"/>
                      <a:ext cx="5594985" cy="7914005"/>
                    </a:xfrm>
                    <a:prstGeom prst="rect">
                      <a:avLst/>
                    </a:prstGeom>
                  </pic:spPr>
                </pic:pic>
              </a:graphicData>
            </a:graphic>
          </wp:inline>
        </w:drawing>
      </w:r>
      <w:r>
        <w:rPr>
          <w:rFonts w:hint="eastAsia" w:ascii="Times New Roman" w:hAnsi="Times New Roman" w:eastAsia="宋体"/>
          <w:b/>
          <w:bCs/>
          <w:snapToGrid w:val="0"/>
          <w:sz w:val="28"/>
          <w:szCs w:val="28"/>
          <w:lang w:eastAsia="zh-CN"/>
        </w:rPr>
        <w:drawing>
          <wp:inline distT="0" distB="0" distL="114300" distR="114300">
            <wp:extent cx="5594985" cy="7914005"/>
            <wp:effectExtent l="0" t="0" r="5715" b="10795"/>
            <wp:docPr id="83" name="图片 83" descr="合成氨验收意见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合成氨验收意见_03"/>
                    <pic:cNvPicPr>
                      <a:picLocks noChangeAspect="1"/>
                    </pic:cNvPicPr>
                  </pic:nvPicPr>
                  <pic:blipFill>
                    <a:blip r:embed="rId60"/>
                    <a:stretch>
                      <a:fillRect/>
                    </a:stretch>
                  </pic:blipFill>
                  <pic:spPr>
                    <a:xfrm>
                      <a:off x="0" y="0"/>
                      <a:ext cx="5594985" cy="7914005"/>
                    </a:xfrm>
                    <a:prstGeom prst="rect">
                      <a:avLst/>
                    </a:prstGeom>
                  </pic:spPr>
                </pic:pic>
              </a:graphicData>
            </a:graphic>
          </wp:inline>
        </w:drawing>
      </w:r>
    </w:p>
    <w:p w14:paraId="5C125BBE">
      <w:pPr>
        <w:pStyle w:val="19"/>
        <w:adjustRightInd w:val="0"/>
        <w:snapToGrid w:val="0"/>
        <w:spacing w:before="0" w:beforeAutospacing="0" w:after="0" w:afterAutospacing="0"/>
        <w:outlineLvl w:val="9"/>
        <w:rPr>
          <w:rFonts w:hint="eastAsia" w:ascii="Times New Roman" w:hAnsi="Times New Roman" w:eastAsia="宋体"/>
          <w:b/>
          <w:bCs/>
          <w:snapToGrid w:val="0"/>
          <w:sz w:val="28"/>
          <w:szCs w:val="28"/>
          <w:lang w:eastAsia="zh-CN"/>
        </w:rPr>
        <w:sectPr>
          <w:pgSz w:w="16838" w:h="11906" w:orient="landscape"/>
          <w:pgMar w:top="1531" w:right="1701" w:bottom="1531" w:left="1701" w:header="851" w:footer="851" w:gutter="0"/>
          <w:cols w:space="720" w:num="1"/>
          <w:docGrid w:linePitch="312" w:charSpace="0"/>
        </w:sectPr>
      </w:pPr>
      <w:r>
        <w:rPr>
          <w:rFonts w:hint="eastAsia" w:ascii="Times New Roman" w:hAnsi="Times New Roman"/>
          <w:b/>
          <w:bCs/>
          <w:snapToGrid w:val="0"/>
          <w:sz w:val="28"/>
          <w:szCs w:val="28"/>
          <w:lang w:val="en-US" w:eastAsia="zh-CN"/>
        </w:rPr>
        <w:t xml:space="preserve">      </w:t>
      </w:r>
      <w:r>
        <w:rPr>
          <w:rFonts w:hint="eastAsia" w:ascii="Times New Roman" w:hAnsi="Times New Roman" w:eastAsia="宋体"/>
          <w:b/>
          <w:bCs/>
          <w:snapToGrid w:val="0"/>
          <w:sz w:val="28"/>
          <w:szCs w:val="28"/>
          <w:lang w:eastAsia="zh-CN"/>
        </w:rPr>
        <w:drawing>
          <wp:inline distT="0" distB="0" distL="114300" distR="114300">
            <wp:extent cx="5381625" cy="7613015"/>
            <wp:effectExtent l="0" t="0" r="6985" b="9525"/>
            <wp:docPr id="84" name="图片 84" descr="合成氨验收意见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合成氨验收意见_04"/>
                    <pic:cNvPicPr>
                      <a:picLocks noChangeAspect="1"/>
                    </pic:cNvPicPr>
                  </pic:nvPicPr>
                  <pic:blipFill>
                    <a:blip r:embed="rId61"/>
                    <a:stretch>
                      <a:fillRect/>
                    </a:stretch>
                  </pic:blipFill>
                  <pic:spPr>
                    <a:xfrm rot="16200000">
                      <a:off x="0" y="0"/>
                      <a:ext cx="5381625" cy="7613015"/>
                    </a:xfrm>
                    <a:prstGeom prst="rect">
                      <a:avLst/>
                    </a:prstGeom>
                  </pic:spPr>
                </pic:pic>
              </a:graphicData>
            </a:graphic>
          </wp:inline>
        </w:drawing>
      </w:r>
    </w:p>
    <w:p w14:paraId="38956FCD">
      <w:pPr>
        <w:pStyle w:val="19"/>
        <w:adjustRightInd w:val="0"/>
        <w:snapToGrid w:val="0"/>
        <w:spacing w:before="0" w:beforeAutospacing="0" w:after="0" w:afterAutospacing="0"/>
        <w:outlineLvl w:val="0"/>
        <w:rPr>
          <w:rFonts w:ascii="Times New Roman" w:hAnsi="Times New Roman"/>
          <w:b/>
          <w:bCs/>
          <w:snapToGrid w:val="0"/>
          <w:sz w:val="28"/>
          <w:szCs w:val="28"/>
        </w:rPr>
      </w:pPr>
      <w:r>
        <w:rPr>
          <w:rFonts w:hint="eastAsia" w:ascii="Times New Roman" w:hAnsi="Times New Roman"/>
          <w:b/>
          <w:bCs/>
          <w:snapToGrid w:val="0"/>
          <w:sz w:val="28"/>
          <w:szCs w:val="28"/>
        </w:rPr>
        <w:t>附图</w:t>
      </w:r>
      <w:r>
        <w:rPr>
          <w:rFonts w:hint="eastAsia" w:ascii="Times New Roman" w:hAnsi="Times New Roman"/>
          <w:b/>
          <w:bCs/>
          <w:snapToGrid w:val="0"/>
          <w:sz w:val="28"/>
          <w:szCs w:val="28"/>
          <w:lang w:val="en-US" w:eastAsia="zh-CN"/>
        </w:rPr>
        <w:t>7</w:t>
      </w:r>
      <w:r>
        <w:rPr>
          <w:rFonts w:hint="eastAsia" w:ascii="Times New Roman" w:hAnsi="Times New Roman"/>
          <w:b/>
          <w:bCs/>
          <w:snapToGrid w:val="0"/>
          <w:sz w:val="28"/>
          <w:szCs w:val="28"/>
        </w:rPr>
        <w:t xml:space="preserve"> 鄂托克旗工信和科技局关于内蒙古蒙西矿业有限公司技改扩建年产100万吨捣固焦项目变更项目实施主体的通知</w:t>
      </w:r>
    </w:p>
    <w:p w14:paraId="57EEDCD8">
      <w:pPr>
        <w:pStyle w:val="19"/>
        <w:adjustRightInd w:val="0"/>
        <w:snapToGrid w:val="0"/>
        <w:spacing w:before="0" w:beforeAutospacing="0" w:after="0" w:afterAutospacing="0"/>
        <w:rPr>
          <w:rFonts w:ascii="Times New Roman" w:hAnsi="Times New Roman"/>
          <w:b/>
          <w:bCs/>
          <w:snapToGrid w:val="0"/>
          <w:sz w:val="28"/>
          <w:szCs w:val="28"/>
        </w:rPr>
      </w:pPr>
      <w:r>
        <w:rPr>
          <w:rFonts w:hint="eastAsia" w:ascii="Times New Roman" w:hAnsi="Times New Roman"/>
          <w:b/>
          <w:bCs/>
          <w:snapToGrid w:val="0"/>
          <w:sz w:val="28"/>
          <w:szCs w:val="28"/>
        </w:rPr>
        <w:drawing>
          <wp:inline distT="0" distB="0" distL="114300" distR="114300">
            <wp:extent cx="5615940" cy="7357745"/>
            <wp:effectExtent l="0" t="0" r="3810" b="14605"/>
            <wp:docPr id="56" name="图片 56" descr="280c34705ac921ca6aa5789b1b7a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280c34705ac921ca6aa5789b1b7a0363"/>
                    <pic:cNvPicPr>
                      <a:picLocks noChangeAspect="1"/>
                    </pic:cNvPicPr>
                  </pic:nvPicPr>
                  <pic:blipFill>
                    <a:blip r:embed="rId62"/>
                    <a:stretch>
                      <a:fillRect/>
                    </a:stretch>
                  </pic:blipFill>
                  <pic:spPr>
                    <a:xfrm>
                      <a:off x="0" y="0"/>
                      <a:ext cx="5615940" cy="7357745"/>
                    </a:xfrm>
                    <a:prstGeom prst="rect">
                      <a:avLst/>
                    </a:prstGeom>
                  </pic:spPr>
                </pic:pic>
              </a:graphicData>
            </a:graphic>
          </wp:inline>
        </w:drawing>
      </w:r>
    </w:p>
    <w:p w14:paraId="019B2E5A">
      <w:pPr>
        <w:pStyle w:val="19"/>
        <w:adjustRightInd w:val="0"/>
        <w:snapToGrid w:val="0"/>
        <w:spacing w:before="0" w:beforeAutospacing="0" w:after="0" w:afterAutospacing="0"/>
        <w:outlineLvl w:val="0"/>
        <w:rPr>
          <w:rFonts w:ascii="Times New Roman" w:hAnsi="Times New Roman"/>
          <w:b/>
          <w:bCs/>
          <w:snapToGrid w:val="0"/>
          <w:sz w:val="28"/>
          <w:szCs w:val="28"/>
        </w:rPr>
        <w:sectPr>
          <w:pgSz w:w="11906" w:h="16838"/>
          <w:pgMar w:top="1701" w:right="1531" w:bottom="1701" w:left="1531" w:header="851" w:footer="851" w:gutter="0"/>
          <w:cols w:space="720" w:num="1"/>
          <w:docGrid w:linePitch="312" w:charSpace="0"/>
        </w:sectPr>
      </w:pPr>
      <w:r>
        <w:rPr>
          <w:rFonts w:hint="eastAsia" w:ascii="Times New Roman" w:hAnsi="Times New Roman"/>
          <w:b/>
          <w:bCs/>
          <w:snapToGrid w:val="0"/>
          <w:sz w:val="28"/>
          <w:szCs w:val="28"/>
        </w:rPr>
        <w:drawing>
          <wp:inline distT="0" distB="0" distL="114300" distR="114300">
            <wp:extent cx="5608320" cy="7948930"/>
            <wp:effectExtent l="0" t="0" r="11430" b="13970"/>
            <wp:docPr id="58" name="图片 58" descr="b09a89ce0cd293dd6a461a1b1b12d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b09a89ce0cd293dd6a461a1b1b12d902"/>
                    <pic:cNvPicPr>
                      <a:picLocks noChangeAspect="1"/>
                    </pic:cNvPicPr>
                  </pic:nvPicPr>
                  <pic:blipFill>
                    <a:blip r:embed="rId63"/>
                    <a:stretch>
                      <a:fillRect/>
                    </a:stretch>
                  </pic:blipFill>
                  <pic:spPr>
                    <a:xfrm>
                      <a:off x="0" y="0"/>
                      <a:ext cx="5608320" cy="7948930"/>
                    </a:xfrm>
                    <a:prstGeom prst="rect">
                      <a:avLst/>
                    </a:prstGeom>
                  </pic:spPr>
                </pic:pic>
              </a:graphicData>
            </a:graphic>
          </wp:inline>
        </w:drawing>
      </w:r>
    </w:p>
    <w:p w14:paraId="394DEB0B">
      <w:pPr>
        <w:pStyle w:val="19"/>
        <w:adjustRightInd w:val="0"/>
        <w:snapToGrid w:val="0"/>
        <w:spacing w:before="0" w:beforeAutospacing="0" w:after="0" w:afterAutospacing="0"/>
        <w:outlineLvl w:val="0"/>
        <w:rPr>
          <w:rFonts w:ascii="Times New Roman" w:hAnsi="Times New Roman"/>
          <w:b/>
          <w:bCs/>
          <w:snapToGrid w:val="0"/>
          <w:sz w:val="28"/>
          <w:szCs w:val="28"/>
        </w:rPr>
      </w:pPr>
      <w:r>
        <w:rPr>
          <w:rFonts w:hint="eastAsia" w:ascii="Times New Roman" w:hAnsi="Times New Roman"/>
          <w:b/>
          <w:bCs/>
          <w:snapToGrid w:val="0"/>
          <w:sz w:val="28"/>
          <w:szCs w:val="28"/>
        </w:rPr>
        <w:t>附件</w:t>
      </w:r>
      <w:bookmarkEnd w:id="24"/>
      <w:r>
        <w:rPr>
          <w:rFonts w:hint="eastAsia" w:ascii="Times New Roman" w:hAnsi="Times New Roman"/>
          <w:b/>
          <w:bCs/>
          <w:snapToGrid w:val="0"/>
          <w:sz w:val="28"/>
          <w:szCs w:val="28"/>
          <w:lang w:val="en-US" w:eastAsia="zh-CN"/>
        </w:rPr>
        <w:t>8</w:t>
      </w:r>
      <w:r>
        <w:rPr>
          <w:rFonts w:hint="eastAsia" w:ascii="Times New Roman" w:hAnsi="Times New Roman"/>
          <w:b/>
          <w:bCs/>
          <w:snapToGrid w:val="0"/>
          <w:sz w:val="28"/>
          <w:szCs w:val="28"/>
        </w:rPr>
        <w:t xml:space="preserve"> 《内蒙古鄂托克经济开发区国土空间总体规划（2021-2035）棋盘井产业园环境影响报告书》的审查意见</w:t>
      </w:r>
    </w:p>
    <w:p w14:paraId="7D3ECF3F">
      <w:pPr>
        <w:pStyle w:val="19"/>
        <w:adjustRightInd w:val="0"/>
        <w:snapToGrid w:val="0"/>
        <w:spacing w:before="0" w:beforeAutospacing="0" w:after="0" w:afterAutospacing="0"/>
        <w:rPr>
          <w:rFonts w:ascii="Times New Roman" w:hAnsi="Times New Roman"/>
          <w:b/>
          <w:bCs/>
          <w:snapToGrid w:val="0"/>
          <w:sz w:val="28"/>
          <w:szCs w:val="28"/>
        </w:rPr>
      </w:pPr>
      <w:r>
        <w:rPr>
          <w:rFonts w:hint="eastAsia" w:ascii="Times New Roman" w:hAnsi="Times New Roman"/>
          <w:b/>
          <w:bCs/>
          <w:snapToGrid w:val="0"/>
          <w:sz w:val="28"/>
          <w:szCs w:val="28"/>
        </w:rPr>
        <w:drawing>
          <wp:inline distT="0" distB="0" distL="114300" distR="114300">
            <wp:extent cx="5594985" cy="7912100"/>
            <wp:effectExtent l="0" t="0" r="5715" b="12700"/>
            <wp:docPr id="33" name="图片 33" descr="P020231008382350933730 (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P020231008382350933730 (1)_01"/>
                    <pic:cNvPicPr>
                      <a:picLocks noChangeAspect="1"/>
                    </pic:cNvPicPr>
                  </pic:nvPicPr>
                  <pic:blipFill>
                    <a:blip r:embed="rId64"/>
                    <a:stretch>
                      <a:fillRect/>
                    </a:stretch>
                  </pic:blipFill>
                  <pic:spPr>
                    <a:xfrm>
                      <a:off x="0" y="0"/>
                      <a:ext cx="5594985" cy="7912100"/>
                    </a:xfrm>
                    <a:prstGeom prst="rect">
                      <a:avLst/>
                    </a:prstGeom>
                  </pic:spPr>
                </pic:pic>
              </a:graphicData>
            </a:graphic>
          </wp:inline>
        </w:drawing>
      </w:r>
    </w:p>
    <w:p w14:paraId="6DA1AFC6">
      <w:pPr>
        <w:pStyle w:val="19"/>
        <w:adjustRightInd w:val="0"/>
        <w:snapToGrid w:val="0"/>
        <w:spacing w:before="0" w:beforeAutospacing="0" w:after="0" w:afterAutospacing="0"/>
        <w:rPr>
          <w:rFonts w:ascii="Times New Roman" w:hAnsi="Times New Roman"/>
          <w:b/>
          <w:bCs/>
          <w:snapToGrid w:val="0"/>
          <w:sz w:val="28"/>
          <w:szCs w:val="28"/>
        </w:rPr>
      </w:pPr>
      <w:r>
        <w:rPr>
          <w:rFonts w:hint="eastAsia" w:ascii="Times New Roman" w:hAnsi="Times New Roman"/>
          <w:b/>
          <w:bCs/>
          <w:snapToGrid w:val="0"/>
          <w:sz w:val="28"/>
          <w:szCs w:val="28"/>
        </w:rPr>
        <w:drawing>
          <wp:inline distT="0" distB="0" distL="114300" distR="114300">
            <wp:extent cx="5594985" cy="7912100"/>
            <wp:effectExtent l="0" t="0" r="5715" b="12700"/>
            <wp:docPr id="32" name="图片 32" descr="P020231008382350933730 (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P020231008382350933730 (1)_02"/>
                    <pic:cNvPicPr>
                      <a:picLocks noChangeAspect="1"/>
                    </pic:cNvPicPr>
                  </pic:nvPicPr>
                  <pic:blipFill>
                    <a:blip r:embed="rId65"/>
                    <a:stretch>
                      <a:fillRect/>
                    </a:stretch>
                  </pic:blipFill>
                  <pic:spPr>
                    <a:xfrm>
                      <a:off x="0" y="0"/>
                      <a:ext cx="5594985" cy="7912100"/>
                    </a:xfrm>
                    <a:prstGeom prst="rect">
                      <a:avLst/>
                    </a:prstGeom>
                  </pic:spPr>
                </pic:pic>
              </a:graphicData>
            </a:graphic>
          </wp:inline>
        </w:drawing>
      </w:r>
    </w:p>
    <w:p w14:paraId="6EE143ED">
      <w:pPr>
        <w:pStyle w:val="19"/>
        <w:adjustRightInd w:val="0"/>
        <w:snapToGrid w:val="0"/>
        <w:spacing w:before="0" w:beforeAutospacing="0" w:after="0" w:afterAutospacing="0"/>
        <w:rPr>
          <w:rFonts w:ascii="Times New Roman" w:hAnsi="Times New Roman"/>
          <w:b/>
          <w:bCs/>
          <w:snapToGrid w:val="0"/>
          <w:sz w:val="28"/>
          <w:szCs w:val="28"/>
        </w:rPr>
      </w:pPr>
      <w:r>
        <w:rPr>
          <w:rFonts w:hint="eastAsia" w:ascii="Times New Roman" w:hAnsi="Times New Roman"/>
          <w:b/>
          <w:bCs/>
          <w:snapToGrid w:val="0"/>
          <w:sz w:val="28"/>
          <w:szCs w:val="28"/>
        </w:rPr>
        <w:drawing>
          <wp:inline distT="0" distB="0" distL="114300" distR="114300">
            <wp:extent cx="5594985" cy="7912100"/>
            <wp:effectExtent l="0" t="0" r="5715" b="12700"/>
            <wp:docPr id="23" name="图片 23" descr="P020231008382350933730 (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P020231008382350933730 (1)_03"/>
                    <pic:cNvPicPr>
                      <a:picLocks noChangeAspect="1"/>
                    </pic:cNvPicPr>
                  </pic:nvPicPr>
                  <pic:blipFill>
                    <a:blip r:embed="rId66"/>
                    <a:stretch>
                      <a:fillRect/>
                    </a:stretch>
                  </pic:blipFill>
                  <pic:spPr>
                    <a:xfrm>
                      <a:off x="0" y="0"/>
                      <a:ext cx="5594985" cy="7912100"/>
                    </a:xfrm>
                    <a:prstGeom prst="rect">
                      <a:avLst/>
                    </a:prstGeom>
                  </pic:spPr>
                </pic:pic>
              </a:graphicData>
            </a:graphic>
          </wp:inline>
        </w:drawing>
      </w:r>
    </w:p>
    <w:p w14:paraId="52F7C4D2">
      <w:pPr>
        <w:pStyle w:val="19"/>
        <w:adjustRightInd w:val="0"/>
        <w:snapToGrid w:val="0"/>
        <w:spacing w:before="0" w:beforeAutospacing="0" w:after="0" w:afterAutospacing="0"/>
        <w:rPr>
          <w:rFonts w:ascii="Times New Roman" w:hAnsi="Times New Roman"/>
          <w:b/>
          <w:bCs/>
          <w:snapToGrid w:val="0"/>
          <w:sz w:val="28"/>
          <w:szCs w:val="28"/>
        </w:rPr>
      </w:pPr>
      <w:r>
        <w:rPr>
          <w:rFonts w:hint="eastAsia" w:ascii="Times New Roman" w:hAnsi="Times New Roman"/>
          <w:b/>
          <w:bCs/>
          <w:snapToGrid w:val="0"/>
          <w:sz w:val="28"/>
          <w:szCs w:val="28"/>
        </w:rPr>
        <w:drawing>
          <wp:inline distT="0" distB="0" distL="114300" distR="114300">
            <wp:extent cx="5594985" cy="7912100"/>
            <wp:effectExtent l="0" t="0" r="5715" b="12700"/>
            <wp:docPr id="22" name="图片 22" descr="P020231008382350933730 (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P020231008382350933730 (1)_04"/>
                    <pic:cNvPicPr>
                      <a:picLocks noChangeAspect="1"/>
                    </pic:cNvPicPr>
                  </pic:nvPicPr>
                  <pic:blipFill>
                    <a:blip r:embed="rId67"/>
                    <a:stretch>
                      <a:fillRect/>
                    </a:stretch>
                  </pic:blipFill>
                  <pic:spPr>
                    <a:xfrm>
                      <a:off x="0" y="0"/>
                      <a:ext cx="5594985" cy="7912100"/>
                    </a:xfrm>
                    <a:prstGeom prst="rect">
                      <a:avLst/>
                    </a:prstGeom>
                  </pic:spPr>
                </pic:pic>
              </a:graphicData>
            </a:graphic>
          </wp:inline>
        </w:drawing>
      </w:r>
    </w:p>
    <w:p w14:paraId="06469185">
      <w:pPr>
        <w:pStyle w:val="19"/>
        <w:adjustRightInd w:val="0"/>
        <w:snapToGrid w:val="0"/>
        <w:spacing w:before="0" w:beforeAutospacing="0" w:after="0" w:afterAutospacing="0"/>
        <w:rPr>
          <w:rFonts w:ascii="Times New Roman" w:hAnsi="Times New Roman"/>
          <w:b/>
          <w:bCs/>
          <w:snapToGrid w:val="0"/>
          <w:sz w:val="28"/>
          <w:szCs w:val="28"/>
        </w:rPr>
      </w:pPr>
      <w:r>
        <w:rPr>
          <w:rFonts w:hint="eastAsia" w:ascii="Times New Roman" w:hAnsi="Times New Roman"/>
          <w:b/>
          <w:bCs/>
          <w:snapToGrid w:val="0"/>
          <w:sz w:val="28"/>
          <w:szCs w:val="28"/>
        </w:rPr>
        <w:drawing>
          <wp:inline distT="0" distB="0" distL="114300" distR="114300">
            <wp:extent cx="5594985" cy="7912100"/>
            <wp:effectExtent l="0" t="0" r="5715" b="12700"/>
            <wp:docPr id="21" name="图片 21" descr="P020231008382350933730 (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P020231008382350933730 (1)_05"/>
                    <pic:cNvPicPr>
                      <a:picLocks noChangeAspect="1"/>
                    </pic:cNvPicPr>
                  </pic:nvPicPr>
                  <pic:blipFill>
                    <a:blip r:embed="rId68"/>
                    <a:stretch>
                      <a:fillRect/>
                    </a:stretch>
                  </pic:blipFill>
                  <pic:spPr>
                    <a:xfrm>
                      <a:off x="0" y="0"/>
                      <a:ext cx="5594985" cy="7912100"/>
                    </a:xfrm>
                    <a:prstGeom prst="rect">
                      <a:avLst/>
                    </a:prstGeom>
                  </pic:spPr>
                </pic:pic>
              </a:graphicData>
            </a:graphic>
          </wp:inline>
        </w:drawing>
      </w:r>
    </w:p>
    <w:p w14:paraId="5C495E00">
      <w:pPr>
        <w:pStyle w:val="19"/>
        <w:adjustRightInd w:val="0"/>
        <w:snapToGrid w:val="0"/>
        <w:spacing w:before="0" w:beforeAutospacing="0" w:after="0" w:afterAutospacing="0"/>
        <w:rPr>
          <w:rFonts w:ascii="Times New Roman" w:hAnsi="Times New Roman"/>
          <w:b/>
          <w:bCs/>
          <w:snapToGrid w:val="0"/>
          <w:sz w:val="28"/>
          <w:szCs w:val="28"/>
        </w:rPr>
      </w:pPr>
      <w:r>
        <w:rPr>
          <w:rFonts w:hint="eastAsia" w:ascii="Times New Roman" w:hAnsi="Times New Roman"/>
          <w:b/>
          <w:bCs/>
          <w:snapToGrid w:val="0"/>
          <w:sz w:val="28"/>
          <w:szCs w:val="28"/>
        </w:rPr>
        <w:drawing>
          <wp:inline distT="0" distB="0" distL="114300" distR="114300">
            <wp:extent cx="5594985" cy="7912100"/>
            <wp:effectExtent l="0" t="0" r="5715" b="12700"/>
            <wp:docPr id="20" name="图片 20" descr="P020231008382350933730 (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P020231008382350933730 (1)_06"/>
                    <pic:cNvPicPr>
                      <a:picLocks noChangeAspect="1"/>
                    </pic:cNvPicPr>
                  </pic:nvPicPr>
                  <pic:blipFill>
                    <a:blip r:embed="rId69"/>
                    <a:stretch>
                      <a:fillRect/>
                    </a:stretch>
                  </pic:blipFill>
                  <pic:spPr>
                    <a:xfrm>
                      <a:off x="0" y="0"/>
                      <a:ext cx="5594985" cy="7912100"/>
                    </a:xfrm>
                    <a:prstGeom prst="rect">
                      <a:avLst/>
                    </a:prstGeom>
                  </pic:spPr>
                </pic:pic>
              </a:graphicData>
            </a:graphic>
          </wp:inline>
        </w:drawing>
      </w:r>
      <w:r>
        <w:rPr>
          <w:rFonts w:hint="eastAsia" w:ascii="Times New Roman" w:hAnsi="Times New Roman"/>
          <w:b/>
          <w:bCs/>
          <w:snapToGrid w:val="0"/>
          <w:sz w:val="28"/>
          <w:szCs w:val="28"/>
        </w:rPr>
        <w:drawing>
          <wp:inline distT="0" distB="0" distL="114300" distR="114300">
            <wp:extent cx="5594985" cy="7912100"/>
            <wp:effectExtent l="0" t="0" r="5715" b="12700"/>
            <wp:docPr id="12" name="图片 12" descr="P020231008382350933730 (1)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P020231008382350933730 (1)_08"/>
                    <pic:cNvPicPr>
                      <a:picLocks noChangeAspect="1"/>
                    </pic:cNvPicPr>
                  </pic:nvPicPr>
                  <pic:blipFill>
                    <a:blip r:embed="rId70"/>
                    <a:stretch>
                      <a:fillRect/>
                    </a:stretch>
                  </pic:blipFill>
                  <pic:spPr>
                    <a:xfrm>
                      <a:off x="0" y="0"/>
                      <a:ext cx="5594985" cy="7912100"/>
                    </a:xfrm>
                    <a:prstGeom prst="rect">
                      <a:avLst/>
                    </a:prstGeom>
                  </pic:spPr>
                </pic:pic>
              </a:graphicData>
            </a:graphic>
          </wp:inline>
        </w:drawing>
      </w:r>
    </w:p>
    <w:p w14:paraId="05A8192B">
      <w:pPr>
        <w:rPr>
          <w:b/>
          <w:bCs/>
          <w:sz w:val="28"/>
          <w:szCs w:val="28"/>
        </w:rPr>
      </w:pPr>
    </w:p>
    <w:p w14:paraId="1CDA4111">
      <w:pPr>
        <w:rPr>
          <w:b/>
          <w:bCs/>
          <w:sz w:val="28"/>
          <w:szCs w:val="28"/>
        </w:rPr>
        <w:sectPr>
          <w:pgSz w:w="11906" w:h="16838"/>
          <w:pgMar w:top="1701" w:right="1531" w:bottom="1701" w:left="1531" w:header="851" w:footer="851" w:gutter="0"/>
          <w:cols w:space="720" w:num="1"/>
          <w:docGrid w:linePitch="312" w:charSpace="0"/>
        </w:sectPr>
      </w:pPr>
    </w:p>
    <w:p w14:paraId="7BFEF6B9">
      <w:pPr>
        <w:pStyle w:val="3"/>
        <w:spacing w:before="0" w:after="0" w:line="240" w:lineRule="auto"/>
        <w:ind w:left="0" w:firstLine="0"/>
        <w:rPr>
          <w:rFonts w:eastAsia="宋体"/>
          <w:sz w:val="28"/>
          <w:szCs w:val="28"/>
        </w:rPr>
      </w:pPr>
      <w:r>
        <w:rPr>
          <w:rFonts w:eastAsia="宋体"/>
          <w:sz w:val="28"/>
          <w:szCs w:val="28"/>
        </w:rPr>
        <w:t>附件</w:t>
      </w:r>
      <w:r>
        <w:rPr>
          <w:rFonts w:hint="eastAsia" w:eastAsia="宋体"/>
          <w:sz w:val="28"/>
          <w:szCs w:val="28"/>
          <w:lang w:val="en-US" w:eastAsia="zh-CN"/>
        </w:rPr>
        <w:t>9</w:t>
      </w:r>
      <w:r>
        <w:rPr>
          <w:rFonts w:hint="eastAsia" w:eastAsia="宋体"/>
          <w:sz w:val="28"/>
          <w:szCs w:val="28"/>
        </w:rPr>
        <w:t xml:space="preserve"> 焦粉、除尘灰原料化验单</w:t>
      </w:r>
    </w:p>
    <w:p w14:paraId="7F4C1755"/>
    <w:p w14:paraId="25280919">
      <w:pPr>
        <w:pStyle w:val="12"/>
        <w:ind w:firstLine="0" w:firstLineChars="0"/>
        <w:rPr>
          <w:rFonts w:hint="eastAsia"/>
        </w:rPr>
      </w:pPr>
      <w:r>
        <w:rPr>
          <w:rFonts w:hint="eastAsia"/>
        </w:rPr>
        <w:drawing>
          <wp:inline distT="0" distB="0" distL="114300" distR="114300">
            <wp:extent cx="3434715" cy="6106795"/>
            <wp:effectExtent l="0" t="0" r="8255" b="13335"/>
            <wp:docPr id="14" name="图片 14" descr="e0ac569704c3424680be2b806e5c4f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0ac569704c3424680be2b806e5c4f27"/>
                    <pic:cNvPicPr>
                      <a:picLocks noChangeAspect="1"/>
                    </pic:cNvPicPr>
                  </pic:nvPicPr>
                  <pic:blipFill>
                    <a:blip r:embed="rId71"/>
                    <a:stretch>
                      <a:fillRect/>
                    </a:stretch>
                  </pic:blipFill>
                  <pic:spPr>
                    <a:xfrm rot="16200000">
                      <a:off x="0" y="0"/>
                      <a:ext cx="3434715" cy="6106795"/>
                    </a:xfrm>
                    <a:prstGeom prst="rect">
                      <a:avLst/>
                    </a:prstGeom>
                  </pic:spPr>
                </pic:pic>
              </a:graphicData>
            </a:graphic>
          </wp:inline>
        </w:drawing>
      </w:r>
      <w:r>
        <w:rPr>
          <w:rFonts w:hint="eastAsia"/>
        </w:rPr>
        <w:drawing>
          <wp:inline distT="0" distB="0" distL="114300" distR="114300">
            <wp:extent cx="3439795" cy="6116320"/>
            <wp:effectExtent l="0" t="0" r="17780" b="8255"/>
            <wp:docPr id="39" name="图片 39" descr="cb592ec0adc68ea2a48f25d47000ea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b592ec0adc68ea2a48f25d47000ea3f"/>
                    <pic:cNvPicPr>
                      <a:picLocks noChangeAspect="1"/>
                    </pic:cNvPicPr>
                  </pic:nvPicPr>
                  <pic:blipFill>
                    <a:blip r:embed="rId72"/>
                    <a:stretch>
                      <a:fillRect/>
                    </a:stretch>
                  </pic:blipFill>
                  <pic:spPr>
                    <a:xfrm rot="16200000">
                      <a:off x="0" y="0"/>
                      <a:ext cx="3439795" cy="6116320"/>
                    </a:xfrm>
                    <a:prstGeom prst="rect">
                      <a:avLst/>
                    </a:prstGeom>
                  </pic:spPr>
                </pic:pic>
              </a:graphicData>
            </a:graphic>
          </wp:inline>
        </w:drawing>
      </w:r>
    </w:p>
    <w:p w14:paraId="0BF1C93F">
      <w:pPr>
        <w:pStyle w:val="12"/>
        <w:ind w:firstLine="0" w:firstLineChars="0"/>
        <w:rPr>
          <w:rFonts w:hint="eastAsia"/>
        </w:rPr>
        <w:sectPr>
          <w:footerReference r:id="rId11" w:type="default"/>
          <w:pgSz w:w="11906" w:h="16838"/>
          <w:pgMar w:top="1134" w:right="1531" w:bottom="1701" w:left="1531" w:header="851" w:footer="851" w:gutter="0"/>
          <w:cols w:space="720" w:num="1"/>
          <w:docGrid w:linePitch="312" w:charSpace="0"/>
        </w:sectPr>
      </w:pPr>
    </w:p>
    <w:p w14:paraId="750F134D">
      <w:pPr>
        <w:pStyle w:val="3"/>
        <w:spacing w:before="0" w:after="0" w:line="240" w:lineRule="auto"/>
        <w:ind w:left="0" w:firstLine="0"/>
        <w:rPr>
          <w:rFonts w:hint="default" w:eastAsia="宋体"/>
          <w:sz w:val="28"/>
          <w:szCs w:val="28"/>
          <w:lang w:val="en-US" w:eastAsia="zh-CN"/>
        </w:rPr>
      </w:pPr>
      <w:r>
        <w:rPr>
          <w:rFonts w:hint="eastAsia" w:eastAsia="宋体"/>
          <w:sz w:val="28"/>
          <w:szCs w:val="28"/>
          <w:lang w:val="en-US" w:eastAsia="zh-CN"/>
        </w:rPr>
        <w:t>附件10 文物调查复函</w:t>
      </w:r>
    </w:p>
    <w:p w14:paraId="1E464AD8">
      <w:pPr>
        <w:rPr>
          <w:rFonts w:hint="default"/>
          <w:lang w:val="en-US" w:eastAsia="zh-CN"/>
        </w:rPr>
      </w:pPr>
      <w:r>
        <w:rPr>
          <w:rFonts w:hint="default"/>
          <w:lang w:val="en-US" w:eastAsia="zh-CN"/>
        </w:rPr>
        <w:drawing>
          <wp:inline distT="0" distB="0" distL="114300" distR="114300">
            <wp:extent cx="5591175" cy="7914005"/>
            <wp:effectExtent l="0" t="0" r="9525" b="10795"/>
            <wp:docPr id="49" name="图片 49" descr="13.2024年第一批次文物调查复函(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13.2024年第一批次文物调查复函(1)_01"/>
                    <pic:cNvPicPr>
                      <a:picLocks noChangeAspect="1"/>
                    </pic:cNvPicPr>
                  </pic:nvPicPr>
                  <pic:blipFill>
                    <a:blip r:embed="rId73"/>
                    <a:stretch>
                      <a:fillRect/>
                    </a:stretch>
                  </pic:blipFill>
                  <pic:spPr>
                    <a:xfrm>
                      <a:off x="0" y="0"/>
                      <a:ext cx="5591175" cy="7914005"/>
                    </a:xfrm>
                    <a:prstGeom prst="rect">
                      <a:avLst/>
                    </a:prstGeom>
                  </pic:spPr>
                </pic:pic>
              </a:graphicData>
            </a:graphic>
          </wp:inline>
        </w:drawing>
      </w:r>
    </w:p>
    <w:p w14:paraId="55C21C19"/>
    <w:p w14:paraId="12BCDD5A"/>
    <w:p w14:paraId="7284793E"/>
    <w:p w14:paraId="0C2AAA51"/>
    <w:sectPr>
      <w:pgSz w:w="11906" w:h="16838"/>
      <w:pgMar w:top="1134" w:right="1531" w:bottom="1701" w:left="153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utura Bk">
    <w:altName w:val="Times New Roman"/>
    <w:panose1 w:val="00000000000000000000"/>
    <w:charset w:val="00"/>
    <w:family w:val="auto"/>
    <w:pitch w:val="default"/>
    <w:sig w:usb0="00000000" w:usb1="00000000" w:usb2="00000000"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auto"/>
    <w:pitch w:val="default"/>
    <w:sig w:usb0="00000001" w:usb1="02000000" w:usb2="08000000" w:usb3="00000000" w:csb0="00000001"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6632F">
    <w:pPr>
      <w:pStyle w:val="1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4BD09">
    <w:pPr>
      <w:pStyle w:val="15"/>
      <w:framePr w:wrap="around" w:vAnchor="text" w:hAnchor="margin" w:xAlign="center" w:y="1"/>
      <w:rPr>
        <w:rStyle w:val="26"/>
      </w:rPr>
    </w:pPr>
    <w:r>
      <w:fldChar w:fldCharType="begin"/>
    </w:r>
    <w:r>
      <w:rPr>
        <w:rStyle w:val="26"/>
      </w:rPr>
      <w:instrText xml:space="preserve">PAGE  </w:instrText>
    </w:r>
    <w:r>
      <w:fldChar w:fldCharType="end"/>
    </w:r>
  </w:p>
  <w:p w14:paraId="5644FCC7">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5835A">
    <w:pPr>
      <w:pStyle w:val="15"/>
      <w:ind w:right="360" w:firstLine="360"/>
      <w:jc w:val="center"/>
      <w:rPr>
        <w:sz w:val="24"/>
        <w:szCs w:val="24"/>
      </w:rPr>
    </w:pPr>
    <w:r>
      <w:rPr>
        <w:sz w:val="24"/>
        <w:szCs w:val="24"/>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74E5C2">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2874E5C2">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77FDF">
    <w:pPr>
      <w:pStyle w:val="15"/>
      <w:ind w:right="360" w:firstLine="360"/>
      <w:jc w:val="cente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736E4">
                          <w:pPr>
                            <w:pStyle w:val="1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532736E4">
                    <w:pPr>
                      <w:pStyle w:val="1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68A52">
    <w:pPr>
      <w:pStyle w:val="15"/>
      <w:ind w:right="360"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3FB12">
                          <w:pPr>
                            <w:pStyle w:val="1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1Ob0EtAgAAV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1Ob0EtAgAAVwQAAA4AAAAAAAAAAQAgAAAAHwEAAGRycy9lMm9Eb2MueG1sUEsFBgAAAAAG&#10;AAYAWQEAAL4FAAAAAA==&#10;">
              <v:fill on="f" focussize="0,0"/>
              <v:stroke on="f" weight="0.5pt"/>
              <v:imagedata o:title=""/>
              <o:lock v:ext="edit" aspectratio="f"/>
              <v:textbox inset="0mm,0mm,0mm,0mm" style="mso-fit-shape-to-text:t;">
                <w:txbxContent>
                  <w:p w14:paraId="7B23FB12">
                    <w:pPr>
                      <w:pStyle w:val="1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431E3">
    <w:pPr>
      <w:pStyle w:val="15"/>
      <w:ind w:right="360" w:firstLine="36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081F3">
                          <w:pPr>
                            <w:pStyle w:val="1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qU6g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alOoKwIAAFcEAAAOAAAAAAAAAAEAIAAAAB8BAABkcnMvZTJvRG9jLnhtbFBLBQYAAAAABgAG&#10;AFkBAAC8BQAAAAA=&#10;">
              <v:fill on="f" focussize="0,0"/>
              <v:stroke on="f" weight="0.5pt"/>
              <v:imagedata o:title=""/>
              <o:lock v:ext="edit" aspectratio="f"/>
              <v:textbox inset="0mm,0mm,0mm,0mm" style="mso-fit-shape-to-text:t;">
                <w:txbxContent>
                  <w:p w14:paraId="469081F3">
                    <w:pPr>
                      <w:pStyle w:val="1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3BD00">
    <w:pPr>
      <w:pStyle w:val="15"/>
      <w:ind w:right="360" w:firstLine="36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37B27">
                          <w:pPr>
                            <w:pStyle w:val="15"/>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2MmrI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oUQzhYqffnw/&#10;/Xw4/fpGcAaBWutniLu3iAzdO9OhbYZzj8PIu6ucil8wIvBD3uNFXtEFwuOl6WQ6zeHi8A0b4GeP&#10;163z4b0wikSjoA71S7Kyw8aHPnQIidm0WTdSphpKTVqQeP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YyasiwCAABXBAAADgAAAAAAAAABACAAAAAfAQAAZHJzL2Uyb0RvYy54bWxQSwUGAAAAAAYA&#10;BgBZAQAAvQUAAAAA&#10;">
              <v:fill on="f" focussize="0,0"/>
              <v:stroke on="f" weight="0.5pt"/>
              <v:imagedata o:title=""/>
              <o:lock v:ext="edit" aspectratio="f"/>
              <v:textbox inset="0mm,0mm,0mm,0mm" style="mso-fit-shape-to-text:t;">
                <w:txbxContent>
                  <w:p w14:paraId="20937B27">
                    <w:pPr>
                      <w:pStyle w:val="15"/>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F3A69">
    <w:pPr>
      <w:pStyle w:val="15"/>
      <w:ind w:right="360" w:firstLine="36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86BE5">
                          <w:pPr>
                            <w:pStyle w:val="15"/>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6DA86BE5">
                    <w:pPr>
                      <w:pStyle w:val="15"/>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FEE51">
    <w:pPr>
      <w:pStyle w:val="15"/>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5D34C0">
                          <w:pPr>
                            <w:pStyle w:val="15"/>
                          </w:pPr>
                          <w:r>
                            <w:fldChar w:fldCharType="begin"/>
                          </w:r>
                          <w:r>
                            <w:instrText xml:space="preserve"> PAGE  \* MERGEFORMAT </w:instrText>
                          </w:r>
                          <w:r>
                            <w:fldChar w:fldCharType="separate"/>
                          </w:r>
                          <w:r>
                            <w:t>120</w:t>
                          </w:r>
                          <w:r>
                            <w:fldChar w:fldCharType="end"/>
                          </w:r>
                        </w:p>
                      </w:txbxContent>
                    </wps:txbx>
                    <wps:bodyPr vert="horz" wrap="none" lIns="0" tIns="0" rIns="0" bIns="0" anchor="t" anchorCtr="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BlH6oQ2wEAALYDAAAOAAAAAAAAAAEA&#10;IAAAAB4BAABkcnMvZTJvRG9jLnhtbFBLBQYAAAAABgAGAFkBAABrBQAAAAA=&#10;">
              <v:fill on="f" focussize="0,0"/>
              <v:stroke on="f"/>
              <v:imagedata o:title=""/>
              <o:lock v:ext="edit" aspectratio="f"/>
              <v:textbox inset="0mm,0mm,0mm,0mm" style="mso-fit-shape-to-text:t;">
                <w:txbxContent>
                  <w:p w14:paraId="425D34C0">
                    <w:pPr>
                      <w:pStyle w:val="15"/>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15FC41"/>
    <w:multiLevelType w:val="singleLevel"/>
    <w:tmpl w:val="9B15FC41"/>
    <w:lvl w:ilvl="0" w:tentative="0">
      <w:start w:val="2"/>
      <w:numFmt w:val="decimal"/>
      <w:suff w:val="nothing"/>
      <w:lvlText w:val="（%1）"/>
      <w:lvlJc w:val="left"/>
    </w:lvl>
  </w:abstractNum>
  <w:abstractNum w:abstractNumId="1">
    <w:nsid w:val="A50AE67A"/>
    <w:multiLevelType w:val="singleLevel"/>
    <w:tmpl w:val="A50AE67A"/>
    <w:lvl w:ilvl="0" w:tentative="0">
      <w:start w:val="2"/>
      <w:numFmt w:val="chineseCounting"/>
      <w:lvlText w:val="(%1)"/>
      <w:lvlJc w:val="left"/>
      <w:pPr>
        <w:tabs>
          <w:tab w:val="left" w:pos="312"/>
        </w:tabs>
      </w:pPr>
      <w:rPr>
        <w:rFonts w:hint="eastAsia"/>
      </w:rPr>
    </w:lvl>
  </w:abstractNum>
  <w:abstractNum w:abstractNumId="2">
    <w:nsid w:val="A723027F"/>
    <w:multiLevelType w:val="singleLevel"/>
    <w:tmpl w:val="A723027F"/>
    <w:lvl w:ilvl="0" w:tentative="0">
      <w:start w:val="1"/>
      <w:numFmt w:val="decimal"/>
      <w:suff w:val="nothing"/>
      <w:lvlText w:val="（%1）"/>
      <w:lvlJc w:val="left"/>
    </w:lvl>
  </w:abstractNum>
  <w:abstractNum w:abstractNumId="3">
    <w:nsid w:val="B1D2A614"/>
    <w:multiLevelType w:val="singleLevel"/>
    <w:tmpl w:val="B1D2A614"/>
    <w:lvl w:ilvl="0" w:tentative="0">
      <w:start w:val="2"/>
      <w:numFmt w:val="upperLetter"/>
      <w:lvlText w:val="%1."/>
      <w:lvlJc w:val="left"/>
      <w:pPr>
        <w:tabs>
          <w:tab w:val="left" w:pos="312"/>
        </w:tabs>
      </w:pPr>
    </w:lvl>
  </w:abstractNum>
  <w:abstractNum w:abstractNumId="4">
    <w:nsid w:val="C2FC0397"/>
    <w:multiLevelType w:val="singleLevel"/>
    <w:tmpl w:val="C2FC0397"/>
    <w:lvl w:ilvl="0" w:tentative="0">
      <w:start w:val="2"/>
      <w:numFmt w:val="decimal"/>
      <w:suff w:val="nothing"/>
      <w:lvlText w:val="（%1）"/>
      <w:lvlJc w:val="left"/>
    </w:lvl>
  </w:abstractNum>
  <w:abstractNum w:abstractNumId="5">
    <w:nsid w:val="C88E8C0B"/>
    <w:multiLevelType w:val="singleLevel"/>
    <w:tmpl w:val="C88E8C0B"/>
    <w:lvl w:ilvl="0" w:tentative="0">
      <w:start w:val="4"/>
      <w:numFmt w:val="chineseCounting"/>
      <w:suff w:val="nothing"/>
      <w:lvlText w:val="%1、"/>
      <w:lvlJc w:val="left"/>
      <w:rPr>
        <w:rFonts w:hint="eastAsia"/>
      </w:rPr>
    </w:lvl>
  </w:abstractNum>
  <w:abstractNum w:abstractNumId="6">
    <w:nsid w:val="CCC4D5A8"/>
    <w:multiLevelType w:val="singleLevel"/>
    <w:tmpl w:val="CCC4D5A8"/>
    <w:lvl w:ilvl="0" w:tentative="0">
      <w:start w:val="1"/>
      <w:numFmt w:val="decimal"/>
      <w:suff w:val="nothing"/>
      <w:lvlText w:val="%1、"/>
      <w:lvlJc w:val="left"/>
      <w:rPr>
        <w:rFonts w:hint="default"/>
        <w:sz w:val="24"/>
        <w:szCs w:val="24"/>
      </w:rPr>
    </w:lvl>
  </w:abstractNum>
  <w:abstractNum w:abstractNumId="7">
    <w:nsid w:val="DB6BDC7F"/>
    <w:multiLevelType w:val="singleLevel"/>
    <w:tmpl w:val="DB6BDC7F"/>
    <w:lvl w:ilvl="0" w:tentative="0">
      <w:start w:val="1"/>
      <w:numFmt w:val="decimal"/>
      <w:suff w:val="nothing"/>
      <w:lvlText w:val="%1、"/>
      <w:lvlJc w:val="left"/>
    </w:lvl>
  </w:abstractNum>
  <w:abstractNum w:abstractNumId="8">
    <w:nsid w:val="E0E3818F"/>
    <w:multiLevelType w:val="singleLevel"/>
    <w:tmpl w:val="E0E3818F"/>
    <w:lvl w:ilvl="0" w:tentative="0">
      <w:start w:val="1"/>
      <w:numFmt w:val="decimal"/>
      <w:suff w:val="nothing"/>
      <w:lvlText w:val="（%1）"/>
      <w:lvlJc w:val="left"/>
      <w:rPr>
        <w:rFonts w:hint="default"/>
        <w:sz w:val="24"/>
        <w:szCs w:val="24"/>
      </w:rPr>
    </w:lvl>
  </w:abstractNum>
  <w:abstractNum w:abstractNumId="9">
    <w:nsid w:val="E8DBF74D"/>
    <w:multiLevelType w:val="singleLevel"/>
    <w:tmpl w:val="E8DBF74D"/>
    <w:lvl w:ilvl="0" w:tentative="0">
      <w:start w:val="5"/>
      <w:numFmt w:val="chineseCounting"/>
      <w:suff w:val="nothing"/>
      <w:lvlText w:val="%1、"/>
      <w:lvlJc w:val="left"/>
      <w:pPr>
        <w:ind w:left="840" w:firstLine="0"/>
      </w:pPr>
      <w:rPr>
        <w:rFonts w:hint="eastAsia"/>
      </w:rPr>
    </w:lvl>
  </w:abstractNum>
  <w:abstractNum w:abstractNumId="10">
    <w:nsid w:val="1BC82EF0"/>
    <w:multiLevelType w:val="singleLevel"/>
    <w:tmpl w:val="1BC82EF0"/>
    <w:lvl w:ilvl="0" w:tentative="0">
      <w:start w:val="1"/>
      <w:numFmt w:val="chineseCounting"/>
      <w:suff w:val="nothing"/>
      <w:lvlText w:val="%1、"/>
      <w:lvlJc w:val="left"/>
      <w:rPr>
        <w:rFonts w:hint="eastAsia"/>
      </w:rPr>
    </w:lvl>
  </w:abstractNum>
  <w:abstractNum w:abstractNumId="11">
    <w:nsid w:val="331CDB6A"/>
    <w:multiLevelType w:val="singleLevel"/>
    <w:tmpl w:val="331CDB6A"/>
    <w:lvl w:ilvl="0" w:tentative="0">
      <w:start w:val="0"/>
      <w:numFmt w:val="decimal"/>
      <w:suff w:val="space"/>
      <w:lvlText w:val="%1."/>
      <w:lvlJc w:val="left"/>
    </w:lvl>
  </w:abstractNum>
  <w:abstractNum w:abstractNumId="12">
    <w:nsid w:val="4FCADBB3"/>
    <w:multiLevelType w:val="singleLevel"/>
    <w:tmpl w:val="4FCADBB3"/>
    <w:lvl w:ilvl="0" w:tentative="0">
      <w:start w:val="1"/>
      <w:numFmt w:val="decimal"/>
      <w:suff w:val="nothing"/>
      <w:lvlText w:val="%1、"/>
      <w:lvlJc w:val="left"/>
    </w:lvl>
  </w:abstractNum>
  <w:abstractNum w:abstractNumId="13">
    <w:nsid w:val="51CCAD74"/>
    <w:multiLevelType w:val="singleLevel"/>
    <w:tmpl w:val="51CCAD74"/>
    <w:lvl w:ilvl="0" w:tentative="0">
      <w:start w:val="1"/>
      <w:numFmt w:val="decimal"/>
      <w:suff w:val="nothing"/>
      <w:lvlText w:val="（%1）"/>
      <w:lvlJc w:val="left"/>
    </w:lvl>
  </w:abstractNum>
  <w:abstractNum w:abstractNumId="14">
    <w:nsid w:val="5E05BA80"/>
    <w:multiLevelType w:val="singleLevel"/>
    <w:tmpl w:val="5E05BA80"/>
    <w:lvl w:ilvl="0" w:tentative="0">
      <w:start w:val="2"/>
      <w:numFmt w:val="decimal"/>
      <w:suff w:val="nothing"/>
      <w:lvlText w:val="%1）"/>
      <w:lvlJc w:val="left"/>
    </w:lvl>
  </w:abstractNum>
  <w:abstractNum w:abstractNumId="15">
    <w:nsid w:val="5FCDAD78"/>
    <w:multiLevelType w:val="singleLevel"/>
    <w:tmpl w:val="5FCDAD78"/>
    <w:lvl w:ilvl="0" w:tentative="0">
      <w:start w:val="1"/>
      <w:numFmt w:val="decimal"/>
      <w:suff w:val="nothing"/>
      <w:lvlText w:val="（%1）"/>
      <w:lvlJc w:val="left"/>
    </w:lvl>
  </w:abstractNum>
  <w:abstractNum w:abstractNumId="16">
    <w:nsid w:val="6D7032C2"/>
    <w:multiLevelType w:val="singleLevel"/>
    <w:tmpl w:val="6D7032C2"/>
    <w:lvl w:ilvl="0" w:tentative="0">
      <w:start w:val="1"/>
      <w:numFmt w:val="decimal"/>
      <w:suff w:val="nothing"/>
      <w:lvlText w:val="%1、"/>
      <w:lvlJc w:val="left"/>
      <w:rPr>
        <w:rFonts w:hint="default" w:ascii="Times New Roman" w:hAnsi="Times New Roman" w:cs="Times New Roman"/>
        <w:sz w:val="24"/>
        <w:szCs w:val="24"/>
      </w:rPr>
    </w:lvl>
  </w:abstractNum>
  <w:num w:numId="1">
    <w:abstractNumId w:val="12"/>
  </w:num>
  <w:num w:numId="2">
    <w:abstractNumId w:val="1"/>
  </w:num>
  <w:num w:numId="3">
    <w:abstractNumId w:val="10"/>
  </w:num>
  <w:num w:numId="4">
    <w:abstractNumId w:val="8"/>
  </w:num>
  <w:num w:numId="5">
    <w:abstractNumId w:val="0"/>
  </w:num>
  <w:num w:numId="6">
    <w:abstractNumId w:val="3"/>
  </w:num>
  <w:num w:numId="7">
    <w:abstractNumId w:val="9"/>
  </w:num>
  <w:num w:numId="8">
    <w:abstractNumId w:val="2"/>
  </w:num>
  <w:num w:numId="9">
    <w:abstractNumId w:val="7"/>
  </w:num>
  <w:num w:numId="10">
    <w:abstractNumId w:val="6"/>
  </w:num>
  <w:num w:numId="11">
    <w:abstractNumId w:val="16"/>
  </w:num>
  <w:num w:numId="12">
    <w:abstractNumId w:val="5"/>
  </w:num>
  <w:num w:numId="13">
    <w:abstractNumId w:val="11"/>
  </w:num>
  <w:num w:numId="14">
    <w:abstractNumId w:val="4"/>
  </w:num>
  <w:num w:numId="15">
    <w:abstractNumId w:val="14"/>
  </w:num>
  <w:num w:numId="16">
    <w:abstractNumId w:val="13"/>
  </w:num>
  <w:num w:numId="17">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柏岳">
    <w15:presenceInfo w15:providerId="None" w15:userId="柏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kNzVmN2M1MzE3NWEzMDc0Y2ZiYTY2NWZkZWJhNzkifQ=="/>
  </w:docVars>
  <w:rsids>
    <w:rsidRoot w:val="00A14947"/>
    <w:rsid w:val="000060B3"/>
    <w:rsid w:val="0002273B"/>
    <w:rsid w:val="00025C83"/>
    <w:rsid w:val="0004364B"/>
    <w:rsid w:val="00057C26"/>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073E2"/>
    <w:rsid w:val="00131F42"/>
    <w:rsid w:val="001357F1"/>
    <w:rsid w:val="00140FA8"/>
    <w:rsid w:val="00142FEB"/>
    <w:rsid w:val="00143A2D"/>
    <w:rsid w:val="00145A41"/>
    <w:rsid w:val="00151675"/>
    <w:rsid w:val="00157435"/>
    <w:rsid w:val="00157B99"/>
    <w:rsid w:val="0017504D"/>
    <w:rsid w:val="0017671A"/>
    <w:rsid w:val="00177422"/>
    <w:rsid w:val="00184590"/>
    <w:rsid w:val="001870D1"/>
    <w:rsid w:val="0018781E"/>
    <w:rsid w:val="0019262D"/>
    <w:rsid w:val="001A1B35"/>
    <w:rsid w:val="001A48A2"/>
    <w:rsid w:val="001A6F61"/>
    <w:rsid w:val="001B5C39"/>
    <w:rsid w:val="001B72B8"/>
    <w:rsid w:val="001C5C40"/>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57D73"/>
    <w:rsid w:val="00264557"/>
    <w:rsid w:val="00267F1B"/>
    <w:rsid w:val="002805AB"/>
    <w:rsid w:val="00284204"/>
    <w:rsid w:val="00291773"/>
    <w:rsid w:val="002A168C"/>
    <w:rsid w:val="002A3DC7"/>
    <w:rsid w:val="002B49E2"/>
    <w:rsid w:val="002B7B00"/>
    <w:rsid w:val="002B7C44"/>
    <w:rsid w:val="002C2B17"/>
    <w:rsid w:val="002D3DD0"/>
    <w:rsid w:val="002D5A26"/>
    <w:rsid w:val="002E1F3A"/>
    <w:rsid w:val="002E298A"/>
    <w:rsid w:val="002E6413"/>
    <w:rsid w:val="00301978"/>
    <w:rsid w:val="0030332C"/>
    <w:rsid w:val="003051C2"/>
    <w:rsid w:val="00312296"/>
    <w:rsid w:val="00313DD6"/>
    <w:rsid w:val="00314F0E"/>
    <w:rsid w:val="00321D8E"/>
    <w:rsid w:val="00325928"/>
    <w:rsid w:val="00332863"/>
    <w:rsid w:val="0033684D"/>
    <w:rsid w:val="00337B42"/>
    <w:rsid w:val="00341B42"/>
    <w:rsid w:val="0034348F"/>
    <w:rsid w:val="00356653"/>
    <w:rsid w:val="0035743F"/>
    <w:rsid w:val="00357BE2"/>
    <w:rsid w:val="0036170C"/>
    <w:rsid w:val="00361B29"/>
    <w:rsid w:val="00366E0F"/>
    <w:rsid w:val="00381A72"/>
    <w:rsid w:val="00384676"/>
    <w:rsid w:val="00390857"/>
    <w:rsid w:val="003A4BF3"/>
    <w:rsid w:val="003B420D"/>
    <w:rsid w:val="003C6C16"/>
    <w:rsid w:val="003D0AAD"/>
    <w:rsid w:val="003D794D"/>
    <w:rsid w:val="003E3058"/>
    <w:rsid w:val="003E76A9"/>
    <w:rsid w:val="003F0809"/>
    <w:rsid w:val="003F6A8C"/>
    <w:rsid w:val="003F755C"/>
    <w:rsid w:val="00406F01"/>
    <w:rsid w:val="00416D50"/>
    <w:rsid w:val="00416FD5"/>
    <w:rsid w:val="00417772"/>
    <w:rsid w:val="00420E6A"/>
    <w:rsid w:val="00425A9E"/>
    <w:rsid w:val="00426D6B"/>
    <w:rsid w:val="004317F0"/>
    <w:rsid w:val="00431E6C"/>
    <w:rsid w:val="00433CE7"/>
    <w:rsid w:val="00452738"/>
    <w:rsid w:val="00456091"/>
    <w:rsid w:val="00461514"/>
    <w:rsid w:val="00466321"/>
    <w:rsid w:val="00484B9B"/>
    <w:rsid w:val="004855F6"/>
    <w:rsid w:val="0048661E"/>
    <w:rsid w:val="00494670"/>
    <w:rsid w:val="00497A49"/>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131A"/>
    <w:rsid w:val="006748B8"/>
    <w:rsid w:val="006775C3"/>
    <w:rsid w:val="0069290A"/>
    <w:rsid w:val="0069775A"/>
    <w:rsid w:val="00697813"/>
    <w:rsid w:val="006A3EE8"/>
    <w:rsid w:val="006A72BF"/>
    <w:rsid w:val="006B03F2"/>
    <w:rsid w:val="006B37DC"/>
    <w:rsid w:val="006B4F68"/>
    <w:rsid w:val="006C0592"/>
    <w:rsid w:val="006C272E"/>
    <w:rsid w:val="006C5479"/>
    <w:rsid w:val="006C75CE"/>
    <w:rsid w:val="006D13B5"/>
    <w:rsid w:val="006E0E8D"/>
    <w:rsid w:val="006E12FF"/>
    <w:rsid w:val="006E607E"/>
    <w:rsid w:val="00706C5D"/>
    <w:rsid w:val="00732922"/>
    <w:rsid w:val="0075162E"/>
    <w:rsid w:val="00754034"/>
    <w:rsid w:val="00756556"/>
    <w:rsid w:val="007618C4"/>
    <w:rsid w:val="00767980"/>
    <w:rsid w:val="007707D0"/>
    <w:rsid w:val="00770B19"/>
    <w:rsid w:val="0077463F"/>
    <w:rsid w:val="007836EA"/>
    <w:rsid w:val="00784CDA"/>
    <w:rsid w:val="007906C4"/>
    <w:rsid w:val="007940EA"/>
    <w:rsid w:val="007967E8"/>
    <w:rsid w:val="007A2170"/>
    <w:rsid w:val="007A22BF"/>
    <w:rsid w:val="007A3323"/>
    <w:rsid w:val="007B72B8"/>
    <w:rsid w:val="007B7A58"/>
    <w:rsid w:val="007C21B5"/>
    <w:rsid w:val="007D466E"/>
    <w:rsid w:val="007E4BD2"/>
    <w:rsid w:val="00801393"/>
    <w:rsid w:val="00802F88"/>
    <w:rsid w:val="00812356"/>
    <w:rsid w:val="0081293E"/>
    <w:rsid w:val="00815465"/>
    <w:rsid w:val="00817E9A"/>
    <w:rsid w:val="008306BD"/>
    <w:rsid w:val="00831A80"/>
    <w:rsid w:val="00833743"/>
    <w:rsid w:val="008340A4"/>
    <w:rsid w:val="0085649B"/>
    <w:rsid w:val="0087135F"/>
    <w:rsid w:val="00872D94"/>
    <w:rsid w:val="00880364"/>
    <w:rsid w:val="00891592"/>
    <w:rsid w:val="00891E9E"/>
    <w:rsid w:val="008953F8"/>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76E7F"/>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048F"/>
    <w:rsid w:val="00AB1E09"/>
    <w:rsid w:val="00AB2011"/>
    <w:rsid w:val="00AB5330"/>
    <w:rsid w:val="00AB7747"/>
    <w:rsid w:val="00AC14CE"/>
    <w:rsid w:val="00AC2A56"/>
    <w:rsid w:val="00AC377F"/>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2D6B"/>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419C"/>
    <w:rsid w:val="00CE5393"/>
    <w:rsid w:val="00CF36BE"/>
    <w:rsid w:val="00CF6000"/>
    <w:rsid w:val="00D003F3"/>
    <w:rsid w:val="00D0364F"/>
    <w:rsid w:val="00D06834"/>
    <w:rsid w:val="00D308ED"/>
    <w:rsid w:val="00D36D86"/>
    <w:rsid w:val="00D428AA"/>
    <w:rsid w:val="00D43462"/>
    <w:rsid w:val="00D50A34"/>
    <w:rsid w:val="00D53EFA"/>
    <w:rsid w:val="00D94A7C"/>
    <w:rsid w:val="00D95896"/>
    <w:rsid w:val="00DB2983"/>
    <w:rsid w:val="00DB74BB"/>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259C"/>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4580"/>
    <w:rsid w:val="00FD54DB"/>
    <w:rsid w:val="00FD619F"/>
    <w:rsid w:val="00FF4FA5"/>
    <w:rsid w:val="01290F7E"/>
    <w:rsid w:val="015D1E09"/>
    <w:rsid w:val="017E55F4"/>
    <w:rsid w:val="01D003DC"/>
    <w:rsid w:val="01F36C75"/>
    <w:rsid w:val="025B7D4C"/>
    <w:rsid w:val="02671768"/>
    <w:rsid w:val="02697903"/>
    <w:rsid w:val="02F27FB9"/>
    <w:rsid w:val="02F96569"/>
    <w:rsid w:val="032B3B0C"/>
    <w:rsid w:val="03D251BA"/>
    <w:rsid w:val="03D518DD"/>
    <w:rsid w:val="03EA7B21"/>
    <w:rsid w:val="040556DD"/>
    <w:rsid w:val="040E6340"/>
    <w:rsid w:val="0423034F"/>
    <w:rsid w:val="04363597"/>
    <w:rsid w:val="046313F3"/>
    <w:rsid w:val="04E83035"/>
    <w:rsid w:val="0591547A"/>
    <w:rsid w:val="05A76A4C"/>
    <w:rsid w:val="05F83EAE"/>
    <w:rsid w:val="063E7D85"/>
    <w:rsid w:val="07171A20"/>
    <w:rsid w:val="07293586"/>
    <w:rsid w:val="07295285"/>
    <w:rsid w:val="07636392"/>
    <w:rsid w:val="076E3F95"/>
    <w:rsid w:val="07770C56"/>
    <w:rsid w:val="08F54642"/>
    <w:rsid w:val="090617E5"/>
    <w:rsid w:val="09181A0E"/>
    <w:rsid w:val="092217DD"/>
    <w:rsid w:val="093A7294"/>
    <w:rsid w:val="097F1A8E"/>
    <w:rsid w:val="0989673E"/>
    <w:rsid w:val="0A0124A3"/>
    <w:rsid w:val="0A263993"/>
    <w:rsid w:val="0A2D3AC2"/>
    <w:rsid w:val="0A9E5F43"/>
    <w:rsid w:val="0AA755DF"/>
    <w:rsid w:val="0B120D44"/>
    <w:rsid w:val="0BD27BF6"/>
    <w:rsid w:val="0C191D25"/>
    <w:rsid w:val="0C3B3C7D"/>
    <w:rsid w:val="0CAB2EAE"/>
    <w:rsid w:val="0CC46135"/>
    <w:rsid w:val="0D621C7D"/>
    <w:rsid w:val="0DE34399"/>
    <w:rsid w:val="0DE63E89"/>
    <w:rsid w:val="0E4B63E2"/>
    <w:rsid w:val="0E73034D"/>
    <w:rsid w:val="0E7B579A"/>
    <w:rsid w:val="0E927B6D"/>
    <w:rsid w:val="0EFC41A3"/>
    <w:rsid w:val="0F13775A"/>
    <w:rsid w:val="0F5F45FE"/>
    <w:rsid w:val="0F834CCE"/>
    <w:rsid w:val="0F9A112B"/>
    <w:rsid w:val="10065191"/>
    <w:rsid w:val="100D7DF3"/>
    <w:rsid w:val="106D2F64"/>
    <w:rsid w:val="10B63710"/>
    <w:rsid w:val="10F10820"/>
    <w:rsid w:val="11034D52"/>
    <w:rsid w:val="111C2F7A"/>
    <w:rsid w:val="11660D0F"/>
    <w:rsid w:val="11665CA1"/>
    <w:rsid w:val="12371157"/>
    <w:rsid w:val="138403CC"/>
    <w:rsid w:val="13877EBC"/>
    <w:rsid w:val="13951726"/>
    <w:rsid w:val="13B32A60"/>
    <w:rsid w:val="13D529D6"/>
    <w:rsid w:val="13FC4407"/>
    <w:rsid w:val="14223741"/>
    <w:rsid w:val="14396509"/>
    <w:rsid w:val="14504752"/>
    <w:rsid w:val="146A69C0"/>
    <w:rsid w:val="148B7538"/>
    <w:rsid w:val="14DD2C3C"/>
    <w:rsid w:val="15AE7982"/>
    <w:rsid w:val="16087E1D"/>
    <w:rsid w:val="16BE59A3"/>
    <w:rsid w:val="16DA4640"/>
    <w:rsid w:val="17033CFE"/>
    <w:rsid w:val="17701D14"/>
    <w:rsid w:val="17735226"/>
    <w:rsid w:val="17D336D0"/>
    <w:rsid w:val="183F2B14"/>
    <w:rsid w:val="18934C0E"/>
    <w:rsid w:val="189F624C"/>
    <w:rsid w:val="19404D95"/>
    <w:rsid w:val="194D300E"/>
    <w:rsid w:val="19B74A0B"/>
    <w:rsid w:val="19BA5A77"/>
    <w:rsid w:val="19EE11EA"/>
    <w:rsid w:val="19EE2A43"/>
    <w:rsid w:val="1A1B4EBB"/>
    <w:rsid w:val="1A1C66C0"/>
    <w:rsid w:val="1A200CB6"/>
    <w:rsid w:val="1A42393B"/>
    <w:rsid w:val="1A8F6E44"/>
    <w:rsid w:val="1A9A2283"/>
    <w:rsid w:val="1AAD45DE"/>
    <w:rsid w:val="1ABC669E"/>
    <w:rsid w:val="1ABF1CEA"/>
    <w:rsid w:val="1B046F80"/>
    <w:rsid w:val="1B3267B5"/>
    <w:rsid w:val="1B40161D"/>
    <w:rsid w:val="1B441859"/>
    <w:rsid w:val="1B6606B1"/>
    <w:rsid w:val="1C143DB1"/>
    <w:rsid w:val="1C55570E"/>
    <w:rsid w:val="1C5E7925"/>
    <w:rsid w:val="1CBF06C7"/>
    <w:rsid w:val="1CFD070F"/>
    <w:rsid w:val="1D5F6196"/>
    <w:rsid w:val="1D6132A5"/>
    <w:rsid w:val="1D8E56D5"/>
    <w:rsid w:val="1DE25B71"/>
    <w:rsid w:val="1E0A7720"/>
    <w:rsid w:val="1E7A43DA"/>
    <w:rsid w:val="1F78690B"/>
    <w:rsid w:val="1FE7539E"/>
    <w:rsid w:val="1FFB4258"/>
    <w:rsid w:val="204A474C"/>
    <w:rsid w:val="20671BE0"/>
    <w:rsid w:val="20963CB8"/>
    <w:rsid w:val="20A81A1B"/>
    <w:rsid w:val="20B07FB6"/>
    <w:rsid w:val="20B646FB"/>
    <w:rsid w:val="20DD2858"/>
    <w:rsid w:val="20EA3839"/>
    <w:rsid w:val="20F81674"/>
    <w:rsid w:val="21130FE1"/>
    <w:rsid w:val="212E5E1B"/>
    <w:rsid w:val="213B74B1"/>
    <w:rsid w:val="21535882"/>
    <w:rsid w:val="215A2310"/>
    <w:rsid w:val="21DE318A"/>
    <w:rsid w:val="21EF5B80"/>
    <w:rsid w:val="22576990"/>
    <w:rsid w:val="22737F8A"/>
    <w:rsid w:val="22C407E5"/>
    <w:rsid w:val="22CA6606"/>
    <w:rsid w:val="22E22A19"/>
    <w:rsid w:val="22E53382"/>
    <w:rsid w:val="22F47480"/>
    <w:rsid w:val="235D6EFB"/>
    <w:rsid w:val="23CF38CC"/>
    <w:rsid w:val="23DE1C48"/>
    <w:rsid w:val="23E319E9"/>
    <w:rsid w:val="240210CD"/>
    <w:rsid w:val="24BF09F7"/>
    <w:rsid w:val="25184E18"/>
    <w:rsid w:val="25185232"/>
    <w:rsid w:val="252D53FE"/>
    <w:rsid w:val="25A14E0E"/>
    <w:rsid w:val="25EC2D81"/>
    <w:rsid w:val="26852E4C"/>
    <w:rsid w:val="271433BD"/>
    <w:rsid w:val="271B299E"/>
    <w:rsid w:val="27221F7E"/>
    <w:rsid w:val="276A76C6"/>
    <w:rsid w:val="277057A2"/>
    <w:rsid w:val="28005C30"/>
    <w:rsid w:val="283A47C4"/>
    <w:rsid w:val="28765F54"/>
    <w:rsid w:val="289A47E9"/>
    <w:rsid w:val="28C01A4F"/>
    <w:rsid w:val="28E026ED"/>
    <w:rsid w:val="29206EB8"/>
    <w:rsid w:val="29595666"/>
    <w:rsid w:val="29874881"/>
    <w:rsid w:val="29E325E0"/>
    <w:rsid w:val="2A41096D"/>
    <w:rsid w:val="2A452503"/>
    <w:rsid w:val="2AB5795A"/>
    <w:rsid w:val="2AC375D4"/>
    <w:rsid w:val="2BA936A8"/>
    <w:rsid w:val="2BE75544"/>
    <w:rsid w:val="2C315A5A"/>
    <w:rsid w:val="2C4B1C25"/>
    <w:rsid w:val="2C55425C"/>
    <w:rsid w:val="2D23435A"/>
    <w:rsid w:val="2D376058"/>
    <w:rsid w:val="2D517119"/>
    <w:rsid w:val="2D9E56F5"/>
    <w:rsid w:val="2E3A7BAD"/>
    <w:rsid w:val="2E667F96"/>
    <w:rsid w:val="2E8226AB"/>
    <w:rsid w:val="2E8C6FF7"/>
    <w:rsid w:val="2E936247"/>
    <w:rsid w:val="2F8F4FB9"/>
    <w:rsid w:val="2FD065E6"/>
    <w:rsid w:val="2FD96870"/>
    <w:rsid w:val="30580BC9"/>
    <w:rsid w:val="30671784"/>
    <w:rsid w:val="30744024"/>
    <w:rsid w:val="30D36EE5"/>
    <w:rsid w:val="311A1F18"/>
    <w:rsid w:val="311E2ED7"/>
    <w:rsid w:val="315619EE"/>
    <w:rsid w:val="315C449C"/>
    <w:rsid w:val="317C672F"/>
    <w:rsid w:val="31B82709"/>
    <w:rsid w:val="31D05482"/>
    <w:rsid w:val="32082D1E"/>
    <w:rsid w:val="32400B34"/>
    <w:rsid w:val="329E6876"/>
    <w:rsid w:val="32E93950"/>
    <w:rsid w:val="331F04E4"/>
    <w:rsid w:val="333015F2"/>
    <w:rsid w:val="333924FB"/>
    <w:rsid w:val="334B6320"/>
    <w:rsid w:val="33D934D4"/>
    <w:rsid w:val="33FE2F6A"/>
    <w:rsid w:val="340E07E5"/>
    <w:rsid w:val="34235BF7"/>
    <w:rsid w:val="34AE3255"/>
    <w:rsid w:val="35132F06"/>
    <w:rsid w:val="358C5FA8"/>
    <w:rsid w:val="35C15DF1"/>
    <w:rsid w:val="36074A7F"/>
    <w:rsid w:val="36923549"/>
    <w:rsid w:val="36B75FBF"/>
    <w:rsid w:val="36BD0C45"/>
    <w:rsid w:val="36C51BD7"/>
    <w:rsid w:val="36CA1CEB"/>
    <w:rsid w:val="37180CA8"/>
    <w:rsid w:val="371D3BDD"/>
    <w:rsid w:val="37E00298"/>
    <w:rsid w:val="38341167"/>
    <w:rsid w:val="38B302F9"/>
    <w:rsid w:val="38D7589C"/>
    <w:rsid w:val="38F12CD3"/>
    <w:rsid w:val="38F94775"/>
    <w:rsid w:val="392971ED"/>
    <w:rsid w:val="39325651"/>
    <w:rsid w:val="39504729"/>
    <w:rsid w:val="398D6D4E"/>
    <w:rsid w:val="3A070042"/>
    <w:rsid w:val="3A1673B4"/>
    <w:rsid w:val="3A540249"/>
    <w:rsid w:val="3A872856"/>
    <w:rsid w:val="3AA37D19"/>
    <w:rsid w:val="3B3763D1"/>
    <w:rsid w:val="3B5847E9"/>
    <w:rsid w:val="3B5D137F"/>
    <w:rsid w:val="3C2F6E1E"/>
    <w:rsid w:val="3C4F64BA"/>
    <w:rsid w:val="3C7826C2"/>
    <w:rsid w:val="3CDA245A"/>
    <w:rsid w:val="3CF950D8"/>
    <w:rsid w:val="3D1E06B7"/>
    <w:rsid w:val="3D2C764F"/>
    <w:rsid w:val="3DCD15E0"/>
    <w:rsid w:val="3E11086C"/>
    <w:rsid w:val="3EDA0523"/>
    <w:rsid w:val="3F1B1684"/>
    <w:rsid w:val="3F253F62"/>
    <w:rsid w:val="3F8027AA"/>
    <w:rsid w:val="3FDD26C4"/>
    <w:rsid w:val="40367523"/>
    <w:rsid w:val="403854EB"/>
    <w:rsid w:val="40632D02"/>
    <w:rsid w:val="407A6407"/>
    <w:rsid w:val="40A610D2"/>
    <w:rsid w:val="416A7B9E"/>
    <w:rsid w:val="4200449D"/>
    <w:rsid w:val="423A3BCC"/>
    <w:rsid w:val="424E57D2"/>
    <w:rsid w:val="427C72C7"/>
    <w:rsid w:val="42B26C49"/>
    <w:rsid w:val="433A6FE6"/>
    <w:rsid w:val="43480868"/>
    <w:rsid w:val="4350713C"/>
    <w:rsid w:val="436653E0"/>
    <w:rsid w:val="43C4431A"/>
    <w:rsid w:val="445141D8"/>
    <w:rsid w:val="44531571"/>
    <w:rsid w:val="446612A5"/>
    <w:rsid w:val="44B951CC"/>
    <w:rsid w:val="44CD14E0"/>
    <w:rsid w:val="44E16B7D"/>
    <w:rsid w:val="44F20B0B"/>
    <w:rsid w:val="45163DF2"/>
    <w:rsid w:val="452E5F4C"/>
    <w:rsid w:val="45612018"/>
    <w:rsid w:val="458946E9"/>
    <w:rsid w:val="45A47C0E"/>
    <w:rsid w:val="45EF0E26"/>
    <w:rsid w:val="45F60406"/>
    <w:rsid w:val="46577FD6"/>
    <w:rsid w:val="46D955A7"/>
    <w:rsid w:val="47133957"/>
    <w:rsid w:val="47A07E0C"/>
    <w:rsid w:val="47AA76FA"/>
    <w:rsid w:val="47E81FD1"/>
    <w:rsid w:val="483416BA"/>
    <w:rsid w:val="4870272E"/>
    <w:rsid w:val="48DD765B"/>
    <w:rsid w:val="49DC7715"/>
    <w:rsid w:val="4A023139"/>
    <w:rsid w:val="4A437992"/>
    <w:rsid w:val="4A4D0811"/>
    <w:rsid w:val="4A4F0FFA"/>
    <w:rsid w:val="4A6921BC"/>
    <w:rsid w:val="4A7B576F"/>
    <w:rsid w:val="4AF561A9"/>
    <w:rsid w:val="4C235CCD"/>
    <w:rsid w:val="4C4A0649"/>
    <w:rsid w:val="4C7E5ECA"/>
    <w:rsid w:val="4C82091F"/>
    <w:rsid w:val="4C876AA5"/>
    <w:rsid w:val="4CAA1B0B"/>
    <w:rsid w:val="4D0E00FB"/>
    <w:rsid w:val="4D176606"/>
    <w:rsid w:val="4D6F5842"/>
    <w:rsid w:val="4DEC4FB0"/>
    <w:rsid w:val="4E075D8A"/>
    <w:rsid w:val="4EC00FAD"/>
    <w:rsid w:val="4ECE633C"/>
    <w:rsid w:val="4EF57F9E"/>
    <w:rsid w:val="4F3D0E54"/>
    <w:rsid w:val="4F9843DC"/>
    <w:rsid w:val="4FC62A8C"/>
    <w:rsid w:val="4FE20F0D"/>
    <w:rsid w:val="4FE51552"/>
    <w:rsid w:val="500B71A4"/>
    <w:rsid w:val="50504C4B"/>
    <w:rsid w:val="50632B3C"/>
    <w:rsid w:val="509C6E7C"/>
    <w:rsid w:val="50C948BA"/>
    <w:rsid w:val="50D5460D"/>
    <w:rsid w:val="5162104E"/>
    <w:rsid w:val="518F170F"/>
    <w:rsid w:val="52B458D1"/>
    <w:rsid w:val="52B92FBF"/>
    <w:rsid w:val="53502EBA"/>
    <w:rsid w:val="536746F1"/>
    <w:rsid w:val="53A039CC"/>
    <w:rsid w:val="53A1505A"/>
    <w:rsid w:val="53FA37B7"/>
    <w:rsid w:val="54063E08"/>
    <w:rsid w:val="543437E8"/>
    <w:rsid w:val="548F04DC"/>
    <w:rsid w:val="54CD2A44"/>
    <w:rsid w:val="54F73313"/>
    <w:rsid w:val="54F80955"/>
    <w:rsid w:val="55407132"/>
    <w:rsid w:val="555170A7"/>
    <w:rsid w:val="5587536D"/>
    <w:rsid w:val="559B174B"/>
    <w:rsid w:val="55CE0CF4"/>
    <w:rsid w:val="55E66EB1"/>
    <w:rsid w:val="567D2AD8"/>
    <w:rsid w:val="567E2B17"/>
    <w:rsid w:val="56B22A9C"/>
    <w:rsid w:val="56B360B3"/>
    <w:rsid w:val="570C7337"/>
    <w:rsid w:val="57352BD1"/>
    <w:rsid w:val="578F6800"/>
    <w:rsid w:val="57B72A76"/>
    <w:rsid w:val="57C3426C"/>
    <w:rsid w:val="57CE1F93"/>
    <w:rsid w:val="58337298"/>
    <w:rsid w:val="586F1BDD"/>
    <w:rsid w:val="588743D1"/>
    <w:rsid w:val="5887701A"/>
    <w:rsid w:val="58E30CBE"/>
    <w:rsid w:val="590B5B1F"/>
    <w:rsid w:val="59410815"/>
    <w:rsid w:val="59835FFD"/>
    <w:rsid w:val="59C0439F"/>
    <w:rsid w:val="5A767910"/>
    <w:rsid w:val="5AA75DC2"/>
    <w:rsid w:val="5ABE2233"/>
    <w:rsid w:val="5B08222C"/>
    <w:rsid w:val="5B865931"/>
    <w:rsid w:val="5B8816A9"/>
    <w:rsid w:val="5BDF5D95"/>
    <w:rsid w:val="5BFE7528"/>
    <w:rsid w:val="5C253C05"/>
    <w:rsid w:val="5CBB3794"/>
    <w:rsid w:val="5D177188"/>
    <w:rsid w:val="5D300CC2"/>
    <w:rsid w:val="5E2467F1"/>
    <w:rsid w:val="5E5D76FC"/>
    <w:rsid w:val="5EC52588"/>
    <w:rsid w:val="5F025501"/>
    <w:rsid w:val="5F0D2BE1"/>
    <w:rsid w:val="5F1A2B43"/>
    <w:rsid w:val="5F5516E1"/>
    <w:rsid w:val="5F5C5FB8"/>
    <w:rsid w:val="5F8D1FD1"/>
    <w:rsid w:val="5FB837BB"/>
    <w:rsid w:val="600E3095"/>
    <w:rsid w:val="60CC405A"/>
    <w:rsid w:val="61406582"/>
    <w:rsid w:val="61E215D8"/>
    <w:rsid w:val="621B3775"/>
    <w:rsid w:val="62364782"/>
    <w:rsid w:val="62B66AFB"/>
    <w:rsid w:val="630E1E1B"/>
    <w:rsid w:val="637C5F97"/>
    <w:rsid w:val="638530B9"/>
    <w:rsid w:val="6394356A"/>
    <w:rsid w:val="63C61B2C"/>
    <w:rsid w:val="63D40BE9"/>
    <w:rsid w:val="64102431"/>
    <w:rsid w:val="64986E00"/>
    <w:rsid w:val="64A04BD3"/>
    <w:rsid w:val="64A5243A"/>
    <w:rsid w:val="64CA62C3"/>
    <w:rsid w:val="64F531DE"/>
    <w:rsid w:val="65373578"/>
    <w:rsid w:val="655B7978"/>
    <w:rsid w:val="65E052B4"/>
    <w:rsid w:val="662D17CA"/>
    <w:rsid w:val="66D5737D"/>
    <w:rsid w:val="66F4435E"/>
    <w:rsid w:val="671F124A"/>
    <w:rsid w:val="67332E10"/>
    <w:rsid w:val="677A33C6"/>
    <w:rsid w:val="679338AF"/>
    <w:rsid w:val="681839DF"/>
    <w:rsid w:val="681F6961"/>
    <w:rsid w:val="682269E1"/>
    <w:rsid w:val="685F19E3"/>
    <w:rsid w:val="68610A2F"/>
    <w:rsid w:val="6868185E"/>
    <w:rsid w:val="6870599E"/>
    <w:rsid w:val="68805514"/>
    <w:rsid w:val="69316E2F"/>
    <w:rsid w:val="694E2071"/>
    <w:rsid w:val="69766163"/>
    <w:rsid w:val="697A3B33"/>
    <w:rsid w:val="69D44760"/>
    <w:rsid w:val="6A2B4273"/>
    <w:rsid w:val="6A520EC7"/>
    <w:rsid w:val="6AAD4C88"/>
    <w:rsid w:val="6AF87E20"/>
    <w:rsid w:val="6B322639"/>
    <w:rsid w:val="6BDD0A5A"/>
    <w:rsid w:val="6C636C38"/>
    <w:rsid w:val="6C845EBC"/>
    <w:rsid w:val="6CA83959"/>
    <w:rsid w:val="6DAC77AC"/>
    <w:rsid w:val="6DB34098"/>
    <w:rsid w:val="6DB545B6"/>
    <w:rsid w:val="6DDB7D5E"/>
    <w:rsid w:val="6DE02FB4"/>
    <w:rsid w:val="6E514CED"/>
    <w:rsid w:val="6EB563D5"/>
    <w:rsid w:val="6EC0447A"/>
    <w:rsid w:val="6ED92677"/>
    <w:rsid w:val="6F225983"/>
    <w:rsid w:val="6FFC5590"/>
    <w:rsid w:val="70187047"/>
    <w:rsid w:val="706D1DD0"/>
    <w:rsid w:val="70856B87"/>
    <w:rsid w:val="70D527EE"/>
    <w:rsid w:val="71554000"/>
    <w:rsid w:val="715B5300"/>
    <w:rsid w:val="71D27F8A"/>
    <w:rsid w:val="71D451F0"/>
    <w:rsid w:val="71EA4A14"/>
    <w:rsid w:val="72553024"/>
    <w:rsid w:val="7281533B"/>
    <w:rsid w:val="72FD65D3"/>
    <w:rsid w:val="73122968"/>
    <w:rsid w:val="731F5D5E"/>
    <w:rsid w:val="73334198"/>
    <w:rsid w:val="73C51AD5"/>
    <w:rsid w:val="741E793C"/>
    <w:rsid w:val="74540570"/>
    <w:rsid w:val="745E3944"/>
    <w:rsid w:val="748947B5"/>
    <w:rsid w:val="74CB4F1C"/>
    <w:rsid w:val="74D23FB8"/>
    <w:rsid w:val="7564688B"/>
    <w:rsid w:val="75A50453"/>
    <w:rsid w:val="7635099D"/>
    <w:rsid w:val="763E70DC"/>
    <w:rsid w:val="766905FD"/>
    <w:rsid w:val="76761A7A"/>
    <w:rsid w:val="769413F2"/>
    <w:rsid w:val="76D65566"/>
    <w:rsid w:val="76F37EC6"/>
    <w:rsid w:val="772E688D"/>
    <w:rsid w:val="775509AD"/>
    <w:rsid w:val="775F5F82"/>
    <w:rsid w:val="77762421"/>
    <w:rsid w:val="77B56B1F"/>
    <w:rsid w:val="780F09F4"/>
    <w:rsid w:val="78927979"/>
    <w:rsid w:val="78A90480"/>
    <w:rsid w:val="7A342CD0"/>
    <w:rsid w:val="7A364017"/>
    <w:rsid w:val="7A36630D"/>
    <w:rsid w:val="7A8265E1"/>
    <w:rsid w:val="7B686D42"/>
    <w:rsid w:val="7B7B4D49"/>
    <w:rsid w:val="7B841746"/>
    <w:rsid w:val="7C4931CA"/>
    <w:rsid w:val="7C6C5AC7"/>
    <w:rsid w:val="7CC6544B"/>
    <w:rsid w:val="7D0239FF"/>
    <w:rsid w:val="7D293FDF"/>
    <w:rsid w:val="7D3C25A3"/>
    <w:rsid w:val="7D4865B7"/>
    <w:rsid w:val="7D5E40CD"/>
    <w:rsid w:val="7D706982"/>
    <w:rsid w:val="7DCD56F2"/>
    <w:rsid w:val="7E5751DF"/>
    <w:rsid w:val="7E8B30DA"/>
    <w:rsid w:val="7EAD2AEC"/>
    <w:rsid w:val="7EF9464C"/>
    <w:rsid w:val="7F001CE7"/>
    <w:rsid w:val="7F3472CE"/>
    <w:rsid w:val="7F633A0C"/>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semiHidden="0" w:name="heading 2" w:locked="1"/>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qFormat="1" w:unhideWhenUsed="0" w:uiPriority="99"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99"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unhideWhenUsed/>
    <w:qFormat/>
    <w:locked/>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unhideWhenUsed/>
    <w:qFormat/>
    <w:locked/>
    <w:uiPriority w:val="0"/>
    <w:pPr>
      <w:keepNext/>
      <w:keepLines/>
      <w:spacing w:before="260" w:after="260" w:line="413" w:lineRule="auto"/>
      <w:outlineLvl w:val="2"/>
    </w:pPr>
    <w:rPr>
      <w:b/>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39"/>
    <w:pPr>
      <w:ind w:left="420" w:leftChars="200"/>
    </w:pPr>
  </w:style>
  <w:style w:type="paragraph" w:styleId="6">
    <w:name w:val="Normal Indent"/>
    <w:basedOn w:val="1"/>
    <w:qFormat/>
    <w:locked/>
    <w:uiPriority w:val="99"/>
    <w:pPr>
      <w:keepLines/>
      <w:adjustRightInd w:val="0"/>
      <w:snapToGrid w:val="0"/>
      <w:spacing w:line="360" w:lineRule="auto"/>
      <w:ind w:left="720" w:firstLine="1040" w:firstLineChars="200"/>
    </w:pPr>
    <w:rPr>
      <w:rFonts w:ascii="Futura Bk" w:hAnsi="Futura Bk"/>
      <w:sz w:val="28"/>
      <w:szCs w:val="20"/>
    </w:rPr>
  </w:style>
  <w:style w:type="paragraph" w:styleId="7">
    <w:name w:val="annotation text"/>
    <w:basedOn w:val="1"/>
    <w:link w:val="29"/>
    <w:semiHidden/>
    <w:qFormat/>
    <w:uiPriority w:val="0"/>
    <w:pPr>
      <w:jc w:val="left"/>
    </w:pPr>
    <w:rPr>
      <w:kern w:val="0"/>
      <w:sz w:val="24"/>
      <w:szCs w:val="20"/>
    </w:rPr>
  </w:style>
  <w:style w:type="paragraph" w:styleId="8">
    <w:name w:val="Body Text"/>
    <w:basedOn w:val="1"/>
    <w:next w:val="9"/>
    <w:link w:val="30"/>
    <w:qFormat/>
    <w:uiPriority w:val="0"/>
    <w:pPr>
      <w:widowControl/>
      <w:snapToGrid w:val="0"/>
      <w:spacing w:before="60" w:after="160" w:line="259" w:lineRule="auto"/>
      <w:ind w:right="113"/>
    </w:pPr>
    <w:rPr>
      <w:kern w:val="0"/>
      <w:sz w:val="18"/>
      <w:szCs w:val="20"/>
    </w:rPr>
  </w:style>
  <w:style w:type="paragraph" w:customStyle="1" w:styleId="9">
    <w:name w:val="xl27"/>
    <w:basedOn w:val="1"/>
    <w:next w:val="10"/>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0">
    <w:name w:val="Body Text Indent 2"/>
    <w:basedOn w:val="1"/>
    <w:next w:val="1"/>
    <w:qFormat/>
    <w:locked/>
    <w:uiPriority w:val="99"/>
    <w:pPr>
      <w:spacing w:after="120" w:line="480" w:lineRule="auto"/>
      <w:ind w:left="420" w:leftChars="200"/>
    </w:pPr>
  </w:style>
  <w:style w:type="paragraph" w:styleId="11">
    <w:name w:val="Body Text Indent"/>
    <w:basedOn w:val="1"/>
    <w:next w:val="1"/>
    <w:link w:val="28"/>
    <w:qFormat/>
    <w:uiPriority w:val="0"/>
    <w:pPr>
      <w:spacing w:after="120"/>
      <w:ind w:left="420" w:leftChars="200"/>
    </w:pPr>
    <w:rPr>
      <w:kern w:val="0"/>
      <w:sz w:val="24"/>
      <w:szCs w:val="20"/>
    </w:rPr>
  </w:style>
  <w:style w:type="paragraph" w:styleId="12">
    <w:name w:val="Plain Text"/>
    <w:basedOn w:val="1"/>
    <w:unhideWhenUsed/>
    <w:qFormat/>
    <w:locked/>
    <w:uiPriority w:val="0"/>
    <w:pPr>
      <w:ind w:firstLine="498" w:firstLineChars="200"/>
    </w:pPr>
    <w:rPr>
      <w:rFonts w:ascii="宋体" w:hAnsi="宋体"/>
      <w:kern w:val="0"/>
      <w:sz w:val="24"/>
      <w:szCs w:val="20"/>
    </w:rPr>
  </w:style>
  <w:style w:type="paragraph" w:styleId="13">
    <w:name w:val="Date"/>
    <w:basedOn w:val="1"/>
    <w:next w:val="1"/>
    <w:link w:val="31"/>
    <w:qFormat/>
    <w:uiPriority w:val="0"/>
    <w:pPr>
      <w:ind w:left="100" w:leftChars="2500"/>
    </w:pPr>
    <w:rPr>
      <w:kern w:val="0"/>
      <w:sz w:val="24"/>
      <w:szCs w:val="20"/>
    </w:rPr>
  </w:style>
  <w:style w:type="paragraph" w:styleId="14">
    <w:name w:val="Balloon Text"/>
    <w:basedOn w:val="1"/>
    <w:link w:val="32"/>
    <w:semiHidden/>
    <w:qFormat/>
    <w:uiPriority w:val="0"/>
    <w:rPr>
      <w:kern w:val="0"/>
      <w:sz w:val="18"/>
      <w:szCs w:val="20"/>
    </w:rPr>
  </w:style>
  <w:style w:type="paragraph" w:styleId="15">
    <w:name w:val="footer"/>
    <w:basedOn w:val="1"/>
    <w:link w:val="33"/>
    <w:qFormat/>
    <w:uiPriority w:val="99"/>
    <w:pPr>
      <w:tabs>
        <w:tab w:val="center" w:pos="4153"/>
        <w:tab w:val="right" w:pos="8306"/>
      </w:tabs>
      <w:snapToGrid w:val="0"/>
      <w:jc w:val="left"/>
    </w:pPr>
    <w:rPr>
      <w:kern w:val="0"/>
      <w:sz w:val="18"/>
      <w:szCs w:val="20"/>
    </w:rPr>
  </w:style>
  <w:style w:type="paragraph" w:styleId="16">
    <w:name w:val="header"/>
    <w:basedOn w:val="1"/>
    <w:link w:val="34"/>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toc 1"/>
    <w:basedOn w:val="1"/>
    <w:next w:val="1"/>
    <w:autoRedefine/>
    <w:qFormat/>
    <w:locked/>
    <w:uiPriority w:val="0"/>
  </w:style>
  <w:style w:type="paragraph" w:styleId="18">
    <w:name w:val="List"/>
    <w:basedOn w:val="1"/>
    <w:qFormat/>
    <w:locked/>
    <w:uiPriority w:val="0"/>
    <w:pPr>
      <w:ind w:left="200" w:hanging="200" w:hangingChars="200"/>
    </w:pPr>
  </w:style>
  <w:style w:type="paragraph" w:styleId="19">
    <w:name w:val="Normal (Web)"/>
    <w:basedOn w:val="1"/>
    <w:link w:val="35"/>
    <w:autoRedefine/>
    <w:qFormat/>
    <w:uiPriority w:val="0"/>
    <w:pPr>
      <w:widowControl/>
      <w:spacing w:before="100" w:beforeAutospacing="1" w:after="100" w:afterAutospacing="1"/>
      <w:jc w:val="left"/>
    </w:pPr>
    <w:rPr>
      <w:rFonts w:ascii="宋体" w:hAnsi="宋体"/>
      <w:kern w:val="0"/>
      <w:sz w:val="24"/>
      <w:szCs w:val="20"/>
    </w:rPr>
  </w:style>
  <w:style w:type="paragraph" w:styleId="20">
    <w:name w:val="annotation subject"/>
    <w:basedOn w:val="7"/>
    <w:next w:val="7"/>
    <w:link w:val="36"/>
    <w:semiHidden/>
    <w:qFormat/>
    <w:uiPriority w:val="0"/>
    <w:rPr>
      <w:b/>
    </w:rPr>
  </w:style>
  <w:style w:type="paragraph" w:styleId="21">
    <w:name w:val="Body Text First Indent 2"/>
    <w:basedOn w:val="11"/>
    <w:next w:val="1"/>
    <w:qFormat/>
    <w:locked/>
    <w:uiPriority w:val="99"/>
    <w:pPr>
      <w:ind w:firstLine="420"/>
    </w:p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locked/>
    <w:uiPriority w:val="0"/>
    <w:rPr>
      <w:b/>
    </w:rPr>
  </w:style>
  <w:style w:type="character" w:styleId="26">
    <w:name w:val="page number"/>
    <w:basedOn w:val="24"/>
    <w:qFormat/>
    <w:locked/>
    <w:uiPriority w:val="0"/>
  </w:style>
  <w:style w:type="character" w:styleId="27">
    <w:name w:val="annotation reference"/>
    <w:semiHidden/>
    <w:qFormat/>
    <w:uiPriority w:val="0"/>
    <w:rPr>
      <w:sz w:val="21"/>
    </w:rPr>
  </w:style>
  <w:style w:type="character" w:customStyle="1" w:styleId="28">
    <w:name w:val="正文文本缩进 字符"/>
    <w:link w:val="11"/>
    <w:autoRedefine/>
    <w:semiHidden/>
    <w:qFormat/>
    <w:locked/>
    <w:uiPriority w:val="0"/>
    <w:rPr>
      <w:rFonts w:ascii="Times New Roman" w:hAnsi="Times New Roman" w:eastAsia="宋体"/>
      <w:sz w:val="24"/>
    </w:rPr>
  </w:style>
  <w:style w:type="character" w:customStyle="1" w:styleId="29">
    <w:name w:val="批注文字 字符"/>
    <w:link w:val="7"/>
    <w:qFormat/>
    <w:locked/>
    <w:uiPriority w:val="0"/>
    <w:rPr>
      <w:rFonts w:ascii="Times New Roman" w:hAnsi="Times New Roman" w:eastAsia="宋体"/>
      <w:sz w:val="24"/>
    </w:rPr>
  </w:style>
  <w:style w:type="character" w:customStyle="1" w:styleId="30">
    <w:name w:val="正文文本 字符"/>
    <w:link w:val="8"/>
    <w:autoRedefine/>
    <w:qFormat/>
    <w:locked/>
    <w:uiPriority w:val="0"/>
    <w:rPr>
      <w:sz w:val="18"/>
    </w:rPr>
  </w:style>
  <w:style w:type="character" w:customStyle="1" w:styleId="31">
    <w:name w:val="日期 字符1"/>
    <w:link w:val="13"/>
    <w:qFormat/>
    <w:locked/>
    <w:uiPriority w:val="0"/>
    <w:rPr>
      <w:rFonts w:ascii="Times New Roman" w:hAnsi="Times New Roman" w:eastAsia="宋体"/>
      <w:sz w:val="24"/>
    </w:rPr>
  </w:style>
  <w:style w:type="character" w:customStyle="1" w:styleId="32">
    <w:name w:val="批注框文本 字符"/>
    <w:link w:val="14"/>
    <w:autoRedefine/>
    <w:semiHidden/>
    <w:qFormat/>
    <w:locked/>
    <w:uiPriority w:val="0"/>
    <w:rPr>
      <w:rFonts w:ascii="Times New Roman" w:hAnsi="Times New Roman" w:eastAsia="宋体"/>
      <w:sz w:val="18"/>
    </w:rPr>
  </w:style>
  <w:style w:type="character" w:customStyle="1" w:styleId="33">
    <w:name w:val="页脚 字符1"/>
    <w:link w:val="15"/>
    <w:autoRedefine/>
    <w:qFormat/>
    <w:locked/>
    <w:uiPriority w:val="99"/>
    <w:rPr>
      <w:sz w:val="18"/>
    </w:rPr>
  </w:style>
  <w:style w:type="character" w:customStyle="1" w:styleId="34">
    <w:name w:val="页眉 字符"/>
    <w:link w:val="16"/>
    <w:autoRedefine/>
    <w:qFormat/>
    <w:locked/>
    <w:uiPriority w:val="0"/>
    <w:rPr>
      <w:sz w:val="18"/>
    </w:rPr>
  </w:style>
  <w:style w:type="character" w:customStyle="1" w:styleId="35">
    <w:name w:val="普通(网站) 字符"/>
    <w:link w:val="19"/>
    <w:qFormat/>
    <w:locked/>
    <w:uiPriority w:val="0"/>
    <w:rPr>
      <w:rFonts w:ascii="宋体" w:hAnsi="宋体" w:eastAsia="宋体"/>
      <w:sz w:val="24"/>
    </w:rPr>
  </w:style>
  <w:style w:type="character" w:customStyle="1" w:styleId="36">
    <w:name w:val="批注主题 字符"/>
    <w:link w:val="20"/>
    <w:semiHidden/>
    <w:qFormat/>
    <w:locked/>
    <w:uiPriority w:val="0"/>
    <w:rPr>
      <w:rFonts w:ascii="Times New Roman" w:hAnsi="Times New Roman" w:eastAsia="宋体"/>
      <w:b/>
      <w:kern w:val="2"/>
      <w:sz w:val="24"/>
    </w:rPr>
  </w:style>
  <w:style w:type="character" w:customStyle="1" w:styleId="37">
    <w:name w:val="页脚 字符"/>
    <w:basedOn w:val="24"/>
    <w:qFormat/>
    <w:uiPriority w:val="99"/>
  </w:style>
  <w:style w:type="character" w:customStyle="1" w:styleId="38">
    <w:name w:val="正文文本 字符1"/>
    <w:autoRedefine/>
    <w:semiHidden/>
    <w:qFormat/>
    <w:uiPriority w:val="0"/>
    <w:rPr>
      <w:rFonts w:ascii="Times New Roman" w:hAnsi="Times New Roman" w:eastAsia="宋体"/>
      <w:sz w:val="24"/>
    </w:rPr>
  </w:style>
  <w:style w:type="character" w:customStyle="1" w:styleId="39">
    <w:name w:val="表格 Char"/>
    <w:link w:val="40"/>
    <w:qFormat/>
    <w:locked/>
    <w:uiPriority w:val="0"/>
    <w:rPr>
      <w:rFonts w:ascii="宋体"/>
      <w:sz w:val="21"/>
    </w:rPr>
  </w:style>
  <w:style w:type="paragraph" w:customStyle="1" w:styleId="40">
    <w:name w:val="表格"/>
    <w:basedOn w:val="6"/>
    <w:next w:val="1"/>
    <w:link w:val="39"/>
    <w:qFormat/>
    <w:uiPriority w:val="0"/>
    <w:pPr>
      <w:spacing w:beforeLines="10" w:afterLines="10" w:line="259" w:lineRule="auto"/>
      <w:jc w:val="center"/>
    </w:pPr>
    <w:rPr>
      <w:rFonts w:ascii="宋体"/>
      <w:kern w:val="0"/>
    </w:rPr>
  </w:style>
  <w:style w:type="character" w:customStyle="1" w:styleId="41">
    <w:name w:val="日期 字符"/>
    <w:semiHidden/>
    <w:qFormat/>
    <w:uiPriority w:val="0"/>
    <w:rPr>
      <w:rFonts w:ascii="Times New Roman" w:hAnsi="Times New Roman" w:eastAsia="宋体"/>
      <w:sz w:val="24"/>
    </w:rPr>
  </w:style>
  <w:style w:type="character" w:customStyle="1" w:styleId="42">
    <w:name w:val="批注文字 字符1"/>
    <w:semiHidden/>
    <w:qFormat/>
    <w:uiPriority w:val="0"/>
    <w:rPr>
      <w:rFonts w:ascii="Times New Roman" w:hAnsi="Times New Roman" w:eastAsia="宋体"/>
      <w:sz w:val="24"/>
    </w:rPr>
  </w:style>
  <w:style w:type="paragraph" w:customStyle="1" w:styleId="4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普通(网站)2"/>
    <w:basedOn w:val="1"/>
    <w:qFormat/>
    <w:uiPriority w:val="0"/>
    <w:pPr>
      <w:widowControl/>
      <w:spacing w:before="100" w:beforeAutospacing="1" w:after="100" w:afterAutospacing="1"/>
      <w:jc w:val="left"/>
    </w:pPr>
    <w:rPr>
      <w:rFonts w:ascii="宋体" w:hAnsi="宋体"/>
      <w:sz w:val="24"/>
      <w:szCs w:val="20"/>
    </w:rPr>
  </w:style>
  <w:style w:type="table" w:customStyle="1" w:styleId="45">
    <w:name w:val="Table Normal"/>
    <w:unhideWhenUsed/>
    <w:qFormat/>
    <w:uiPriority w:val="0"/>
    <w:tblPr>
      <w:tblCellMar>
        <w:top w:w="0" w:type="dxa"/>
        <w:left w:w="0" w:type="dxa"/>
        <w:bottom w:w="0" w:type="dxa"/>
        <w:right w:w="0" w:type="dxa"/>
      </w:tblCellMar>
    </w:tblPr>
  </w:style>
  <w:style w:type="paragraph" w:customStyle="1" w:styleId="46">
    <w:name w:val="Table Text"/>
    <w:basedOn w:val="1"/>
    <w:semiHidden/>
    <w:qFormat/>
    <w:uiPriority w:val="0"/>
    <w:rPr>
      <w:rFonts w:ascii="宋体" w:hAnsi="宋体" w:cs="宋体"/>
      <w:sz w:val="20"/>
      <w:szCs w:val="20"/>
      <w:lang w:eastAsia="en-US"/>
    </w:rPr>
  </w:style>
  <w:style w:type="paragraph" w:customStyle="1" w:styleId="47">
    <w:name w:val="样式 正文缩进正文缩进2正文缩进 Char Char正文缩进 Char Char Char Char正文缩进 Char ..."/>
    <w:basedOn w:val="6"/>
    <w:autoRedefine/>
    <w:qFormat/>
    <w:uiPriority w:val="0"/>
    <w:pPr>
      <w:ind w:firstLine="200"/>
    </w:pPr>
    <w:rPr>
      <w:rFonts w:ascii="Calibri" w:hAnsi="Calibri" w:cs="宋体"/>
      <w:sz w:val="24"/>
      <w:szCs w:val="24"/>
    </w:rPr>
  </w:style>
  <w:style w:type="paragraph" w:customStyle="1" w:styleId="48">
    <w:name w:val="表标题"/>
    <w:basedOn w:val="1"/>
    <w:qFormat/>
    <w:uiPriority w:val="0"/>
    <w:pPr>
      <w:spacing w:beforeLines="50" w:afterLines="50"/>
      <w:jc w:val="center"/>
    </w:pPr>
    <w:rPr>
      <w:b/>
    </w:rPr>
  </w:style>
  <w:style w:type="paragraph" w:customStyle="1" w:styleId="49">
    <w:name w:val="Table Paragraph"/>
    <w:basedOn w:val="1"/>
    <w:qFormat/>
    <w:uiPriority w:val="1"/>
    <w:rPr>
      <w:rFonts w:ascii="Calibri" w:hAnsi="Calibri"/>
      <w:sz w:val="22"/>
      <w:szCs w:val="22"/>
      <w:lang w:eastAsia="en-US"/>
    </w:rPr>
  </w:style>
  <w:style w:type="paragraph" w:customStyle="1" w:styleId="50">
    <w:name w:val="Default"/>
    <w:basedOn w:val="51"/>
    <w:next w:val="15"/>
    <w:qFormat/>
    <w:uiPriority w:val="0"/>
    <w:pPr>
      <w:autoSpaceDE w:val="0"/>
      <w:autoSpaceDN w:val="0"/>
      <w:adjustRightInd w:val="0"/>
    </w:pPr>
    <w:rPr>
      <w:rFonts w:cs="宋体"/>
      <w:color w:val="000000"/>
      <w:sz w:val="24"/>
      <w:szCs w:val="24"/>
    </w:rPr>
  </w:style>
  <w:style w:type="paragraph" w:customStyle="1" w:styleId="51">
    <w:name w:val="纯文本1"/>
    <w:basedOn w:val="1"/>
    <w:qFormat/>
    <w:uiPriority w:val="99"/>
    <w:rPr>
      <w:rFonts w:ascii="宋体" w:hAnsi="Courier New"/>
      <w:szCs w:val="22"/>
    </w:rPr>
  </w:style>
  <w:style w:type="paragraph" w:customStyle="1" w:styleId="52">
    <w:name w:val="样式35"/>
    <w:basedOn w:val="53"/>
    <w:next w:val="1"/>
    <w:qFormat/>
    <w:uiPriority w:val="0"/>
    <w:pPr>
      <w:spacing w:line="312" w:lineRule="auto"/>
      <w:ind w:firstLine="567"/>
      <w:jc w:val="both"/>
    </w:pPr>
    <w:rPr>
      <w:rFonts w:ascii="宋体" w:hAnsi="Times New Roman" w:eastAsia="宋体"/>
      <w:szCs w:val="22"/>
    </w:rPr>
  </w:style>
  <w:style w:type="paragraph" w:customStyle="1" w:styleId="53">
    <w:name w:val="表 内容"/>
    <w:basedOn w:val="1"/>
    <w:qFormat/>
    <w:uiPriority w:val="0"/>
    <w:pPr>
      <w:spacing w:line="276" w:lineRule="auto"/>
      <w:jc w:val="center"/>
    </w:pPr>
    <w:rPr>
      <w:rFonts w:ascii="仿宋" w:hAnsi="仿宋" w:eastAsia="仿宋"/>
      <w:kern w:val="0"/>
    </w:rPr>
  </w:style>
  <w:style w:type="paragraph" w:customStyle="1" w:styleId="54">
    <w:name w:val="font6"/>
    <w:next w:val="2"/>
    <w:qFormat/>
    <w:uiPriority w:val="0"/>
    <w:pPr>
      <w:spacing w:before="280" w:after="280"/>
      <w:jc w:val="both"/>
    </w:pPr>
    <w:rPr>
      <w:rFonts w:ascii="Times New Roman" w:hAnsi="Times New Roman" w:eastAsia="宋体" w:cs="Times New Roman"/>
      <w:kern w:val="2"/>
      <w:sz w:val="21"/>
      <w:szCs w:val="22"/>
      <w:lang w:val="en-US" w:eastAsia="zh-CN" w:bidi="ar-SA"/>
    </w:rPr>
  </w:style>
  <w:style w:type="paragraph" w:customStyle="1" w:styleId="55">
    <w:name w:val="表格内容"/>
    <w:basedOn w:val="1"/>
    <w:qFormat/>
    <w:uiPriority w:val="0"/>
    <w:pPr>
      <w:adjustRightInd w:val="0"/>
      <w:snapToGrid w:val="0"/>
      <w:jc w:val="center"/>
    </w:pPr>
    <w:rPr>
      <w:bCs/>
      <w:color w:val="000000" w:themeColor="text1"/>
      <w:szCs w:val="21"/>
      <w14:textFill>
        <w14:solidFill>
          <w14:schemeClr w14:val="tx1"/>
        </w14:solidFill>
      </w14:textFill>
    </w:rPr>
  </w:style>
  <w:style w:type="paragraph" w:customStyle="1" w:styleId="56">
    <w:name w:val="表头"/>
    <w:basedOn w:val="18"/>
    <w:next w:val="1"/>
    <w:qFormat/>
    <w:uiPriority w:val="0"/>
    <w:pPr>
      <w:ind w:left="0" w:firstLine="0" w:firstLineChars="0"/>
      <w:jc w:val="center"/>
    </w:pPr>
    <w:rPr>
      <w:b/>
    </w:rPr>
  </w:style>
  <w:style w:type="paragraph" w:customStyle="1" w:styleId="57">
    <w:name w:val="环保正文"/>
    <w:basedOn w:val="1"/>
    <w:qFormat/>
    <w:uiPriority w:val="0"/>
    <w:pPr>
      <w:tabs>
        <w:tab w:val="left" w:pos="0"/>
        <w:tab w:val="left" w:pos="7012"/>
      </w:tabs>
      <w:autoSpaceDE w:val="0"/>
      <w:autoSpaceDN w:val="0"/>
      <w:spacing w:line="360" w:lineRule="auto"/>
      <w:ind w:firstLine="200" w:firstLineChars="200"/>
    </w:pPr>
    <w:rPr>
      <w:rFonts w:ascii="宋体" w:hAnsi="宋体"/>
      <w:kern w:val="0"/>
    </w:rPr>
  </w:style>
  <w:style w:type="paragraph" w:customStyle="1" w:styleId="58">
    <w:name w:val="[1]正文"/>
    <w:basedOn w:val="1"/>
    <w:qFormat/>
    <w:uiPriority w:val="0"/>
    <w:pPr>
      <w:autoSpaceDE w:val="0"/>
      <w:autoSpaceDN w:val="0"/>
      <w:ind w:firstLine="200" w:firstLineChars="200"/>
    </w:pPr>
    <w:rPr>
      <w:color w:val="000000"/>
      <w:kern w:val="0"/>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7" Type="http://schemas.microsoft.com/office/2011/relationships/people" Target="people.xml"/><Relationship Id="rId76" Type="http://schemas.openxmlformats.org/officeDocument/2006/relationships/fontTable" Target="fontTable.xml"/><Relationship Id="rId75" Type="http://schemas.openxmlformats.org/officeDocument/2006/relationships/numbering" Target="numbering.xml"/><Relationship Id="rId74" Type="http://schemas.openxmlformats.org/officeDocument/2006/relationships/customXml" Target="../customXml/item1.xml"/><Relationship Id="rId73" Type="http://schemas.openxmlformats.org/officeDocument/2006/relationships/image" Target="media/image61.png"/><Relationship Id="rId72" Type="http://schemas.openxmlformats.org/officeDocument/2006/relationships/image" Target="media/image60.jpeg"/><Relationship Id="rId71" Type="http://schemas.openxmlformats.org/officeDocument/2006/relationships/image" Target="media/image59.jpeg"/><Relationship Id="rId70" Type="http://schemas.openxmlformats.org/officeDocument/2006/relationships/image" Target="media/image58.png"/><Relationship Id="rId7" Type="http://schemas.openxmlformats.org/officeDocument/2006/relationships/footer" Target="footer5.xml"/><Relationship Id="rId69" Type="http://schemas.openxmlformats.org/officeDocument/2006/relationships/image" Target="media/image57.pn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image" Target="media/image54.png"/><Relationship Id="rId65" Type="http://schemas.openxmlformats.org/officeDocument/2006/relationships/image" Target="media/image53.png"/><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footer" Target="footer4.xml"/><Relationship Id="rId59" Type="http://schemas.openxmlformats.org/officeDocument/2006/relationships/image" Target="media/image47.png"/><Relationship Id="rId58" Type="http://schemas.openxmlformats.org/officeDocument/2006/relationships/image" Target="media/image46.pn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png"/><Relationship Id="rId5" Type="http://schemas.openxmlformats.org/officeDocument/2006/relationships/footer" Target="footer3.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footer" Target="footer2.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jpeg"/><Relationship Id="rId32" Type="http://schemas.openxmlformats.org/officeDocument/2006/relationships/image" Target="media/image20.png"/><Relationship Id="rId31" Type="http://schemas.openxmlformats.org/officeDocument/2006/relationships/image" Target="media/image19.jpeg"/><Relationship Id="rId30" Type="http://schemas.openxmlformats.org/officeDocument/2006/relationships/image" Target="media/image18.png"/><Relationship Id="rId3" Type="http://schemas.openxmlformats.org/officeDocument/2006/relationships/footer" Target="foot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jpe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120</Pages>
  <Words>40985</Words>
  <Characters>47016</Characters>
  <Lines>2205</Lines>
  <Paragraphs>2187</Paragraphs>
  <TotalTime>8</TotalTime>
  <ScaleCrop>false</ScaleCrop>
  <LinksUpToDate>false</LinksUpToDate>
  <CharactersWithSpaces>47868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柏岳</cp:lastModifiedBy>
  <cp:lastPrinted>2020-12-29T02:43:00Z</cp:lastPrinted>
  <dcterms:modified xsi:type="dcterms:W3CDTF">2026-04-14T09:09:29Z</dcterms:modified>
  <dc:title>附件2</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BD7F3C44C61F4EB4A06A429370841E8B_13</vt:lpwstr>
  </property>
  <property fmtid="{D5CDD505-2E9C-101B-9397-08002B2CF9AE}" pid="4" name="KSOTemplateDocerSaveRecord">
    <vt:lpwstr>eyJoZGlkIjoiY2UxOTQ5YjRhZmFhMzYwNDg1YjVmNTVlMGM1ZWQ2ZGEiLCJ1c2VySWQiOiIxMzM2MjYzMjU0In0=</vt:lpwstr>
  </property>
</Properties>
</file>